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pPr>
      <w:r>
        <w:rPr>
          <w:color w:val="000000"/>
        </w:rPr>
        <w:t> </w:t>
      </w:r>
      <w:r>
        <w:rPr>
          <w:rFonts w:ascii="Times New Roman;sans-serif" w:hAnsi="Times New Roman;sans-serif"/>
          <w:b/>
          <w:color w:val="000000"/>
          <w:sz w:val="28"/>
        </w:rPr>
        <w:t xml:space="preserve">UNITED STATES </w:t>
      </w:r>
    </w:p>
    <w:p>
      <w:pPr>
        <w:pStyle w:val="TextBody"/>
        <w:bidi w:val="0"/>
        <w:spacing w:lineRule="auto" w:line="288" w:before="0" w:after="4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10-K </w:t>
      </w:r>
    </w:p>
    <w:tbl>
      <w:tblPr>
        <w:tblW w:w="10205" w:type="dxa"/>
        <w:jc w:val="left"/>
        <w:tblInd w:w="0" w:type="dxa"/>
        <w:tblLayout w:type="fixed"/>
        <w:tblCellMar>
          <w:top w:w="28" w:type="dxa"/>
          <w:left w:w="28" w:type="dxa"/>
          <w:bottom w:w="28" w:type="dxa"/>
          <w:right w:w="28" w:type="dxa"/>
        </w:tblCellMar>
      </w:tblPr>
      <w:tblGrid>
        <w:gridCol w:w="408"/>
        <w:gridCol w:w="359"/>
        <w:gridCol w:w="360"/>
        <w:gridCol w:w="985"/>
        <w:gridCol w:w="927"/>
        <w:gridCol w:w="927"/>
        <w:gridCol w:w="1208"/>
        <w:gridCol w:w="927"/>
        <w:gridCol w:w="927"/>
        <w:gridCol w:w="927"/>
        <w:gridCol w:w="927"/>
        <w:gridCol w:w="1323"/>
      </w:tblGrid>
      <w:tr>
        <w:trPr/>
        <w:tc>
          <w:tcPr>
            <w:tcW w:w="4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2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For the fiscal year ended</w:t>
            </w:r>
          </w:p>
        </w:tc>
        <w:tc>
          <w:tcPr>
            <w:tcW w:w="30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December 29, 2024</w:t>
            </w:r>
          </w:p>
        </w:tc>
        <w:tc>
          <w:tcPr>
            <w:tcW w:w="3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bidi w:val="0"/>
        <w:spacing w:before="100" w:after="283"/>
        <w:jc w:val="left"/>
        <w:rPr/>
      </w:pPr>
      <w:r>
        <w:rPr/>
      </w:r>
    </w:p>
    <w:p>
      <w:pPr>
        <w:pStyle w:val="TextBody"/>
        <w:bidi w:val="0"/>
        <w:spacing w:lineRule="auto" w:line="288" w:before="0" w:after="0"/>
        <w:jc w:val="center"/>
        <w:rPr/>
      </w:pPr>
      <w:r>
        <w:rPr>
          <w:rFonts w:ascii="Times New Roman;sans-serif" w:hAnsi="Times New Roman;sans-serif"/>
          <w:b w:val="false"/>
          <w:color w:val="000000"/>
          <w:sz w:val="18"/>
        </w:rPr>
        <w:t xml:space="preserve">Commission File Number: </w:t>
      </w:r>
      <w:r>
        <w:rPr>
          <w:rFonts w:ascii="Times New Roman;sans-serif" w:hAnsi="Times New Roman;sans-serif"/>
          <w:b w:val="false"/>
          <w:color w:val="000000"/>
          <w:sz w:val="20"/>
        </w:rPr>
        <w:t>001-35625</w:t>
      </w:r>
      <w:r>
        <w:rPr>
          <w:color w:val="000000"/>
        </w:rPr>
        <w:t xml:space="preserve">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p>
    <w:p>
      <w:pPr>
        <w:pStyle w:val="TextBody"/>
        <w:bidi w:val="0"/>
        <w:spacing w:lineRule="auto" w:line="288" w:before="40" w:after="283"/>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pPr>
      <w:r>
        <w:rPr>
          <w:rFonts w:ascii="Times New Roman;sans-serif" w:hAnsi="Times New Roman;sans-serif"/>
          <w:b/>
          <w:color w:val="000000"/>
          <w:sz w:val="16"/>
        </w:rPr>
        <w:t>(Exact name of registrant as specified in its charter)</w:t>
      </w:r>
      <w:r>
        <w:rPr>
          <w:color w:val="000000"/>
        </w:rPr>
        <w:t> </w:t>
      </w:r>
    </w:p>
    <w:tbl>
      <w:tblPr>
        <w:tblW w:w="6709" w:type="dxa"/>
        <w:jc w:val="left"/>
        <w:tblInd w:w="0" w:type="dxa"/>
        <w:tblLayout w:type="fixed"/>
        <w:tblCellMar>
          <w:top w:w="28" w:type="dxa"/>
          <w:left w:w="28" w:type="dxa"/>
          <w:bottom w:w="28" w:type="dxa"/>
          <w:right w:w="28" w:type="dxa"/>
        </w:tblCellMar>
      </w:tblPr>
      <w:tblGrid>
        <w:gridCol w:w="1549"/>
        <w:gridCol w:w="1360"/>
        <w:gridCol w:w="1380"/>
        <w:gridCol w:w="109"/>
        <w:gridCol w:w="109"/>
        <w:gridCol w:w="109"/>
        <w:gridCol w:w="109"/>
        <w:gridCol w:w="109"/>
        <w:gridCol w:w="109"/>
        <w:gridCol w:w="109"/>
        <w:gridCol w:w="109"/>
        <w:gridCol w:w="109"/>
        <w:gridCol w:w="420"/>
        <w:gridCol w:w="420"/>
        <w:gridCol w:w="599"/>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20-8023465</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2202 North West Shore Boulevard, Suite 500, Tampa, FL 33607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(813) 282-1225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left"/>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The Nasdaq Stock Market LLC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0" w:after="0"/>
        <w:jc w:val="center"/>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  </w:t>
      </w:r>
      <w:r>
        <w:rPr>
          <w:color w:val="000000"/>
        </w:rPr>
        <w:t xml:space="preserve">☐ </w:t>
      </w:r>
      <w:r>
        <w:rPr>
          <w:rFonts w:ascii="Times New Roman;sans-serif" w:hAnsi="Times New Roman;sans-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before="0" w:after="0"/>
        <w:jc w:val="left"/>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market value of common stock held by non-affiliates (based on the closing price on the last business day of the registrant’s most recently completed second fiscal quarter as reported on the Nasdaq Global Select Market) was $1.6 billion.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21, 2025, 84,930,752 shares of common stock of the registrant were outstanding.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DOCUMENTS INCORPORATED BY REFERENCE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definitive Proxy Statement for its 2025 Annual Meeting of Stockholders are incorporated by reference into Part III, Items 10-14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ANNUAL REPORT ON FORM 10-K</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Fiscal Year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TABLE OF CONTENTS</w:t>
      </w:r>
    </w:p>
    <w:tbl>
      <w:tblPr>
        <w:tblW w:w="9630" w:type="dxa"/>
        <w:jc w:val="center"/>
        <w:tblInd w:w="0" w:type="dxa"/>
        <w:tblLayout w:type="fixed"/>
        <w:tblCellMar>
          <w:top w:w="28" w:type="dxa"/>
          <w:left w:w="28" w:type="dxa"/>
          <w:bottom w:w="28" w:type="dxa"/>
          <w:right w:w="28" w:type="dxa"/>
        </w:tblCellMar>
      </w:tblPr>
      <w:tblGrid>
        <w:gridCol w:w="3121"/>
        <w:gridCol w:w="2749"/>
        <w:gridCol w:w="2755"/>
        <w:gridCol w:w="294"/>
        <w:gridCol w:w="294"/>
        <w:gridCol w:w="417"/>
      </w:tblGrid>
      <w:tr>
        <w:trPr/>
        <w:tc>
          <w:tcPr>
            <w:tcW w:w="312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8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2">
              <w:r>
                <w:rPr>
                  <w:rStyle w:val="InternetLink"/>
                  <w:rFonts w:ascii="Times New Roman;sans-serif" w:hAnsi="Times New Roman;sans-serif"/>
                  <w:b w:val="false"/>
                  <w:color w:val="0000FF"/>
                  <w:sz w:val="18"/>
                  <w:u w:val="single"/>
                </w:rPr>
                <w:t>Item 1. Business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2">
              <w:r>
                <w:rPr>
                  <w:rStyle w:val="InternetLink"/>
                  <w:rFonts w:ascii="Times New Roman;sans-serif" w:hAnsi="Times New Roman;sans-serif"/>
                  <w:b w:val="false"/>
                  <w:color w:val="0000FF"/>
                  <w:sz w:val="18"/>
                  <w:u w:val="single"/>
                </w:rPr>
                <w:t>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148">
              <w:r>
                <w:rPr>
                  <w:rStyle w:val="InternetLink"/>
                  <w:rFonts w:ascii="Times New Roman;sans-serif" w:hAnsi="Times New Roman;sans-serif"/>
                  <w:b w:val="false"/>
                  <w:color w:val="0000FF"/>
                  <w:sz w:val="18"/>
                  <w:u w:val="single"/>
                </w:rPr>
                <w:t>Item 1A. Risk Factors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148">
              <w:r>
                <w:rPr>
                  <w:rStyle w:val="InternetLink"/>
                  <w:rFonts w:ascii="Times New Roman;sans-serif" w:hAnsi="Times New Roman;sans-serif"/>
                  <w:b w:val="false"/>
                  <w:color w:val="0000FF"/>
                  <w:sz w:val="18"/>
                  <w:u w:val="single"/>
                </w:rPr>
                <w:t>15</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53">
              <w:r>
                <w:rPr>
                  <w:rStyle w:val="InternetLink"/>
                  <w:rFonts w:ascii="Times New Roman;sans-serif" w:hAnsi="Times New Roman;sans-serif"/>
                  <w:b w:val="false"/>
                  <w:color w:val="0000FF"/>
                  <w:sz w:val="18"/>
                  <w:u w:val="single"/>
                </w:rPr>
                <w:t>Item 1B. Unresolved Staff Comments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53">
              <w:r>
                <w:rPr>
                  <w:rStyle w:val="InternetLink"/>
                  <w:rFonts w:ascii="Times New Roman;sans-serif" w:hAnsi="Times New Roman;sans-serif"/>
                  <w:b w:val="false"/>
                  <w:color w:val="0000FF"/>
                  <w:sz w:val="18"/>
                  <w:u w:val="single"/>
                </w:rPr>
                <w:t>29</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56">
              <w:r>
                <w:rPr>
                  <w:rStyle w:val="InternetLink"/>
                  <w:rFonts w:ascii="Times New Roman;sans-serif" w:hAnsi="Times New Roman;sans-serif"/>
                  <w:b w:val="false"/>
                  <w:color w:val="0000FF"/>
                  <w:sz w:val="18"/>
                  <w:u w:val="single"/>
                </w:rPr>
                <w:t>Item 1C. Cybersecurity</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56">
              <w:r>
                <w:rPr>
                  <w:rStyle w:val="InternetLink"/>
                  <w:rFonts w:ascii="Times New Roman;sans-serif" w:hAnsi="Times New Roman;sans-serif"/>
                  <w:b w:val="false"/>
                  <w:color w:val="0000FF"/>
                  <w:sz w:val="18"/>
                  <w:u w:val="single"/>
                </w:rPr>
                <w:t>29</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59">
              <w:r>
                <w:rPr>
                  <w:rStyle w:val="InternetLink"/>
                  <w:rFonts w:ascii="Times New Roman;sans-serif" w:hAnsi="Times New Roman;sans-serif"/>
                  <w:b w:val="false"/>
                  <w:color w:val="0000FF"/>
                  <w:sz w:val="18"/>
                  <w:u w:val="single"/>
                </w:rPr>
                <w:t>Item 2. Properties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59">
              <w:r>
                <w:rPr>
                  <w:rStyle w:val="InternetLink"/>
                  <w:rFonts w:ascii="Times New Roman;sans-serif" w:hAnsi="Times New Roman;sans-serif"/>
                  <w:b w:val="false"/>
                  <w:color w:val="0000FF"/>
                  <w:sz w:val="18"/>
                  <w:u w:val="single"/>
                </w:rPr>
                <w:t>31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62">
              <w:r>
                <w:rPr>
                  <w:rStyle w:val="InternetLink"/>
                  <w:rFonts w:ascii="Times New Roman;sans-serif" w:hAnsi="Times New Roman;sans-serif"/>
                  <w:b w:val="false"/>
                  <w:color w:val="0000FF"/>
                  <w:sz w:val="18"/>
                  <w:u w:val="single"/>
                </w:rPr>
                <w:t>Item 3. Legal Proceedings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62">
              <w:r>
                <w:rPr>
                  <w:rStyle w:val="InternetLink"/>
                  <w:rFonts w:ascii="Times New Roman;sans-serif" w:hAnsi="Times New Roman;sans-serif"/>
                  <w:b w:val="false"/>
                  <w:color w:val="0000FF"/>
                  <w:sz w:val="18"/>
                  <w:u w:val="single"/>
                </w:rPr>
                <w:t>31</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65">
              <w:r>
                <w:rPr>
                  <w:rStyle w:val="InternetLink"/>
                  <w:rFonts w:ascii="Times New Roman;sans-serif" w:hAnsi="Times New Roman;sans-serif"/>
                  <w:b w:val="false"/>
                  <w:color w:val="0000FF"/>
                  <w:sz w:val="18"/>
                  <w:u w:val="single"/>
                </w:rPr>
                <w:t>Item 4. Mine Safety Disclosures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65">
              <w:r>
                <w:rPr>
                  <w:rStyle w:val="InternetLink"/>
                  <w:rFonts w:ascii="Times New Roman;sans-serif" w:hAnsi="Times New Roman;sans-serif"/>
                  <w:b w:val="false"/>
                  <w:color w:val="0000FF"/>
                  <w:sz w:val="18"/>
                  <w:u w:val="single"/>
                </w:rPr>
                <w:t>31</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238d9e0b422f441c810166691317c527_271">
              <w:r>
                <w:rPr>
                  <w:rStyle w:val="InternetLink"/>
                  <w:rFonts w:ascii="Times New Roman;sans-serif" w:hAnsi="Times New Roman;sans-serif"/>
                  <w:b w:val="false"/>
                  <w:color w:val="0000FF"/>
                  <w:sz w:val="18"/>
                  <w:u w:val="single"/>
                </w:rPr>
                <w:t>Item 5. Market for Registrant’s Common Equity, Related Stockholder Matters and Issuer Purchases of Equity Securities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71">
              <w:r>
                <w:rPr>
                  <w:rStyle w:val="InternetLink"/>
                  <w:rFonts w:ascii="Times New Roman;sans-serif" w:hAnsi="Times New Roman;sans-serif"/>
                  <w:b w:val="false"/>
                  <w:color w:val="0000FF"/>
                  <w:sz w:val="18"/>
                  <w:u w:val="single"/>
                </w:rPr>
                <w:t>32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92">
              <w:r>
                <w:rPr>
                  <w:rStyle w:val="InternetLink"/>
                  <w:rFonts w:ascii="Times New Roman;sans-serif" w:hAnsi="Times New Roman;sans-serif"/>
                  <w:b w:val="false"/>
                  <w:color w:val="0000FF"/>
                  <w:sz w:val="18"/>
                  <w:u w:val="single"/>
                </w:rPr>
                <w:t>Item 6. [Reserved]</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92">
              <w:r>
                <w:rPr>
                  <w:rStyle w:val="InternetLink"/>
                  <w:rFonts w:ascii="Times New Roman;sans-serif" w:hAnsi="Times New Roman;sans-serif"/>
                  <w:b w:val="false"/>
                  <w:color w:val="0000FF"/>
                  <w:sz w:val="18"/>
                  <w:u w:val="single"/>
                </w:rPr>
                <w:t>33</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295">
              <w:r>
                <w:rPr>
                  <w:rStyle w:val="InternetLink"/>
                  <w:rFonts w:ascii="Times New Roman;sans-serif" w:hAnsi="Times New Roman;sans-serif"/>
                  <w:b w:val="false"/>
                  <w:color w:val="0000FF"/>
                  <w:sz w:val="18"/>
                  <w:u w:val="single"/>
                </w:rPr>
                <w:t>Item 7. Management’s Discussion and Analysis of Financial Condition and Results of Operations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295">
              <w:r>
                <w:rPr>
                  <w:rStyle w:val="InternetLink"/>
                  <w:rFonts w:ascii="Times New Roman;sans-serif" w:hAnsi="Times New Roman;sans-serif"/>
                  <w:b w:val="false"/>
                  <w:color w:val="0000FF"/>
                  <w:sz w:val="18"/>
                  <w:u w:val="single"/>
                </w:rPr>
                <w:t>34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39">
              <w:r>
                <w:rPr>
                  <w:rStyle w:val="InternetLink"/>
                  <w:rFonts w:ascii="Times New Roman;sans-serif" w:hAnsi="Times New Roman;sans-serif"/>
                  <w:b w:val="false"/>
                  <w:color w:val="0000FF"/>
                  <w:sz w:val="18"/>
                  <w:u w:val="single"/>
                </w:rPr>
                <w:t>Item 7A. Quantitative and Qualitative Disclosures About Market Risk</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39">
              <w:r>
                <w:rPr>
                  <w:rStyle w:val="InternetLink"/>
                  <w:rFonts w:ascii="Times New Roman;sans-serif" w:hAnsi="Times New Roman;sans-serif"/>
                  <w:b w:val="false"/>
                  <w:color w:val="0000FF"/>
                  <w:sz w:val="18"/>
                  <w:u w:val="single"/>
                </w:rPr>
                <w:t>54</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57">
              <w:r>
                <w:rPr>
                  <w:rStyle w:val="InternetLink"/>
                  <w:rFonts w:ascii="Times New Roman;sans-serif" w:hAnsi="Times New Roman;sans-serif"/>
                  <w:b w:val="false"/>
                  <w:color w:val="0000FF"/>
                  <w:sz w:val="18"/>
                  <w:u w:val="single"/>
                </w:rPr>
                <w:t>Item 8. Financial Statements and Supplementary Data</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57">
              <w:r>
                <w:rPr>
                  <w:rStyle w:val="InternetLink"/>
                  <w:rFonts w:ascii="Times New Roman;sans-serif" w:hAnsi="Times New Roman;sans-serif"/>
                  <w:b w:val="false"/>
                  <w:color w:val="0000FF"/>
                  <w:sz w:val="18"/>
                  <w:u w:val="single"/>
                </w:rPr>
                <w:t>56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22">
              <w:r>
                <w:rPr>
                  <w:rStyle w:val="InternetLink"/>
                  <w:rFonts w:ascii="Times New Roman;sans-serif" w:hAnsi="Times New Roman;sans-serif"/>
                  <w:b w:val="false"/>
                  <w:color w:val="0000FF"/>
                  <w:sz w:val="18"/>
                  <w:u w:val="single"/>
                </w:rPr>
                <w:t>Item 9. Changes in and Disagreements with Accountants on Accounting and Financial Disclosure</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22">
              <w:r>
                <w:rPr>
                  <w:rStyle w:val="InternetLink"/>
                  <w:rFonts w:ascii="Times New Roman;sans-serif" w:hAnsi="Times New Roman;sans-serif"/>
                  <w:b w:val="false"/>
                  <w:color w:val="0000FF"/>
                  <w:sz w:val="18"/>
                  <w:u w:val="single"/>
                </w:rPr>
                <w:t>106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25">
              <w:r>
                <w:rPr>
                  <w:rStyle w:val="InternetLink"/>
                  <w:rFonts w:ascii="Times New Roman;sans-serif" w:hAnsi="Times New Roman;sans-serif"/>
                  <w:b w:val="false"/>
                  <w:color w:val="0000FF"/>
                  <w:sz w:val="18"/>
                  <w:u w:val="single"/>
                </w:rPr>
                <w:t>Item 9A. Controls and Procedures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25">
              <w:r>
                <w:rPr>
                  <w:rStyle w:val="InternetLink"/>
                  <w:rFonts w:ascii="Times New Roman;sans-serif" w:hAnsi="Times New Roman;sans-serif"/>
                  <w:b w:val="false"/>
                  <w:color w:val="0000FF"/>
                  <w:sz w:val="18"/>
                  <w:u w:val="single"/>
                </w:rPr>
                <w:t>106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28">
              <w:r>
                <w:rPr>
                  <w:rStyle w:val="InternetLink"/>
                  <w:rFonts w:ascii="Times New Roman;sans-serif" w:hAnsi="Times New Roman;sans-serif"/>
                  <w:b w:val="false"/>
                  <w:color w:val="0000FF"/>
                  <w:sz w:val="18"/>
                  <w:u w:val="single"/>
                </w:rPr>
                <w:t>Item 9B. Other Information</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28">
              <w:r>
                <w:rPr>
                  <w:rStyle w:val="InternetLink"/>
                  <w:rFonts w:ascii="Times New Roman;sans-serif" w:hAnsi="Times New Roman;sans-serif"/>
                  <w:b w:val="false"/>
                  <w:color w:val="0000FF"/>
                  <w:sz w:val="18"/>
                  <w:u w:val="single"/>
                </w:rPr>
                <w:t>106</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34">
              <w:r>
                <w:rPr>
                  <w:rStyle w:val="InternetLink"/>
                  <w:rFonts w:ascii="Times New Roman;sans-serif" w:hAnsi="Times New Roman;sans-serif"/>
                  <w:b w:val="false"/>
                  <w:color w:val="0000FF"/>
                  <w:sz w:val="18"/>
                  <w:u w:val="single"/>
                </w:rPr>
                <w:t>Item 9C. Disclosure Regarding Foreign Jurisdictions that Prevent Inspections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34">
              <w:r>
                <w:rPr>
                  <w:rStyle w:val="InternetLink"/>
                  <w:rFonts w:ascii="Times New Roman;sans-serif" w:hAnsi="Times New Roman;sans-serif"/>
                  <w:b w:val="false"/>
                  <w:color w:val="0000FF"/>
                  <w:sz w:val="18"/>
                  <w:u w:val="single"/>
                </w:rPr>
                <w:t>106</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III</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40">
              <w:r>
                <w:rPr>
                  <w:rStyle w:val="InternetLink"/>
                  <w:rFonts w:ascii="Times New Roman;sans-serif" w:hAnsi="Times New Roman;sans-serif"/>
                  <w:b w:val="false"/>
                  <w:color w:val="0000FF"/>
                  <w:sz w:val="18"/>
                  <w:u w:val="single"/>
                </w:rPr>
                <w:t>Item 10. Directors, Executive Officers and Corporate Governance</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40">
              <w:r>
                <w:rPr>
                  <w:rStyle w:val="InternetLink"/>
                  <w:rFonts w:ascii="Times New Roman;sans-serif" w:hAnsi="Times New Roman;sans-serif"/>
                  <w:b w:val="false"/>
                  <w:color w:val="0000FF"/>
                  <w:sz w:val="18"/>
                  <w:u w:val="single"/>
                </w:rPr>
                <w:t>107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43">
              <w:r>
                <w:rPr>
                  <w:rStyle w:val="InternetLink"/>
                  <w:rFonts w:ascii="Times New Roman;sans-serif" w:hAnsi="Times New Roman;sans-serif"/>
                  <w:b w:val="false"/>
                  <w:color w:val="0000FF"/>
                  <w:sz w:val="18"/>
                  <w:u w:val="single"/>
                </w:rPr>
                <w:t>Item 11. Executive Compensation</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43">
              <w:r>
                <w:rPr>
                  <w:rStyle w:val="InternetLink"/>
                  <w:rFonts w:ascii="Times New Roman;sans-serif" w:hAnsi="Times New Roman;sans-serif"/>
                  <w:b w:val="false"/>
                  <w:color w:val="0000FF"/>
                  <w:sz w:val="18"/>
                  <w:u w:val="single"/>
                </w:rPr>
                <w:t>107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46">
              <w:r>
                <w:rPr>
                  <w:rStyle w:val="InternetLink"/>
                  <w:rFonts w:ascii="Times New Roman;sans-serif" w:hAnsi="Times New Roman;sans-serif"/>
                  <w:b w:val="false"/>
                  <w:color w:val="0000FF"/>
                  <w:sz w:val="18"/>
                  <w:u w:val="single"/>
                </w:rPr>
                <w:t>Item 12. Security Ownership of Certain Beneficial Owners and Management and Related Stockholder Matters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46">
              <w:r>
                <w:rPr>
                  <w:rStyle w:val="InternetLink"/>
                  <w:rFonts w:ascii="Times New Roman;sans-serif" w:hAnsi="Times New Roman;sans-serif"/>
                  <w:b w:val="false"/>
                  <w:color w:val="0000FF"/>
                  <w:sz w:val="18"/>
                  <w:u w:val="single"/>
                </w:rPr>
                <w:t>107</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49">
              <w:r>
                <w:rPr>
                  <w:rStyle w:val="InternetLink"/>
                  <w:rFonts w:ascii="Times New Roman;sans-serif" w:hAnsi="Times New Roman;sans-serif"/>
                  <w:b w:val="false"/>
                  <w:color w:val="0000FF"/>
                  <w:sz w:val="18"/>
                  <w:u w:val="single"/>
                </w:rPr>
                <w:t>Item 13. Certain Relationships and Related Transactions, and Director Independence</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49">
              <w:r>
                <w:rPr>
                  <w:rStyle w:val="InternetLink"/>
                  <w:rFonts w:ascii="Times New Roman;sans-serif" w:hAnsi="Times New Roman;sans-serif"/>
                  <w:b w:val="false"/>
                  <w:color w:val="0000FF"/>
                  <w:sz w:val="18"/>
                  <w:u w:val="single"/>
                </w:rPr>
                <w:t>108</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52">
              <w:r>
                <w:rPr>
                  <w:rStyle w:val="InternetLink"/>
                  <w:rFonts w:ascii="Times New Roman;sans-serif" w:hAnsi="Times New Roman;sans-serif"/>
                  <w:b w:val="false"/>
                  <w:color w:val="0000FF"/>
                  <w:sz w:val="18"/>
                  <w:u w:val="single"/>
                </w:rPr>
                <w:t>Item 14. Principal Accounting Fees and Services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52">
              <w:r>
                <w:rPr>
                  <w:rStyle w:val="InternetLink"/>
                  <w:rFonts w:ascii="Times New Roman;sans-serif" w:hAnsi="Times New Roman;sans-serif"/>
                  <w:b w:val="false"/>
                  <w:color w:val="0000FF"/>
                  <w:sz w:val="18"/>
                  <w:u w:val="single"/>
                </w:rPr>
                <w:t>108</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PART IV</w:t>
            </w:r>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58">
              <w:r>
                <w:rPr>
                  <w:rStyle w:val="InternetLink"/>
                  <w:rFonts w:ascii="Times New Roman;sans-serif" w:hAnsi="Times New Roman;sans-serif"/>
                  <w:b w:val="false"/>
                  <w:color w:val="0000FF"/>
                  <w:sz w:val="18"/>
                  <w:u w:val="single"/>
                </w:rPr>
                <w:t>Item 15. Exhibits and Financial Statement Schedules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58">
              <w:r>
                <w:rPr>
                  <w:rStyle w:val="InternetLink"/>
                  <w:rFonts w:ascii="Times New Roman;sans-serif" w:hAnsi="Times New Roman;sans-serif"/>
                  <w:b w:val="false"/>
                  <w:color w:val="0000FF"/>
                  <w:sz w:val="18"/>
                  <w:u w:val="single"/>
                </w:rPr>
                <w:t>109</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61">
              <w:r>
                <w:rPr>
                  <w:rStyle w:val="InternetLink"/>
                  <w:rFonts w:ascii="Times New Roman;sans-serif" w:hAnsi="Times New Roman;sans-serif"/>
                  <w:b w:val="false"/>
                  <w:color w:val="0000FF"/>
                  <w:sz w:val="18"/>
                  <w:u w:val="single"/>
                </w:rPr>
                <w:t>Item 16. Form 10-K Summary</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61">
              <w:r>
                <w:rPr>
                  <w:rStyle w:val="InternetLink"/>
                  <w:rFonts w:ascii="Times New Roman;sans-serif" w:hAnsi="Times New Roman;sans-serif"/>
                  <w:b w:val="false"/>
                  <w:color w:val="0000FF"/>
                  <w:sz w:val="18"/>
                  <w:u w:val="single"/>
                </w:rPr>
                <w:t>112</w:t>
              </w:r>
            </w:hyperlink>
          </w:p>
        </w:tc>
      </w:tr>
      <w:tr>
        <w:trPr/>
        <w:tc>
          <w:tcPr>
            <w:tcW w:w="86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664">
              <w:r>
                <w:rPr>
                  <w:rStyle w:val="InternetLink"/>
                  <w:rFonts w:ascii="Times New Roman;sans-serif" w:hAnsi="Times New Roman;sans-serif"/>
                  <w:b w:val="false"/>
                  <w:color w:val="0000FF"/>
                  <w:sz w:val="18"/>
                  <w:u w:val="single"/>
                </w:rPr>
                <w:t>Signatures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664">
              <w:r>
                <w:rPr>
                  <w:rStyle w:val="InternetLink"/>
                  <w:rFonts w:ascii="Times New Roman;sans-serif" w:hAnsi="Times New Roman;sans-serif"/>
                  <w:b w:val="false"/>
                  <w:color w:val="0000FF"/>
                  <w:sz w:val="18"/>
                  <w:u w:val="single"/>
                </w:rPr>
                <w:t>113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and geopolitical conditions and their effects on consumer confidence and discretionary spending, consumer traffic, the cost and availability of credit and interest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impacts of our operations in Brazil as a minority investor and franchisor following our recent sale transaction on our future results;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(xi)Our ability to comply with corporate citizenship and sustainability reporting requirements and investor expectations or our failure to achieve any goals, targets or objectives that we establish with respect to corporate citizenship and sustainability matters;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(xii)Our ability to effectively respond to changes in patterns of consumer traffic, including by maintaining relationships with third-party delivery apps and services, consumer tastes and dietary habits;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 and</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color w:val="000000"/>
          <w:sz w:val="22"/>
        </w:rPr>
      </w:pPr>
      <w:bookmarkStart w:id="0" w:name="ibf6fcc9c6b1b416685765af4fb2a5f01_21"/>
      <w:bookmarkEnd w:id="0"/>
      <w:r>
        <w:rPr>
          <w:rFonts w:ascii="Times New Roman;sans-serif" w:hAnsi="Times New Roman;sans-serif"/>
          <w:b/>
          <w:color w:val="000000"/>
          <w:sz w:val="22"/>
        </w:rPr>
        <w:t>Item 1.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Bloomin’ Brands, Inc. (“Bloomin’ Brands,” the “Company,” “we,” “us,” and “our” and similar terms mean Bloomin’ Brands, Inc. and its subsidiaries except where the context otherwise requires) is one of the largest casual dining restaurant companies in the world, with a portfolio of leading, differentiated restaurant concepts. Our restaurant portfolio includes Outback Steakhouse, Carrabba’s Italian Grill, Bonefish Grill and Fleming’s Prime Steakhouse &amp; Wine Bar. Our restaurant concepts range in price point and degree of formality from casual (Outback Steakhouse and Carrabba’s Italian Grill) to polished casual (Bonefish Grill) and fine dining (Fleming’s Prime Steakhouse &amp; Wine Bar). OSI Restaurant Partners, LLC (“OSI”), a wholly-owned subsidiary of Bloomin’ Brands, is our primary operating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MARKETS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As of December 29, 2024, we owned and operated 1,172 restaurants and franchised 291 restaurants across 46 states, Guam and 12 countries. Subsequent to December 29, 2024, we completed the sale of the majority ownership of our Brazil operations, and all restaurants in that market are now operated as unconsolidated franchisees. See </w:t>
      </w:r>
      <w:r>
        <w:rPr>
          <w:rFonts w:ascii="Times New Roman;sans-serif" w:hAnsi="Times New Roman;sans-serif"/>
          <w:b w:val="false"/>
          <w:i/>
          <w:color w:val="000000"/>
          <w:sz w:val="22"/>
        </w:rPr>
        <w:t>International Franchise Segment</w:t>
      </w:r>
      <w:r>
        <w:rPr>
          <w:color w:val="000000"/>
        </w:rPr>
        <w:t xml:space="preserve"> </w:t>
      </w:r>
      <w:r>
        <w:rPr>
          <w:rFonts w:ascii="Times New Roman;sans-serif" w:hAnsi="Times New Roman;sans-serif"/>
          <w:b w:val="false"/>
          <w:color w:val="000000"/>
          <w:sz w:val="22"/>
        </w:rPr>
        <w:t xml:space="preserve">discussion below for details.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1" w:name="i58c350a7ee6f49b4a8fcc32c32d757e5_1368"/>
      <w:bookmarkEnd w:id="1"/>
      <w:r>
        <w:rPr>
          <w:rFonts w:ascii="Times New Roman;sans-serif" w:hAnsi="Times New Roman;sans-serif"/>
          <w:b/>
          <w:color w:val="000000"/>
          <w:sz w:val="22"/>
        </w:rPr>
        <w:t xml:space="preserve">Our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consider each of our U.S. restaurant concepts and international franchise markets in aggregate to be operating segments, which reflects how we manage our business, review operating performance and allocate resources. We aggregate our U.S. operating segments into the U.S. reportable segment. The U.S. segment includes all restaurants operating in the U.S. while franchised restaurants operating outside the U.S. are included in the international franchise segment. Following is a summary of reportable segments as of December 29, 2024:</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(2)See Item 2. </w:t>
      </w:r>
      <w:r>
        <w:rPr>
          <w:rFonts w:ascii="Times New Roman;sans-serif" w:hAnsi="Times New Roman;sans-serif"/>
          <w:b w:val="false"/>
          <w:i/>
          <w:color w:val="000000"/>
          <w:sz w:val="18"/>
        </w:rPr>
        <w:t>Properties</w:t>
      </w:r>
      <w:r>
        <w:rPr>
          <w:color w:val="000000"/>
        </w:rPr>
        <w:t xml:space="preserve"> </w:t>
      </w:r>
      <w:r>
        <w:rPr>
          <w:rFonts w:ascii="Times New Roman;sans-serif" w:hAnsi="Times New Roman;sans-serif"/>
          <w:b w:val="false"/>
          <w:color w:val="000000"/>
          <w:sz w:val="18"/>
        </w:rPr>
        <w:t xml:space="preserve">for disclosure of our restaurant count by country and territory. Subsequent to December 29, 2024, we completed the sale of the majority ownership of our Brazil operations. All restaurants in that market now operate as unconsolidated franchisees and Brazil is included in our franchise market count. See </w:t>
      </w:r>
      <w:r>
        <w:rPr>
          <w:rFonts w:ascii="Times New Roman;sans-serif" w:hAnsi="Times New Roman;sans-serif"/>
          <w:b w:val="false"/>
          <w:i/>
          <w:color w:val="000000"/>
          <w:sz w:val="18"/>
        </w:rPr>
        <w:t>International Franchise Segment</w:t>
      </w:r>
      <w:r>
        <w:rPr>
          <w:color w:val="000000"/>
        </w:rPr>
        <w:t xml:space="preserve"> </w:t>
      </w:r>
      <w:r>
        <w:rPr>
          <w:rFonts w:ascii="Times New Roman;sans-serif" w:hAnsi="Times New Roman;sans-serif"/>
          <w:b w:val="false"/>
          <w:color w:val="000000"/>
          <w:sz w:val="18"/>
        </w:rPr>
        <w:t xml:space="preserve">discussion below for details.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U.S.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in our U.S. segment, we owned and operated 970 restaurants and franchised 146 restaurants across 46 states.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Outback Steakhouse </w:t>
      </w:r>
      <w:r>
        <w:rPr>
          <w:rFonts w:ascii="Times New Roman;sans-serif" w:hAnsi="Times New Roman;sans-serif"/>
          <w:b w:val="false"/>
          <w:color w:val="000000"/>
          <w:sz w:val="22"/>
        </w:rPr>
        <w:t>- Outback Steakhouse is a casual steakhouse restaurant concept focused on steaks, bold flavors and Australian decor. The Outback Steakhouse menu offers seasoned and seared grilled steaks, chops, chicken, seafood, pasta, salads and seasonal specials. The menu also offers a selection of specialty appetizers, including our signature Bloomin’ Onion</w:t>
      </w:r>
      <w:r>
        <w:rPr>
          <w:rFonts w:ascii="Times New Roman;sans-serif" w:hAnsi="Times New Roman;sans-serif"/>
          <w:b w:val="false"/>
          <w:color w:val="000000"/>
          <w:sz w:val="14"/>
        </w:rPr>
        <w:t>®</w:t>
      </w:r>
      <w:r>
        <w:rPr>
          <w:rFonts w:ascii="Times New Roman;sans-serif" w:hAnsi="Times New Roman;sans-serif"/>
          <w:b w:val="false"/>
          <w:color w:val="000000"/>
          <w:sz w:val="22"/>
        </w:rPr>
        <w:t>, and desserts, together with full bar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Carrabba’s Italian Grill - </w:t>
      </w:r>
      <w:r>
        <w:rPr>
          <w:rFonts w:ascii="Times New Roman;sans-serif" w:hAnsi="Times New Roman;sans-serif"/>
          <w:b w:val="false"/>
          <w:color w:val="000000"/>
          <w:sz w:val="22"/>
        </w:rPr>
        <w:t>Offering authentic Italian cuisine passed down from its founders’ family recipes, Carrabba’s Italian Grill uses high-quality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i/>
          <w:color w:val="000000"/>
          <w:sz w:val="22"/>
        </w:rPr>
        <w:t xml:space="preserve">Bonefish Grill - </w:t>
      </w:r>
      <w:r>
        <w:rPr>
          <w:rFonts w:ascii="Times New Roman;sans-serif" w:hAnsi="Times New Roman;sans-serif"/>
          <w:b w:val="false"/>
          <w:color w:val="000000"/>
          <w:sz w:val="22"/>
        </w:rPr>
        <w:t>Bonefish Grill specializes in fish from around the world, hand-cut in-house every day, savory wood-grilled specialties, and locally created, seasonal Partner Selection dishes featuring high-quality and fresh ingredients. Offering a selection of classic and signature hand-crafted cocktails, using fresh juices, edible garnishes and house infusions, Bonefish Grill also features a distinct list of wines, the perfect match for any food pairing.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ans-serif" w:hAnsi="Times New Roman;sans-serif"/>
          <w:b w:val="false"/>
          <w:i/>
          <w:color w:val="000000"/>
          <w:sz w:val="22"/>
        </w:rPr>
        <w:t xml:space="preserve">Fleming’s Prime Steakhouse &amp; Wine Bar - </w:t>
      </w:r>
      <w:r>
        <w:rPr>
          <w:rFonts w:ascii="Times New Roman;sans-serif" w:hAnsi="Times New Roman;sans-serif"/>
          <w:b w:val="false"/>
          <w:color w:val="000000"/>
          <w:sz w:val="22"/>
        </w:rPr>
        <w:t>Fleming’s Prime Steakhouse &amp; Wine Bar is a contemporary interpretation of the classic American steakhouse, boasting culinary mastery, signature style and unrivaled attentive service to create memorable dining experiences for guests. Fleming’s Prime Steakhouse &amp; Wine Bar offers an impressive range of USDA Prime steaks, premium seafood entrées, storied wines and fresh hand-crafted cocktails.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International Franchise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22"/>
        </w:rPr>
        <w:t xml:space="preserve">As of December 29, 2024, our international franchise segment includes 145 franchised restaurants across 11 countries and Guam. See Item 2. </w:t>
      </w:r>
      <w:r>
        <w:rPr>
          <w:rFonts w:ascii="Times New Roman;sans-serif" w:hAnsi="Times New Roman;sans-serif"/>
          <w:b w:val="false"/>
          <w:i/>
          <w:color w:val="000000"/>
          <w:sz w:val="22"/>
        </w:rPr>
        <w:t xml:space="preserve">Properties </w:t>
      </w:r>
      <w:r>
        <w:rPr>
          <w:rFonts w:ascii="Times New Roman;sans-serif" w:hAnsi="Times New Roman;sans-serif"/>
          <w:b w:val="false"/>
          <w:color w:val="000000"/>
          <w:sz w:val="22"/>
        </w:rPr>
        <w:t>for disclosure of our international restaurant count by country and territory.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Outback Steakhouse </w:t>
      </w:r>
      <w:r>
        <w:rPr>
          <w:rFonts w:ascii="Times New Roman;sans-serif" w:hAnsi="Times New Roman;sans-serif"/>
          <w:b w:val="false"/>
          <w:color w:val="000000"/>
          <w:sz w:val="22"/>
        </w:rPr>
        <w:t>- Our international Outback Steakhouse restaurants have a menu similar to our U.S. menu with a focus on signature steaks, including the traditional Outback Special sirloin. There is additional menu item variety to meet local taste preferences.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Carrabba’s Italian Grill (Abbraccio Cucina Italiana) </w:t>
      </w:r>
      <w:r>
        <w:rPr>
          <w:rFonts w:ascii="Times New Roman;sans-serif" w:hAnsi="Times New Roman;sans-serif"/>
          <w:b w:val="false"/>
          <w:color w:val="000000"/>
          <w:sz w:val="22"/>
        </w:rPr>
        <w:t xml:space="preserve">- Abbraccio Cucina Italiana, our international Carrabba’s Italian Grill restaurant 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w:t>
      </w:r>
      <w:bookmarkStart w:id="2" w:name="i7a2e6f54c5c645c982f8378dbe900a51_456"/>
      <w:bookmarkEnd w:id="2"/>
      <w:r>
        <w:rPr>
          <w:rFonts w:ascii="Times New Roman;sans-serif" w:hAnsi="Times New Roman;sans-serif"/>
          <w:b w:val="false"/>
          <w:color w:val="000000"/>
          <w:sz w:val="22"/>
        </w:rPr>
        <w:t xml:space="preserve">Italian twist.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 w:name="ifb68ed3db438412e901af4025b6be51d_814"/>
      <w:bookmarkEnd w:id="3"/>
      <w:r>
        <w:rPr>
          <w:rFonts w:ascii="Times New Roman;sans-serif" w:hAnsi="Times New Roman;sans-serif"/>
          <w:b w:val="false"/>
          <w:color w:val="000000"/>
          <w:sz w:val="22"/>
        </w:rPr>
        <w:t xml:space="preserve">On December 30, 2024, we sold 67% of our Brazil operations (the “Brazil Sale Transaction”) and retained a 33% interest. As of November 30, 2024, there were 192 restaurants operating in Brazil. Following the sale, restaurants that were formerly Company-owned now operate as unconsolidated franchisees. See Note 3 - </w:t>
      </w:r>
      <w:r>
        <w:rPr>
          <w:rFonts w:ascii="Times New Roman;sans-serif" w:hAnsi="Times New Roman;sans-serif"/>
          <w:b w:val="false"/>
          <w:i/>
          <w:color w:val="000000"/>
          <w:sz w:val="22"/>
        </w:rPr>
        <w:t>Discontinued Operations</w:t>
      </w:r>
      <w:r>
        <w:rPr>
          <w:color w:val="000000"/>
        </w:rPr>
        <w:t xml:space="preserve"> </w:t>
      </w:r>
      <w:r>
        <w:rPr>
          <w:rFonts w:ascii="Times New Roman;sans-serif" w:hAnsi="Times New Roman;sans-serif"/>
          <w:b w:val="false"/>
          <w:color w:val="000000"/>
          <w:sz w:val="22"/>
        </w:rPr>
        <w:t>of the Notes to Consolidated Financial Statements for additional details regarding the sale.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Restaurant Development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utilize the ownership structure and market entry strategy that best fits the needs for a particular market, including Company-owned units and franchisees, as determined by demand, cost structure and economic conditions.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U.S. Development - </w:t>
      </w:r>
      <w:r>
        <w:rPr>
          <w:rFonts w:ascii="Times New Roman;sans-serif" w:hAnsi="Times New Roman;sans-serif"/>
          <w:b w:val="false"/>
          <w:color w:val="000000"/>
          <w:sz w:val="22"/>
        </w:rPr>
        <w:t xml:space="preserve">We opportunistically pursue unit growth across our concepts through existing geography fill-in and market expansion opportunities. In recent years, we began developing our U.S. Outback Steakhouse restaurants utilizing a smaller-scaled “Joey” design. The Joey was designed to increase return on investment through a reduced restaurant footprint with a more efficient layout. Our current Joey design consists of a freestanding building with approximately 5,000 square feet and seating for approximately 190 guests. We opened 14 Outback Steakhouse restaurants during 2024 and plan to open approximately 15 additional locations in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International Development - </w:t>
      </w:r>
      <w:r>
        <w:rPr>
          <w:rFonts w:ascii="Times New Roman;sans-serif" w:hAnsi="Times New Roman;sans-serif"/>
          <w:b w:val="false"/>
          <w:color w:val="000000"/>
          <w:sz w:val="22"/>
        </w:rPr>
        <w:t>We continue to pursue international expansion opportunities through our franchise partners, leveraging established franchised markets in South America, Asia and the Middle East, with a focus on Brazil, through our minority interest in these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Remodeling</w:t>
      </w:r>
      <w:r>
        <w:rPr>
          <w:color w:val="000000"/>
        </w:rPr>
        <w:t xml:space="preserve"> </w:t>
      </w:r>
      <w:r>
        <w:rPr>
          <w:rFonts w:ascii="Times New Roman;sans-serif" w:hAnsi="Times New Roman;sans-serif"/>
          <w:b w:val="false"/>
          <w:color w:val="000000"/>
          <w:sz w:val="22"/>
        </w:rPr>
        <w:t>- We regularly remodel restaurants across all of our concepts to maintain the relevance of our restaurants’ ambience, focused on driving additional traffic to our restaurants. We completed 65 restaurant remodels during 2024 and more than 100 restaurant remodels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i/>
          <w:color w:val="000000"/>
          <w:sz w:val="22"/>
        </w:rPr>
        <w:t xml:space="preserve">System-wide Restaurant Summary - </w:t>
      </w:r>
      <w:r>
        <w:rPr>
          <w:rFonts w:ascii="Times New Roman;sans-serif" w:hAnsi="Times New Roman;sans-serif"/>
          <w:b w:val="false"/>
          <w:color w:val="000000"/>
          <w:sz w:val="22"/>
        </w:rPr>
        <w:t>Following is a system-wide rollforward of our restaurants during 2024:</w:t>
      </w:r>
    </w:p>
    <w:tbl>
      <w:tblPr>
        <w:tblW w:w="10205" w:type="dxa"/>
        <w:jc w:val="left"/>
        <w:tblInd w:w="0" w:type="dxa"/>
        <w:tblLayout w:type="fixed"/>
        <w:tblCellMar>
          <w:top w:w="28" w:type="dxa"/>
          <w:left w:w="28" w:type="dxa"/>
          <w:bottom w:w="28" w:type="dxa"/>
          <w:right w:w="28" w:type="dxa"/>
        </w:tblCellMar>
      </w:tblPr>
      <w:tblGrid>
        <w:gridCol w:w="1034"/>
        <w:gridCol w:w="764"/>
        <w:gridCol w:w="768"/>
        <w:gridCol w:w="400"/>
        <w:gridCol w:w="400"/>
        <w:gridCol w:w="402"/>
        <w:gridCol w:w="109"/>
        <w:gridCol w:w="109"/>
        <w:gridCol w:w="109"/>
        <w:gridCol w:w="325"/>
        <w:gridCol w:w="325"/>
        <w:gridCol w:w="326"/>
        <w:gridCol w:w="109"/>
        <w:gridCol w:w="109"/>
        <w:gridCol w:w="109"/>
        <w:gridCol w:w="330"/>
        <w:gridCol w:w="330"/>
        <w:gridCol w:w="331"/>
        <w:gridCol w:w="109"/>
        <w:gridCol w:w="109"/>
        <w:gridCol w:w="109"/>
        <w:gridCol w:w="235"/>
        <w:gridCol w:w="235"/>
        <w:gridCol w:w="236"/>
        <w:gridCol w:w="109"/>
        <w:gridCol w:w="109"/>
        <w:gridCol w:w="109"/>
        <w:gridCol w:w="400"/>
        <w:gridCol w:w="400"/>
        <w:gridCol w:w="402"/>
        <w:gridCol w:w="109"/>
        <w:gridCol w:w="109"/>
        <w:gridCol w:w="109"/>
        <w:gridCol w:w="289"/>
        <w:gridCol w:w="261"/>
        <w:gridCol w:w="377"/>
      </w:tblGrid>
      <w:tr>
        <w:trPr/>
        <w:tc>
          <w:tcPr>
            <w:tcW w:w="103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STATE</w:t>
            </w:r>
          </w:p>
        </w:tc>
      </w:tr>
      <w:tr>
        <w:trPr/>
        <w:tc>
          <w:tcPr>
            <w:tcW w:w="2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w:t>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OPENINGS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CLOSURES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COUNT</w:t>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(1)</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 (1)</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total</w:t>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Company-owned</w:t>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Hong Kong/China</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 Company-owned</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(2)</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Brazil (2)</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2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40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4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(1)During 2024, we purchased one franchised Carrabba’s Italian Grill location which is now operated as Company-owned.</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(2)The restaurant counts for Brazil, including Abbraccio and Aussie Grill restaurants within International Company-owned Other - Brazil, are reported as of November 30, 2023 and 2024, respectively, to correspond with the balance sheet dates of this subsidiary. Following the close of the Brazil Sale Transaction on December 30, 2024, all restaurants in that market operate as unconsolidated franchisees. See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of the Notes to Consolidated Financial Statements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Competition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Further, improving product offerings and convenience options from quick-service and fast-casual restaurants, and the expansion of home delivery services, together with negative economic conditions, could cause consumers to choose less expensive alternatives than our restaurants. Internationally, we face competition due to the number of casual dining restaurant options in the markets in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REVENUE GENERATING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generate our revenues from our Company-owned restaurants and through sales of franchise rights and ongoing royalties and other fees from our franchised restaurants.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Company-owned Restaurants - </w:t>
      </w:r>
      <w:r>
        <w:rPr>
          <w:rFonts w:ascii="Times New Roman;sans-serif" w:hAnsi="Times New Roman;sans-serif"/>
          <w:b w:val="false"/>
          <w:color w:val="000000"/>
          <w:sz w:val="22"/>
        </w:rPr>
        <w:t xml:space="preserve">Company-owned restaurants are restaurants wholly-owned by us or in which we have a majority ownership. The results of operations of Company-owned restaurants are included in our consolidated operating results and the portion of income or loss attributable to the noncontrolling interests is eliminated in our Consolidated Statements of Operations and Comprehensive (Loss) 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sales by occasion, sales mix by product type and average check per person for Company-owned restaurants during 2024:</w:t>
      </w:r>
    </w:p>
    <w:tbl>
      <w:tblPr>
        <w:tblW w:w="9366" w:type="dxa"/>
        <w:jc w:val="left"/>
        <w:tblInd w:w="0" w:type="dxa"/>
        <w:tblLayout w:type="fixed"/>
        <w:tblCellMar>
          <w:top w:w="28" w:type="dxa"/>
          <w:left w:w="28" w:type="dxa"/>
          <w:bottom w:w="28" w:type="dxa"/>
          <w:right w:w="28" w:type="dxa"/>
        </w:tblCellMar>
      </w:tblPr>
      <w:tblGrid>
        <w:gridCol w:w="938"/>
        <w:gridCol w:w="822"/>
        <w:gridCol w:w="835"/>
        <w:gridCol w:w="229"/>
        <w:gridCol w:w="387"/>
        <w:gridCol w:w="300"/>
        <w:gridCol w:w="109"/>
        <w:gridCol w:w="109"/>
        <w:gridCol w:w="109"/>
        <w:gridCol w:w="243"/>
        <w:gridCol w:w="411"/>
        <w:gridCol w:w="320"/>
        <w:gridCol w:w="109"/>
        <w:gridCol w:w="109"/>
        <w:gridCol w:w="109"/>
        <w:gridCol w:w="278"/>
        <w:gridCol w:w="469"/>
        <w:gridCol w:w="363"/>
        <w:gridCol w:w="109"/>
        <w:gridCol w:w="109"/>
        <w:gridCol w:w="109"/>
        <w:gridCol w:w="322"/>
        <w:gridCol w:w="693"/>
        <w:gridCol w:w="424"/>
        <w:gridCol w:w="109"/>
        <w:gridCol w:w="109"/>
        <w:gridCol w:w="109"/>
        <w:gridCol w:w="316"/>
        <w:gridCol w:w="370"/>
        <w:gridCol w:w="338"/>
      </w:tblGrid>
      <w:tr>
        <w:trPr/>
        <w:tc>
          <w:tcPr>
            <w:tcW w:w="93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Occasion:</w:t>
            </w:r>
          </w:p>
        </w:tc>
        <w:tc>
          <w:tcPr>
            <w:tcW w:w="9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Outback</w:t>
              <w:br/>
              <w:t>Steakhouse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Carrabba’s</w:t>
              <w:br/>
              <w:t>Italian Grill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Bonefish Grill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Fleming’s </w:t>
              <w:br/>
              <w:t xml:space="preserve">Prime Steakhouse </w:t>
              <w:br/>
              <w:t>&amp; Wine Bar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Outback</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Steakhouse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Brazil</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In-restaurant sales</w:t>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4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Off-premises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Sales mix by product type:</w:t>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&amp; non-alcoholic beverage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Alcoholic beverage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(USD$)</w:t>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4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(R$)</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 w:name="i169a7fb3d23247c1ae042e7f6a61bf04_2457"/>
      <w:bookmarkEnd w:id="4"/>
      <w:r>
        <w:rPr>
          <w:rFonts w:ascii="Times New Roman;sans-serif" w:hAnsi="Times New Roman;sans-serif"/>
          <w:b w:val="false"/>
          <w:i/>
          <w:color w:val="000000"/>
          <w:sz w:val="22"/>
        </w:rPr>
        <w:t>Unaffiliated Franchise Program</w:t>
      </w:r>
      <w:r>
        <w:rPr>
          <w:color w:val="000000"/>
        </w:rPr>
        <w:t xml:space="preserve"> </w:t>
      </w:r>
      <w:r>
        <w:rPr>
          <w:rFonts w:ascii="Times New Roman;sans-serif" w:hAnsi="Times New Roman;sans-serif"/>
          <w:b w:val="false"/>
          <w:color w:val="000000"/>
          <w:sz w:val="22"/>
        </w:rPr>
        <w:t xml:space="preserve">- Our unaffiliated franchise agreements grant third parties the right to establish and operate a restaurant using one of our concepts. Franchised restaurants are required to be operated in accordance with the franchise agreement and in compliance with their respective concept’s standards and specifications.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our franchise agreements, each franchisee is required to pay an initial franchise fee and monthly royalties based on a percentage of gross restaurant sales. Initial franchise fees for full-service restaurants are generally $40,000 for U.S. franchisees and range between $30,000 and $75,000 for international franchisees, depending on the market. Some franchisees may also pay advertising and administration fees based on a percentage of gross restaurant sales. Following is a summary of royalty fee percentages based on our existing unaffiliated franchise agreements:</w:t>
      </w:r>
    </w:p>
    <w:tbl>
      <w:tblPr>
        <w:tblW w:w="6233" w:type="dxa"/>
        <w:jc w:val="left"/>
        <w:tblInd w:w="0" w:type="dxa"/>
        <w:tblLayout w:type="fixed"/>
        <w:tblCellMar>
          <w:top w:w="28" w:type="dxa"/>
          <w:left w:w="28" w:type="dxa"/>
          <w:bottom w:w="28" w:type="dxa"/>
          <w:right w:w="28" w:type="dxa"/>
        </w:tblCellMar>
      </w:tblPr>
      <w:tblGrid>
        <w:gridCol w:w="934"/>
        <w:gridCol w:w="820"/>
        <w:gridCol w:w="826"/>
        <w:gridCol w:w="1129"/>
        <w:gridCol w:w="1129"/>
        <w:gridCol w:w="1132"/>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 a % of gross Restaurant sales)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MONTHLY ROYALTY FEE PERCENTAGE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franchisees (1)</w:t>
            </w:r>
          </w:p>
        </w:tc>
        <w:tc>
          <w:tcPr>
            <w:tcW w:w="339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 - 5.75%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franchisees (2)</w:t>
            </w:r>
          </w:p>
        </w:tc>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2.75% - 5.00%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3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(1)U.S. franchisees must also contribute a percentage of gross sales for national marketing programs and spend a certain percentage of gross sales on local advertising.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(2)International franchisees must spend a certain percentage of gross sales on local advertising, which varies depending on the market.</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December 31, 2023, we entered into an Amended &amp; Restated Holistic Agreement (the “2023 Resolution Agreement”) with Cerca Trova Southwest Restaurant Group, LLC (d/b/a Out West Restaurant Group) and certain of its affiliates (collectively, “Out West”), a franchisee of 75 Outback Steakhouse restaurants in the western United States. Under the terms of the 2023 Resolution Agreement, advertising fees are reduced to 2.25% of gross sales until December 27, 2026 or upon the earlier occurrence of certain specified events, including the sale of all or substantially all of the assets or equity of Out West, bankruptcy or a liquidation event.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76" w:before="0" w:after="0"/>
        <w:jc w:val="both"/>
        <w:rPr>
          <w:rFonts w:ascii="Times New Roman;sans-serif" w:hAnsi="Times New Roman;sans-serif"/>
          <w:b w:val="false"/>
          <w:color w:val="000000"/>
          <w:sz w:val="22"/>
        </w:rPr>
      </w:pPr>
      <w:bookmarkStart w:id="5" w:name="i169a7fb3d23247c1ae042e7f6a61bf04_2459"/>
      <w:bookmarkEnd w:id="5"/>
      <w:r>
        <w:rPr>
          <w:rFonts w:ascii="Times New Roman;sans-serif" w:hAnsi="Times New Roman;sans-serif"/>
          <w:b w:val="false"/>
          <w:color w:val="000000"/>
          <w:sz w:val="22"/>
        </w:rPr>
        <w:t xml:space="preserve">In connection with the closing of the Brazil Sale Transaction on December 30, 2024, we entered into amended and restated franchise agreements with all existing restaurants in Brazil for 20-year terms. Royalty rates, initial franchise fees, and local advertising spend requirements are consistent with the lower end of our other international franchise royalty range. The Brazil franchise agreements also include a development fee for each new restaurant and a fee upon renewal of the franchise agreement after the initial 20-year term. Initial franchise fees were not charged for restaurants operating in Brazil at the time of the closing.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Sourcing and Supply - </w:t>
      </w:r>
      <w:r>
        <w:rPr>
          <w:rFonts w:ascii="Times New Roman;sans-serif" w:hAnsi="Times New Roman;sans-serif"/>
          <w:b w:val="false"/>
          <w:color w:val="000000"/>
          <w:sz w:val="22"/>
        </w:rPr>
        <w:t xml:space="preserve">Our supply chain management organization is responsible for all food and operating supply purchases as well as a large percentage of purchases of field and corporate services. We address the end-to-end costs associated with the products and goods we purchase by utilizing a combination of global, regional and local suppliers to capture efficiencies and economies of scale. This “total cost of ownership” approach focuses on the initial purchase price, coupled with the cost structure underlying the procurement and order fulfillment process. We also regularly monitor commodity markets and trends to execute product purchases at the most advantageous times.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and our franchisees have distribution programs that includes food, non-alcoholic beverage, smallwares and packaging goods. Where applicable, these programs may be managed by custom distribution companies that only provide products approved for our system. These customized relationships enable our staff to effectively manage and prioritize our supply chain needs.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Beef represents the majority of purchased proteins in the U.S. In 2024, our U.S. restaurants purchased beef raw materials primarily from four beef suppliers. Due to the nature of our industry, we expect to continue purchasing a substantial amount of beef from a small number of suppliers. Other major commodity categories purchased include seafood, pork, poultry, produce, dairy, bread, oils and pasta and energy sources to operate our restaurants, such as natural gas and electricity. The cost of such commodities may fluctuate widely due to government policy and regulation, changing weather patterns and conditions, climate change and other supply and/or demand impacting events such as pandemics, macroeconomic conditions, geopolitical events or other unforeseen circumstances.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Serving safe and high-quality food has always been our priority. We utilize both an internal food safety team responsible for supplier evaluations and external third parties who inspect supplier adherence and restaurant practices to monitor quality, food safety and product specifications. All of our restaurants implement best practices for food handling, monitoring and innovating to improve procedures. Our restaurant teams have many touch points to ensure food safety, quality and freshness through all phases of preparation.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committed to building long-term partnerships with suppliers who are dedicated to delivering safe, high-quality ingredients in a sustainable way. All suppliers are required to comply with our Supplier Code of Ethics and we strive to source only products that are raised in a sustainable, ethical and humane manner.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Information Systems</w:t>
      </w:r>
      <w:r>
        <w:rPr>
          <w:color w:val="000000"/>
        </w:rPr>
        <w:t xml:space="preserve"> </w:t>
      </w:r>
      <w:r>
        <w:rPr>
          <w:rFonts w:ascii="Times New Roman;sans-serif" w:hAnsi="Times New Roman;sans-serif"/>
          <w:b w:val="false"/>
          <w:color w:val="000000"/>
          <w:sz w:val="22"/>
        </w:rPr>
        <w:t xml:space="preserve">- We leverage technology to support areas such as digital marketing and customer engagement, business analytics and decision support, restaurant operations and productivity initiatives related to optimizing our staffing, food waste management and supply chain efficiency.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drive customer engagement, we continue to invest in data and technology infrastructure, including brand websites, digital marketing, online ordering, pay at the table technology and mobile apps. To increase customer convenience, we leverage our online ordering infrastructure to facilitate off-premises dining systems. Additionally, we maintain systems to support our customer loyalty program with a focus on increasing traffic to our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integrated point-of-sale system allows us to transact business in our U.S. restaurants and communicate sales data through a secure corporate network to our enterprise resource planning system and data warehouse. Our Company-owned restaurants, and most of our franchised restaurants, are connected through a portal that provides our employees and franchise partners with access to business information and tools that allow them to collaborate, communicate, train and share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color w:val="000000"/>
          <w:sz w:val="22"/>
        </w:rPr>
        <w:t xml:space="preserve">We maintain a system to ensure network security and safeguard against data loss. See Item 1C. </w:t>
      </w:r>
      <w:r>
        <w:rPr>
          <w:rFonts w:ascii="Times New Roman;sans-serif" w:hAnsi="Times New Roman;sans-serif"/>
          <w:b w:val="false"/>
          <w:i/>
          <w:color w:val="000000"/>
          <w:sz w:val="22"/>
        </w:rPr>
        <w:t>Cybersecurity</w:t>
      </w:r>
      <w:r>
        <w:rPr>
          <w:color w:val="000000"/>
        </w:rPr>
        <w:t xml:space="preserve"> </w:t>
      </w:r>
      <w:r>
        <w:rPr>
          <w:rFonts w:ascii="Times New Roman;sans-serif" w:hAnsi="Times New Roman;sans-serif"/>
          <w:b w:val="false"/>
          <w:color w:val="000000"/>
          <w:sz w:val="22"/>
        </w:rPr>
        <w:t xml:space="preserve">and Item 1A. </w:t>
      </w:r>
      <w:r>
        <w:rPr>
          <w:rFonts w:ascii="Times New Roman;sans-serif" w:hAnsi="Times New Roman;sans-serif"/>
          <w:b w:val="false"/>
          <w:i/>
          <w:color w:val="000000"/>
          <w:sz w:val="22"/>
        </w:rPr>
        <w:t xml:space="preserve">Risk Factors </w:t>
      </w:r>
      <w:r>
        <w:rPr>
          <w:rFonts w:ascii="Times New Roman;sans-serif" w:hAnsi="Times New Roman;sans-serif"/>
          <w:b w:val="false"/>
          <w:color w:val="000000"/>
          <w:sz w:val="22"/>
        </w:rPr>
        <w:t>for additional discussion of our cybersecurity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Advertising and Marketing</w:t>
      </w:r>
      <w:r>
        <w:rPr>
          <w:color w:val="000000"/>
        </w:rPr>
        <w:t xml:space="preserve"> </w:t>
      </w:r>
      <w:r>
        <w:rPr>
          <w:rFonts w:ascii="Times New Roman;sans-serif" w:hAnsi="Times New Roman;sans-serif"/>
          <w:b w:val="false"/>
          <w:color w:val="000000"/>
          <w:sz w:val="22"/>
        </w:rPr>
        <w:t xml:space="preserve">- We advertise through a diverse set of media channels including, but not limited to, national/spot television, radio, social media, search engines and other digital tactics. Our concepts have active public relations programs and also rely on national promotions, site visibility, local marketing, customer relationship management initiatives, direct mail, billboards and point-of-sale materials to promote our restaurants. We focus on data segmentation and personalization, customer relationship management and digital advertising to be more efficient and relevant with our advertising expenditures. Additionally, our larger international markets have teams that engage local agencies to tailor advertising to each market and develop relevant and timely promotions based on local consumer demand.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2023, Outback Steakhouse brought back our “No Rules, Just Right” campaign that highlights great food, top-quality dining experiences and the spirit of Australia. “No Rules, Just Right” is more than a marketing platform, it is a philosophy that puts the guest experience at the center of every decision made within Outback Steakhouse.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U.S. loyalty program, Dine Rewards, is designed to drive incremental traffic and provide data for customer segmentation and personalization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Management - </w:t>
      </w:r>
      <w:r>
        <w:rPr>
          <w:rFonts w:ascii="Times New Roman;sans-serif" w:hAnsi="Times New Roman;sans-serif"/>
          <w:b w:val="false"/>
          <w:color w:val="000000"/>
          <w:sz w:val="22"/>
        </w:rPr>
        <w:t>The Restaurant Managing Partner has primary responsibility for the day-to-day operation of the restaurant and is required to follow Company-established operating standards. Area Operating Partners for our casual dining concepts oversee restaurant operations and Restaurant Managing Partners within a specific region. For our Outback Steakhouse and Carrabba’s Italian Grill brands, Market Vice Presidents oversee multiple Area Operating Partner regions.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base salary, Restaurant Managing Partners and Chef Partners (“Restaurant Partners”), Area Operating Partners, and Market Vice Presidents generally receive performance-based bonuses for providing management and supervisory services to their restaurants, certain of which may be based on a percentage of their restaurants’ monthly operating results or cash flows and/or total controllable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Trademarks</w:t>
      </w:r>
      <w:r>
        <w:rPr>
          <w:color w:val="000000"/>
        </w:rPr>
        <w:t xml:space="preserve"> </w:t>
      </w:r>
      <w:r>
        <w:rPr>
          <w:rFonts w:ascii="Times New Roman;sans-serif" w:hAnsi="Times New Roman;sans-serif"/>
          <w:b w:val="false"/>
          <w:color w:val="000000"/>
          <w:sz w:val="22"/>
        </w:rPr>
        <w:t>- We regard our Outback</w:t>
      </w:r>
      <w:r>
        <w:rPr>
          <w:rFonts w:ascii="Times New Roman;sans-serif" w:hAnsi="Times New Roman;sans-serif"/>
          <w:b w:val="false"/>
          <w:color w:val="000000"/>
          <w:sz w:val="14"/>
        </w:rPr>
        <w:t>®</w:t>
      </w:r>
      <w:r>
        <w:rPr>
          <w:rFonts w:ascii="Times New Roman;sans-serif" w:hAnsi="Times New Roman;sans-serif"/>
          <w:b w:val="false"/>
          <w:color w:val="000000"/>
          <w:sz w:val="22"/>
        </w:rPr>
        <w:t>, Outback Steakhouse</w:t>
      </w:r>
      <w:r>
        <w:rPr>
          <w:rFonts w:ascii="Times New Roman;sans-serif" w:hAnsi="Times New Roman;sans-serif"/>
          <w:b w:val="false"/>
          <w:color w:val="000000"/>
          <w:sz w:val="14"/>
        </w:rPr>
        <w:t>®</w:t>
      </w:r>
      <w:r>
        <w:rPr>
          <w:rFonts w:ascii="Times New Roman;sans-serif" w:hAnsi="Times New Roman;sans-serif"/>
          <w:b w:val="false"/>
          <w:color w:val="000000"/>
          <w:sz w:val="22"/>
        </w:rPr>
        <w:t>, Carrabba’s Italian Grill</w:t>
      </w:r>
      <w:r>
        <w:rPr>
          <w:rFonts w:ascii="Times New Roman;sans-serif" w:hAnsi="Times New Roman;sans-serif"/>
          <w:b w:val="false"/>
          <w:color w:val="000000"/>
          <w:sz w:val="14"/>
        </w:rPr>
        <w:t>®</w:t>
      </w:r>
      <w:r>
        <w:rPr>
          <w:rFonts w:ascii="Times New Roman;sans-serif" w:hAnsi="Times New Roman;sans-serif"/>
          <w:b w:val="false"/>
          <w:color w:val="000000"/>
          <w:sz w:val="22"/>
        </w:rPr>
        <w:t>, Bonefish Grill</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and Fleming’s Prime Steakhouse &amp; Wine Bar</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service marks and our Bloomin’ Onion</w:t>
      </w:r>
      <w:r>
        <w:rPr>
          <w:rFonts w:ascii="Times New Roman;sans-serif" w:hAnsi="Times New Roman;sans-serif"/>
          <w:b w:val="false"/>
          <w:color w:val="000000"/>
          <w:sz w:val="14"/>
        </w:rPr>
        <w:t>®</w:t>
      </w:r>
      <w:r>
        <w:rPr>
          <w:color w:val="000000"/>
        </w:rPr>
        <w:t xml:space="preserve"> </w:t>
      </w:r>
      <w:r>
        <w:rPr>
          <w:rFonts w:ascii="Times New Roman;sans-serif" w:hAnsi="Times New Roman;sans-serif"/>
          <w:b w:val="false"/>
          <w:color w:val="000000"/>
          <w:sz w:val="22"/>
        </w:rPr>
        <w:t>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 adversely affect us. Our policy is to, whenever possible, pursue registration of our marks in countries where we operate and to vigorously oppose any infringement of our marks. We also have registered domain names for each of our concepts.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SEASONALITY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with Brazil historically experiencing minimal seasonal traffic fluctuations. Holidays may affect sales volumes seasonally in some of our markets. Severe storms, extended periods of inclement weather or climate change may affect the seasonal operating results of the areas impacted.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GOVERNMENT REGULATION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and environmental and fire agencies in the state, municipality or country in which the restaurant is located. </w:t>
      </w:r>
    </w:p>
    <w:p>
      <w:pPr>
        <w:pStyle w:val="TextBody"/>
        <w:bidi w:val="0"/>
        <w:spacing w:before="0" w:after="0"/>
        <w:ind w:left="0" w:right="0" w:firstLine="90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U.S. </w:t>
      </w:r>
      <w:r>
        <w:rPr>
          <w:rFonts w:ascii="Times New Roman;sans-serif" w:hAnsi="Times New Roman;sans-serif"/>
          <w:b w:val="false"/>
          <w:color w:val="000000"/>
          <w:sz w:val="22"/>
        </w:rPr>
        <w:t>- Alcoholic beverage sales represent 11% of our U.S. restaurant sales. Alcoholic beverage control regulations require each of our restaurants to apply to a state authority and, in certain locations, county or municipal authorities for a license or permit to sell alcoholic beverages on the premises and, where applicable, a permit to provide service for extended hours, for carry-out or delivery and on Sundays. We also offer alcohol to-go from certain locations from each of our restaurant concepts.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restaurant operations are also subject to federal, state and local laws and regulations for such matters 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immigration, employment, minimum wage, overtime, tip credits, paid and unpaid leave, safety standards, worker conditions and health care;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menu labeling and food safety;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the Americans with Disabilities Act, which, among other things, requires our restaurants to meet federally mandated requirements for the disabled;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information security, data privacy, anti-corruption/anti-bribery, cashless payments and gift cards.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International - </w:t>
      </w:r>
      <w:r>
        <w:rPr>
          <w:rFonts w:ascii="Times New Roman;sans-serif" w:hAnsi="Times New Roman;sans-serif"/>
          <w:b w:val="false"/>
          <w:color w:val="000000"/>
          <w:sz w:val="22"/>
        </w:rPr>
        <w:t>Our restaurants outside the U.S. are subject to similar regional and local laws and regulations as our U.S. restaurants, including labor, food safety, data privacy, anti-corruption/anti-bribery and information security.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Item 1A. -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for discussion of risks relating to federal, state, local and international regulation of our business.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HUMAN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Employees</w:t>
      </w:r>
      <w:r>
        <w:rPr>
          <w:color w:val="000000"/>
        </w:rPr>
        <w:t xml:space="preserve"> </w:t>
      </w:r>
      <w:r>
        <w:rPr>
          <w:rFonts w:ascii="Times New Roman;sans-serif" w:hAnsi="Times New Roman;sans-serif"/>
          <w:b w:val="false"/>
          <w:color w:val="000000"/>
          <w:sz w:val="22"/>
        </w:rPr>
        <w:t>- As of December 29, 2024, we employed approximately 81,000 Team Members, of which approximately 800 are Restaurant Support Center (“RSC”) employees. This total includes approximately 14,000 Team Members in Brazil, of which approximately 250 are Brazil RSC employees. We track several workforce statistics to help us understand the gender, racial and ethnic diversity of our U.S. Team Members, including the following as of the period indicated:</w:t>
      </w:r>
    </w:p>
    <w:tbl>
      <w:tblPr>
        <w:tblW w:w="6415" w:type="dxa"/>
        <w:jc w:val="left"/>
        <w:tblInd w:w="0" w:type="dxa"/>
        <w:tblLayout w:type="fixed"/>
        <w:tblCellMar>
          <w:top w:w="28" w:type="dxa"/>
          <w:left w:w="28" w:type="dxa"/>
          <w:bottom w:w="28" w:type="dxa"/>
          <w:right w:w="28" w:type="dxa"/>
        </w:tblCellMar>
      </w:tblPr>
      <w:tblGrid>
        <w:gridCol w:w="722"/>
        <w:gridCol w:w="634"/>
        <w:gridCol w:w="638"/>
        <w:gridCol w:w="109"/>
        <w:gridCol w:w="109"/>
        <w:gridCol w:w="109"/>
        <w:gridCol w:w="260"/>
        <w:gridCol w:w="260"/>
        <w:gridCol w:w="261"/>
        <w:gridCol w:w="244"/>
        <w:gridCol w:w="244"/>
        <w:gridCol w:w="244"/>
        <w:gridCol w:w="244"/>
        <w:gridCol w:w="109"/>
        <w:gridCol w:w="654"/>
        <w:gridCol w:w="654"/>
        <w:gridCol w:w="657"/>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2337" w:type="dxa"/>
            <w:gridSpan w:val="6"/>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KEY STATISTICS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WOMEN</w:t>
            </w:r>
          </w:p>
        </w:tc>
        <w:tc>
          <w:tcPr>
            <w:tcW w:w="7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PEOPLE OF COLOR (1)</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Support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Operations Leadership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Hourly Team Members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(1)Denotes U.S. Team Members that identify as Black/African American, Hispanic/Latinx, Asian, Native American, Pacific Islander or two or more races.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restaurant managers, Chef Partners, Restaurant Managing Partners, Area Operating Partners, Regional Vice Presidents and Market Vice Presidents.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gender, racial and ethnic diversity, our U.S Team Members are also diverse in age, comprised of five generations: Traditionalists, Baby Boomers, Generation X, Millennials and Generation Z.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Celebrating Our People</w:t>
      </w:r>
      <w:r>
        <w:rPr>
          <w:color w:val="000000"/>
        </w:rPr>
        <w:t xml:space="preserve"> – </w:t>
      </w:r>
      <w:r>
        <w:rPr>
          <w:rFonts w:ascii="Times New Roman;sans-serif" w:hAnsi="Times New Roman;sans-serif"/>
          <w:b w:val="false"/>
          <w:color w:val="000000"/>
          <w:sz w:val="22"/>
        </w:rPr>
        <w:t>Team Members, guests, suppliers and communities have always been at the heart of our Company’s culture, driven each day by our founding Principles &amp; Beliefs.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use surveys to seek feedback from our Team Members on a variety of topics that include, but are not limited to, confidence in leadership, our company culture and overall satisfaction with the Company. We utilize a comprehensive total rewards survey, the insights from which we are using to define our Value of Employment strategy. Annual strategic talent reviews and succession planning for executive-level roles, senior management and key restaurant leadership positions help ensure consistency in management talent quality. In 2024, approximately 91% of promotions to our Manager in Training program and to Restaurant Managing Partner were internal.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regularly monitor and evaluate turnover and attrition metrics. During 2024, our turnover rates for U.S. hourly restaurant Team Members and U.S. restaurant management were 84% and 20%,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provides clear direction for behavioral expectations. We provide annual training to our Restaurant Partners, Area Operating Partners, Market Vice Presidents and RSC Team Members on our Code of Conduct, Preventing Discrimination and Harassment and Anti-Bribery and Anti-Corruption. All field-level employees are also provided Preventing Discrimination and Harassment training. In addition, we maintain an Ethics and Compliance Hotline (the “Hotline”), which includes a phone number and an online form where our Team Members can report any workplace concerns, with the option to report anonymously. The Hotline is accessible via several languages, 24 hours a day, seven days a week. We also developed an informational poster for our U.S. restaurants, in English and Spanish, which provides the phone number, the web address for the reporting form and a QR code to make it easy for our Team Members to report concerns.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aim to cultivate a welcoming, safe and inclusive environment that celebrates diverse backgrounds. We deliver on this by ensuring Team Members are trained, understand their role in inclusivity and are held accountable in making our restaurants a place where everyone is valued for who they are and what they bring to the table.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support words with actions by engaging with organizations dedicated to cultivating more diverse and inclusive communities. Additionally, employee-led resource groups have been instrumental in providing support, a sense of community and both personal and professional development for our Team Members.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Workplace Safety - </w:t>
      </w:r>
      <w:r>
        <w:rPr>
          <w:rFonts w:ascii="Times New Roman;sans-serif" w:hAnsi="Times New Roman;sans-serif"/>
          <w:b w:val="false"/>
          <w:color w:val="000000"/>
          <w:sz w:val="22"/>
        </w:rPr>
        <w:t>Employee health and safety in the workplace is important to our Company. We believe that all employees, regardless of job role or title, have a shared responsibility in the promotion of health and safety in the workplace. We are committed to providing and following safety laws and rules, including internal policies and procedures. This commitment means carrying out company activities in ways that preserve and promote a clean, safe and healthy environment.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Total Rewards</w:t>
      </w:r>
      <w:r>
        <w:rPr>
          <w:color w:val="000000"/>
        </w:rPr>
        <w:t xml:space="preserve"> </w:t>
      </w:r>
      <w:r>
        <w:rPr>
          <w:rFonts w:ascii="Times New Roman;sans-serif" w:hAnsi="Times New Roman;sans-serif"/>
          <w:b w:val="false"/>
          <w:color w:val="000000"/>
          <w:sz w:val="22"/>
        </w:rPr>
        <w:t>- Our philosophy is to motivate and retain our Team Members by offering comprehensive total rewards packages. To align Team Member objectives with our Company and ultimately our stockholders, Bloomin’ Brands offers programs that reward long-term performance. Additionally, we offer a well-rounded benefit package that includes the following, along with other benefits: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Comprehensive health insurance coverage for Team Members working an average of 30 or more hours each week. This program includes wellness programs intended to proactively support healthcare and access to a health savings account that is eligible for employer contributions and is fully portable.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An employee assistance program provided at no cost to all Team Members and their family members which includes virtual therapy sessions, free counseling and tools and resources in order to improve mental health and the well-being of our Team Members.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All salaried Team Members are eligible to participate in company sponsored retirement plans with access to financial wellness resources. Eligible Team Members participating in the 401(k) receive matching contributions.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Employee discounts when dining at any one of our brands.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All levels of the organization, including hourly Team Members that meet certain service criteria, can qualify for paid time off for the purpose of rest, relaxation and planned time away from the workplace.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i/>
          <w:color w:val="000000"/>
          <w:sz w:val="22"/>
        </w:rPr>
        <w:t>Employee Support</w:t>
      </w:r>
      <w:r>
        <w:rPr>
          <w:color w:val="000000"/>
        </w:rPr>
        <w:t xml:space="preserve"> </w:t>
      </w:r>
      <w:r>
        <w:rPr>
          <w:rFonts w:ascii="Times New Roman;sans-serif" w:hAnsi="Times New Roman;sans-serif"/>
          <w:b w:val="false"/>
          <w:i/>
          <w:color w:val="000000"/>
          <w:sz w:val="22"/>
        </w:rPr>
        <w:t xml:space="preserve">and Community Engagement </w:t>
      </w:r>
      <w:r>
        <w:rPr>
          <w:rFonts w:ascii="Times New Roman;sans-serif" w:hAnsi="Times New Roman;sans-serif"/>
          <w:b w:val="false"/>
          <w:color w:val="000000"/>
          <w:sz w:val="22"/>
        </w:rPr>
        <w:t>- Our commitment to our Team Members does not stop with competitive salaries, development and benefits. In 1999, we created a trust (the “Trust”) to support our Team Members in times of personal hardship. All contributions to the Trust are voluntary, employee-funded and are not solicited from suppliers, customers or friends. Due to the incredible generosity and caring nature of our Team Members, the Trust is able to make meaningful monetary support to our Team Members who experience very difficult, often unexpected and catastrophic issues, in their lives. Since 2017, the Trust has paid approximately $2.5 million in response to over 1,900 applications from Team Members who applied for support, including Team Members impacted by hurricanes and other natural disasters.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embrace the communities we serve, from feeding first responders to supporting non-profit organizations, especially in the Tampa Bay area of Florida, home to our U.S. RSC. We are inspired by the generosity of our Team Members and encourage them to give back to their communities. To facilitate this community engagement, field Team Members volunteer within their communities and U.S. RSC Team Members participate in an annual Community Service Day. In 2024, its 16th year, Team Members volunteered over 700 hours of service at 16 non-profit organizations in the Tampa Bay area.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strive to be good stewards of our communities and environment by engaging with organizations dedicated to supporting strong communities and sustainable environmental practices, including:</w:t>
      </w:r>
    </w:p>
    <w:p>
      <w:pPr>
        <w:pStyle w:val="TextBody"/>
        <w:bidi w:val="0"/>
        <w:spacing w:before="0" w:after="0"/>
        <w:jc w:val="both"/>
        <w:rPr/>
      </w:pPr>
      <w:r>
        <w:rPr/>
      </w:r>
    </w:p>
    <w:tbl>
      <w:tblPr>
        <w:tblW w:w="7384" w:type="dxa"/>
        <w:jc w:val="left"/>
        <w:tblInd w:w="0" w:type="dxa"/>
        <w:tblLayout w:type="fixed"/>
        <w:tblCellMar>
          <w:top w:w="28" w:type="dxa"/>
          <w:left w:w="28" w:type="dxa"/>
          <w:bottom w:w="28" w:type="dxa"/>
          <w:right w:w="28" w:type="dxa"/>
        </w:tblCellMar>
      </w:tblPr>
      <w:tblGrid>
        <w:gridCol w:w="124"/>
        <w:gridCol w:w="109"/>
        <w:gridCol w:w="1028"/>
        <w:gridCol w:w="1028"/>
        <w:gridCol w:w="1034"/>
        <w:gridCol w:w="109"/>
        <w:gridCol w:w="109"/>
        <w:gridCol w:w="109"/>
        <w:gridCol w:w="1093"/>
        <w:gridCol w:w="1093"/>
        <w:gridCol w:w="15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Big Brothers, Big Sisters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U.S. Roundtable for Sustainable Beef</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Boys &amp; Girls Clubs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Clean Energy Buyers Association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Feeding America (Tampa Bay)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Animal Agriculture Alliance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Meals on Wheels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both"/>
              <w:rPr/>
            </w:pPr>
            <w:r>
              <w:rPr>
                <w:color w:val="000000"/>
              </w:rPr>
              <w:t>•</w:t>
            </w:r>
            <w:r>
              <w:rPr>
                <w:rFonts w:ascii="Times New Roman;sans-serif" w:hAnsi="Times New Roman;sans-serif"/>
                <w:b w:val="false"/>
                <w:color w:val="000000"/>
                <w:sz w:val="22"/>
              </w:rPr>
              <w:t>Habitat for Humanity</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during 2022 we implemented an annual matching gift and volunteer grant program for eligible 501(c)(3) non-profit organizations and provided a limited dollar-for-dollar match or grant for full-time U.S. RSC Team Members who made a personal charitable donation or volunteered for a minimum of ten hours during non-working hours.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i/>
          <w:color w:val="000000"/>
          <w:sz w:val="22"/>
        </w:rPr>
        <w:t>Information About Our Executive Officers</w:t>
      </w:r>
      <w:r>
        <w:rPr>
          <w:color w:val="000000"/>
        </w:rPr>
        <w:t xml:space="preserve"> </w:t>
      </w:r>
      <w:r>
        <w:rPr>
          <w:rFonts w:ascii="Times New Roman;sans-serif" w:hAnsi="Times New Roman;sans-serif"/>
          <w:b w:val="false"/>
          <w:color w:val="000000"/>
          <w:sz w:val="22"/>
        </w:rPr>
        <w:t>- Below is a list of the names, ages, positions and a brief description of the business experience of each of our executive officers as of February 21, 2025:</w:t>
      </w:r>
    </w:p>
    <w:tbl>
      <w:tblPr>
        <w:tblW w:w="10205" w:type="dxa"/>
        <w:jc w:val="left"/>
        <w:tblInd w:w="0" w:type="dxa"/>
        <w:tblLayout w:type="fixed"/>
        <w:tblCellMar>
          <w:top w:w="28" w:type="dxa"/>
          <w:left w:w="28" w:type="dxa"/>
          <w:bottom w:w="28" w:type="dxa"/>
          <w:right w:w="28" w:type="dxa"/>
        </w:tblCellMar>
      </w:tblPr>
      <w:tblGrid>
        <w:gridCol w:w="369"/>
        <w:gridCol w:w="258"/>
        <w:gridCol w:w="262"/>
        <w:gridCol w:w="109"/>
        <w:gridCol w:w="109"/>
        <w:gridCol w:w="109"/>
        <w:gridCol w:w="155"/>
        <w:gridCol w:w="155"/>
        <w:gridCol w:w="156"/>
        <w:gridCol w:w="109"/>
        <w:gridCol w:w="109"/>
        <w:gridCol w:w="109"/>
        <w:gridCol w:w="2398"/>
        <w:gridCol w:w="2398"/>
        <w:gridCol w:w="3400"/>
      </w:tblGrid>
      <w:tr>
        <w:trPr/>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bookmarkStart w:id="6" w:name="i566fa8e1f11c4b46b1218f321e7e0798_0-0-1-"/>
            <w:bookmarkEnd w:id="6"/>
            <w:r>
              <w:rPr>
                <w:rFonts w:ascii="Times New Roman;sans-serif" w:hAnsi="Times New Roman;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TITLE AND RECENT BUSINESS EXPERIENCE</w:t>
            </w:r>
          </w:p>
        </w:tc>
      </w:tr>
      <w:tr>
        <w:trPr/>
        <w:tc>
          <w:tcPr>
            <w:tcW w:w="88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Spanos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Chief Executive Officer and member of the Board of Directors since September 2024. Executive Vice President and Chief Operating Officer at Delta Airlines from June 2023 to August 2024. Owner of Mike Spanos Associates, a business consulting firm, from January 2022 to May 2023. President and Chief Executive Officer at Six Flags Entertainment Corporation from November 2019 to November 2021. More than 25 years at PepsiCo, Inc. in various roles including Chief Executive Officer of Asia, Middle East and North Africa, from October 2017 to November 2019.</w:t>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 Michael Healy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Executive Vice President, Global Business Development since April 2024. Executive Vice President, Global Business Development and Strategy from November 2023 to April 2024. Senior Vice President, President of Bonefish Grill from November 2021 to November 2023. Senior Vice President, Field Operations and Innovation from April 2021 to November 2021. Senior Vice President, Global Supply Chain Officer from February 2019 to April 2021. Group Vice President, Finance for Outback Steakhouse from May 2015 to February 2019.</w:t>
            </w:r>
          </w:p>
        </w:tc>
      </w:tr>
      <w:tr>
        <w:trPr/>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Lissette Gonzalez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Commercial Officer since February 2025. Executive Vice President, Chief Supply Chain and Operations Excellence Officer from October 2023 to February 2025. Senior Vice President, Global Supply Chain Officer from April 2021 to October 2023. Vice President, Global Supply Planning and Forecasting from April 2019 to April 2021. Vice President, Supply Planning and Forecasting from September 2014 to April 2019.</w:t>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 Graff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President of Bonefish Grill and Fine Dining since November 2023. Senior Vice President, Development from April 2023 to November 2023. Senior Vice President, Development, Financial Planning &amp; Analysis and Investor Relations from May 2021 to April 2023. Group Vice President, Corporate Finance and Investor Relations from February 2019 to May 2021. Vice President, Corporate Finance and Investor Relations from February 2016 to February 2019. Treasurer from February 2019 to November 2020.</w:t>
            </w:r>
          </w:p>
        </w:tc>
      </w:tr>
      <w:tr>
        <w:trPr/>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 Hafner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Executive Vice President, Outback Steakhouse since January 2025. President of Carrabba’s Italian Grill from May 2022 to January 2025. Vice President of Operations, Carrabba’s Italian Grill from March 2018 to May 2022. </w:t>
            </w:r>
          </w:p>
        </w:tc>
      </w:tr>
      <w:tr>
        <w:trPr/>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Kelly Lefferts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Executive Vice President, Chief Legal Officer and Secretary since July 2019. Group Vice President and U.S. General Counsel from September 2015 to July 2019. Vice President and Assistant General Counsel from January 2008 to September 2015. Ms. Lefferts has also served as Secretary since February 2016.</w:t>
            </w:r>
          </w:p>
        </w:tc>
      </w:tr>
      <w:tr>
        <w:trPr/>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Philip 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18"/>
              </w:rPr>
              <w:t>Senior Vice President, Chief Accounting Officer since July 2022.</w:t>
            </w:r>
            <w:r>
              <w:rPr>
                <w:color w:val="000000"/>
              </w:rPr>
              <w:t xml:space="preserve"> </w:t>
            </w:r>
            <w:r>
              <w:rPr>
                <w:rFonts w:ascii="Times New Roman;sans-serif" w:hAnsi="Times New Roman;sans-serif"/>
                <w:b w:val="false"/>
                <w:color w:val="000000"/>
                <w:sz w:val="18"/>
              </w:rPr>
              <w:t xml:space="preserve">Group Vice President and Controller from October 2015 to July 2022. Vice President, Corporate Controller from July 2013 to October 2015. </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Additional Information</w:t>
      </w:r>
      <w:r>
        <w:rPr>
          <w:color w:val="000000"/>
        </w:rPr>
        <w:t xml:space="preserve"> </w:t>
      </w:r>
      <w:r>
        <w:rPr>
          <w:rFonts w:ascii="Times New Roman;sans-serif" w:hAnsi="Times New Roman;sans-serif"/>
          <w:b w:val="false"/>
          <w:color w:val="000000"/>
          <w:sz w:val="22"/>
        </w:rPr>
        <w:t xml:space="preserve">- We make available, free of charge, through our internet website www.bloominbrands.com, our Annual Report on 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website addresses in this Report does not constitute incorporation by reference of the information contained on the websites and should not be </w:t>
      </w:r>
      <w:bookmarkStart w:id="7" w:name="i99c3886aba3645d6b71f13dd9f84cb04_685"/>
      <w:bookmarkEnd w:id="7"/>
      <w:r>
        <w:rPr>
          <w:rFonts w:ascii="Times New Roman;sans-serif" w:hAnsi="Times New Roman;sans-serif"/>
          <w:b w:val="false"/>
          <w:color w:val="000000"/>
          <w:sz w:val="22"/>
        </w:rPr>
        <w:t>considered part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color w:val="000000"/>
          <w:sz w:val="22"/>
        </w:rPr>
      </w:pPr>
      <w:bookmarkStart w:id="8" w:name="iaec0cbcf9bad4c15b1f0d44b7afc7203_684"/>
      <w:bookmarkEnd w:id="8"/>
      <w:r>
        <w:rPr>
          <w:rFonts w:ascii="Times New Roman;sans-serif" w:hAnsi="Times New Roman;sans-serif"/>
          <w:b/>
          <w:color w:val="000000"/>
          <w:sz w:val="22"/>
        </w:rPr>
        <w:t xml:space="preserve">Item 1A.    Risk Factors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the Restaurant Industry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Food safety and food-borne illness concerns in our restaurants or throughout the industry or supply chain may have an adverse effect on our business by reducing demand and increasing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and this risk may be exacerbated by supply chain issues, which could delay deliveries and necessitate alternative sourcing on short notice.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There is also the risk of allergen cross contamination in our restaurants despite precautionary measures to minimize the risk. Social media has dramatically increased the rate at which negative publicity, including as it relates to food-borne illnesses, can be disseminated before there is any meaningful opportunity to respond or address an issue. The occurrence of food-borne illnesses or food safety issues could also adversely affect the price and availability of affected ingredients, resulting in higher costs and lower margins.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The restaurant industry is highly competitive and consumer options for other prepared food offerings continue to expand. Our inability to compete effectively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substantial number of restaurant operators compete directly and indirectly with us with respect to price, service, location and food quality, some of which are well-established with significant resources. There is also active competition for management, team members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or artificial intelligence to develop new customer insights. Further, we face growing competition from quick service and fast-casual restaurants, the supermarket industry and meal kit and food delivery providers, with the improvement of prepared food offerings. and the trend towards convergence in grocery, deli, delivery, retail and restaurant services. Further, if this competitive environment and the breadth of alternatives results in a decline in casual dining customer traffic, it could make our financial operations dependent on our ability to increase our market share within the hyper-competitive casual dining segment.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Failure to </w:t>
      </w:r>
      <w:bookmarkStart w:id="9" w:name="ia5bcb60d781746bcaab2fe8c1f9a58db_4031"/>
      <w:bookmarkEnd w:id="9"/>
      <w:r>
        <w:rPr>
          <w:rFonts w:ascii="Times New Roman;sans-serif" w:hAnsi="Times New Roman;sans-serif"/>
          <w:b/>
          <w:i/>
          <w:color w:val="000000"/>
          <w:sz w:val="22"/>
        </w:rPr>
        <w:t>recruit, train and retain high-quality leadership, restaurant-level management and hourly team members may inhibit our ability to operate and grow successfully.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success will continue to depend, to a significant extent, on our leadership team and other key management personnel. For example, during 2024, we appointed a new chief executive officer and chief financial officer and made other changes to our senior leadership team. While these changes were reflective of ongoing succession-planning, leadership transition can create risks as individuals are integrated into new roles, onboarding shifts management attention from business concerns, we may fail to retain other key personnel, or we may lose institutional knowledge. These risks and uncertainties could result in operational and administrative inefficiencies and additional added costs, which could adversely impact our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Further, the tight labor market in the United States has further strained and could continue to strain our ability to keep our restaurants fully staffed. If we are unable to attract and retain sufficiently experienced and capable management personnel, our business and financial results may suffer.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high-quality guest service. There is active competition for quality management personnel and hourly team members, and such competition could require us to pay higher wages or incur higher costs for retaining and incentivizing our management personnel and hourly team members. If we experience high turnover, we may experience higher labor costs and have a shortage of adequate management personnel required for future growth. A shortage of team members also could cause our restaurants to operate with reduced staff, which could adversely affect our ability to provide high-quality guest service.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The food service industry is affected by consumer preferences and perceptions. Changes in these preferences and perceptions may lessen the demand for our products, which would reduce sales and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nutritional guidelines and academic studies, whether issued by government agencies, research institutions, or advocacy organizations, may impact consumer choice and cause consumers to select foods other than those that are offered by our restaurants. Consumer preference on sourcing, or in response to environmental and animal welfare concerns may also cause some groups of consumers to select foods other than those that are offered by our restaurants. Our business may be negatively impacted by customer preferences regarding third-party delivery apps and services with which we engage, particularly if the availability, performance and reliability of the apps or services adversely impact customer satisfaction. If we are unable to anticipate or successfully respond to changes in consumer preferences, our results of operations could be adversely affected, generally or in particular concepts or markets.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If our suppliers or distributors are unable to fulfill their obligations under their contracts or we are unable to develop or maintain relationships with these or new suppliers or distributors, if needed, we could encounter supply shortages and incur higher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depend on frequent deliveries of fresh food products that meet our specifications, and we have a limited number of suppliers and distributors for our major products, such as beef. These factors subject us to the risk that shortages or interruptions in products could adversely affect the availability, quality or cost of products or require us to incur more costs to obtain adequate products if we are unable to manage supply chain risk. During 2024, we purchased more than 90% of our U.S. beef raw materials from four beef suppliers that represent a significant portion of the total beef marketplace in the U.S. Our dependence on a small number of suppliers subjects us to the risks of ingredient shortage, supply interruption, animal disease outbreak, and price volatility. An external disruption or an internal dispute could force us to sever ties with our suppliers, and we may not be able to find a suitable replacement in a timely or cost-efficient manner. Beef is a significant cost to us, and we may also incur higher costs to secure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adequate suppliers or make substantial changes to our menu offerings, at the risk of material adverse harm to our business. Due to the nature of our industry, we expect to continue to purchase a substantial amount of our beef from a small number of suppliers. Global economic factors continue to place significant pressure on suppliers, making the supply environment more expensive and causing supply chain issues. Supply shortages or disruptions caused by inclement weather, climate change, natural disasters, pandemics, armed conflict, sanctions, financial or solvency issues of our suppliers or distributors, fuel increases or other conditions beyond our control could adversely affect our operations and operating results. In recent years, climate-related issues, including drought and flooding in our key supplier region, have led to volatility in the prices of our ingredients, such as produce and meats. In addition, if any of our suppliers or distributors were unable to fulfill their responsibilities or we were unable to maintain current purchasing terms or ensure service availability and we were unable to locate substitutes in a timely manner,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inability or failure to recognize, respond to and effectively manage the accelerated impact of social media could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 material adverse effect on our business. Regardless of its basis or validity, any unfavorable publicity could adversely affect public perception of our brands.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Government Regulation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We are subject to various</w:t>
      </w:r>
      <w:bookmarkStart w:id="10" w:name="i88994f2e6d9b4488984202a331d54d13_3335"/>
      <w:bookmarkEnd w:id="10"/>
      <w:r>
        <w:rPr>
          <w:rFonts w:ascii="Times New Roman;sans-serif" w:hAnsi="Times New Roman;sans-serif"/>
          <w:b/>
          <w:i/>
          <w:color w:val="000000"/>
          <w:sz w:val="22"/>
        </w:rPr>
        <w:t xml:space="preserve"> federal and state employment and labor laws and regulations.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and our vendors are subject to various employment and labor laws and regulations governing relationships with employees throughout the world and changes to laws and regulations may affect operating costs. These laws and regulations relate to matters including employment discrimination, pay transparency, minimum wage requirements, scheduling, overtime, tip credits, unemployment tax rates, workers’ compensation rates, working conditions, immigration status, tax reporting and other wage and benefit requirements. Any significant additional government regulations and new laws governing relationships with employees, including minimum wage increases, regulations relating to union organizing rights and activities, the employment status of third-party delivery drivers, mandated benefits or other requirements that impose additional obligations on us, could increase our costs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there have been in the past, and may be in the future, legislative efforts to significantly increase the federal minimum wage, which, if implemented, would materially increase our labor and other costs. Our distributors and suppliers could also be affected by higher minimum wage, benefit standards and compliance costs, which could result in higher costs for goods and services supplied to us. In addition, several U.S. jurisdictions have implemented fair workweek or “secure scheduling” legislation, which impose complex requirements related to scheduling for certain restaurant and retail employees, and additional jurisdictions are considering similar legislation. Several jurisdictions also have implemented sick pay/paid time off legislation, which requires employers to provide paid time off to employees, and “just cause” termination legislation, which restricts companies’ abilities to terminate employees unless they can prove “just cause” or a “bona fide economic reason” for the termination. Further, </w:t>
      </w:r>
      <w:bookmarkStart w:id="11" w:name="i88994f2e6d9b4488984202a331d54d13_3337"/>
      <w:bookmarkEnd w:id="11"/>
      <w:r>
        <w:rPr>
          <w:rFonts w:ascii="Times New Roman;sans-serif" w:hAnsi="Times New Roman;sans-serif"/>
          <w:b w:val="false"/>
          <w:color w:val="000000"/>
          <w:sz w:val="22"/>
        </w:rPr>
        <w:t xml:space="preserve">class action lawsuits filed pursuant to federal and state wage and hour laws may create additional material costs. We also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w:t>
      </w:r>
      <w:bookmarkStart w:id="12" w:name="i88994f2e6d9b4488984202a331d54d13_3336"/>
      <w:bookmarkEnd w:id="12"/>
      <w:r>
        <w:rPr>
          <w:rFonts w:ascii="Times New Roman;sans-serif" w:hAnsi="Times New Roman;sans-serif"/>
          <w:b w:val="false"/>
          <w:color w:val="000000"/>
          <w:sz w:val="22"/>
        </w:rPr>
        <w:t xml:space="preserve">financial condition.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failure to comply with government regulation related to our restaurant operations, and the costs of compliance or non-compliance,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sanitation, hazardous material, building, zoning, land use, traffic,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franchisees. Failure to comply with these laws could adversely affect the results we generate from franchisees or otherwise impose costs on us. Alcoholic beverage sales represent ten percent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of and challenges in ensuring compliance with measures implemented in response to a widespread illness or a pandemic, such as requirements for physical barriers or other preventative measures in restaurants or vaccination or testing requirements for our employees, which can vary by the location of the restaurant and may continue to change. We are subject to laws relating to information security, cashless payments and consumer credit, protection and fraud.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Future laws, regulations, standards and other obligations, as well as changes in the interpretation of existing laws, regulations, standards and other obligations could impair our ability to operate our business, such as through increased compliance costs and procedures and distraction of management from other operational and strategic matters. For example, in June 2024 in Loper Bright Enterprises v. Raimondo (Loper), the Supreme Court’s holding that courts need not defer to a governmental agency’s interpretation of an ambiguous statute that it administers may result in increased challenges and changes to existing agency regulations.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Trump administration and newly elected Congress and appointed agency chairs may seek sweeping regulatory changes. Further, the Trump administration has taken several executive actions and issued a number of executive orders in connection with, among other areas, energy production, trade, immigration and administrative agencies. The effects of these executive actions and executive orders, as well as any tandem regulatory changes pursued by the Trump administration and its appointees, are highly uncertain and may adversely impact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Compliance with these laws and regulations and monitoring and addressing changes can be costly, and any failure or perceived failure to comply with these laws or any breach of our systems could harm our reputation or lead to litigation, which could adversely affect our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Changes in tax laws, uncertainty in the judicial interpretation of those laws and unanticipated tax liabilities could adversely affect the taxes we pay and our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an “ownership change” as defined under Section 382 of the Internal Revenue Code, changes in U.S. or foreign tax laws, including the 15% global minimum tax under the Organization for Economic Co-operation and Development (“OECD”) Pillar Two (“Pillar Two”), Global Anti-Base Erosion rules, uncertainty in the interpretation of tax laws, comprehensive tax reform measures or other legislative changes, particularly as a result of the recent U.S. elections, and the outcome of income tax audits and tax litigation, such as in Brazil. Further, differences in interpretations of Pillar Two and other rules by multiple jurisdictions may cause increased complexities as to compliance and increased audit controversy with tax authorities in jurisdictions where we operate. Although we believe our tax estimates are reasonable, the final determination of tax audits and tax litigation could be materially different from our historical income tax provisions and accruals. These results could have a material effect on our results of operations or cash flows in the period or periods for which these determinations are made. In addition, our effective income tax rate and our results may be impacted by our ability to realize deferred tax benefits, including our FICA tip credit carryforwards, and by any increases or decreases of our valuation allowances applied to our existing deferred tax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If we fail to adequately address corporate citizenship and sustainability matters, it could have an adverse effect on our business, financial condition, and operating results and may damage our reputation.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recent years, there has been an increasing focus from certain investors, customers, consumers, employees, state, federal and international governments and agencies, and other stakeholders concerning corporate citizenship and sustainability matters, including practices and disclosures related to environmental stewardship; social responsibility; diversity, equity and inclusion; and workplace rights. Companies across all industries are facing increasing scrutiny relating to their corporate citizenship and sustainability practices, including from opponents of these initiatives. We are also subject to corporate citizenship and sustainability disclosure rules and regulations and institutional investor voting policies that seek this information, making it more accessible for scrutiny. Changing consumer preferences may result in increased demands regarding our products and supply chain and their respective environmental and social impact, including on sustainability. These demands could require additional transparency, due diligence, and reporting and could cause us to incur additional costs or to make changes to our operations to comply with such demands. We may also determine that certain changes are required in anticipation of further evolution of consumer preferences and demands. Increased focus and activism related to corporate citizenship and sustainability may also result in investors reconsidering their investment decisions as a result of their assessment of a company’s corporate citizenship and sustainability practices. In addition, corporate diversity, equity and inclusion practices have recently come under increasing challenges from advocacy groups and federal and state officials through media campaigns, lawsuits and executive orders. Any failure or perceived failure by us to adequately address stakeholder expectations and legal requirements regarding corporate citizenship, including diversity, equity and inclusion, employee health, safety and welfare, and workplace rights, among others, may damage our reputation and adversely affect our business and results of operations. Further, concern over climate change and other environmental sustainability matters, has and may in the future result in new or increased legal and federal and state regulatory requirements to provide extensive disclosure regarding and to reduce or mitigate impacts to the environment, including greenhouse gas emissions, alternative energy policies, water consumption, packaging and waste management, responsible sourcing and other sustainability initiatives. For example, state, federal and international regulations on sustainability matters, including the recently enacted Climate Corporate Data Accountability Act and the Climate-Related Financial Risk Act in California, have been or may be implemented that will require reporting and third-party assurance on greenhouse gas emissions and other environmental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we fail to achieve goals, targets, or objectives we may set with respect to corporate citizenship and sustainability matters, if we do not meet or comply with new regulations or evolving consumer, investor, industry, or stakeholder expectations and standards, including those related to reporting, or if we are perceived to have not responded appropriately to the growing concern for corporate citizenship and sustainability matters, we may face legal or regulatory actions, the imposition of fines, penalties, or other sanctions, adverse publicity, and decreased demand from consumers, or the price of our common stock could decline, any of which could materially harm our reputation or have a material adverse effect on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Inflation and Macroeconomic Disruption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Challenging economic, political and social conditions may have a negative effect on our business and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Challenging economic, political and social conditions may negatively impact consumer spending and thus cause a challenging sales environment in the casual dining sector and a decline in our financial results. For example, international, domestic and regional economic conditions, continued economic downturn or recession, or slowing or stalled recovery therefrom, unemployment levels, consumer income levels, financial market volatility, credit conditions and availability, consumer debt levels, inflation, increased energy prices, weakness in the housing market, stock market performance, rising interests rates, tariffs and trade barriers, pandemics or public health concerns, population growth, changes in government and central bank monetary policies, social unrest and governmental, political and budget matters may have a negative effect on consumer confidence and discretionary spending, which the restaurant industry depends upon. Further, it is difficult to predict what impact, if any, the U.S. presidential and congressional election outcomes could have on consumer confidence and discretionary spending. The effects of international trade conflicts between the U.S. and its global trade partners including, without limitation, China, Mexico and Canada, may have an adverse impact on economic conditions, commodity pricing and consumer spending. In addition, the effects on the global economy from the ongoing conflicts in Israel and Ukraine, particularly if they escalate or broaden, are uncertain. Terrorist attacks, heightened security requirements, attacks of critical infrastructure, protests, demonstrations, riots, civil disturbance, disobedience, insurrection, customer intimidation, mass shootings or social and other political unrest, such as those seen in recent years,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it is difficult to predict what impact, if any, changes in federal policy, including tax, economic and monetary policies, will have on our industry, the economy as a whole, consumer confidence and discretionary spending. As a result, the nature, timing and impact on our business of potential changes to the current legal and regulatory frameworks are uncertain.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 economic conditions may force nearby businesses to shut down, which could cause our restaurant locations to be less attractive.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 xml:space="preserve">Increased commodity, energy and other costs could decrease our profit margins or cause us to limit or otherwise modify our menus or increase prices, which could adversely affect our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performance of our restaurants depends on our ability to anticipate and react to changes in the price and availability of food commodities. Our business also incurs significant costs for energy, utilities, insurance, health care, labor, marketing and real estate over which we have little control. We have experienced and continue to experience the impact of inflation and fluctuations in costs on our operating expenses and anticipate the inflationary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conditions will continue in the near future. We are anticipating 2.5% to 3.5% commodity inflation for 2025, but there can be no assurance that our expectations will be accurate or that we will be able to efficiently pass through any increased costs in our prices. Increased prices or shortages could affect the cost and quality of the items we buy or require us to raise prices, limit our menu options or implement alternative processes or products. In response, customers may be less willing to patronize our restaurants in favor of our competitors or lower-priced alternatives. Prices may also be affected by supply, market changes, increased competition, changes in laws, shortages or interruptions in supply due to weather, disease or other conditions beyond our control, labor shortages, port disruptions and freight carrier stoppages, or other reasons. As a result, these events, individually or combined with other more general economic and demographic conditions, could impact our pricing and negatively affect our sales and profit margins.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Information Technology, Privacy and Intellectual Property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bookmarkStart w:id="13" w:name="if55f36bba66640349ad2d09a099423a9_5651"/>
      <w:bookmarkEnd w:id="13"/>
      <w:r>
        <w:rPr>
          <w:rFonts w:ascii="Times New Roman;sans-serif" w:hAnsi="Times New Roman;sans-serif"/>
          <w:b/>
          <w:i/>
          <w:color w:val="000000"/>
          <w:sz w:val="22"/>
        </w:rPr>
        <w:t>Cybersecurity breaches of confidential consumer, personal employee and other material information and other threats to our technological systems may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majority of our restaurant sales are by credit or debit cards, and we maintain certain personal information regarding our employees and confidential information about our customers, franchisees and suppliers. Although we segment our card data environment and employ a cybersecurity protection program based upon industry frameworks, as well as scan and improve our environment for any threats and identify and remediate vulnerabilities, perform penetration testing and engage third parties to assess effectiveness of our security measures with oversight by our Audit Committee, there are no assurances that such programs will prevent or detect all cybersecurity breaches or technological failures.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operations and corporate functions rely heavily on information systems, including point-of-sale processing in our restaurants, management of our supply chain, payment of obligations, collection of cash, data warehousing to support analytics, finance and accounting systems, payroll and human resource systems, mobile technologies to enhance the customer experience and other various processes and procedures, some of which are handled by third parties. We have implemented a</w:t>
      </w:r>
      <w:bookmarkStart w:id="14" w:name="if55f36bba66640349ad2d09a099423a9_5653"/>
      <w:bookmarkEnd w:id="14"/>
      <w:r>
        <w:rPr>
          <w:rFonts w:ascii="Times New Roman;sans-serif" w:hAnsi="Times New Roman;sans-serif"/>
          <w:b w:val="false"/>
          <w:color w:val="000000"/>
          <w:sz w:val="22"/>
        </w:rPr>
        <w:t xml:space="preserve"> risk management program designed to identify and mitigate risks related to utilizing third-party vendors. The program also includes documenting audit and compliance reports to prevent these third-party vendors from negatively impacting our business operations.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remain vulnerable to damage, disability or failures due to physical theft, fire, power loss, telecommunications failure or other catastrophic events, as well as from internal and external security breaches, employee error or malfeasance, denial of service, hacking, “phishing” attacks, social engineering, malware, ransomware, viruses, worms and other attacks or disruptive problems, which have increased in sophistication, frequency and duration in recent years. In addition, the rapid evolution and increased adoption of artificial intelligence technologies increases our cybersecurity risks, including generative artificial intelligence augmenting threat actors’ technological sophistication to enhance existing or to create new malware. We have been, and will continue to be, the target of cyber and other security threats and incidents, including those common to most industries and those targeting us due to the confidential consumer information we obtain through our electronic processing of credit and debit card transactions. Like other restaurants and retailers, we are also susceptible to claims for purportedly fraudulent transactions arising out of actual or alleged theft of credit or debit card information. A security breach or even a perceived security breach or failure to appropriately respond to a cyber incident could result in litigation or governmental investigation, as well as damage to our reputation and brands.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claim or investigation resulting from a cyber or other security threat to our systems and data may have a material adverse effect on our business and distract management from running the business. Responses to cybersecurity incidents also have the potential of incurring significant remediation costs, to the extent such costs are not covered by our applicable insurance policies. As cybersecurity risks and applicable laws and regulations evolve, we may incur significant additional costs in technology, third-party services and personnel to maintain systems designed to anticipate and prevent cyber-attacks.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subject to a variety of continuously evolving laws and regulations regarding privacy, data protection and data security at federal, state and international levels. The California Consumer Privacy Act, for example, became effective January 1, 2020 and provides a private right of action to California residents related to data breaches and imposes disclosure and other requirements on companies with respect to their data collection, use and sharing practices as they relate to California residents. Other states and countries in which we operate have enacted, or are proposing to enact, similar laws or the laws expanding existing privacy rights. New areas of litigation related to privacy rights continue to emerge. Compliance with newly developed laws and regulations, which are subject to change and uncertain interpretations, may cause us to incu</w:t>
      </w:r>
      <w:bookmarkStart w:id="15" w:name="if55f36bba66640349ad2d09a099423a9_5652"/>
      <w:bookmarkEnd w:id="15"/>
      <w:r>
        <w:rPr>
          <w:rFonts w:ascii="Times New Roman;sans-serif" w:hAnsi="Times New Roman;sans-serif"/>
          <w:b w:val="false"/>
          <w:color w:val="000000"/>
          <w:sz w:val="22"/>
        </w:rPr>
        <w:t>r substantial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failure or inability to enforce our trademarks or other proprietary rights could adversely affect our competitive position or the value of our brand.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Our Business Model and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We have limited control with respect to the operations of our franchisees, which could have a negative impact on our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franchisees are contractually obligated to operate their restaurants in accordance with our standards and we provide training and support to franchisees. However, franchisees are generally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significant portion of our financial results are dependent upon the operational and financial success of our franchisees. This portion will increase as a result of the sale of a majority interest in our Brazil operations, which are now operated as unconsolidated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As small businesses, some of our franchise operators may be negatively and disproportionately impacted by strategic initiatives, capital requirements, inflation, increased interest rates, labor costs, employee relations issues, or other causes. When Company-owned restaurants are sold to a franchisee, one of our subsidiaries is often required to remain responsible for lease payments for the sold restaurants to the extent the purchasing franchisees default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Risks associated with our remodeling, relocation and expansion plans may have adverse effects on our operating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part of our business strategy, we intend to continue to remodel, relocate and expand our current portfolio of restaurants. Our 2025 development schedule calls for the construction of approximately 18 to 20 new Company-owned locations. A variety of factors could cause the actual results and outcome of those plans to differ from the anticipated results, including, among other things, the selection of suitable locations for new or relocated restaurants, the availability and terms on which we can lease attractive sites for new or relocated restaurants, availability and terms of funding, recruiting, training and retaining skilled management and restaurant employees, construction or other delays, the availability of construction materials or restaurant equipment, construction and renovation costs and consumer tastes and acceptance of our restaurant concepts and awareness of our brands in new regions. Governmental regulations or other health guidelines concerning the operations of restaurants, including due to public health emergencies, may also cause disruptions in our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It is difficult to estimate the performance of newly opened restaurants and whether they may attract customers away from other restaurants we own. If new or existing restaurants do not meet targeted performance, it could have a material adverse effect on our operating results, including any impairment losses that we may be required to recognize.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in an effort to increase same-restaurant sales and improve our operating performance, we continue to make improvements to our facilities through remodels and relocations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 these initiatives may not yield the desired return on investment, which could have a negative effect on our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Failure to achieve projected cost savings from our efficiency initiatives could adversely affect our results of operations and eliminate potential funding for growth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recent years, we have identified strategies and taken steps to reduce operating costs and free up resources to reinvest in our business. These strategies include improved supply chain management, implementing labor scheduling tools, improvements in kitchen equipment and integrating restaurant information systems across our brands.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In addition, these measures may not be sustainable or may be detrimental to continued operations. Failure to achieve such desired savings or other negative effects from cost-saving measures could adversely affect our results of operations and financial condition and curtail investment in growth opportunities.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success depends substantially on the value of our brands and our ability to execute innovative marketing and consumer relationship initiatives to maintain brand relevance and drive profitable sales growth.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are based in large part on consumer perceptions, which are driven by both our actions and by actions beyond our control, such as new brand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affected.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There are risks and uncertainties associated with</w:t>
      </w:r>
      <w:bookmarkStart w:id="16" w:name="i13ba195e8cca444585ab7f9863412df4_5540"/>
      <w:bookmarkEnd w:id="16"/>
      <w:r>
        <w:rPr>
          <w:rFonts w:ascii="Times New Roman;sans-serif" w:hAnsi="Times New Roman;sans-serif"/>
          <w:b/>
          <w:i/>
          <w:color w:val="000000"/>
          <w:sz w:val="22"/>
        </w:rPr>
        <w:t xml:space="preserve"> strategic actions and initiatives that we may implement, including not realizing the intended benefits of the Brazil Sale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From time to time, we consider various strategic actions and initiatives in order to grow and evolve our business and brands and improve our operating results. These actions and initiatives could include, among other things, acquisitions, development or dispositions of restaurants or brands, new joint ventures, new franchise arrangements, restaurant closures and changes to our operating model. For example, in December 2024, we completed the sale of 67% of our Brazil operations, converting all restaurants in that market from directly owned and operated locations to franchised locations. There can be no assurance that any such strategic actions or initiatives will be successful or deliver their anticipated benefits. We may be exposed to new and unforeseen risks and challenges, particularly if we enter into markets or engage in activities with which we have limited or no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 strategic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Our ability to realize continuing benefits from our minority equity investment in our formerly owned and now franchised Brazil operations is subject to various risks and uncertainties. There is no assurance that our investment will be profitable or that growth will continue or that we will be able to generate a favorable return on the sale of our remaining interest in the future.</w:t>
      </w:r>
      <w:r>
        <w:rPr>
          <w:color w:val="000000"/>
        </w:rPr>
        <w:t xml:space="preserve"> </w:t>
      </w:r>
      <w:r>
        <w:rPr>
          <w:rFonts w:ascii="Times New Roman;sans-serif" w:hAnsi="Times New Roman;sans-serif"/>
          <w:b w:val="false"/>
          <w:color w:val="000000"/>
          <w:sz w:val="22"/>
        </w:rPr>
        <w:t>In addition, there is no assurance that we will generate anticipated royalties from our franchise arrangement, which will be subject to the general risks associated with franchise arrangements. As a minority equity investor and franchisor, we will have limited control with respect to the Brazilian operations. The performance of these operations will also be subject to economic, regulatory and other market conditions in Brazil.</w:t>
      </w:r>
      <w:r>
        <w:rPr>
          <w:color w:val="000000"/>
        </w:rPr>
        <w:t xml:space="preserve"> </w:t>
      </w:r>
      <w:r>
        <w:rPr>
          <w:rFonts w:ascii="Times New Roman;sans-serif" w:hAnsi="Times New Roman;sans-serif"/>
          <w:b w:val="false"/>
          <w:color w:val="000000"/>
          <w:sz w:val="22"/>
        </w:rPr>
        <w:t>As a result of the foregoing, the intended benefits of the Brazil transaction may not be realized.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We face a variety of risks associated with doing business in foreign markets that could have a negative impact on our financial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cybersecurity threats, corruption, anti-American sentiment, the ability to source high-quality ingredients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operating partners.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Local or regional events or conditions in our international markets could disrupt our business operations and affect our results. In recent years, there were protests in cities throughout the United States as well as globally, including in Hong Kong and Brazil, in connection with civil rights, liberties, and social and governmental reform.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Currency regulations and fluctuations in exchange rates could also affect our performance. We have operations in many foreign countries, including a minority equity investment in our Brazil franchisees, direct investments in restaurants in Hong Kong and international franchisees. As a result, we may experience losses from fluctuations in foreign currency exchange rates or any hedging arrangements that we enter into to offset such fluctuations, and such losses could adversely affect our overall sales and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Our Indebtedness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For example, if inflation persists, or our financial position deteriorates, our revenues and liquidity position may decline.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leverage could adversely affect our ability to raise additional capital to fund our operations or limit our ability to react to changes in the economy or our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our total net indebtedness was $1.0 billion and we had $474.0 million in available unused borrowing capacity under our revolving credit facility, net of undrawn letters of credit of $16.0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Our leverage could have important consequences,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making it more difficult for us to make payments on indebtedness;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increasing our vulnerability to general economic, industry and competitive conditions and the various risks we face in our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increasing our cost of borrowing or limiting our ability to obtain additional financing, if needed;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reducing our ability to use our cash flow to fund our operations, capital expenditures, dividend payments, repurchases of our common stock and future business and strategic opportunities;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limiting our ability to adjust to changing market conditions and placing us at a competitive disadvantage compared to our competitors who may not be as highly leveraged.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may incur substantial additional indebtedness in the future, subject to the restrictions contained in our credit agreement. If new indebtedness is added to our current debt levels, the related risks that we now face could increase.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cannot be certain that our financial condition or credit and other market conditions will be favorable upon maturity of our unsecured notes or credit agreement in 2029, or at any earlier time we may seek to refinance our debt. Further, turmoil in global credit markets could adversely impact the availability and cost of credit. If we are unable to refinance our indebtedness on favorable terms, our financial condition and results of operations would be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debt agreements contain restrictions that limit our flexibility in operating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Certain of our debt agreements limit our and our subsidiaries’ abilities to, among other things, incur or guarantee additional indebtedness, pay dividends above certain thresholds,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credit agreement. If our lenders accelerate the repayment of borrowings, we cannot be certain that we will have sufficient assets to repay them.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Risks Related to Our Common Stock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ability to raise capital in the future may be limited, which could make us unable to fund our capital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common stockholders to make claims on our assets, and the terms of any debt could restrict our operations, including our ability to pay dividends above certain thresholds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Thus, our stockholders bear the risk of our future securities offerings reducing the market price of our common stock and diluting their interest.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stock price is subject to volatility.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widespread/pandemic illness, natural disasters, cyber-attacks, terrorist acts, war or other calamities and changes in general market and economic conditions.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Provisions in our certificate of incorporation and bylaws and Delaware law may discourage, delay or prevent a change of control of our Company or changes in our management and, therefore, may depress the trading price of our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certificate of incorporation and bylaws include certain provisions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General Risk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Litigation could have a material adverse impact on our business and our financial performance.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subject to lawsuits, administrative proceedings and claims that arise in the regular course of business. These matters typically involve claims by consumers and others regarding issues such as food borne illness, food safety, premises liability, personal injury, discrimination, “dram shop” statute liability, promotional advertising and other operational issues common to the food service industry, as well as environmental, data privacy,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or diversion of management attention due to any resulting lawsuits, any substantial settlement payment or damage award against us and any damage to our reputation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Significant adverse weather conditions and other disasters or unforeseen events and our ability to execute, or success in executing, a comprehensive business recovery plan at our Restaurant Support Center for these events could negatively impact our results of operations and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Adverse weather conditions and natural disasters and other unforeseen events, such as winter storms, severe temperatures, thunderstorms, floods, drought, fires, hurricanes and earthquakes, terrorist attacks, war and widespread/pandemic illness, and the effects of such events on economic conditions and consumer spending patterns, could disrupt our operations or supply chain and negatively impact our results of operations. These events may result in lost restaurant sales, as well as property damage, lost products, interruptions in supply, and increased costs, temporary and prolonged restaurant closures may occur and consumer traffic may decline due to the actual or perceived effects from these events. For example, the COVID-19 pandemic, severe winter weather conditions, wildfires and hurricanes have impacted our traffic, and that of our franchisees, and results of operations in recent years. Although we cannot predict when or where we will be negatively impacted by widespread illnesses or pandemics, adverse weather events, to the extent that climate change or other factors result in more frequent, widespread or severe events, it could adversely impact our results. U.S. and foreign governmental officials also have placed an increasing focus on environmental matters, including climate change, reduction of greenhouse gases and water consumption. This increased focus could lead to legislative, regulatory or other efforts to combat these environmental concerns. These efforts could result in further increases in taxes, cost of supplies, transportation and utilities, which could increase our operating costs and those of our franchisees and require future investments in facilities and equipment. There may also be increased pressure for us to make commitments, set targets or establish goals to take actions to meet them, which could expose us and our franchisees to market, operational, execution and reputational costs or risks.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Many of our corporate systems and processes and corporate support for our restaurant operations are centralized at one location in Tampa, Florida. We have disaster recovery procedures and business continuity plans in place to address crisis-level events, including hurricanes and other natural disasters, and backup and off-site locations for recovery of electronic and other forms of data and information, and the ability to manage our business remotely.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operations and exposure to administrative and other legal claims. In addition, these threats are constantly evolving, which increases the difficulty of accurately and timely predicting, planning for and protecting against the threat. As a result, our disaster recovery procedures and business continuity plans may not adequately address all threats we face or protect us from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United States and other countries have experienced, or may experience in the future, outbreaks of viruses or other diseases.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Jurisdictions in which we have restaurants may impose mandatory closures or impose restrictions on operations. If a virus is transmitted by human contact or respiratory transmission, our employees or guests could become infected, or could choose, or be advised, to avoid gathering in public places, any of which would adversely affect our restaurant guest traffic or our ability to perform functions at the corporate level. A regional or global health pandemic might also adversely affect our business by disrupting or delaying production and delivery of materials and products in our supply chain and by causing staffing shortages in our stores.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Our insurance policies may not provide adequate levels of coverage against all claims, and fluctuating insurance requirements and costs could negatively impact our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cybersecurity and other insurable risks. However, there are types of losses we may incur that cannot be insured against or that we believe are not commercially reasonable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An impairment in the carrying value of our goodwill or other intangible or long-lived assets could adversely affect our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Unforeseen events could make developing forecasts for, and the accounting of, valuation of goodwill and certain other assets slower and more difficult. Should the value of goodwill or other intangible or long-lived assets become impaired, there could be an adverse effect on our financial condition and consolidated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2"/>
        </w:rPr>
      </w:pPr>
      <w:r>
        <w:rPr>
          <w:rFonts w:ascii="Times New Roman;sans-serif" w:hAnsi="Times New Roman;sans-serif"/>
          <w:b/>
          <w:i/>
          <w:color w:val="000000"/>
          <w:sz w:val="22"/>
        </w:rPr>
        <w:t>Failure to maintain effective systems of internal control over financial reporting and disclosure controls and procedures could adversely affect our business and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errors and fraud, including through cyber-attacks.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a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interpretations or changes in underlying assumptions, estimates or judgments by us could significantly change our reported or expected financial perform</w:t>
      </w:r>
      <w:bookmarkStart w:id="17" w:name="i986e17316cdd4a57a3e175e3ac77e2d0_2534"/>
      <w:bookmarkEnd w:id="17"/>
      <w:r>
        <w:rPr>
          <w:rFonts w:ascii="Times New Roman;sans-serif" w:hAnsi="Times New Roman;sans-serif"/>
          <w:b w:val="false"/>
          <w:color w:val="000000"/>
          <w:sz w:val="22"/>
        </w:rPr>
        <w:t>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1B. Unresolved Staff Comments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1C. Cybersecurity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Risk Management and Strategy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maintain a risk-based, defense-in-depth approach to cybersecurity and data protection. We assess industry best practices and standards and endeavor to leverage them in our efforts to manage cybersecurity risk. We dedicate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resources and apply security controls where we believe they would be most effective to predict, prevent, detect and respond to potential security threats to our highest value information assets, which we consider to be point-of-sale systems, financial systems and confidential, personal and private customer and employee information. We use multiple safeguards to protect our internal networks and systems, including, among others, firewalls, email protection and web filtering, endpoint detection and response software, controlled access to our data and systems, segmenting our card data environment, vulnerability management and patching, and performing regular penetration testing. A risk assessment, based on the National Institute of Standards and Technology Framework, is conducted and maintained throughout the system development lifecycle and is reviewed at least annually.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implemented controls designed to identify and mitigate cybersecurity threats associated with our use of third-party service providers. Such providers are subject to security risk assessments at the time of onboarding, contract renewal and upon detection of an increase in risk profile. We use a variety of inputs in such risk assessments, including information supplied by providers and third parties. In addition, we require our providers to meet appropriate security requirements, controls and responsibilities, and we investigate security incidents that have impacted our third-party providers, as appropriate.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part of our information security training program, employees and contractors participate in various cybersecurity awareness activities, including formal training exercises and simulated phishing events. We also contract with third-party cybersecurity firms to conduct simulated cyberattacks and perform regular penetration testing to assess the effectiveness of our security measures. We have also engaged with external subject matter experts to assess access management, information technology asset management and our cybersecurity policies.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company-wide business continuity and disaster recovery plans used to prepare for multiple events, including a potential disruption in the technology on which we rely. We maintain incident response plans and playbooks to prepare for various contingencies and types of incidents. The cybersecurity incident response plan (“IRP”) includes immediate actions to mitigate and contain the short-term impact of an incident, and long-term strategies for remediation and prevention of future incidents. The IRP also includes policies that dictate escalation procedures and remediation plans based on the severity level of an incident. As part of our IRP, we consider engaging third-party cybersecurity firms to assist in the event of a significant incident. We also conduct tabletop exercises to enhance incident response preparedness.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We, like others in our industry, experience cybersecurity incidents and attempts to access our systems. In the event we experience an incident, we classify it based on its significance and track remediation actions and outcomes. Although we do not believe we have been materially affected by cybersecurity incidents or threats in the past, or that past incidents are reasonably likely to materially affect us, we cannot provide any assurance that we will not experience a material incident in the future. As described above, we utilize a risk-based approach to manage cybersecurity risk and it is possible we may not implement appropriate controls if we do not recognize or underestimate a particular risk. In addition, security controls, no matter how well designed or implemented, may only mitigate and not fully eliminate risks. See Item 1A. </w:t>
      </w:r>
      <w:r>
        <w:rPr>
          <w:rFonts w:ascii="Times New Roman;sans-serif" w:hAnsi="Times New Roman;sans-serif"/>
          <w:b w:val="false"/>
          <w:i/>
          <w:color w:val="000000"/>
          <w:sz w:val="22"/>
        </w:rPr>
        <w:t>Risk Factors</w:t>
      </w:r>
      <w:r>
        <w:rPr>
          <w:color w:val="000000"/>
        </w:rPr>
        <w:t xml:space="preserve"> </w:t>
      </w:r>
      <w:r>
        <w:rPr>
          <w:rFonts w:ascii="Times New Roman;sans-serif" w:hAnsi="Times New Roman;sans-serif"/>
          <w:b w:val="false"/>
          <w:color w:val="000000"/>
          <w:sz w:val="22"/>
        </w:rPr>
        <w:t>for additional discussion of our cybersecurity risks.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Governance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Board of Directors (our “Board”) has charged the Audit Committee with oversight of the Company’s identification, assessment and management of cybersecurity and data privacy risks. The Audit Committee receives quarterly updates from our Chief Information Security Officer (“CISO”) and our Chief Information Officer (“CIO”) regarding our cybersecurity program and actions taken to manage cybersecurity risk, which include risk identification and management strategies, consumer data protection, security programs, ongoing risk mitigation activities and results of third-party assessments and testing.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maintain a dedicated cybersecurity department, which consists exclusively of Company employees, within our broader information technology department. Functions within this department range from new information technology solution design and implementation, vulnerability management, phishing awareness, threat detection,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Payment Card Industry compliance and incident response. Primary responsibility for assessing, monitoring and managing our cybersecurity risks rests with the CISO, who has over 25 years of experience in the field of cybersecurity, including prior service in the military in cybersecurity roles, and relevant industry certifications commensurate with his role. Our CISO reports directly to the CIO who has over 20 years of technology leadership experience in various industries.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CIO receives status reports from our cybersecurity department regularly and reports to our Chief Executive Officer, who receives updates on incidents, trends, projects and other relevant information regularly. In addition, as part of our incident response planning, we maintain cross-functional response teams to be prepared to respond to an incident.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Item 2.    Properties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had 1,463 system-wide restaurants located across 46 states, Guam and 12 countries as of December 29, 2024. The following is a summary of our restaurant locations by country and territory as of December 29, 2024:</w:t>
      </w:r>
    </w:p>
    <w:tbl>
      <w:tblPr>
        <w:tblW w:w="8049" w:type="dxa"/>
        <w:jc w:val="left"/>
        <w:tblInd w:w="0" w:type="dxa"/>
        <w:tblLayout w:type="fixed"/>
        <w:tblCellMar>
          <w:top w:w="28" w:type="dxa"/>
          <w:left w:w="28" w:type="dxa"/>
          <w:bottom w:w="28" w:type="dxa"/>
          <w:right w:w="28" w:type="dxa"/>
        </w:tblCellMar>
      </w:tblPr>
      <w:tblGrid>
        <w:gridCol w:w="983"/>
        <w:gridCol w:w="866"/>
        <w:gridCol w:w="866"/>
        <w:gridCol w:w="278"/>
        <w:gridCol w:w="278"/>
        <w:gridCol w:w="278"/>
        <w:gridCol w:w="109"/>
        <w:gridCol w:w="109"/>
        <w:gridCol w:w="109"/>
        <w:gridCol w:w="109"/>
        <w:gridCol w:w="109"/>
        <w:gridCol w:w="109"/>
        <w:gridCol w:w="519"/>
        <w:gridCol w:w="519"/>
        <w:gridCol w:w="521"/>
        <w:gridCol w:w="120"/>
        <w:gridCol w:w="121"/>
        <w:gridCol w:w="109"/>
        <w:gridCol w:w="109"/>
        <w:gridCol w:w="109"/>
        <w:gridCol w:w="109"/>
        <w:gridCol w:w="343"/>
        <w:gridCol w:w="343"/>
        <w:gridCol w:w="349"/>
        <w:gridCol w:w="210"/>
        <w:gridCol w:w="21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FRANCHISED</w:t>
            </w:r>
          </w:p>
        </w:tc>
      </w:tr>
      <w:tr>
        <w:trPr/>
        <w:tc>
          <w:tcPr>
            <w:tcW w:w="271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United States </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gridSpan w:val="1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4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Hong Kong</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 Brazil (1)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Argentina</w:t>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Australia</w:t>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Mexico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Qatar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Costa Rica</w:t>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Saudi Arabia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Dominican Republic</w:t>
            </w:r>
          </w:p>
        </w:tc>
        <w:tc>
          <w:tcPr>
            <w:tcW w:w="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Korea</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Guam</w:t>
            </w:r>
          </w:p>
        </w:tc>
        <w:tc>
          <w:tcPr>
            <w:tcW w:w="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international franchised</w:t>
            </w:r>
          </w:p>
        </w:tc>
        <w:tc>
          <w:tcPr>
            <w:tcW w:w="42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Company-owned</w:t>
            </w:r>
          </w:p>
        </w:tc>
        <w:tc>
          <w:tcPr>
            <w:tcW w:w="55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franchised</w:t>
            </w:r>
          </w:p>
        </w:tc>
        <w:tc>
          <w:tcPr>
            <w:tcW w:w="42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restaurant count for Brazil is reported as of November 30, 2024 to correspond with the balance sheet date of this subsidiary. Subsequent to December 29, 2024, we completed the sale of the majority ownership of our Brazil operations and all restaurants in that market now operate as unconsolidated franchisees.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lease substantially all of our restaurant properties from third parties. As of December 29, 2024, our Company-owned restaurants were located on the following sites by segment:</w:t>
      </w:r>
    </w:p>
    <w:tbl>
      <w:tblPr>
        <w:tblW w:w="10205" w:type="dxa"/>
        <w:jc w:val="center"/>
        <w:tblInd w:w="0" w:type="dxa"/>
        <w:tblLayout w:type="fixed"/>
        <w:tblCellMar>
          <w:top w:w="28" w:type="dxa"/>
          <w:left w:w="28" w:type="dxa"/>
          <w:bottom w:w="28" w:type="dxa"/>
          <w:right w:w="28" w:type="dxa"/>
        </w:tblCellMar>
      </w:tblPr>
      <w:tblGrid>
        <w:gridCol w:w="923"/>
        <w:gridCol w:w="810"/>
        <w:gridCol w:w="816"/>
        <w:gridCol w:w="209"/>
        <w:gridCol w:w="212"/>
        <w:gridCol w:w="136"/>
        <w:gridCol w:w="109"/>
        <w:gridCol w:w="109"/>
        <w:gridCol w:w="109"/>
        <w:gridCol w:w="235"/>
        <w:gridCol w:w="235"/>
        <w:gridCol w:w="236"/>
        <w:gridCol w:w="109"/>
        <w:gridCol w:w="109"/>
        <w:gridCol w:w="109"/>
        <w:gridCol w:w="763"/>
        <w:gridCol w:w="763"/>
        <w:gridCol w:w="765"/>
        <w:gridCol w:w="109"/>
        <w:gridCol w:w="109"/>
        <w:gridCol w:w="109"/>
        <w:gridCol w:w="278"/>
        <w:gridCol w:w="278"/>
        <w:gridCol w:w="226"/>
        <w:gridCol w:w="109"/>
        <w:gridCol w:w="109"/>
        <w:gridCol w:w="109"/>
        <w:gridCol w:w="421"/>
        <w:gridCol w:w="421"/>
        <w:gridCol w:w="1170"/>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sites</w:t>
            </w:r>
          </w:p>
        </w:tc>
        <w:tc>
          <w:tcPr>
            <w:tcW w:w="4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sites:</w:t>
            </w:r>
          </w:p>
        </w:tc>
        <w:tc>
          <w:tcPr>
            <w:tcW w:w="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ground and building leases</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7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1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Space and in-line leases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Company-owned restaurant sites</w:t>
            </w:r>
          </w:p>
        </w:tc>
        <w:tc>
          <w:tcPr>
            <w:tcW w:w="42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970 </w:t>
            </w:r>
          </w:p>
        </w:tc>
        <w:tc>
          <w:tcPr>
            <w:tcW w:w="1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7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1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also lease corporate offices in Tampa, Florida and, through the date of the Brazil Sale Transaction, in São Paulo, Brazil.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3.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our legal proceedings, see Note 18 -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PART 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5. Market for Registrant’s Common Equity, Related Stockholder Matters and Issuer Purchases of Equity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Market Information</w:t>
      </w:r>
      <w:r>
        <w:rPr>
          <w:color w:val="000000"/>
        </w:rPr>
        <w:t xml:space="preserve"> </w:t>
      </w:r>
      <w:r>
        <w:rPr>
          <w:rFonts w:ascii="Times New Roman;sans-serif" w:hAnsi="Times New Roman;sans-serif"/>
          <w:b w:val="false"/>
          <w:color w:val="000000"/>
          <w:sz w:val="22"/>
        </w:rPr>
        <w:t xml:space="preserve">- Our common stock is listed on the Nasdaq Global Select Market under the symbol “BLMN”.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ans-serif" w:hAnsi="Times New Roman;sans-serif"/>
          <w:b w:val="false"/>
          <w:i/>
          <w:color w:val="000000"/>
          <w:sz w:val="22"/>
        </w:rPr>
        <w:t xml:space="preserve">Dividends - </w:t>
      </w:r>
      <w:r>
        <w:rPr>
          <w:rFonts w:ascii="Times New Roman;sans-serif" w:hAnsi="Times New Roman;sans-serif"/>
          <w:b w:val="false"/>
          <w:color w:val="000000"/>
          <w:sz w:val="22"/>
        </w:rPr>
        <w:t>In February 2022, our Board reinstated quarterly dividends after a temporary suspension during the COVID-19 pandemic. Future dividend payments will depend on continued compliance with our financial covenants, as well as our earnings, financial condition, capital expenditure requirements, surplus and other factors that our Board considers relevant.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Holders</w:t>
      </w:r>
      <w:r>
        <w:rPr>
          <w:color w:val="000000"/>
        </w:rPr>
        <w:t xml:space="preserve"> </w:t>
      </w:r>
      <w:r>
        <w:rPr>
          <w:rFonts w:ascii="Times New Roman;sans-serif" w:hAnsi="Times New Roman;sans-serif"/>
          <w:b w:val="false"/>
          <w:color w:val="000000"/>
          <w:sz w:val="22"/>
        </w:rPr>
        <w:t>- As of February 21, 2025, there were 116 holders of record of our common stock. The number of registered holders does not include holders who are beneficial owners whose shares are held in street name by brokers and other nominees.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Securities Authorized for Issuance Under Equity Compensation Plans</w:t>
      </w:r>
      <w:r>
        <w:rPr>
          <w:color w:val="000000"/>
        </w:rPr>
        <w:t xml:space="preserve"> </w:t>
      </w:r>
      <w:r>
        <w:rPr>
          <w:rFonts w:ascii="Times New Roman;sans-serif" w:hAnsi="Times New Roman;sans-serif"/>
          <w:b w:val="false"/>
          <w:color w:val="000000"/>
          <w:sz w:val="22"/>
        </w:rPr>
        <w:t>- The following table presents the securities authorized for issuance under our equity compensation plans as of December 29, 2024:</w:t>
      </w:r>
    </w:p>
    <w:tbl>
      <w:tblPr>
        <w:tblW w:w="10205" w:type="dxa"/>
        <w:jc w:val="center"/>
        <w:tblInd w:w="0" w:type="dxa"/>
        <w:tblLayout w:type="fixed"/>
        <w:tblCellMar>
          <w:top w:w="28" w:type="dxa"/>
          <w:left w:w="28" w:type="dxa"/>
          <w:bottom w:w="28" w:type="dxa"/>
          <w:right w:w="28" w:type="dxa"/>
        </w:tblCellMar>
      </w:tblPr>
      <w:tblGrid>
        <w:gridCol w:w="678"/>
        <w:gridCol w:w="402"/>
        <w:gridCol w:w="403"/>
        <w:gridCol w:w="109"/>
        <w:gridCol w:w="109"/>
        <w:gridCol w:w="109"/>
        <w:gridCol w:w="792"/>
        <w:gridCol w:w="792"/>
        <w:gridCol w:w="794"/>
        <w:gridCol w:w="109"/>
        <w:gridCol w:w="109"/>
        <w:gridCol w:w="109"/>
        <w:gridCol w:w="501"/>
        <w:gridCol w:w="1421"/>
        <w:gridCol w:w="280"/>
        <w:gridCol w:w="109"/>
        <w:gridCol w:w="109"/>
        <w:gridCol w:w="109"/>
        <w:gridCol w:w="924"/>
        <w:gridCol w:w="924"/>
        <w:gridCol w:w="1313"/>
      </w:tblGrid>
      <w:tr>
        <w:trPr/>
        <w:tc>
          <w:tcPr>
            <w:tcW w:w="6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14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OF OUTSTANDING OPTIONS, WARRANTS AND RIGHTS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REFLECTED IN COLUMN (a)) (3)</w:t>
            </w:r>
          </w:p>
        </w:tc>
      </w:tr>
      <w:tr>
        <w:trPr/>
        <w:tc>
          <w:tcPr>
            <w:tcW w:w="148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2,966 </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5,305 </w:t>
            </w:r>
          </w:p>
        </w:tc>
        <w:tc>
          <w:tcPr>
            <w:tcW w:w="13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1,766 shares issuable in respect to restricted stock units and performance-based share units (assuming target achievement of applicable performance metrics).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(2)Amounts in this column relate only to options exercisable for common shares. </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(3)The shares remaining available for issuance may be issued in the form of stock options, restricted stock units or other stock awards under the 2020 Omnibus Incentive Compensation Plan. See Note 7 - </w:t>
      </w:r>
      <w:r>
        <w:rPr>
          <w:rFonts w:ascii="Times New Roman;sans-serif" w:hAnsi="Times New Roman;sans-serif"/>
          <w:b w:val="false"/>
          <w:i/>
          <w:color w:val="000000"/>
          <w:sz w:val="18"/>
        </w:rPr>
        <w:t xml:space="preserve">Stock-based and Deferred Compensation Plans </w:t>
      </w:r>
      <w:r>
        <w:rPr>
          <w:rFonts w:ascii="Times New Roman;sans-serif" w:hAnsi="Times New Roman;sans-serif"/>
          <w:b w:val="false"/>
          <w:color w:val="000000"/>
          <w:sz w:val="18"/>
        </w:rPr>
        <w:t>of the Notes to Consolidated Financial Statements for details regarding the plan.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Purchases of Equity Securities by the Issuer and Affiliated Purchasers</w:t>
      </w:r>
      <w:r>
        <w:rPr>
          <w:color w:val="000000"/>
        </w:rPr>
        <w:t xml:space="preserve"> </w:t>
      </w:r>
      <w:r>
        <w:rPr>
          <w:rFonts w:ascii="Times New Roman;sans-serif" w:hAnsi="Times New Roman;sans-serif"/>
          <w:b w:val="false"/>
          <w:color w:val="000000"/>
          <w:sz w:val="22"/>
        </w:rPr>
        <w:t xml:space="preserve">- In February 2024, our Board canceled the remaining $57.5 million of authorization under the 2023 Share Repurchase Program and approved a new $350.0 million authorization (the “2024 Share Repurchase Program”), as announced in our press release issued on February 23, 2024. The 2024 Share Repurchase Program will expire on August 13,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We did not repurchase any shares of our outstanding common stock during the thirteen weeks ended December 29, 2024</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 xml:space="preserve">As of December 29, 2024, we had $96.8 million of remaining share repurchase authorization under the 2024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pPr>
      <w:r>
        <w:rPr>
          <w:rFonts w:ascii="Times New Roman;sans-serif" w:hAnsi="Times New Roman;sans-serif"/>
          <w:b w:val="false"/>
          <w:i/>
          <w:color w:val="000000"/>
          <w:sz w:val="22"/>
        </w:rPr>
        <w:t>Stock Performance Graph</w:t>
      </w:r>
      <w:r>
        <w:rPr>
          <w:color w:val="000000"/>
        </w:rPr>
        <w:t xml:space="preserve"> </w:t>
      </w:r>
      <w:r>
        <w:rPr>
          <w:rFonts w:ascii="Times New Roman;sans-serif" w:hAnsi="Times New Roman;sans-serif"/>
          <w:b w:val="false"/>
          <w:color w:val="000000"/>
          <w:sz w:val="22"/>
        </w:rPr>
        <w:t>- The following graph depicts total return to stockholders from December 29, 2019 through December 29, 2024, relative to the performance of the Standard &amp; Poor’s 500 index and the Standard &amp; Poor’s 500 Consumer Discretionary index, a peer group. The graph assumes an investment of $100 in our common stock and in each index on December 29, 2019 (the last business day of the fiscal year of investment), and the reinvestment of dividends paid since that date. The stock price performance shown in the graph is not necessarily indicative of future price performance.</w:t>
      </w:r>
    </w:p>
    <w:p>
      <w:pPr>
        <w:pStyle w:val="TextBody"/>
        <w:bidi w:val="0"/>
        <w:spacing w:before="0" w:after="0"/>
        <w:jc w:val="center"/>
        <w:rPr/>
      </w:pPr>
      <w:r>
        <w:rPr/>
        <w:drawing>
          <wp:inline distT="0" distB="0" distL="0" distR="0">
            <wp:extent cx="6477000" cy="52768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6477000" cy="527685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787"/>
        <w:gridCol w:w="516"/>
        <w:gridCol w:w="520"/>
        <w:gridCol w:w="229"/>
        <w:gridCol w:w="757"/>
        <w:gridCol w:w="129"/>
        <w:gridCol w:w="109"/>
        <w:gridCol w:w="109"/>
        <w:gridCol w:w="109"/>
        <w:gridCol w:w="229"/>
        <w:gridCol w:w="757"/>
        <w:gridCol w:w="129"/>
        <w:gridCol w:w="109"/>
        <w:gridCol w:w="109"/>
        <w:gridCol w:w="109"/>
        <w:gridCol w:w="229"/>
        <w:gridCol w:w="757"/>
        <w:gridCol w:w="129"/>
        <w:gridCol w:w="109"/>
        <w:gridCol w:w="109"/>
        <w:gridCol w:w="109"/>
        <w:gridCol w:w="229"/>
        <w:gridCol w:w="757"/>
        <w:gridCol w:w="129"/>
        <w:gridCol w:w="109"/>
        <w:gridCol w:w="109"/>
        <w:gridCol w:w="109"/>
        <w:gridCol w:w="229"/>
        <w:gridCol w:w="757"/>
        <w:gridCol w:w="129"/>
        <w:gridCol w:w="109"/>
        <w:gridCol w:w="109"/>
        <w:gridCol w:w="109"/>
        <w:gridCol w:w="227"/>
        <w:gridCol w:w="753"/>
        <w:gridCol w:w="192"/>
      </w:tblGrid>
      <w:tr>
        <w:trPr/>
        <w:tc>
          <w:tcPr>
            <w:tcW w:w="7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w:t>
              <w:b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27,</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26,</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25,</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w:t>
              <w:br/>
              <w:t>2024</w:t>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Inc. (BLMN)</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97.68 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100.21 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140.01 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64.09 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Standard &amp; Poor’s 500</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157.06 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Standard &amp; Poor’s 500 Consumer Discretionary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bidi w:val="0"/>
        <w:spacing w:lineRule="auto" w:line="288" w:before="0" w:after="0"/>
        <w:jc w:val="both"/>
        <w:rPr>
          <w:rFonts w:ascii="Times New Roman;sans-serif" w:hAnsi="Times New Roman;sans-serif"/>
          <w:b/>
          <w:color w:val="000000"/>
          <w:sz w:val="22"/>
        </w:rPr>
      </w:pPr>
      <w:bookmarkStart w:id="18" w:name="if3a0ccff028a4c198aacb0eeab944abd_533"/>
      <w:bookmarkEnd w:id="18"/>
      <w:r>
        <w:rPr>
          <w:rFonts w:ascii="Times New Roman;sans-serif" w:hAnsi="Times New Roman;sans-serif"/>
          <w:b/>
          <w:color w:val="000000"/>
          <w:sz w:val="22"/>
        </w:rPr>
        <w:t>Item 7.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consolidated financial statements and the related notes. We have classified the results of operations, non-GAAP measures, and liquidity and capital resources of our Brazil operations as discontinued operations for all periods presented. Unless otherwise noted, this Management Discussion and Analysis of Financial Condition and Results of Operations does not include discontinued operations. For discussion of our consolidated and segment-level results of operations, non-GAAP measures, and liquidity and capital resources not included in this Annual Report for fiscal year 2022, see our Annual Report on Form 10-K for the year ended December 31, 2023, filed with the SEC on February 28,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19" w:name="iae0785d835f5452fb9dc53d7f4add198_415"/>
      <w:bookmarkEnd w:id="19"/>
      <w:r>
        <w:rPr>
          <w:rFonts w:ascii="Times New Roman;sans-serif" w:hAnsi="Times New Roman;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December 29, 2024, we owned and operated 1,172 restaurants and franchised 291 restaurants across 46 states, Guam and 12 countries. Our restaurant portfolio includes: Outback Steakhouse, Carrabba’s Italian Grill, Bonefish Grill and Fleming’s Prime Steakhouse &amp; Wine Bar.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2"/>
        </w:rPr>
        <w:t xml:space="preserve">Financial Overview - </w:t>
      </w:r>
      <w:r>
        <w:rPr>
          <w:rFonts w:ascii="Times New Roman;sans-serif" w:hAnsi="Times New Roman;sans-serif"/>
          <w:b w:val="false"/>
          <w:color w:val="000000"/>
          <w:sz w:val="22"/>
        </w:rPr>
        <w:t>Our financial overview for 2024 from continuing operations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(1.1)% and (1.2)%,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Decrease in Total revenues of (5.2)% as compared to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3.5% and 13.3%, respectively, as compared to 6.8% and 15.4%, respectively for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$139.8 million as compared to $282.8 million in 2023;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Diluted (loss) earnings per share of $(0.61) as compared to $2.13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Sale of Majority Ownership of our</w:t>
      </w:r>
      <w:bookmarkStart w:id="20" w:name="icf8927f493a0492587d206d3b82a6c46_2009"/>
      <w:bookmarkEnd w:id="20"/>
      <w:r>
        <w:rPr>
          <w:rFonts w:ascii="Times New Roman;sans-serif" w:hAnsi="Times New Roman;sans-serif"/>
          <w:b w:val="false"/>
          <w:i/>
          <w:color w:val="000000"/>
          <w:sz w:val="22"/>
        </w:rPr>
        <w:t xml:space="preserve"> Brazil Operations - </w:t>
      </w:r>
      <w:r>
        <w:rPr>
          <w:rFonts w:ascii="Times New Roman;sans-serif" w:hAnsi="Times New Roman;sans-serif"/>
          <w:b w:val="false"/>
          <w:color w:val="000000"/>
          <w:sz w:val="22"/>
        </w:rPr>
        <w:t xml:space="preserve">On December 30, 2024, we completed the sale of 67% of our Brazil operations (the “Brazil Sale Transaction”) and entered into amended and restated franchise agreements with all existing restaurants in Brazil. The balance sheets, results of operations and cash flows of our Brazil operations are reported as discontinued operations for all periods presented. See Note 3 - </w:t>
      </w:r>
      <w:r>
        <w:rPr>
          <w:rFonts w:ascii="Times New Roman;sans-serif" w:hAnsi="Times New Roman;sans-serif"/>
          <w:b w:val="false"/>
          <w:i/>
          <w:color w:val="000000"/>
          <w:sz w:val="22"/>
        </w:rPr>
        <w:t>Discontinued Operations</w:t>
      </w:r>
      <w:r>
        <w:rPr>
          <w:color w:val="000000"/>
        </w:rPr>
        <w:t xml:space="preserve"> </w:t>
      </w:r>
      <w:r>
        <w:rPr>
          <w:rFonts w:ascii="Times New Roman;sans-serif" w:hAnsi="Times New Roman;sans-serif"/>
          <w:b w:val="false"/>
          <w:color w:val="000000"/>
          <w:sz w:val="22"/>
        </w:rPr>
        <w:t>of the Notes to Consolidated Financial Statements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Business Strategies</w:t>
      </w:r>
      <w:r>
        <w:rPr>
          <w:color w:val="000000"/>
        </w:rPr>
        <w:t xml:space="preserve"> </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Our current key business strategies include: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Simplifying the Agenda.</w:t>
      </w:r>
      <w:r>
        <w:rPr>
          <w:color w:val="000000"/>
        </w:rPr>
        <w:t xml:space="preserve"> </w:t>
      </w:r>
      <w:r>
        <w:rPr>
          <w:rFonts w:ascii="Times New Roman;sans-serif" w:hAnsi="Times New Roman;sans-serif"/>
          <w:b w:val="false"/>
          <w:color w:val="000000"/>
          <w:sz w:val="22"/>
        </w:rPr>
        <w:t xml:space="preserve">We are focused on our operations, removing menu items and enabling our operators to deliver a great guest experience. Our transaction to re-franchise our Brazil business will allow our management team to focus on improvements in our domestic operations.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Consistently Deliver Guest-Centric Experience.</w:t>
      </w:r>
      <w:r>
        <w:rPr>
          <w:color w:val="000000"/>
        </w:rPr>
        <w:t xml:space="preserve"> </w:t>
      </w:r>
      <w:r>
        <w:rPr>
          <w:rFonts w:ascii="Times New Roman;sans-serif" w:hAnsi="Times New Roman;sans-serif"/>
          <w:b w:val="false"/>
          <w:color w:val="000000"/>
          <w:sz w:val="22"/>
        </w:rPr>
        <w:t xml:space="preserve">We are investing in our product quality, technology and operational execution to ensure guests consistently have a great experience when they interact with our brands across both in-restaurant and off-premises channels. We believe this will drive increased frequency.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Refine Our Marketing Approach.</w:t>
      </w:r>
      <w:r>
        <w:rPr>
          <w:color w:val="000000"/>
        </w:rPr>
        <w:t xml:space="preserve"> </w:t>
      </w:r>
      <w:r>
        <w:rPr>
          <w:rFonts w:ascii="Times New Roman;sans-serif" w:hAnsi="Times New Roman;sans-serif"/>
          <w:b w:val="false"/>
          <w:color w:val="000000"/>
          <w:sz w:val="22"/>
        </w:rPr>
        <w:t xml:space="preserve">We are refining our menu offerings to offer abundant, every day value, which we believe will resonate with the marketplace. We will continue to offer experiential-driven events with unique items as a way to drive trial to our brands.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u w:val="single"/>
        </w:rPr>
        <w:t>Drive Long-Term Shareholder Value</w:t>
      </w:r>
      <w:r>
        <w:rPr>
          <w:rFonts w:ascii="Times New Roman;sans-serif" w:hAnsi="Times New Roman;sans-serif"/>
          <w:b w:val="false"/>
          <w:i/>
          <w:color w:val="000000"/>
          <w:sz w:val="22"/>
          <w:u w:val="single"/>
        </w:rPr>
        <w:t>.</w:t>
      </w:r>
      <w:r>
        <w:rPr>
          <w:color w:val="000000"/>
        </w:rPr>
        <w:t xml:space="preserve"> </w:t>
      </w:r>
      <w:r>
        <w:rPr>
          <w:rFonts w:ascii="Times New Roman;sans-serif" w:hAnsi="Times New Roman;sans-serif"/>
          <w:b w:val="false"/>
          <w:color w:val="000000"/>
          <w:sz w:val="22"/>
        </w:rPr>
        <w:t xml:space="preserve">We plan to drive long-term shareholder value by reinvesting into our base business and addressing the state of our asset base, paying down debt and returning excess cash to shareholders through dividends. We have refined our pipeline to slow new unit growth beginning in 2026. While we still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are development opportunities for our concepts in the U.S., we remain focused on driving healthy traffic in our existing restaurants.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intend to fund our business strategies, drive revenue growth and margin improvement, in part by reinvesting savings generated by cost savings and productivity initiatives across o</w:t>
      </w:r>
      <w:bookmarkStart w:id="21" w:name="i4af4df4f42c941fdbf526dfb35550d3a_4672"/>
      <w:bookmarkEnd w:id="21"/>
      <w:r>
        <w:rPr>
          <w:rFonts w:ascii="Times New Roman;sans-serif" w:hAnsi="Times New Roman;sans-serif"/>
          <w:b w:val="false"/>
          <w:color w:val="000000"/>
          <w:sz w:val="22"/>
        </w:rPr>
        <w:t xml:space="preserve">ur businesses.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Key Financial Performance Indicators </w:t>
      </w:r>
      <w:r>
        <w:rPr>
          <w:rFonts w:ascii="Times New Roman;sans-serif" w:hAnsi="Times New Roman;sans-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and, in our discontinued operations, the benefit of value added tax exemptions in Brazil)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and, in our discontinued operations, the benefit of value added tax exemptions in Brazil) for Company-owned restaurants that are open 18 months or more in order to remove the impact of new restaurant openings in comparing the operations of existing restaurants.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(loss) income and Diluted (loss) earnings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(Loss) Income. The following categories of revenue and operating expenses are not included in restaurant-level operating income and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(i)Franchise and other revenues, which are earned primarily from franchise royalties and other non-food and beverage revenue streams, such as rental and sublease income;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(ii)Depreciation and amortization, which, although substantially all of which is related to restaurant-level assets, represent historical sunk costs rather than cash outlays for the restaurants; </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(Loss) Income. As a result, restaurant-level operating margin is not indicative of our consolidated results of operations and is presented exclusively as a supplement to, and not a substitute for, Net (loss) income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 which definitions, usefulness and reconciliations are described in more detail in the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restaurants in operation (from both continuing and discontinued operations) as of the periods indicated:</w:t>
      </w:r>
    </w:p>
    <w:tbl>
      <w:tblPr>
        <w:tblW w:w="7427" w:type="dxa"/>
        <w:jc w:val="left"/>
        <w:tblInd w:w="0" w:type="dxa"/>
        <w:tblLayout w:type="fixed"/>
        <w:tblCellMar>
          <w:top w:w="28" w:type="dxa"/>
          <w:left w:w="28" w:type="dxa"/>
          <w:bottom w:w="28" w:type="dxa"/>
          <w:right w:w="28" w:type="dxa"/>
        </w:tblCellMar>
      </w:tblPr>
      <w:tblGrid>
        <w:gridCol w:w="1236"/>
        <w:gridCol w:w="1088"/>
        <w:gridCol w:w="1095"/>
        <w:gridCol w:w="569"/>
        <w:gridCol w:w="569"/>
        <w:gridCol w:w="571"/>
        <w:gridCol w:w="109"/>
        <w:gridCol w:w="109"/>
        <w:gridCol w:w="109"/>
        <w:gridCol w:w="569"/>
        <w:gridCol w:w="569"/>
        <w:gridCol w:w="571"/>
        <w:gridCol w:w="109"/>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Number of restaurants (at end of the period):</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total</w:t>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Company-owned</w:t>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Hong Kong/China</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 - Company-owned</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Brazil (1)</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1,480 </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1,172 </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1,189 </w:t>
            </w:r>
          </w:p>
        </w:tc>
        <w:tc>
          <w:tcPr>
            <w:tcW w:w="5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(1)The restaurant counts for Brazil, including Abbraccio and Aussie Grill restaurants within International Company-owned Other - Brazil, are reported as of November 30, 2024 and 2023, respectively, to correspond with the balance sheet dates of this subsidiary. Following the close of the Brazil Sale Transaction on December 30, 2024, all restaurants in that market operate as unconsolidated franchisees. See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of the Notes to Consolidated Financial Statement</w:t>
      </w:r>
      <w:bookmarkStart w:id="22" w:name="i967c66a8b90e4381a4d031a09772159f_1652"/>
      <w:bookmarkEnd w:id="22"/>
      <w:r>
        <w:rPr>
          <w:rFonts w:ascii="Times New Roman;sans-serif" w:hAnsi="Times New Roman;sans-serif"/>
          <w:b w:val="false"/>
          <w:color w:val="000000"/>
          <w:sz w:val="18"/>
        </w:rPr>
        <w:t>s for further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bookmarkStart w:id="23" w:name="i3efb5ac7d73a404983cb5afc690028d1_26"/>
      <w:bookmarkEnd w:id="23"/>
      <w:r>
        <w:rPr>
          <w:rFonts w:ascii="Times New Roman;sans-serif" w:hAnsi="Times New Roman;sans-serif"/>
          <w:b/>
          <w:color w:val="000000"/>
          <w:sz w:val="22"/>
        </w:rPr>
        <w:t>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Restaurant sales for the periods indicated:</w:t>
      </w:r>
    </w:p>
    <w:tbl>
      <w:tblPr>
        <w:tblW w:w="6473" w:type="dxa"/>
        <w:jc w:val="left"/>
        <w:tblInd w:w="0" w:type="dxa"/>
        <w:tblLayout w:type="fixed"/>
        <w:tblCellMar>
          <w:top w:w="28" w:type="dxa"/>
          <w:left w:w="28" w:type="dxa"/>
          <w:bottom w:w="28" w:type="dxa"/>
          <w:right w:w="28" w:type="dxa"/>
        </w:tblCellMar>
      </w:tblPr>
      <w:tblGrid>
        <w:gridCol w:w="1489"/>
        <w:gridCol w:w="1307"/>
        <w:gridCol w:w="1313"/>
        <w:gridCol w:w="196"/>
        <w:gridCol w:w="691"/>
        <w:gridCol w:w="109"/>
        <w:gridCol w:w="109"/>
        <w:gridCol w:w="109"/>
        <w:gridCol w:w="109"/>
        <w:gridCol w:w="196"/>
        <w:gridCol w:w="69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 of prior periods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53rd week restaurant sales (1)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fiscal year 2024 (comparable 52-week presentation)</w:t>
            </w:r>
          </w:p>
        </w:tc>
        <w:tc>
          <w:tcPr>
            <w:tcW w:w="8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 (2)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(3)</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currency translation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fiscal year 2023 (comparable 52-week presentation)</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3,995.1 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53rd week restaurant sales (1)</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fiscal year 2024 and 2023 (as reported)</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4,077.8 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(1)Fiscal year 2023 included restaurant sales from December 25, 2023 through December 31, 2023, which represents the 53rd week.</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(2)Fiscal years 2024 and 2023 include restaurant sales impact from the closure of 73 and 34</w:t>
      </w:r>
      <w:r>
        <w:rPr>
          <w:color w:val="000000"/>
        </w:rPr>
        <w:t xml:space="preserve"> </w:t>
      </w:r>
      <w:r>
        <w:rPr>
          <w:rFonts w:ascii="Times New Roman;sans-serif" w:hAnsi="Times New Roman;sans-serif"/>
          <w:b w:val="false"/>
          <w:color w:val="000000"/>
          <w:sz w:val="18"/>
        </w:rPr>
        <w:t>restaurants since December 25, 2022 and December 26, 2021, respectively.</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(3)Fiscal years 2024 and 2023 include restaurant sales from 27 and 19</w:t>
      </w:r>
      <w:r>
        <w:rPr>
          <w:color w:val="000000"/>
        </w:rPr>
        <w:t xml:space="preserve"> </w:t>
      </w:r>
      <w:r>
        <w:rPr>
          <w:rFonts w:ascii="Times New Roman;sans-serif" w:hAnsi="Times New Roman;sans-serif"/>
          <w:b w:val="false"/>
          <w:color w:val="000000"/>
          <w:sz w:val="18"/>
        </w:rPr>
        <w:t>new restaurants, respectively, not included in our comparable restaurant sales base.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Average Restaurant Unit Volumes and Operating Weeks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average restaurant unit volumes and operating weeks for the periods indicated:</w:t>
      </w:r>
    </w:p>
    <w:tbl>
      <w:tblPr>
        <w:tblW w:w="5372" w:type="dxa"/>
        <w:jc w:val="left"/>
        <w:tblInd w:w="0" w:type="dxa"/>
        <w:tblLayout w:type="fixed"/>
        <w:tblCellMar>
          <w:top w:w="28" w:type="dxa"/>
          <w:left w:w="28" w:type="dxa"/>
          <w:bottom w:w="28" w:type="dxa"/>
          <w:right w:w="28" w:type="dxa"/>
        </w:tblCellMar>
      </w:tblPr>
      <w:tblGrid>
        <w:gridCol w:w="1106"/>
        <w:gridCol w:w="975"/>
        <w:gridCol w:w="979"/>
        <w:gridCol w:w="196"/>
        <w:gridCol w:w="556"/>
        <w:gridCol w:w="109"/>
        <w:gridCol w:w="109"/>
        <w:gridCol w:w="109"/>
        <w:gridCol w:w="109"/>
        <w:gridCol w:w="196"/>
        <w:gridCol w:w="556"/>
        <w:gridCol w:w="109"/>
        <w:gridCol w:w="109"/>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w:t>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 continuing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 continuing operations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(1)Translated at average exchange rates of 5.29 and 5.02 for 2024 and 2023, respectively. Excludes the benefit of the Brazil value added tax exemptions discussed in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Comparable Restaurant Sales, Traffic and Average Check Per Person (Decreases) Increases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comparable restaurant sales, traffic and average check per person (decreases) increases for the periods indicated:</w:t>
      </w:r>
    </w:p>
    <w:tbl>
      <w:tblPr>
        <w:tblW w:w="7345" w:type="dxa"/>
        <w:jc w:val="left"/>
        <w:tblInd w:w="0" w:type="dxa"/>
        <w:tblLayout w:type="fixed"/>
        <w:tblCellMar>
          <w:top w:w="28" w:type="dxa"/>
          <w:left w:w="28" w:type="dxa"/>
          <w:bottom w:w="28" w:type="dxa"/>
          <w:right w:w="28" w:type="dxa"/>
        </w:tblCellMar>
      </w:tblPr>
      <w:tblGrid>
        <w:gridCol w:w="1757"/>
        <w:gridCol w:w="1545"/>
        <w:gridCol w:w="1557"/>
        <w:gridCol w:w="109"/>
        <w:gridCol w:w="109"/>
        <w:gridCol w:w="224"/>
        <w:gridCol w:w="226"/>
        <w:gridCol w:w="389"/>
        <w:gridCol w:w="109"/>
        <w:gridCol w:w="109"/>
        <w:gridCol w:w="109"/>
        <w:gridCol w:w="224"/>
        <w:gridCol w:w="226"/>
        <w:gridCol w:w="389"/>
        <w:gridCol w:w="109"/>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 continuing operations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(1)For 2024, U.S. comparable restaurant sales, traffic and average check per person compare the 52 weeks from January 1, 2024 through December 29, 2024 to the 52 weeks from January 2, 2023 through December 31, 2023. For 2023, U.S. comparable restaurant sales, traffic and average check per person compare the 53 weeks from December 26, 2022 through December 31, 2023 to the 53 weeks from December 27, 2021 through January 1,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(3)Excludes the effect of fluctuations in foreign currency rates and the benefit of the Brazil value added tax exemptions discussed in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of the Notes to Consolidated Financial Statements.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(4)Includes trading day impact from calendar period reporting.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(5)Includes the impact of menu pricing changes, product mix and discounts.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Restaurant sales or Total revenues for the periods indicated:</w:t>
      </w:r>
    </w:p>
    <w:tbl>
      <w:tblPr>
        <w:tblW w:w="7598" w:type="dxa"/>
        <w:jc w:val="left"/>
        <w:tblInd w:w="0" w:type="dxa"/>
        <w:tblLayout w:type="fixed"/>
        <w:tblCellMar>
          <w:top w:w="28" w:type="dxa"/>
          <w:left w:w="28" w:type="dxa"/>
          <w:bottom w:w="28" w:type="dxa"/>
          <w:right w:w="28" w:type="dxa"/>
        </w:tblCellMar>
      </w:tblPr>
      <w:tblGrid>
        <w:gridCol w:w="1535"/>
        <w:gridCol w:w="1352"/>
        <w:gridCol w:w="1358"/>
        <w:gridCol w:w="278"/>
        <w:gridCol w:w="278"/>
        <w:gridCol w:w="256"/>
        <w:gridCol w:w="109"/>
        <w:gridCol w:w="109"/>
        <w:gridCol w:w="109"/>
        <w:gridCol w:w="278"/>
        <w:gridCol w:w="278"/>
        <w:gridCol w:w="256"/>
        <w:gridCol w:w="109"/>
        <w:gridCol w:w="109"/>
        <w:gridCol w:w="109"/>
        <w:gridCol w:w="278"/>
        <w:gridCol w:w="278"/>
        <w:gridCol w:w="256"/>
        <w:gridCol w:w="109"/>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(benefit) provision for income taxes</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continuing operations</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w:t>
            </w:r>
          </w:p>
        </w:tc>
        <w:tc>
          <w:tcPr>
            <w:tcW w:w="55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Fiscal year 2024 as compared to fiscal year 2023 - continuing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Food and beverage cost</w:t>
      </w:r>
      <w:r>
        <w:rPr>
          <w:color w:val="000000"/>
        </w:rPr>
        <w:t xml:space="preserve"> </w:t>
      </w:r>
      <w:r>
        <w:rPr>
          <w:rFonts w:ascii="Times New Roman;sans-serif" w:hAnsi="Times New Roman;sans-serif"/>
          <w:b w:val="false"/>
          <w:color w:val="000000"/>
          <w:sz w:val="22"/>
        </w:rPr>
        <w:t>decreased as a percentage of Restaurant sales due to 1.3% from increases in menu pricing and 0.6% from cost-saving and productivity initiatives. These decreases were partially offset by increases as a percentage of Restaurant sales of 0.5% from unfavorable product mix and 0.5% from commodity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Labor and other related expense</w:t>
      </w:r>
      <w:r>
        <w:rPr>
          <w:color w:val="000000"/>
        </w:rPr>
        <w:t xml:space="preserve"> </w:t>
      </w:r>
      <w:r>
        <w:rPr>
          <w:rFonts w:ascii="Times New Roman;sans-serif" w:hAnsi="Times New Roman;sans-serif"/>
          <w:b w:val="false"/>
          <w:color w:val="000000"/>
          <w:sz w:val="22"/>
        </w:rPr>
        <w:t>increased as a percentage of Restaurant sales primarily due to 1.6% from higher hourly and field management labor costs, primarily due to wage rate inflation, partially offset by a decrease of 0.6%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restaurant operating expense</w:t>
      </w:r>
      <w:r>
        <w:rPr>
          <w:color w:val="000000"/>
        </w:rPr>
        <w:t xml:space="preserve"> </w:t>
      </w:r>
      <w:r>
        <w:rPr>
          <w:rFonts w:ascii="Times New Roman;sans-serif" w:hAnsi="Times New Roman;sans-serif"/>
          <w:b w:val="false"/>
          <w:color w:val="000000"/>
          <w:sz w:val="22"/>
        </w:rPr>
        <w:t>increased as a percentage of Restaurant sales primarily due to: (i) 1.1% from higher restaurant-level operating and supply expenses, primarily due to inflation, (ii) 0.5% from higher advertising expense and (iii) 0.4% from higher insurance and legal expense, primarily from lapping the 2023 favorable settlement of certain collective action wage and hour lawsuits. These increases were partially offset by decreases as a percentage of Restaurant sales of 0.3% from an increase in average check per person and 0.3% from certain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Depreciation and amortization expense </w:t>
      </w:r>
      <w:r>
        <w:rPr>
          <w:rFonts w:ascii="Times New Roman;sans-serif" w:hAnsi="Times New Roman;sans-serif"/>
          <w:b w:val="false"/>
          <w:color w:val="000000"/>
          <w:sz w:val="22"/>
        </w:rPr>
        <w:t xml:space="preserve">increased primarily due to restaurant development and technology projects, partially offset by restaurant 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Provision for impaired assets and restaurant closings</w:t>
      </w:r>
      <w:r>
        <w:rPr>
          <w:color w:val="000000"/>
        </w:rPr>
        <w:t xml:space="preserve"> </w:t>
      </w:r>
      <w:r>
        <w:rPr>
          <w:rFonts w:ascii="Times New Roman;sans-serif" w:hAnsi="Times New Roman;sans-serif"/>
          <w:b w:val="false"/>
          <w:color w:val="000000"/>
          <w:sz w:val="22"/>
        </w:rPr>
        <w:t>increased primarily due to: (i) asset impairments during Q4 2024 related to 41 older, underperforming restaurants (the “Q4 2024 Restaurant Impairment”), and from the closure of (ii) nine restaurants in Hong Kong and (iii) 36 older, predominately underperforming restaurants within the U.S. segment (the “2023 Restaurant Closures”). These increases were partially offset by the Q4 2023 asset impairment and closure charges in connection with the 2023 Restaurant 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Loss on extinguishment of debt and Loss on fair value adjustment of derivatives, net </w:t>
      </w:r>
      <w:r>
        <w:rPr>
          <w:rFonts w:ascii="Times New Roman;sans-serif" w:hAnsi="Times New Roman;sans-serif"/>
          <w:b w:val="false"/>
          <w:color w:val="000000"/>
          <w:sz w:val="22"/>
        </w:rPr>
        <w:t xml:space="preserve">during 2024 were in connection with the repurchase of $83.6 million of the outstanding convertible senior notes due in 2025 (the “2025 Notes”) (the “Second 2025 Notes Partial Repurchase”), which is described in further detail within Note 11 -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Interest expense, net </w:t>
      </w:r>
      <w:r>
        <w:rPr>
          <w:rFonts w:ascii="Times New Roman;sans-serif" w:hAnsi="Times New Roman;sans-serif"/>
          <w:b w:val="false"/>
          <w:color w:val="000000"/>
          <w:sz w:val="22"/>
        </w:rPr>
        <w:t>increase</w:t>
      </w:r>
      <w:r>
        <w:rPr>
          <w:rFonts w:ascii="Times New Roman;sans-serif" w:hAnsi="Times New Roman;sans-serif"/>
          <w:b w:val="false"/>
          <w:color w:val="000000"/>
          <w:sz w:val="20"/>
        </w:rPr>
        <w:t xml:space="preserve">d </w:t>
      </w:r>
      <w:r>
        <w:rPr>
          <w:rFonts w:ascii="Times New Roman;sans-serif" w:hAnsi="Times New Roman;sans-serif"/>
          <w:b w:val="false"/>
          <w:color w:val="000000"/>
          <w:sz w:val="22"/>
        </w:rPr>
        <w:t>primarily due to higher balances and interest rates on the unhedged portion of our revolving credit facility partially offset by a decrease in interest expense from the Second 2025 Notes Partial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(Benefit) provision for income taxes </w:t>
      </w:r>
      <w:r>
        <w:rPr>
          <w:rFonts w:ascii="Times New Roman;sans-serif" w:hAnsi="Times New Roman;sans-serif"/>
          <w:b w:val="false"/>
          <w:color w:val="000000"/>
          <w:sz w:val="22"/>
        </w:rPr>
        <w:t xml:space="preserve">includes credits we and other restaurant company employers may claim against federal income taxes for FICA taxes paid on certain tipped wages (the “FICA tax credit”). The level of FICA tax credits is primarily driven by U.S. Restaurant sales and is not impacted by costs incurred that may reduce (Loss) income before (benefit) provision for income taxes.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change in (Benefit) provision for income taxes is primarily due to FICA tax credits on certain tipped wages partially offset by the 2024 nondeductible losses associated with the Second 2025 Notes Partial Repurchase, relative to the 2024 pre-tax book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a blended federal and state statutory rate of approximately 26% for all periods presented. The effective income tax rate in 2024 was lower than the blended federal and state statutory rate primarily due to the federal and state impact of nondeductible losses associated with the Second 2025 Notes Partial Repurchase, partially offset by the FICA tax credits on certain tipped wages, relative to the 2024 pre-tax book loss. The effective income tax rate in 2023 was lower than the blended federal and state statutory rate primarily due to the benefit of FICA tax credits on certain tipped wages.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Fiscal year 2023 as compared to fiscal year 2022 - continuing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Food and beverage cost</w:t>
      </w:r>
      <w:r>
        <w:rPr>
          <w:color w:val="000000"/>
        </w:rPr>
        <w:t xml:space="preserve"> </w:t>
      </w:r>
      <w:r>
        <w:rPr>
          <w:rFonts w:ascii="Times New Roman;sans-serif" w:hAnsi="Times New Roman;sans-serif"/>
          <w:b w:val="false"/>
          <w:color w:val="000000"/>
          <w:sz w:val="22"/>
        </w:rPr>
        <w:t>decreased as a percentage of Restaurant sales due to 2.0% from increases in average check per person, primarily driven by an increase in menu pricing, and 0.6% from certain cost saving and productivity initiatives, partially offset by an increase of 1.4% from commodity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Labor and other related expense</w:t>
      </w:r>
      <w:r>
        <w:rPr>
          <w:color w:val="000000"/>
        </w:rPr>
        <w:t xml:space="preserve"> </w:t>
      </w:r>
      <w:r>
        <w:rPr>
          <w:rFonts w:ascii="Times New Roman;sans-serif" w:hAnsi="Times New Roman;sans-serif"/>
          <w:b w:val="false"/>
          <w:color w:val="000000"/>
          <w:sz w:val="22"/>
        </w:rPr>
        <w:t>increased as a percentage of Restaurant sales primarily due to 1.9% from higher hourly and field management labor costs, primarily due to wage rate inflation, partially offset by decreases of 0.9% from an increase in average check per person and 0.3% from certain cost 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restaurant operating expense</w:t>
      </w:r>
      <w:r>
        <w:rPr>
          <w:color w:val="000000"/>
        </w:rPr>
        <w:t xml:space="preserve"> </w:t>
      </w:r>
      <w:r>
        <w:rPr>
          <w:rFonts w:ascii="Times New Roman;sans-serif" w:hAnsi="Times New Roman;sans-serif"/>
          <w:b w:val="false"/>
          <w:color w:val="000000"/>
          <w:sz w:val="22"/>
        </w:rPr>
        <w:t>decreased as a percentage of Restaurant sales primarily due to: (i) 0.6% from an increase in average check per person, (ii) 0.4% from the favorable settlement of certain collective action wage and hour lawsuits and (iii) 0.3% from certain cost saving and productivity initiatives. These decreases were partially offset by increases of 0.9% from higher operating expenses, including utilities, primarily due to inflation, and 0.3% from higher advertising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(Benefit) provision for income taxes </w:t>
      </w:r>
      <w:r>
        <w:rPr>
          <w:rFonts w:ascii="Times New Roman;sans-serif" w:hAnsi="Times New Roman;sans-serif"/>
          <w:b w:val="false"/>
          <w:color w:val="000000"/>
          <w:sz w:val="22"/>
        </w:rPr>
        <w:t xml:space="preserve">includes a decrease in the effective income tax rate primarily due to the non-deductible losses recorded during 2022 associated with the First 2025 Notes Partial Repurchase, which is described in further detail within Note 11 -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consider each of our U.S. restaurant concepts and our international franchise business as operating segments, which reflects how we manage our business, review operating performance and allocate resources. All other operating segments, which include our operations in Hong Kong and China do not meet the quantitative thresholds for determining reportable operating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Resources are allocated and performance is assessed by our Chief Executive Officer, whom we have determined to be our Chief Operating Decision Maker (“CODM”). We aggregate our U.S. operating segments into a U.S. reportable segment. The U.S. segment includes all restaurants operating in the U.S. while franchised restaurants operating outside the U.S. are included in the international franchise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Revenues for both segments include only transactions with customers and exclude intersegment revenues. Excluded from Income from operations for U.S. are certain legal and corporate costs not directly related to the performance of the segments, most stock-based compensation expenses, a portion of insurance expenses and certain bonus expenses.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income is utilized by our CODM as the segment profit or loss measure and to manage the business, review operating performance and allocate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Refer to Note 19</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 of segment income from operations to the consolidated operating results.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pPr>
      <w:r>
        <w:rPr>
          <w:rFonts w:ascii="Times New Roman;sans-serif" w:hAnsi="Times New Roman;sans-serif"/>
          <w:b w:val="false"/>
          <w:i/>
          <w:color w:val="000000"/>
          <w:sz w:val="22"/>
        </w:rPr>
        <w:t>Summary financial data</w:t>
      </w:r>
      <w:r>
        <w:rPr>
          <w:color w:val="000000"/>
        </w:rPr>
        <w:t xml:space="preserve"> </w:t>
      </w:r>
      <w:r>
        <w:rPr>
          <w:rFonts w:ascii="Times New Roman;sans-serif" w:hAnsi="Times New Roman;sans-serif"/>
          <w:b w:val="false"/>
          <w:color w:val="000000"/>
          <w:sz w:val="22"/>
        </w:rPr>
        <w:t>- Following is a summary of financial data by segment for the periods indicated:</w:t>
      </w:r>
    </w:p>
    <w:tbl>
      <w:tblPr>
        <w:tblW w:w="8207" w:type="dxa"/>
        <w:jc w:val="left"/>
        <w:tblInd w:w="0" w:type="dxa"/>
        <w:tblLayout w:type="fixed"/>
        <w:tblCellMar>
          <w:top w:w="28" w:type="dxa"/>
          <w:left w:w="28" w:type="dxa"/>
          <w:bottom w:w="28" w:type="dxa"/>
          <w:right w:w="28" w:type="dxa"/>
        </w:tblCellMar>
      </w:tblPr>
      <w:tblGrid>
        <w:gridCol w:w="1280"/>
        <w:gridCol w:w="1128"/>
        <w:gridCol w:w="1131"/>
        <w:gridCol w:w="196"/>
        <w:gridCol w:w="871"/>
        <w:gridCol w:w="256"/>
        <w:gridCol w:w="109"/>
        <w:gridCol w:w="109"/>
        <w:gridCol w:w="109"/>
        <w:gridCol w:w="196"/>
        <w:gridCol w:w="871"/>
        <w:gridCol w:w="256"/>
        <w:gridCol w:w="109"/>
        <w:gridCol w:w="109"/>
        <w:gridCol w:w="109"/>
        <w:gridCol w:w="196"/>
        <w:gridCol w:w="871"/>
        <w:gridCol w:w="301"/>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U.S.</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3,812,604 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3,863,016 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3,857,134 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4,053,599 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3,911,870 </w:t>
            </w:r>
          </w:p>
        </w:tc>
        <w:tc>
          <w:tcPr>
            <w:tcW w:w="30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250,050 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407,860 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 continuing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FRANCHISE</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 (2)</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36,202 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(1)The decrease from 2023 to 2024 was primarily due to: (i) the restaurant sales during the 53rd week of 2023, (ii) the net impact of restaurant closures and openings and (iii) lower comparable restaurant sales. The increase from 2022 to 2023 was primarily due to the restaurant sales during the 53rd week of 2023 and higher comparable restaurant sales, partially offset by the net impact of restaurant closures and openings. See </w:t>
      </w:r>
      <w:r>
        <w:rPr>
          <w:rFonts w:ascii="Times New Roman;sans-serif" w:hAnsi="Times New Roman;sans-serif"/>
          <w:b w:val="false"/>
          <w:i/>
          <w:color w:val="000000"/>
          <w:sz w:val="18"/>
        </w:rPr>
        <w:t>Results of Operations</w:t>
      </w:r>
      <w:r>
        <w:rPr>
          <w:color w:val="000000"/>
        </w:rPr>
        <w:t xml:space="preserve"> </w:t>
      </w:r>
      <w:r>
        <w:rPr>
          <w:rFonts w:ascii="Times New Roman;sans-serif" w:hAnsi="Times New Roman;sans-serif"/>
          <w:b w:val="false"/>
          <w:color w:val="000000"/>
          <w:sz w:val="18"/>
        </w:rPr>
        <w:t xml:space="preserve">- </w:t>
      </w:r>
      <w:r>
        <w:rPr>
          <w:rFonts w:ascii="Times New Roman;sans-serif" w:hAnsi="Times New Roman;sans-serif"/>
          <w:b w:val="false"/>
          <w:i/>
          <w:color w:val="000000"/>
          <w:sz w:val="18"/>
        </w:rPr>
        <w:t xml:space="preserve">Restaurant Sales </w:t>
      </w:r>
      <w:r>
        <w:rPr>
          <w:rFonts w:ascii="Times New Roman;sans-serif" w:hAnsi="Times New Roman;sans-serif"/>
          <w:b w:val="false"/>
          <w:color w:val="000000"/>
          <w:sz w:val="18"/>
        </w:rPr>
        <w:t>for a rollforward of consolidated Restaurant sales.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(2)Includes international royalties from franchisees and royalties from our Brazil operations at our historical 5% </w:t>
      </w:r>
      <w:bookmarkStart w:id="24" w:name="ifb165af853df454c8cf40a9f76f366ff_2725"/>
      <w:bookmarkEnd w:id="24"/>
      <w:r>
        <w:rPr>
          <w:rFonts w:ascii="Times New Roman;sans-serif" w:hAnsi="Times New Roman;sans-serif"/>
          <w:b w:val="false"/>
          <w:color w:val="000000"/>
          <w:sz w:val="18"/>
        </w:rPr>
        <w:t xml:space="preserve">intercompany rate. On December 30, 2024, we entered into franchise agreements in connection with the Brazil Sale Transaction that include royalty rates that are lower than our historical intercompany rates and on the low end of our international franchisee royalty percentage range.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continuing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U.S. </w:t>
      </w:r>
      <w:r>
        <w:rPr>
          <w:rFonts w:ascii="Times New Roman;sans-serif" w:hAnsi="Times New Roman;sans-serif"/>
          <w:b w:val="false"/>
          <w:color w:val="000000"/>
          <w:sz w:val="22"/>
        </w:rPr>
        <w:t>- The decrease in U.S. Income from operations generated during 2024 as compared to 2023 was primarily due to: (i) lower restaurant sales, as discussed above, (ii) higher labor, operating and commodity costs, primarily due to inflation, (iii) higher impairment and closure costs and (iv) higher advertising, depreciation and amortization expense. These decreases were partially offset by an increase in average check per person and the impact of certain cost-saving and produc</w:t>
      </w:r>
      <w:bookmarkStart w:id="25" w:name="i865fd18e03d84c2d8376bb928b696b52_571"/>
      <w:bookmarkEnd w:id="25"/>
      <w:r>
        <w:rPr>
          <w:rFonts w:ascii="Times New Roman;sans-serif" w:hAnsi="Times New Roman;sans-serif"/>
          <w:b w:val="false"/>
          <w:color w:val="000000"/>
          <w:sz w:val="22"/>
        </w:rPr>
        <w:t>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Non-GAAP Financial </w:t>
      </w:r>
      <w:bookmarkStart w:id="26" w:name="if758980250db400d8074dc529014b1a0_2488"/>
      <w:bookmarkEnd w:id="26"/>
      <w:r>
        <w:rPr>
          <w:rFonts w:ascii="Times New Roman;sans-serif" w:hAnsi="Times New Roman;sans-serif"/>
          <w:b/>
          <w:color w:val="000000"/>
          <w:sz w:val="22"/>
        </w:rPr>
        <w:t>Measures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results provided in accordance with generally accepted accounting principles (“U.S. GAAP”), we provide certain non-GAAP measures, which present operating results on an adjusted basis. These are supplemental measures of performance that are not required by or presented in accordance with U.S. GAAP and include the following: (i) Restaurant-level operating income, adjusted restaurant-level operating income and their corresponding margins, (ii) Adjusted income from operations and the corresponding margin, (iii) Adjusted net income, (iv) Adjusted diluted earnings per share and (v) system-wide sales.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our Board evaluate our operating performance, allocate resources and establish employee incentive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Restaurant-level operating margin is calculated as Restaurant sales after deduction of the main restaurant-level operating costs, which includes Food and beverage cost, Labor and other related expense and Other restaurant operating expense. Adjusted restaurant-level operating margin is Restaurant-level operating margin adjusted for certain items. The following table reconciles consolidated Income from continuing operations and the corresponding margin to restaurant-level operating income from continuing operations and consolidated adjusted restaurant-level operating income and the corresponding margins for the periods indicated:</w:t>
      </w:r>
    </w:p>
    <w:tbl>
      <w:tblPr>
        <w:tblW w:w="7862" w:type="dxa"/>
        <w:jc w:val="left"/>
        <w:tblInd w:w="0" w:type="dxa"/>
        <w:tblLayout w:type="fixed"/>
        <w:tblCellMar>
          <w:top w:w="28" w:type="dxa"/>
          <w:left w:w="28" w:type="dxa"/>
          <w:bottom w:w="28" w:type="dxa"/>
          <w:right w:w="28" w:type="dxa"/>
        </w:tblCellMar>
      </w:tblPr>
      <w:tblGrid>
        <w:gridCol w:w="1854"/>
        <w:gridCol w:w="1628"/>
        <w:gridCol w:w="1632"/>
        <w:gridCol w:w="196"/>
        <w:gridCol w:w="736"/>
        <w:gridCol w:w="256"/>
        <w:gridCol w:w="109"/>
        <w:gridCol w:w="109"/>
        <w:gridCol w:w="109"/>
        <w:gridCol w:w="196"/>
        <w:gridCol w:w="736"/>
        <w:gridCol w:w="301"/>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282,769 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90,371 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 from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514,931 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628,797 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other matters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Partner compensation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 from continuing operations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515,365 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624,591 </w:t>
            </w:r>
          </w:p>
        </w:tc>
        <w:tc>
          <w:tcPr>
            <w:tcW w:w="30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 continuing operations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 from discontinued operations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623,427 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742,091 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 level operating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(1)Reflects changes in legal reserves in connection with certain collective action wage and hour lawsuits.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(2)For 2023, includes lease remeasurement gains in connection with the 2023 Restaurant Closures. See Note 5 - </w:t>
      </w:r>
      <w:r>
        <w:rPr>
          <w:rFonts w:ascii="Times New Roman;sans-serif" w:hAnsi="Times New Roman;sans-serif"/>
          <w:b w:val="false"/>
          <w:i/>
          <w:color w:val="000000"/>
          <w:sz w:val="18"/>
        </w:rPr>
        <w:t>Impairments and Exit Costs</w:t>
      </w:r>
      <w:r>
        <w:rPr>
          <w:color w:val="000000"/>
        </w:rPr>
        <w:t xml:space="preserve"> </w:t>
      </w:r>
      <w:r>
        <w:rPr>
          <w:rFonts w:ascii="Times New Roman;sans-serif" w:hAnsi="Times New Roman;sans-serif"/>
          <w:b w:val="false"/>
          <w:color w:val="000000"/>
          <w:sz w:val="18"/>
        </w:rPr>
        <w:t xml:space="preserve">of the Notes to Consolidated Financial Statements for additional details regarding the 2023 Restaurant Closures.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(3)Costs incurred in connection with the transition to a new partner compensation program.</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(4)No adjustments for the periods presented. Excludes intercompany royalty expense of $25.9 million and $26.4 million for 2024 and 2023, respectively, since the corresponding intercompany royalty revenue is included within Franchise and other revenues from continuing operations and is therefore already excluded from the calculation of restaurant-level operating income. See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 xml:space="preserve">of the Notes to Consolidated Financial Statements for additional details.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Adjusted Income from Operations Non-GAAP Reconciliations</w:t>
      </w:r>
      <w:r>
        <w:rPr>
          <w:color w:val="000000"/>
        </w:rPr>
        <w:t xml:space="preserve"> </w:t>
      </w:r>
      <w:r>
        <w:rPr>
          <w:rFonts w:ascii="Times New Roman;sans-serif" w:hAnsi="Times New Roman;sans-serif"/>
          <w:b w:val="false"/>
          <w:color w:val="000000"/>
          <w:sz w:val="22"/>
        </w:rPr>
        <w:t>- The following table reconciles Income from continuing operations and the corresponding margin to adjusted income from operations and the corresponding margin for the periods indicated:</w:t>
      </w:r>
    </w:p>
    <w:tbl>
      <w:tblPr>
        <w:tblW w:w="7262" w:type="dxa"/>
        <w:jc w:val="left"/>
        <w:tblInd w:w="0" w:type="dxa"/>
        <w:tblLayout w:type="fixed"/>
        <w:tblCellMar>
          <w:top w:w="28" w:type="dxa"/>
          <w:left w:w="28" w:type="dxa"/>
          <w:bottom w:w="28" w:type="dxa"/>
          <w:right w:w="28" w:type="dxa"/>
        </w:tblCellMar>
      </w:tblPr>
      <w:tblGrid>
        <w:gridCol w:w="1631"/>
        <w:gridCol w:w="1438"/>
        <w:gridCol w:w="1445"/>
        <w:gridCol w:w="196"/>
        <w:gridCol w:w="736"/>
        <w:gridCol w:w="256"/>
        <w:gridCol w:w="109"/>
        <w:gridCol w:w="109"/>
        <w:gridCol w:w="109"/>
        <w:gridCol w:w="196"/>
        <w:gridCol w:w="736"/>
        <w:gridCol w:w="301"/>
      </w:tblGrid>
      <w:tr>
        <w:trPr/>
        <w:tc>
          <w:tcPr>
            <w:tcW w:w="163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8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282,769 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 continuing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transition costs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initiative fees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hedge gains (5)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 adjustments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31,576 </w:t>
            </w:r>
          </w:p>
        </w:tc>
        <w:tc>
          <w:tcPr>
            <w:tcW w:w="30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198,144 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314,345 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continuing operations</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 discontinued operations (7)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232,590 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356,720 </w:t>
            </w:r>
          </w:p>
        </w:tc>
        <w:tc>
          <w:tcPr>
            <w:tcW w:w="30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restaurant-level operating income adjustments.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(2)Fiscal year 2024 includes asset impairment, closure costs and severance primarily in connection with: (i) the 2023 Restaurant Closures, (ii) the closure of nine restaurants in Hong Kong and (iii) the Q4 2024 Restaurant Impairment. Fiscal year 2023 includes asset impairment, closure costs and severance primarily in connection with the 2023 Restaurant Closures.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(3)Compensation costs and professional fees related to our CEO transition and severance related to other executive level changes.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(4)Represents fees incurred in connection with a project-based strategic initiative. The costs incurred represent third-party consulting fees related to a strategic initiative to develop revenue growth management capabilities for Outback Steakhouse and are included in General and administrative expense. Given the magnitude and scope of this initiative and that it is not expected to recur after 2024, we consider these incremental expenses to be distinct from other consulting fees that we incur in the ordinary course of business and not reflective of the ongoing costs to operate our business or operating performance in the period.</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(5)Gains in connection with the foreign exchange forward contracts entered into to partially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(6)Primarily includes professional fees, severance and other costs not correlated to our core operating performance during the period.</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(7)Includes operating income from our Brazil operations for the periods presented, including intercompany royalty expense. For 2024, includes non-GAAP adjustments of $68.3 million for impairment of assets held for sale, $3.3 million of transaction related professional fees and $1.5 million of other impairment. See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 xml:space="preserve">of the Notes to Consolidated Financial Statements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Adjusted Net Income and Adjusted Diluted Earnings Per Share Non-GAAP Reconciliations </w:t>
      </w:r>
      <w:r>
        <w:rPr>
          <w:rFonts w:ascii="Times New Roman;sans-serif" w:hAnsi="Times New Roman;sans-serif"/>
          <w:b w:val="false"/>
          <w:color w:val="000000"/>
          <w:sz w:val="22"/>
        </w:rPr>
        <w:t>- The following table reconciles Net (loss) income attributable to Bloomin’ Brands to adjusted net income and adjusted diluted earnings per share for the periods indicated:</w:t>
      </w:r>
    </w:p>
    <w:tbl>
      <w:tblPr>
        <w:tblW w:w="8408" w:type="dxa"/>
        <w:jc w:val="left"/>
        <w:tblInd w:w="0" w:type="dxa"/>
        <w:tblLayout w:type="fixed"/>
        <w:tblCellMar>
          <w:top w:w="28" w:type="dxa"/>
          <w:left w:w="28" w:type="dxa"/>
          <w:bottom w:w="28" w:type="dxa"/>
          <w:right w:w="28" w:type="dxa"/>
        </w:tblCellMar>
      </w:tblPr>
      <w:tblGrid>
        <w:gridCol w:w="2130"/>
        <w:gridCol w:w="1871"/>
        <w:gridCol w:w="1878"/>
        <w:gridCol w:w="196"/>
        <w:gridCol w:w="811"/>
        <w:gridCol w:w="109"/>
        <w:gridCol w:w="109"/>
        <w:gridCol w:w="109"/>
        <w:gridCol w:w="109"/>
        <w:gridCol w:w="196"/>
        <w:gridCol w:w="736"/>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 from continuing operations (1)</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205,757 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1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adjustments (2)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194,133 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 continuing operations</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181,132 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continuing operations</w:t>
            </w:r>
          </w:p>
        </w:tc>
        <w:tc>
          <w:tcPr>
            <w:tcW w:w="10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129,096 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229,461 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discontinued operations (5)</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159,342 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268,161 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earnings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(loss) earnings per share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(6)(7)</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 (7)</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(6)(7)</w:t>
            </w:r>
          </w:p>
        </w:tc>
        <w:tc>
          <w:tcPr>
            <w:tcW w:w="100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88,900 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96,453 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net (loss) income from continuing operations less net income attributable to noncontrolling interests.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(2)See the </w:t>
      </w:r>
      <w:r>
        <w:rPr>
          <w:rFonts w:ascii="Times New Roman;sans-serif" w:hAnsi="Times New Roman;sans-serif"/>
          <w:b w:val="false"/>
          <w:i/>
          <w:color w:val="000000"/>
          <w:sz w:val="18"/>
        </w:rPr>
        <w:t>Adjusted Income from Operations Non-GAAP Reconciliations</w:t>
      </w:r>
      <w:r>
        <w:rPr>
          <w:color w:val="000000"/>
        </w:rPr>
        <w:t xml:space="preserve"> </w:t>
      </w:r>
      <w:r>
        <w:rPr>
          <w:rFonts w:ascii="Times New Roman;sans-serif" w:hAnsi="Times New Roman;sans-serif"/>
          <w:b w:val="false"/>
          <w:color w:val="000000"/>
          <w:sz w:val="18"/>
        </w:rPr>
        <w:t>table above for details regarding Income from operations adjustments.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(3)Includes losses in connection with the Second 2025 Notes Partial Repurchase, including settlements of the related convertible senior note hedges and warrants. See Note 11 - </w:t>
      </w:r>
      <w:r>
        <w:rPr>
          <w:rFonts w:ascii="Times New Roman;sans-serif" w:hAnsi="Times New Roman;sans-serif"/>
          <w:b w:val="false"/>
          <w:i/>
          <w:color w:val="000000"/>
          <w:sz w:val="18"/>
        </w:rPr>
        <w:t>Convertible Senior Notes</w:t>
      </w:r>
      <w:r>
        <w:rPr>
          <w:color w:val="000000"/>
        </w:rPr>
        <w:t xml:space="preserve"> </w:t>
      </w:r>
      <w:r>
        <w:rPr>
          <w:rFonts w:ascii="Times New Roman;sans-serif" w:hAnsi="Times New Roman;sans-serif"/>
          <w:b w:val="false"/>
          <w:color w:val="000000"/>
          <w:sz w:val="18"/>
        </w:rPr>
        <w:t>of the Notes to Consolidated Financial Statements for additional details.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(4)Includes the tax effects of non-GAAP adjustments determined based on the nature of the underlying non-GAAP adjustments and their relevant jurisdictional tax rates for all periods presented. The difference between GAAP and adjusted effective income tax rates during fiscal year 2024 primarily relates to nondeductible losses and other tax costs associated with the Second 2025 Notes Partial Repurchase. </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(5)Includes net (loss) income from our Brazil operations for the periods presented and Income from operations adjustments described in footnote 7 of the </w:t>
      </w:r>
      <w:r>
        <w:rPr>
          <w:rFonts w:ascii="Times New Roman;sans-serif" w:hAnsi="Times New Roman;sans-serif"/>
          <w:b w:val="false"/>
          <w:i/>
          <w:color w:val="000000"/>
          <w:sz w:val="18"/>
        </w:rPr>
        <w:t>Adjusted Income from Operations Non-GAAP Reconciliations</w:t>
      </w:r>
      <w:r>
        <w:rPr>
          <w:color w:val="000000"/>
        </w:rPr>
        <w:t xml:space="preserve"> </w:t>
      </w:r>
      <w:r>
        <w:rPr>
          <w:rFonts w:ascii="Times New Roman;sans-serif" w:hAnsi="Times New Roman;sans-serif"/>
          <w:b w:val="false"/>
          <w:color w:val="000000"/>
          <w:sz w:val="18"/>
        </w:rPr>
        <w:t xml:space="preserve">table above. For 2024, also includes adjustments for $33.8 million of deferred income tax expense resulting from the Brazil Sale Transaction and the tax effects of non-GAAP adjustments. For 2023, also includes a $2.9 million adjustment related to a Brazil federal income tax exemption on certain state value added tax benefits. See Note 3 -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 xml:space="preserve">of the Notes to Consolidated Financial Statements for additional details regarding the Brazil Sale Transaction.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(6)Adjusted diluted weighted average common shares outstanding for the fiscal years 2024 and 2023 were calculated including the effect of 1.6 million and 5.1 million dilutive securities, respectively, for outstanding 2025 Notes and the effect of 1.0 million and 3.4 million dilutive securities, respectively, for the Warrant Transactions, as defined below. In connection with the offering of the 2025 Notes, we entered into convertible note hedge transactions (the “Convertible Note Hedge Transactions”) and concurrently entered into warrant transactions relating to the same number of shares of our common stock (the “Warrant Transactions”). If our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price is in excess of the conversion price of the 2025 Notes ($10.60 and $11.14 as of December 29, 2024 and December 31, 2023, respectively), the Convertible Note Hedge Transactions deliver shares to offset dilution from the 2025 Notes, which, in combination with the Warrant Transactions, effectively offset dilution from the 2025 Notes up to the strike price of the Warrant Transactions ($14.84 and $15.60 as of December 29, 2024 and December 31, 2023, respectively). Adjusted diluted earnings per share and adjusted diluted weighted average common shares outstanding for the fiscal year 2023 have been recast to remove the 5.1 million share benefit of the Convertible Note Hedge Transactions which was previously included as a non-GAAP share adjustment.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(7)Due to a GAAP net loss from continuing operations, antidilutive securities are excluded from diluted weighted average common shares outstanding for the fiscal year 2024. However, considering the adjusted net income position, adjusted diluted weighted average common shares outstanding incorporates securities that would have been dilutive for GAAP.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 xml:space="preserve">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4 - </w:t>
      </w:r>
      <w:r>
        <w:rPr>
          <w:rFonts w:ascii="Times New Roman;sans-serif" w:hAnsi="Times New Roman;sans-serif"/>
          <w:b w:val="false"/>
          <w:i/>
          <w:color w:val="000000"/>
          <w:sz w:val="22"/>
        </w:rPr>
        <w:t>Revenue Recognition</w:t>
      </w:r>
      <w:r>
        <w:rPr>
          <w:color w:val="000000"/>
        </w:rPr>
        <w:t xml:space="preserve"> </w:t>
      </w:r>
      <w:r>
        <w:rPr>
          <w:rFonts w:ascii="Times New Roman;sans-serif" w:hAnsi="Times New Roman;sans-serif"/>
          <w:b w:val="false"/>
          <w:color w:val="000000"/>
          <w:sz w:val="22"/>
        </w:rPr>
        <w:t xml:space="preserve">of the Notes to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summary of sales of franchised restaurants by segment for the periods indicated, which are not included in our consolidated Restaurant sales. Franchise sales within this table do not represent our sales and are presented only as an indicator of changes in the restaurant system, which management believes is important information regarding the health of our restaurant concepts and in determining our royalties and/or ser</w:t>
      </w:r>
      <w:bookmarkStart w:id="27" w:name="i1a04ec28cc5a48f690555b8c3b5046dc_1222"/>
      <w:bookmarkEnd w:id="27"/>
      <w:r>
        <w:rPr>
          <w:rFonts w:ascii="Times New Roman;sans-serif" w:hAnsi="Times New Roman;sans-serif"/>
          <w:b w:val="false"/>
          <w:color w:val="000000"/>
          <w:sz w:val="22"/>
        </w:rPr>
        <w:t>vice fees.</w:t>
      </w:r>
    </w:p>
    <w:tbl>
      <w:tblPr>
        <w:tblW w:w="4936" w:type="dxa"/>
        <w:jc w:val="left"/>
        <w:tblInd w:w="0" w:type="dxa"/>
        <w:tblLayout w:type="fixed"/>
        <w:tblCellMar>
          <w:top w:w="28" w:type="dxa"/>
          <w:left w:w="28" w:type="dxa"/>
          <w:bottom w:w="28" w:type="dxa"/>
          <w:right w:w="28" w:type="dxa"/>
        </w:tblCellMar>
      </w:tblPr>
      <w:tblGrid>
        <w:gridCol w:w="952"/>
        <w:gridCol w:w="834"/>
        <w:gridCol w:w="838"/>
        <w:gridCol w:w="196"/>
        <w:gridCol w:w="556"/>
        <w:gridCol w:w="109"/>
        <w:gridCol w:w="109"/>
        <w:gridCol w:w="109"/>
        <w:gridCol w:w="109"/>
        <w:gridCol w:w="196"/>
        <w:gridCol w:w="556"/>
        <w:gridCol w:w="109"/>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7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total</w:t>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28" w:name="i965082a51d83448081de81fa81280526_37"/>
      <w:bookmarkEnd w:id="28"/>
      <w:r>
        <w:rPr>
          <w:rFonts w:ascii="Times New Roman;sans-serif" w:hAnsi="Times New Roman;sans-serif"/>
          <w:b/>
          <w:color w:val="000000"/>
          <w:sz w:val="22"/>
        </w:rPr>
        <w:t>Liquidity and Capital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we had $70.1 million in cash and cash equivalents of which $10.0 million was held by foreign affiliates. The international jurisdictions in which we have significant cash do not have any known restrictions that would prohibit repatriation.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we did not have aggregate undistributed foreign earnings from its consolidated foreign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periods indicated:</w:t>
      </w:r>
    </w:p>
    <w:tbl>
      <w:tblPr>
        <w:tblW w:w="10205" w:type="dxa"/>
        <w:jc w:val="left"/>
        <w:tblInd w:w="0" w:type="dxa"/>
        <w:tblLayout w:type="fixed"/>
        <w:tblCellMar>
          <w:top w:w="28" w:type="dxa"/>
          <w:left w:w="28" w:type="dxa"/>
          <w:bottom w:w="28" w:type="dxa"/>
          <w:right w:w="28" w:type="dxa"/>
        </w:tblCellMar>
      </w:tblPr>
      <w:tblGrid>
        <w:gridCol w:w="490"/>
        <w:gridCol w:w="321"/>
        <w:gridCol w:w="323"/>
        <w:gridCol w:w="218"/>
        <w:gridCol w:w="821"/>
        <w:gridCol w:w="285"/>
        <w:gridCol w:w="113"/>
        <w:gridCol w:w="113"/>
        <w:gridCol w:w="113"/>
        <w:gridCol w:w="113"/>
        <w:gridCol w:w="109"/>
        <w:gridCol w:w="214"/>
        <w:gridCol w:w="803"/>
        <w:gridCol w:w="119"/>
        <w:gridCol w:w="109"/>
        <w:gridCol w:w="109"/>
        <w:gridCol w:w="109"/>
        <w:gridCol w:w="109"/>
        <w:gridCol w:w="109"/>
        <w:gridCol w:w="109"/>
        <w:gridCol w:w="109"/>
        <w:gridCol w:w="109"/>
        <w:gridCol w:w="109"/>
        <w:gridCol w:w="209"/>
        <w:gridCol w:w="787"/>
        <w:gridCol w:w="273"/>
        <w:gridCol w:w="229"/>
        <w:gridCol w:w="229"/>
        <w:gridCol w:w="230"/>
        <w:gridCol w:w="196"/>
        <w:gridCol w:w="736"/>
        <w:gridCol w:w="256"/>
        <w:gridCol w:w="229"/>
        <w:gridCol w:w="229"/>
        <w:gridCol w:w="230"/>
        <w:gridCol w:w="196"/>
        <w:gridCol w:w="871"/>
        <w:gridCol w:w="169"/>
      </w:tblGrid>
      <w:tr>
        <w:trPr/>
        <w:tc>
          <w:tcPr>
            <w:tcW w:w="49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3800" w:type="dxa"/>
            <w:gridSpan w:val="12"/>
            <w:tcBorders/>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FORMER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c>
          <w:tcPr>
            <w:tcW w:w="6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324"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9" w:type="dxa"/>
            <w:gridSpan w:val="3"/>
            <w:vMerge w:val="continue"/>
            <w:tcBorders/>
            <w:tcMar>
              <w:top w:w="0" w:type="dxa"/>
              <w:left w:w="0" w:type="dxa"/>
              <w:bottom w:w="0" w:type="dxa"/>
              <w:right w:w="0" w:type="dxa"/>
            </w:tcMar>
            <w:vAlign w:val="center"/>
          </w:tcPr>
          <w:p>
            <w:pPr>
              <w:pStyle w:val="Normal"/>
              <w:bidi w:val="0"/>
              <w:jc w:val="left"/>
              <w:rPr/>
            </w:pPr>
            <w:r>
              <w:rPr/>
            </w:r>
          </w:p>
        </w:tc>
        <w:tc>
          <w:tcPr>
            <w:tcW w:w="688" w:type="dxa"/>
            <w:gridSpan w:val="3"/>
            <w:vMerge w:val="continue"/>
            <w:tcBorders/>
            <w:tcMar>
              <w:top w:w="0" w:type="dxa"/>
              <w:left w:w="0" w:type="dxa"/>
              <w:bottom w:w="0" w:type="dxa"/>
              <w:right w:w="0" w:type="dxa"/>
            </w:tcMar>
            <w:vAlign w:val="center"/>
          </w:tcPr>
          <w:p>
            <w:pPr>
              <w:pStyle w:val="Normal"/>
              <w:bidi w:val="0"/>
              <w:jc w:val="left"/>
              <w:rPr/>
            </w:pPr>
            <w:r>
              <w:rPr/>
            </w:r>
          </w:p>
        </w:tc>
        <w:tc>
          <w:tcPr>
            <w:tcW w:w="196" w:type="dxa"/>
            <w:tcBorders/>
          </w:tcPr>
          <w:p>
            <w:pPr>
              <w:pStyle w:val="TableContents"/>
              <w:bidi w:val="0"/>
              <w:spacing w:before="0" w:after="283"/>
              <w:jc w:val="left"/>
              <w:rPr>
                <w:sz w:val="4"/>
                <w:szCs w:val="4"/>
              </w:rPr>
            </w:pPr>
            <w:r>
              <w:rPr>
                <w:sz w:val="4"/>
                <w:szCs w:val="4"/>
              </w:rPr>
            </w:r>
          </w:p>
        </w:tc>
        <w:tc>
          <w:tcPr>
            <w:tcW w:w="736" w:type="dxa"/>
            <w:tcBorders/>
          </w:tcPr>
          <w:p>
            <w:pPr>
              <w:pStyle w:val="TableContents"/>
              <w:bidi w:val="0"/>
              <w:spacing w:before="0" w:after="283"/>
              <w:jc w:val="left"/>
              <w:rPr>
                <w:sz w:val="4"/>
                <w:szCs w:val="4"/>
              </w:rPr>
            </w:pPr>
            <w:r>
              <w:rPr>
                <w:sz w:val="4"/>
                <w:szCs w:val="4"/>
              </w:rPr>
            </w:r>
          </w:p>
        </w:tc>
        <w:tc>
          <w:tcPr>
            <w:tcW w:w="256" w:type="dxa"/>
            <w:tcBorders/>
          </w:tcPr>
          <w:p>
            <w:pPr>
              <w:pStyle w:val="TableContents"/>
              <w:bidi w:val="0"/>
              <w:spacing w:before="0" w:after="283"/>
              <w:jc w:val="left"/>
              <w:rPr>
                <w:sz w:val="4"/>
                <w:szCs w:val="4"/>
              </w:rPr>
            </w:pPr>
            <w:r>
              <w:rPr>
                <w:sz w:val="4"/>
                <w:szCs w:val="4"/>
              </w:rPr>
            </w:r>
          </w:p>
        </w:tc>
        <w:tc>
          <w:tcPr>
            <w:tcW w:w="688"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tcBorders/>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25, 2022</w:t>
            </w:r>
          </w:p>
        </w:tc>
        <w:tc>
          <w:tcPr>
            <w:tcW w:w="2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430,000 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105,000 </w:t>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835,000 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new debt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payments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(1,128,000)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(1,128,214)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03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785,786 </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new debt</w:t>
            </w:r>
          </w:p>
        </w:tc>
        <w:tc>
          <w:tcPr>
            <w:tcW w:w="103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1,070,000 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1,195,000 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2,265,000 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payments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(1,936,000)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repurchases and conversions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(84,062)</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(84,062)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2024 (1)</w:t>
            </w:r>
          </w:p>
        </w:tc>
        <w:tc>
          <w:tcPr>
            <w:tcW w:w="21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2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2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December 29, 2024 (2)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2029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(1)Subsequent to December 29, 2024, we repaid $140.0 million on our revolving credit facility, primarily with proceeds from the Brazil Sale Transaction.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(2)Interest rate for revolving credit facility represents the weighted average interest rate as of December 29,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we had $474.0 million in available unused borrowing capacity under our revolving credit facility, net of letters of credit of $16.0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Credit Agreement</w:t>
      </w:r>
      <w:r>
        <w:rPr>
          <w:color w:val="000000"/>
        </w:rPr>
        <w:t xml:space="preserve"> </w:t>
      </w:r>
      <w:r>
        <w:rPr>
          <w:rFonts w:ascii="Times New Roman;sans-serif" w:hAnsi="Times New Roman;sans-serif"/>
          <w:b w:val="false"/>
          <w:color w:val="000000"/>
          <w:sz w:val="22"/>
        </w:rPr>
        <w:t>- On</w:t>
      </w:r>
      <w:r>
        <w:rPr>
          <w:color w:val="000000"/>
        </w:rPr>
        <w:t xml:space="preserve"> </w:t>
      </w:r>
      <w:r>
        <w:rPr>
          <w:rFonts w:ascii="Times New Roman;sans-serif" w:hAnsi="Times New Roman;sans-serif"/>
          <w:b w:val="false"/>
          <w:color w:val="000000"/>
          <w:sz w:val="22"/>
        </w:rPr>
        <w:t>September 19, 2024, we and OSI, as co-borrowers, entered into the Third Amended and Restated Credit Agreement (the “Credit Agreement”) which provides for senior secured financing of up to $1.2 billion consisting of a revolving credit facility (the “Senior Secured Credit Facility”). The Senior Secured Credit Facility matures on September 19, 2029 and replaced our prior senior secured financing of up to $1.0 billion (the “Former Credit Facility”). Our total indebtedness and the interest rate applied to our borrowings remained unchanged as a result of the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Note 10 - </w:t>
      </w:r>
      <w:r>
        <w:rPr>
          <w:rFonts w:ascii="Times New Roman;sans-serif" w:hAnsi="Times New Roman;sans-serif"/>
          <w:b w:val="false"/>
          <w:i/>
          <w:color w:val="000000"/>
          <w:sz w:val="22"/>
        </w:rPr>
        <w:t xml:space="preserve">Long-term Debt, Net </w:t>
      </w:r>
      <w:r>
        <w:rPr>
          <w:rFonts w:ascii="Times New Roman;sans-serif" w:hAnsi="Times New Roman;sans-serif"/>
          <w:b w:val="false"/>
          <w:color w:val="000000"/>
          <w:sz w:val="22"/>
        </w:rPr>
        <w:t>of the notes to Consolidated Financial Statements for additional details regarding the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and December 31, 2023,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2025 Notes Partial Repurchase</w:t>
      </w:r>
      <w:r>
        <w:rPr>
          <w:color w:val="000000"/>
        </w:rPr>
        <w:t xml:space="preserve"> </w:t>
      </w:r>
      <w:r>
        <w:rPr>
          <w:rFonts w:ascii="Times New Roman;sans-serif" w:hAnsi="Times New Roman;sans-serif"/>
          <w:b w:val="false"/>
          <w:color w:val="000000"/>
          <w:sz w:val="22"/>
        </w:rPr>
        <w:t xml:space="preserve">- On February 29, 2024, we and certain holders entered into exchange agreements (the “2024 Exchange Agreements”) in which the holders agreed to exchange $83.6 million in aggregate principal amount of our outstanding 2025 Notes for approximately 7.5 million shares of our common stock and $3.3 million in cash, including accrued interest (the “Second 2025 Notes Partial Repurchase”).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Convertible Note Hedge and Warrant Transactions</w:t>
      </w:r>
      <w:r>
        <w:rPr>
          <w:color w:val="000000"/>
        </w:rPr>
        <w:t xml:space="preserve"> </w:t>
      </w:r>
      <w:r>
        <w:rPr>
          <w:rFonts w:ascii="Times New Roman;sans-serif" w:hAnsi="Times New Roman;sans-serif"/>
          <w:b w:val="false"/>
          <w:color w:val="000000"/>
          <w:sz w:val="22"/>
        </w:rPr>
        <w:t xml:space="preserve">- In connection with the Second 2025 Notes Partial Repurchase, we entered into partial unwind agreements with certain financial institutions relating to a portion of the convertible note hedge transactions (the “2024 Note Hedge Early Termination Agreements”) and a portion of the Warrant Transactions (the “2024 Warrant Early Termination Agreements”) that we previously entered into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with the issuance of the 2025 Notes. Upon settlement, we received a termination payment which consisted of approximately $118.2 million in cash and 0.3 million shares of our common stock for the note hedges and we made a termination payment in an aggregate amount of approximately $102.2 million in cash for the warrants.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See Note 11 -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of the Notes to Consolidated Financial Statements for additional details regarding the Second 2025 Notes Partial Repurchase and related 2024 Note Hedge Early Termination Agreements and 2024 Warrant Early Termination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development of new restaurants, remodeling older restaurants or relocating, investments in technology and dividend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29" w:name="i2ea9c30cf210402eb0ecc6ff78d27585_2252"/>
      <w:bookmarkEnd w:id="29"/>
      <w:r>
        <w:rPr>
          <w:rFonts w:ascii="Times New Roman;sans-serif" w:hAnsi="Times New Roman;sans-serif"/>
          <w:b w:val="false"/>
          <w:i/>
          <w:color w:val="000000"/>
          <w:sz w:val="22"/>
        </w:rPr>
        <w:t xml:space="preserve">Brazil Sale Transaction - </w:t>
      </w:r>
      <w:r>
        <w:rPr>
          <w:rFonts w:ascii="Times New Roman;sans-serif" w:hAnsi="Times New Roman;sans-serif"/>
          <w:b w:val="false"/>
          <w:color w:val="000000"/>
          <w:sz w:val="22"/>
        </w:rPr>
        <w:t>On December 30, 2024 we received cash proceeds, net of withheld income taxes, of $103.9 million, in U.S. dollars based on the exchange rate on the closing date, representing 52% of total proceeds from the Brazil Sale Transaction, and applied the proceeds to our revolving credit facility during the thirteen weeks ended March 30, 2025. The second installment payment, representing 48% of total proceeds from the Brazil Sale Transaction, is due on December 30, 2025, which we also anticipate applying towards the revolving credit facility. The remaining 33% ownership interest is subject to a put-call mechanism contained in the shareholders agreement whereby the buyer may cause us to sell or we may cause the buyer to purchase the totality of the remaining interest during the fourth quarter of 2028 at a multiple of earnings defined in the shareholders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2024, we received $15.1 million of cash in connection with forward currency exchange contracts entered into concurrently with the Brazil Sale Transaction to hedge a portion of the foreign currency risk of the related purchase price installment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Capital Expenditures</w:t>
      </w:r>
      <w:r>
        <w:rPr>
          <w:color w:val="000000"/>
        </w:rPr>
        <w:t xml:space="preserve"> </w:t>
      </w:r>
      <w:r>
        <w:rPr>
          <w:rFonts w:ascii="Times New Roman;sans-serif" w:hAnsi="Times New Roman;sans-serif"/>
          <w:b w:val="false"/>
          <w:color w:val="000000"/>
          <w:sz w:val="22"/>
        </w:rPr>
        <w:t>- We estimate that our capital expenditures will total approximately $190 million to $210 million in 2025. The amount of actual capital expenditures may be affected by general economic, financial, competitive, legislative and regulatory factors, among other things, including raw material constraints.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 xml:space="preserve">- During 2024 and 2023, we declared and paid quarterly cash dividends of $0.24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2025, our Board declared a quarterly cash dividend of $0.15 per share, payable on March 26, 2025.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our share repurchase programs active during the periods presented as of December 29, 2024 (dollars in thousands):</w:t>
      </w:r>
    </w:p>
    <w:tbl>
      <w:tblPr>
        <w:tblW w:w="10205" w:type="dxa"/>
        <w:jc w:val="left"/>
        <w:tblInd w:w="0" w:type="dxa"/>
        <w:tblLayout w:type="fixed"/>
        <w:tblCellMar>
          <w:top w:w="28" w:type="dxa"/>
          <w:left w:w="28" w:type="dxa"/>
          <w:bottom w:w="28" w:type="dxa"/>
          <w:right w:w="28" w:type="dxa"/>
        </w:tblCellMar>
      </w:tblPr>
      <w:tblGrid>
        <w:gridCol w:w="666"/>
        <w:gridCol w:w="585"/>
        <w:gridCol w:w="587"/>
        <w:gridCol w:w="109"/>
        <w:gridCol w:w="109"/>
        <w:gridCol w:w="109"/>
        <w:gridCol w:w="487"/>
        <w:gridCol w:w="487"/>
        <w:gridCol w:w="488"/>
        <w:gridCol w:w="109"/>
        <w:gridCol w:w="109"/>
        <w:gridCol w:w="109"/>
        <w:gridCol w:w="231"/>
        <w:gridCol w:w="870"/>
        <w:gridCol w:w="130"/>
        <w:gridCol w:w="109"/>
        <w:gridCol w:w="109"/>
        <w:gridCol w:w="109"/>
        <w:gridCol w:w="257"/>
        <w:gridCol w:w="965"/>
        <w:gridCol w:w="144"/>
        <w:gridCol w:w="109"/>
        <w:gridCol w:w="109"/>
        <w:gridCol w:w="109"/>
        <w:gridCol w:w="315"/>
        <w:gridCol w:w="1038"/>
        <w:gridCol w:w="176"/>
        <w:gridCol w:w="109"/>
        <w:gridCol w:w="109"/>
        <w:gridCol w:w="109"/>
        <w:gridCol w:w="224"/>
        <w:gridCol w:w="740"/>
        <w:gridCol w:w="180"/>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BOARD APPROVAL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CANCELLED OR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8,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3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253,195 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471"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our dividends and share repurchases for the periods indicated:</w:t>
      </w:r>
    </w:p>
    <w:tbl>
      <w:tblPr>
        <w:tblW w:w="6838" w:type="dxa"/>
        <w:jc w:val="left"/>
        <w:tblInd w:w="0" w:type="dxa"/>
        <w:tblLayout w:type="fixed"/>
        <w:tblCellMar>
          <w:top w:w="28" w:type="dxa"/>
          <w:left w:w="28" w:type="dxa"/>
          <w:bottom w:w="28" w:type="dxa"/>
          <w:right w:w="28" w:type="dxa"/>
        </w:tblCellMar>
      </w:tblPr>
      <w:tblGrid>
        <w:gridCol w:w="607"/>
        <w:gridCol w:w="535"/>
        <w:gridCol w:w="537"/>
        <w:gridCol w:w="276"/>
        <w:gridCol w:w="1040"/>
        <w:gridCol w:w="154"/>
        <w:gridCol w:w="109"/>
        <w:gridCol w:w="109"/>
        <w:gridCol w:w="109"/>
        <w:gridCol w:w="366"/>
        <w:gridCol w:w="1378"/>
        <w:gridCol w:w="205"/>
        <w:gridCol w:w="109"/>
        <w:gridCol w:w="109"/>
        <w:gridCol w:w="109"/>
        <w:gridCol w:w="196"/>
        <w:gridCol w:w="73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2024</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265,695 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2023</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166,316 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335,695 </w:t>
            </w:r>
          </w:p>
        </w:tc>
        <w:tc>
          <w:tcPr>
            <w:tcW w:w="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502,011 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ability to pay dividends and make share repurchases is dependent on our ability to obtain funds from our subsidiaries, continued compliance with the financial covenants in our debt agreements and the existence of surplus, as well as our earnings, financial condition, capital expenditure requirements and other factors that our Board deems relevant.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Material Cash Requirements</w:t>
      </w:r>
      <w:r>
        <w:rPr>
          <w:color w:val="000000"/>
        </w:rPr>
        <w:t xml:space="preserve"> </w:t>
      </w:r>
      <w:r>
        <w:rPr>
          <w:rFonts w:ascii="Times New Roman;sans-serif" w:hAnsi="Times New Roman;sans-serif"/>
          <w:b w:val="false"/>
          <w:color w:val="000000"/>
          <w:sz w:val="22"/>
        </w:rPr>
        <w:t>- The following table presents current and long-term material cash requirements as of December 29, 2024:</w:t>
      </w:r>
    </w:p>
    <w:tbl>
      <w:tblPr>
        <w:tblW w:w="8772" w:type="dxa"/>
        <w:jc w:val="left"/>
        <w:tblInd w:w="0" w:type="dxa"/>
        <w:tblLayout w:type="fixed"/>
        <w:tblCellMar>
          <w:top w:w="28" w:type="dxa"/>
          <w:left w:w="28" w:type="dxa"/>
          <w:bottom w:w="28" w:type="dxa"/>
          <w:right w:w="28" w:type="dxa"/>
        </w:tblCellMar>
      </w:tblPr>
      <w:tblGrid>
        <w:gridCol w:w="667"/>
        <w:gridCol w:w="588"/>
        <w:gridCol w:w="590"/>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214"/>
        <w:gridCol w:w="803"/>
        <w:gridCol w:w="168"/>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 YEARS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 (1)</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1,188,431 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322,831 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461,138 </w:t>
            </w:r>
          </w:p>
        </w:tc>
        <w:tc>
          <w:tcPr>
            <w:tcW w:w="16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obligations (4)</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obligations (5)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2,740,816 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381,358 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486,165 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1,377,333 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495,960 </w:t>
            </w:r>
          </w:p>
        </w:tc>
        <w:tc>
          <w:tcPr>
            <w:tcW w:w="1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(1)Amounts represent undiscounted future minimum rental commitments under non-cancelable operating leases. Excludes $988.4 million related to operating lease renewal options that are reasonably certain of exercise.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Senior Secured Credit Facility, 2029 Notes and 2025 Notes. Amounts are not reduced by unamortized debt issuance costs totaling $3.3 million.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(3)Projected future interest payments on long-term debt are based on interest rates in effect as of December 29, 2024. Estimated interest expense includes the impact of variable-to-fixed interest rate swap agreements.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technology, store-level services and fixtures and equipment.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(5)Includes other long-term liabilities, primarily consisting of deferred compensation obligations, deposits, undiscounted finance leases and other accrued obligations. Future indemnification obligations in connection with the Brazil Sale Transaction, subject to a cap under the terms of the related purchase agreement, and unrecognized tax benefits are excluded from this table since it is not possible to estimate when these future payments may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pPr>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60" w:after="283"/>
        <w:jc w:val="center"/>
        <w:rPr/>
      </w:pPr>
      <w:r>
        <w:rPr/>
        <w:drawing>
          <wp:inline distT="0" distB="0" distL="0" distR="0">
            <wp:extent cx="6486525" cy="2647950"/>
            <wp:effectExtent l="0" t="0" r="0" b="0"/>
            <wp:docPr id="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 descr=""/>
                    <pic:cNvPicPr>
                      <a:picLocks noChangeAspect="1" noChangeArrowheads="1"/>
                    </pic:cNvPicPr>
                  </pic:nvPicPr>
                  <pic:blipFill>
                    <a:blip r:embed="rId4"/>
                    <a:stretch>
                      <a:fillRect/>
                    </a:stretch>
                  </pic:blipFill>
                  <pic:spPr bwMode="auto">
                    <a:xfrm>
                      <a:off x="0" y="0"/>
                      <a:ext cx="6486525" cy="2647950"/>
                    </a:xfrm>
                    <a:prstGeom prst="rect">
                      <a:avLst/>
                    </a:prstGeom>
                  </pic:spPr>
                </pic:pic>
              </a:graphicData>
            </a:graphic>
          </wp:inline>
        </w:drawing>
      </w:r>
    </w:p>
    <w:p>
      <w:pPr>
        <w:pStyle w:val="TextBody"/>
        <w:bidi w:val="0"/>
        <w:spacing w:lineRule="auto" w:line="288" w:before="0" w:after="0"/>
        <w:jc w:val="both"/>
        <w:rPr/>
      </w:pPr>
      <w:r>
        <w:rPr>
          <w:rFonts w:ascii="Times New Roman;sans-serif" w:hAnsi="Times New Roman;sans-serif"/>
          <w:b w:val="false"/>
          <w:i/>
          <w:color w:val="000000"/>
          <w:sz w:val="22"/>
        </w:rPr>
        <w:t xml:space="preserve">Operating activities - </w:t>
      </w:r>
      <w:r>
        <w:rPr>
          <w:rFonts w:ascii="Times New Roman;sans-serif" w:hAnsi="Times New Roman;sans-serif"/>
          <w:b w:val="false"/>
          <w:color w:val="000000"/>
          <w:sz w:val="22"/>
        </w:rPr>
        <w:t>The decrease in net cash provided by operating activities during 2024 as compared to 2023 was primarily due to lower net earnings and changes in working capital.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increase in net cash provided by operating activities during 2023 as compared to 2022 was primarily due to: (i) higher net earnings, (ii) decreased employee compensation payments and (iii) lower income tax payments. These increases were partially offset by higher rent and interest payments.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Investing activities - </w:t>
      </w:r>
      <w:r>
        <w:rPr>
          <w:rFonts w:ascii="Times New Roman;sans-serif" w:hAnsi="Times New Roman;sans-serif"/>
          <w:b w:val="false"/>
          <w:color w:val="000000"/>
          <w:sz w:val="22"/>
        </w:rPr>
        <w:t>The decrease in net cash used in investing activities during 2024 as compared to 2023 was primarily due to lower capital expenditures and receipt of proceeds from foreign exchange forward contracts</w:t>
      </w:r>
      <w:r>
        <w:rPr>
          <w:rFonts w:ascii="Times New Roman;sans-serif" w:hAnsi="Times New Roman;sans-serif"/>
          <w:b w:val="false"/>
          <w:i/>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increase in net cash used in investing activities during 2023 as compared to 2022 was primarily due to higher capital expenditures and a decrease in cash withdrawn from Company-owned life insurance policies</w:t>
      </w:r>
      <w:r>
        <w:rPr>
          <w:rFonts w:ascii="Times New Roman;sans-serif" w:hAnsi="Times New Roman;sans-serif"/>
          <w:b w:val="false"/>
          <w:i/>
          <w:color w:val="000000"/>
          <w:sz w:val="22"/>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 xml:space="preserve">The decrease in net cash used in financing activities during 2024 as compared to 2023 was primarily due to higher net draws on the revolving credit facility and net cash received from the 2024 Note Hedge Early Termination Agreements, partially offset by higher repurchases of common stock and lower net proceeds from share-based compensation.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decrease in net cash used in financing activities during 2023 as compared to 2022 was primarily due to: (i) a decrease in repurchases of common stock, (ii) higher net proceeds from share-based compensation and (iii) partner equity plan payments during 2022. These decreases were partially offset by higher payments of cash dividends on our common stock and increased repayments on our debt.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636" w:type="dxa"/>
        <w:jc w:val="center"/>
        <w:tblInd w:w="0" w:type="dxa"/>
        <w:tblLayout w:type="fixed"/>
        <w:tblCellMar>
          <w:top w:w="28" w:type="dxa"/>
          <w:left w:w="28" w:type="dxa"/>
          <w:bottom w:w="28" w:type="dxa"/>
          <w:right w:w="28" w:type="dxa"/>
        </w:tblCellMar>
      </w:tblPr>
      <w:tblGrid>
        <w:gridCol w:w="667"/>
        <w:gridCol w:w="588"/>
        <w:gridCol w:w="590"/>
        <w:gridCol w:w="300"/>
        <w:gridCol w:w="1243"/>
        <w:gridCol w:w="167"/>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320,519 </w:t>
            </w:r>
          </w:p>
        </w:tc>
        <w:tc>
          <w:tcPr>
            <w:tcW w:w="16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343,314 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1,002,335 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3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(631,817)</w:t>
            </w:r>
          </w:p>
        </w:tc>
        <w:tc>
          <w:tcPr>
            <w:tcW w:w="1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(659,021)</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Working capital (deficit) includes: (i) Unearned revenue primarily from unredeemed gift cards of $374.1 million and $380.2 million as of December 29, 2024 and December 31, 2023, respectively, and (ii) current operating lease liabilities of $158.8 million and $163.7 million as of December 29, 2024 and December 31, 2023,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w:t>
      </w:r>
      <w:bookmarkStart w:id="30" w:name="i093530e805664758b371295173b1b8eb_1036"/>
      <w:bookmarkEnd w:id="30"/>
      <w:r>
        <w:rPr>
          <w:rFonts w:ascii="Times New Roman;sans-serif" w:hAnsi="Times New Roman;sans-serif"/>
          <w:b w:val="false"/>
          <w:color w:val="000000"/>
          <w:sz w:val="22"/>
        </w:rPr>
        <w:t>gations and to make capital expenditures.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Impairment or Disposal of Long-Lived Assets - </w:t>
      </w:r>
      <w:r>
        <w:rPr>
          <w:rFonts w:ascii="Times New Roman;sans-serif" w:hAnsi="Times New Roman;sans-serif"/>
          <w:b w:val="false"/>
          <w:color w:val="000000"/>
          <w:sz w:val="22"/>
        </w:rPr>
        <w:t>Long-lived assets are reviewed for impairment whenever events or changes in circumstances 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 These estimates are subjective and our ability to realize future cash flows and asset fair values is affected by factors such as the period of time the restaurant has been open, ongoing maintenance and improvement of the assets, changes in economic conditions and changes in our operating performance. Historically, the change in useful lives of our assets as a result of planned closures or the decision not to renew leases has been a key factor in the impairment we have recognized.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Goodwill and Indefinite-Lived Intangible Assets - </w:t>
      </w:r>
      <w:r>
        <w:rPr>
          <w:rFonts w:ascii="Times New Roman;sans-serif" w:hAnsi="Times New Roman;sans-serif"/>
          <w:b w:val="false"/>
          <w:color w:val="000000"/>
          <w:sz w:val="22"/>
        </w:rPr>
        <w:t xml:space="preserve">Goodwill and indefinite-lived intangible assets are not subject to amortization and are tested for impairment annually in the second fiscal quarter, or whenever events or changes in circumstances indicate that the carrying amount may not be recoverable.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 Any adverse change in these factors could have a significant impact on the recoverability of assets and could have a material impact on our consolidated financial statements.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the qualitative assessment is not performed or if we determine that it is not more likely than not that the fair value of the reporting unit exceeds the carrying value, a quantitative approach, using the fair value of the reporting unit, is calculated. Fair value of a reporting unit is the price a willing buyer would pay for the reporting unit and is estimated by utilizing a weighted average of the income approach, using a discounted cash flow model, and, when appropriate, the market approach including the guideline public company method and guideline transaction method. The key estimates and assumptions used in this assessment are future cash flow estimates, which are heavily influenced by revenue growth rates, operating margins and capital expenditures. These estimates are subjective, and our ability to achieve the forecasted cash flows used in our fair value calculations is affected by factors such as the success of strategic initiatives, changes in economic conditions and discount rates, changes in our operating performance and changes in our business strategies.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estimate the fair value of trade names using the relief-from-royalty method, which requires assumptions related to projected sales for each reporting unit, assumed market royalty rates applicable to the trade names, and discount rates.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carrying value of the reporting unit or trade name is compared to its estimated fair value, with any excess of carrying value over fair value deemed to be an impairment.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carrying value of goodwill and trade names as of December 29, 2024 was $213.3 million and $414.7 million, respectively. We performed our annual impairment test in the second quarter of 2024 by utilizing the qualitative approach and determined that there were no events or circumstances to indicate that it was more likely than not that the fair value of any of our reporting units was less than their carrying values.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impairment of a portion or all of our goodwill or other intangible assets.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Leases - </w:t>
      </w:r>
      <w:r>
        <w:rPr>
          <w:rFonts w:ascii="Times New Roman;sans-serif" w:hAnsi="Times New Roman;sans-serif"/>
          <w:b w:val="false"/>
          <w:color w:val="000000"/>
          <w:sz w:val="22"/>
        </w:rPr>
        <w:t xml:space="preserve">We use judgment at lease inception to determine the reasonably certain lease term, which in turn, impacts the applicable incremental borrowing rate (“IBR”) used to calculate the initial lease liability for each portfolio of leases. Other assumptions used in determining our incremental borrowing rate include our implied credit rating and an estimate of secured borrowing rates based on comparable market data. We determined the present value of the lease liabilities by using a country specific IBR and applying a single rate to the respective portfolio of leases based on term, regardless of the underlying asset type.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reasonably certain lease term used in the evaluation of new leases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 the inception of each lease, we evaluate the property and the lease to determine whether the lease is an operating lease or a finance lease. This lease accounting evaluation may require significant judgment in determining the fair value and useful life of the leased property and the appropriate reasonably certain lease term. Determination of the reasonably certain lease term impacts the period in which buildings are depreciated. These judgments may produce materially different amounts of rent and depreciation expense in a given reporting period than would be reported if different assumed lease terms were used.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Insurance Reserves - </w:t>
      </w:r>
      <w:r>
        <w:rPr>
          <w:rFonts w:ascii="Times New Roman;sans-serif" w:hAnsi="Times New Roman;sans-serif"/>
          <w:b w:val="false"/>
          <w:color w:val="000000"/>
          <w:sz w:val="22"/>
        </w:rPr>
        <w:t>We carry insurance programs with specific retention levels or high per-claim deductibles for a significant portion of expected losses under our workers’ compensation, general or liquor liability, health, property and management liability insurance programs. For some programs, we maintain stop-loss coverage to limit the exposure relating to certain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record a liability for all unresolved and incurred but not reported claims at the anticipated cost below our specified retention levels or per-claim deductible amounts. Our liability for insurance claims was $53.0 million and $45.9 million as of December 29, 2024 and December 31, 2023, respectively. In establishing our reserves, we consider certain actuarial assumptions and judgments regarding economic conditions, and the frequency and severity of claims. The establishment of the reserves utilizing such estimates and assumptions is in part based on the premise that historical claims experience is indicative of current or future expected activity, which could differ significantly. Reserves recorded for workers’ compensation and general or liquor liability claims are discounted using the average of the one-year and five-year risk-free rate of monetary assets that have comparable maturities.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actual results are not consistent with our estimates or assumptions, we may be exposed to losses or gains that could be material. A 50 basis point change in the discount rate in our insurance claim liabilities as of December 29, 2024, would have affected net earnings by $0.6 million in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Income Taxes - </w:t>
      </w:r>
      <w:r>
        <w:rPr>
          <w:rFonts w:ascii="Times New Roman;sans-serif" w:hAnsi="Times New Roman;sans-serif"/>
          <w:b w:val="false"/>
          <w:color w:val="000000"/>
          <w:sz w:val="22"/>
        </w:rPr>
        <w:t>Deferred tax assets and liabilities are recognized based on the differences between the financial statement carrying amounts of 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29, 2024,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as well as the Company’s inability to generate sufficient future taxable income.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and litigation, may materially impact the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While we consider all of our tax positions to be fully supportable, 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could require the use of cash and an increase in the amount of income tax expense we recognize. As of December 29, 2024, we had $17.1 million of unrecognized tax benefits, including accrued interest and penalties, that if recognized, would impact our effective income tax rate.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31" w:name="iddbcfd32f3dc4a8dbd3c5ce7fd2890e4_348"/>
      <w:bookmarkEnd w:id="31"/>
      <w:r>
        <w:rPr>
          <w:rFonts w:ascii="Times New Roman;sans-serif" w:hAnsi="Times New Roman;sans-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in 2024 and, that are applicable to us and likely to have material effect on our consolidated financial statements, but have not yet been adopted, see Note 2 - </w:t>
      </w:r>
      <w:r>
        <w:rPr>
          <w:rFonts w:ascii="Times New Roman;sans-serif" w:hAnsi="Times New Roman;sans-serif"/>
          <w:b w:val="false"/>
          <w:i/>
          <w:color w:val="000000"/>
          <w:sz w:val="22"/>
        </w:rPr>
        <w:t>Summary of Significant Accounting Policies</w:t>
      </w:r>
      <w:r>
        <w:rPr>
          <w:color w:val="000000"/>
        </w:rPr>
        <w:t xml:space="preserve"> </w:t>
      </w:r>
      <w:r>
        <w:rPr>
          <w:rFonts w:ascii="Times New Roman;sans-serif" w:hAnsi="Times New Roman;sans-serif"/>
          <w:b w:val="false"/>
          <w:color w:val="000000"/>
          <w:sz w:val="22"/>
        </w:rPr>
        <w:t>of the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left"/>
        <w:rPr>
          <w:rFonts w:ascii="Times New Roman;sans-serif" w:hAnsi="Times New Roman;sans-serif"/>
          <w:b/>
          <w:color w:val="000000"/>
          <w:sz w:val="22"/>
        </w:rPr>
      </w:pPr>
      <w:bookmarkStart w:id="32" w:name="i234d293a593c4e7e9f5dbb9329c3b79a_209"/>
      <w:bookmarkEnd w:id="32"/>
      <w:r>
        <w:rPr>
          <w:rFonts w:ascii="Times New Roman;sans-serif" w:hAnsi="Times New Roman;sans-serif"/>
          <w:b/>
          <w:color w:val="000000"/>
          <w:sz w:val="22"/>
        </w:rPr>
        <w:t>Item 7A. Quantitative and Qualitative Disclosures about Market Risk</w:t>
      </w:r>
    </w:p>
    <w:p>
      <w:pPr>
        <w:pStyle w:val="TextBody"/>
        <w:bidi w:val="0"/>
        <w:spacing w:before="0" w:after="0"/>
        <w:ind w:left="0" w:right="0" w:firstLine="855"/>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are exposed to market risk from changes in commodity prices, labor inflation, interest rates and foreign currency exchange rates.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Commodity Pricing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As of December 29, 2024, approximately 80% of our estimated 2025 annual food purchases are covered by fixed contracts, most of which are scheduled to expire during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2024, we experienced 1.1% commodity inflation in the U.S. and anticipate 2.5% to 3.5% commodity inflation for 2025. Extreme changes in commodity prices or long-term changes could affect our financial results adversely. Currently we do not use financial instruments to hedge our commodity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18 -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for further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Labor Inflation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restaurant operations are subject to federal and state minimum wage and other laws governing such matters as working conditions, overtime and tip credits. A significant number of our restaurant team members are paid at rates related to the federal and/or state minimum wage and, accordingly, increases in the minimum wage increase our labor costs. During 2024, we experienced 3.7% labor cost inflation in the U.S and anticipate 4.0% to 5.0% labor cost inflation for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interest rate risk management objective is to limit the impact of interest rate changes on earnings and cash flows by targeting an appropriate mix of variable and fixed-rate debt. We manage our exposure to market risk through regular operating and financing activities, using a combination of fixed-rate and variable-rate debt, and when deemed appropriate, through the use of derivative financial instruments. The amount of variable-rate debt fluctuates during the year based on our working capital requirements. As of December 29, 2024, our interest rate risk was primarily from variable interest rate changes on our revolving credit facility.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We periodically evaluate financial instruments to hedge our exposure to variable interest rates. We use derivative financial instruments as risk management tools and not for speculative purposes. To manage the risk of fluctuations in variable interest rate debt, we have interest rate swaps with an aggregate notional amount of $375.0 million, with $100.0 million maturing on December 31, 2024, $100.0 million maturing on December 31, 2025, and $175.0 million maturing March 31, 2026.</w:t>
      </w:r>
      <w:r>
        <w:rPr>
          <w:color w:val="252525"/>
        </w:rPr>
        <w:t xml:space="preserve"> </w:t>
      </w:r>
      <w:r>
        <w:rPr>
          <w:rFonts w:ascii="Times New Roman;sans-serif" w:hAnsi="Times New Roman;sans-serif"/>
          <w:b w:val="false"/>
          <w:color w:val="000000"/>
          <w:sz w:val="22"/>
        </w:rPr>
        <w:t xml:space="preserve">See Note 13 - </w:t>
      </w:r>
      <w:r>
        <w:rPr>
          <w:rFonts w:ascii="Times New Roman;sans-serif" w:hAnsi="Times New Roman;sans-serif"/>
          <w:b w:val="false"/>
          <w:i/>
          <w:color w:val="000000"/>
          <w:sz w:val="22"/>
        </w:rPr>
        <w:t>Derivative Instruments and Hedging Activities</w:t>
      </w:r>
      <w:r>
        <w:rPr>
          <w:color w:val="000000"/>
        </w:rPr>
        <w:t xml:space="preserve"> </w:t>
      </w:r>
      <w:r>
        <w:rPr>
          <w:rFonts w:ascii="Times New Roman;sans-serif" w:hAnsi="Times New Roman;sans-serif"/>
          <w:b w:val="false"/>
          <w:color w:val="000000"/>
          <w:sz w:val="22"/>
        </w:rPr>
        <w:t>of the Notes to Consolidated Financial Statements for further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utilize valuation models to estimate the effects of changing interest rates. The following table summarizes the changes to fair value and interest expense under a shock scenario. This analysis assumes that interest rates change suddenly, as an interest rate “shock”, and continue to increase or decrease at a consistent level above or below the SOFR curve.</w:t>
      </w:r>
    </w:p>
    <w:tbl>
      <w:tblPr>
        <w:tblW w:w="5383" w:type="dxa"/>
        <w:jc w:val="left"/>
        <w:tblInd w:w="0" w:type="dxa"/>
        <w:tblLayout w:type="fixed"/>
        <w:tblCellMar>
          <w:top w:w="28" w:type="dxa"/>
          <w:left w:w="28" w:type="dxa"/>
          <w:bottom w:w="28" w:type="dxa"/>
          <w:right w:w="28" w:type="dxa"/>
        </w:tblCellMar>
      </w:tblPr>
      <w:tblGrid>
        <w:gridCol w:w="1111"/>
        <w:gridCol w:w="980"/>
        <w:gridCol w:w="983"/>
        <w:gridCol w:w="215"/>
        <w:gridCol w:w="610"/>
        <w:gridCol w:w="121"/>
        <w:gridCol w:w="109"/>
        <w:gridCol w:w="109"/>
        <w:gridCol w:w="109"/>
        <w:gridCol w:w="220"/>
        <w:gridCol w:w="642"/>
        <w:gridCol w:w="174"/>
      </w:tblGrid>
      <w:tr>
        <w:trPr/>
        <w:tc>
          <w:tcPr>
            <w:tcW w:w="111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DECREASE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fair value (1):</w:t>
            </w:r>
          </w:p>
        </w:tc>
        <w:tc>
          <w:tcPr>
            <w:tcW w:w="9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Change in annual interest expense (1):</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rate debt</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(1)The potential change from a hypothetical 200 basis point increase (decrease) in short-term interest rates.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bookmarkStart w:id="33" w:name="i9933aea721c54997b252a441c80a2788_6308"/>
      <w:bookmarkEnd w:id="33"/>
      <w:r>
        <w:rPr>
          <w:rFonts w:ascii="Times New Roman;sans-serif" w:hAnsi="Times New Roman;sans-serif"/>
          <w:b/>
          <w:color w:val="000000"/>
          <w:sz w:val="22"/>
        </w:rPr>
        <w:t>Foreign Currency Exchange Rate Risk</w:t>
      </w:r>
    </w:p>
    <w:p>
      <w:pPr>
        <w:pStyle w:val="TextBody"/>
        <w:bidi w:val="0"/>
        <w:spacing w:before="0" w:after="0"/>
        <w:ind w:left="0" w:right="0" w:firstLine="855"/>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subject to foreign currency exchange risk. To manage a portion of our exchange rate risk, we entered into foreign currency forward contracts during 2024 to partially offset the foreign currency exchange gains and losses generated by the rate risk associated with the purchase price installment payments from the Brazil Sale Transaction. We recorded gains of $15.7 million as a result of changes in the fair value of foreign currency forward contracts during fiscal year 2024. As of December 29, 2024, the fair value of the derivative instruments was $0.3 million in an asset position.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our total notional amount of outstanding foreign currency forward contracts was $184.6 million. Subsequent to December 29, 2024, the outstanding notional amount decreased to $107.7 million following the collection of the first installment payment from the Brazil Sale Transaction. A hypothetical 10% increase or decrease in the Brazilian Real relative to the U.S. dollar for the remaining $107.7 million notional amount would result in a corresponding increase or decrease of approximately $8.4 million or $(10.2) million, respectively, in operating income with a corresponding decrease or increase in the U.S. dollar value of the hedged portion of the related receivable.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market risk discussion contains forward-looking statements. Actual results may differ materially from the discussion based upon general market conditions and changes in U.S. and global financ</w:t>
      </w:r>
      <w:bookmarkStart w:id="34" w:name="if64b853b82044502bce336be3f87b159_212"/>
      <w:bookmarkEnd w:id="34"/>
      <w:r>
        <w:rPr>
          <w:rFonts w:ascii="Times New Roman;sans-serif" w:hAnsi="Times New Roman;sans-serif"/>
          <w:b w:val="false"/>
          <w:color w:val="000000"/>
          <w:sz w:val="22"/>
        </w:rPr>
        <w:t>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left"/>
        <w:rPr>
          <w:rFonts w:ascii="Times New Roman;sans-serif" w:hAnsi="Times New Roman;sans-serif"/>
          <w:b/>
          <w:color w:val="000000"/>
          <w:sz w:val="22"/>
        </w:rPr>
      </w:pPr>
      <w:bookmarkStart w:id="35" w:name="i787babad03314a7a96ef1906dd5b1ed2_91"/>
      <w:bookmarkEnd w:id="35"/>
      <w:r>
        <w:rPr>
          <w:rFonts w:ascii="Times New Roman;sans-serif" w:hAnsi="Times New Roman;sans-serif"/>
          <w:b/>
          <w:color w:val="000000"/>
          <w:sz w:val="22"/>
        </w:rPr>
        <w:t>Item 8. Financial Statements and Supplementary Data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INDEX TO FINANCIAL INFORMATION</w:t>
      </w:r>
    </w:p>
    <w:tbl>
      <w:tblPr>
        <w:tblW w:w="8385" w:type="dxa"/>
        <w:jc w:val="center"/>
        <w:tblInd w:w="0" w:type="dxa"/>
        <w:tblLayout w:type="fixed"/>
        <w:tblCellMar>
          <w:top w:w="28" w:type="dxa"/>
          <w:left w:w="28" w:type="dxa"/>
          <w:bottom w:w="28" w:type="dxa"/>
          <w:right w:w="28" w:type="dxa"/>
        </w:tblCellMar>
      </w:tblPr>
      <w:tblGrid>
        <w:gridCol w:w="2674"/>
        <w:gridCol w:w="2350"/>
        <w:gridCol w:w="2356"/>
        <w:gridCol w:w="294"/>
        <w:gridCol w:w="294"/>
        <w:gridCol w:w="417"/>
      </w:tblGrid>
      <w:tr>
        <w:trPr/>
        <w:tc>
          <w:tcPr>
            <w:tcW w:w="2674"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 NO.</w:t>
            </w:r>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60">
              <w:r>
                <w:rPr>
                  <w:rStyle w:val="InternetLink"/>
                  <w:rFonts w:ascii="Times New Roman;sans-serif" w:hAnsi="Times New Roman;sans-serif"/>
                  <w:b w:val="false"/>
                  <w:color w:val="0000FF"/>
                  <w:sz w:val="22"/>
                  <w:u w:val="single"/>
                </w:rPr>
                <w:t>Management’s Annual Report on Internal Control over Financial Reporting</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60">
              <w:r>
                <w:rPr>
                  <w:rStyle w:val="InternetLink"/>
                  <w:rFonts w:ascii="Times New Roman;sans-serif" w:hAnsi="Times New Roman;sans-serif"/>
                  <w:b w:val="false"/>
                  <w:color w:val="0000FF"/>
                  <w:sz w:val="22"/>
                  <w:u w:val="single"/>
                </w:rPr>
                <w:t>57</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63">
              <w:r>
                <w:rPr>
                  <w:rStyle w:val="InternetLink"/>
                  <w:rFonts w:ascii="Times New Roman;sans-serif" w:hAnsi="Times New Roman;sans-serif"/>
                  <w:b w:val="false"/>
                  <w:color w:val="0000FF"/>
                  <w:sz w:val="22"/>
                  <w:u w:val="single"/>
                </w:rPr>
                <w:t>Report of Independent Registered Public Accounting Firm</w:t>
              </w:r>
            </w:hyperlink>
            <w:r>
              <w:rPr>
                <w:color w:val="000000"/>
              </w:rPr>
              <w:t xml:space="preserve"> </w:t>
            </w:r>
            <w:r>
              <w:rPr>
                <w:rFonts w:ascii="Times New Roman;sans-serif" w:hAnsi="Times New Roman;sans-serif"/>
                <w:b w:val="false"/>
                <w:color w:val="000000"/>
                <w:sz w:val="22"/>
              </w:rPr>
              <w:t>(PCAOB ID 238)</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63">
              <w:r>
                <w:rPr>
                  <w:rStyle w:val="InternetLink"/>
                  <w:rFonts w:ascii="Times New Roman;sans-serif" w:hAnsi="Times New Roman;sans-serif"/>
                  <w:b w:val="false"/>
                  <w:color w:val="0000FF"/>
                  <w:sz w:val="22"/>
                  <w:u w:val="single"/>
                </w:rPr>
                <w:t>58</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66">
              <w:r>
                <w:rPr>
                  <w:rStyle w:val="InternetLink"/>
                  <w:rFonts w:ascii="Times New Roman;sans-serif" w:hAnsi="Times New Roman;sans-serif"/>
                  <w:b w:val="false"/>
                  <w:color w:val="000080"/>
                  <w:sz w:val="22"/>
                  <w:u w:val="single"/>
                </w:rPr>
                <w:t xml:space="preserve">Consolidated Balance Sheets — </w:t>
              </w:r>
            </w:hyperlink>
            <w:hyperlink w:anchor="i238d9e0b422f441c810166691317c527_466">
              <w:r>
                <w:rPr>
                  <w:rStyle w:val="InternetLink"/>
                  <w:rFonts w:ascii="Times New Roman;sans-serif" w:hAnsi="Times New Roman;sans-serif"/>
                  <w:b w:val="false"/>
                  <w:color w:val="000080"/>
                  <w:sz w:val="22"/>
                  <w:u w:val="single"/>
                </w:rPr>
                <w:t xml:space="preserve">December 29, 2024 and </w:t>
              </w:r>
            </w:hyperlink>
            <w:hyperlink w:anchor="i238d9e0b422f441c810166691317c527_466">
              <w:r>
                <w:rPr>
                  <w:rStyle w:val="InternetLink"/>
                  <w:rFonts w:ascii="Times New Roman;sans-serif" w:hAnsi="Times New Roman;sans-serif"/>
                  <w:b w:val="false"/>
                  <w:color w:val="000080"/>
                  <w:sz w:val="22"/>
                  <w:u w:val="single"/>
                </w:rPr>
                <w:t>December 31, 2023</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66">
              <w:r>
                <w:rPr>
                  <w:rStyle w:val="InternetLink"/>
                  <w:rFonts w:ascii="Times New Roman;sans-serif" w:hAnsi="Times New Roman;sans-serif"/>
                  <w:b w:val="false"/>
                  <w:color w:val="0000FF"/>
                  <w:sz w:val="22"/>
                  <w:u w:val="single"/>
                </w:rPr>
                <w:t>61</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69">
              <w:r>
                <w:rPr>
                  <w:rStyle w:val="InternetLink"/>
                  <w:rFonts w:ascii="Times New Roman;sans-serif" w:hAnsi="Times New Roman;sans-serif"/>
                  <w:b w:val="false"/>
                  <w:color w:val="000080"/>
                  <w:sz w:val="22"/>
                  <w:u w:val="single"/>
                </w:rPr>
                <w:t>Consolidated Statements of Operations and Comprehensive</w:t>
              </w:r>
            </w:hyperlink>
            <w:hyperlink w:anchor="i238d9e0b422f441c810166691317c527_469">
              <w:r>
                <w:rPr>
                  <w:rStyle w:val="InternetLink"/>
                  <w:rFonts w:ascii="Times New Roman;sans-serif" w:hAnsi="Times New Roman;sans-serif"/>
                  <w:b w:val="false"/>
                  <w:color w:val="000080"/>
                  <w:sz w:val="22"/>
                  <w:u w:val="single"/>
                </w:rPr>
                <w:t xml:space="preserve"> (</w:t>
              </w:r>
            </w:hyperlink>
            <w:hyperlink w:anchor="i238d9e0b422f441c810166691317c527_469">
              <w:r>
                <w:rPr>
                  <w:rStyle w:val="InternetLink"/>
                  <w:rFonts w:ascii="Times New Roman;sans-serif" w:hAnsi="Times New Roman;sans-serif"/>
                  <w:b w:val="false"/>
                  <w:color w:val="000080"/>
                  <w:sz w:val="22"/>
                  <w:u w:val="single"/>
                </w:rPr>
                <w:t>Loss)</w:t>
              </w:r>
            </w:hyperlink>
            <w:hyperlink w:anchor="i238d9e0b422f441c810166691317c527_469">
              <w:r>
                <w:rPr>
                  <w:rStyle w:val="InternetLink"/>
                  <w:rFonts w:ascii="Times New Roman;sans-serif" w:hAnsi="Times New Roman;sans-serif"/>
                  <w:b w:val="false"/>
                  <w:color w:val="000080"/>
                  <w:sz w:val="22"/>
                  <w:u w:val="single"/>
                </w:rPr>
                <w:t xml:space="preserve"> Income —</w:t>
              </w:r>
            </w:hyperlink>
            <w:hyperlink w:anchor="i238d9e0b422f441c810166691317c527_469">
              <w:r>
                <w:rPr>
                  <w:rStyle w:val="InternetLink"/>
                  <w:rFonts w:ascii="Times New Roman;sans-serif" w:hAnsi="Times New Roman;sans-serif"/>
                  <w:b w:val="false"/>
                  <w:color w:val="000080"/>
                  <w:sz w:val="22"/>
                  <w:u w:val="single"/>
                </w:rPr>
                <w:br/>
              </w:r>
            </w:hyperlink>
            <w:hyperlink w:anchor="i238d9e0b422f441c810166691317c527_469">
              <w:r>
                <w:rPr>
                  <w:rStyle w:val="InternetLink"/>
                  <w:rFonts w:ascii="Times New Roman;sans-serif" w:hAnsi="Times New Roman;sans-serif"/>
                  <w:b w:val="false"/>
                  <w:color w:val="000080"/>
                  <w:sz w:val="22"/>
                  <w:u w:val="single"/>
                </w:rPr>
                <w:t>For Fiscal Years 202</w:t>
              </w:r>
            </w:hyperlink>
            <w:hyperlink w:anchor="i238d9e0b422f441c810166691317c527_469">
              <w:r>
                <w:rPr>
                  <w:rStyle w:val="InternetLink"/>
                  <w:rFonts w:ascii="Times New Roman;sans-serif" w:hAnsi="Times New Roman;sans-serif"/>
                  <w:b w:val="false"/>
                  <w:color w:val="000080"/>
                  <w:sz w:val="22"/>
                  <w:u w:val="single"/>
                </w:rPr>
                <w:t>4</w:t>
              </w:r>
            </w:hyperlink>
            <w:hyperlink w:anchor="i238d9e0b422f441c810166691317c527_469">
              <w:r>
                <w:rPr>
                  <w:rStyle w:val="InternetLink"/>
                  <w:rFonts w:ascii="Times New Roman;sans-serif" w:hAnsi="Times New Roman;sans-serif"/>
                  <w:b w:val="false"/>
                  <w:color w:val="000080"/>
                  <w:sz w:val="22"/>
                  <w:u w:val="single"/>
                </w:rPr>
                <w:t>, 202</w:t>
              </w:r>
            </w:hyperlink>
            <w:hyperlink w:anchor="i238d9e0b422f441c810166691317c527_469">
              <w:r>
                <w:rPr>
                  <w:rStyle w:val="InternetLink"/>
                  <w:rFonts w:ascii="Times New Roman;sans-serif" w:hAnsi="Times New Roman;sans-serif"/>
                  <w:b w:val="false"/>
                  <w:color w:val="000080"/>
                  <w:sz w:val="22"/>
                  <w:u w:val="single"/>
                </w:rPr>
                <w:t>3</w:t>
              </w:r>
            </w:hyperlink>
            <w:hyperlink w:anchor="i238d9e0b422f441c810166691317c527_469">
              <w:r>
                <w:rPr>
                  <w:rStyle w:val="InternetLink"/>
                  <w:rFonts w:ascii="Times New Roman;sans-serif" w:hAnsi="Times New Roman;sans-serif"/>
                  <w:b w:val="false"/>
                  <w:color w:val="000080"/>
                  <w:sz w:val="22"/>
                  <w:u w:val="single"/>
                </w:rPr>
                <w:t xml:space="preserve"> and 20</w:t>
              </w:r>
            </w:hyperlink>
            <w:hyperlink w:anchor="i238d9e0b422f441c810166691317c527_469">
              <w:r>
                <w:rPr>
                  <w:rStyle w:val="InternetLink"/>
                  <w:rFonts w:ascii="Times New Roman;sans-serif" w:hAnsi="Times New Roman;sans-serif"/>
                  <w:b w:val="false"/>
                  <w:color w:val="000080"/>
                  <w:sz w:val="22"/>
                  <w:u w:val="single"/>
                </w:rPr>
                <w:t>2</w:t>
              </w:r>
            </w:hyperlink>
            <w:hyperlink w:anchor="i238d9e0b422f441c810166691317c527_469">
              <w:r>
                <w:rPr>
                  <w:rStyle w:val="InternetLink"/>
                  <w:rFonts w:ascii="Times New Roman;sans-serif" w:hAnsi="Times New Roman;sans-serif"/>
                  <w:b w:val="false"/>
                  <w:color w:val="000080"/>
                  <w:sz w:val="22"/>
                  <w:u w:val="single"/>
                </w:rPr>
                <w:t>2</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69">
              <w:r>
                <w:rPr>
                  <w:rStyle w:val="InternetLink"/>
                  <w:rFonts w:ascii="Times New Roman;sans-serif" w:hAnsi="Times New Roman;sans-serif"/>
                  <w:b w:val="false"/>
                  <w:color w:val="0000FF"/>
                  <w:sz w:val="22"/>
                  <w:u w:val="single"/>
                </w:rPr>
                <w:t>62</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72">
              <w:r>
                <w:rPr>
                  <w:rStyle w:val="InternetLink"/>
                  <w:rFonts w:ascii="Times New Roman;sans-serif" w:hAnsi="Times New Roman;sans-serif"/>
                  <w:b w:val="false"/>
                  <w:color w:val="000080"/>
                  <w:sz w:val="22"/>
                  <w:u w:val="single"/>
                </w:rPr>
                <w:t>Consolidated Statements of Changes in Stockholders’ Equity —</w:t>
              </w:r>
            </w:hyperlink>
            <w:hyperlink w:anchor="i238d9e0b422f441c810166691317c527_472">
              <w:r>
                <w:rPr>
                  <w:rStyle w:val="InternetLink"/>
                  <w:rFonts w:ascii="Times New Roman;sans-serif" w:hAnsi="Times New Roman;sans-serif"/>
                  <w:b w:val="false"/>
                  <w:color w:val="000080"/>
                  <w:sz w:val="22"/>
                  <w:u w:val="single"/>
                </w:rPr>
                <w:br/>
              </w:r>
            </w:hyperlink>
            <w:hyperlink w:anchor="i238d9e0b422f441c810166691317c527_472">
              <w:r>
                <w:rPr>
                  <w:rStyle w:val="InternetLink"/>
                  <w:rFonts w:ascii="Times New Roman;sans-serif" w:hAnsi="Times New Roman;sans-serif"/>
                  <w:b w:val="false"/>
                  <w:color w:val="000080"/>
                  <w:sz w:val="22"/>
                  <w:u w:val="single"/>
                </w:rPr>
                <w:t>For Fiscal Years 202</w:t>
              </w:r>
            </w:hyperlink>
            <w:hyperlink w:anchor="i238d9e0b422f441c810166691317c527_472">
              <w:r>
                <w:rPr>
                  <w:rStyle w:val="InternetLink"/>
                  <w:rFonts w:ascii="Times New Roman;sans-serif" w:hAnsi="Times New Roman;sans-serif"/>
                  <w:b w:val="false"/>
                  <w:color w:val="000080"/>
                  <w:sz w:val="22"/>
                  <w:u w:val="single"/>
                </w:rPr>
                <w:t>4</w:t>
              </w:r>
            </w:hyperlink>
            <w:hyperlink w:anchor="i238d9e0b422f441c810166691317c527_472">
              <w:r>
                <w:rPr>
                  <w:rStyle w:val="InternetLink"/>
                  <w:rFonts w:ascii="Times New Roman;sans-serif" w:hAnsi="Times New Roman;sans-serif"/>
                  <w:b w:val="false"/>
                  <w:color w:val="000080"/>
                  <w:sz w:val="22"/>
                  <w:u w:val="single"/>
                </w:rPr>
                <w:t>, 202</w:t>
              </w:r>
            </w:hyperlink>
            <w:hyperlink w:anchor="i238d9e0b422f441c810166691317c527_472">
              <w:r>
                <w:rPr>
                  <w:rStyle w:val="InternetLink"/>
                  <w:rFonts w:ascii="Times New Roman;sans-serif" w:hAnsi="Times New Roman;sans-serif"/>
                  <w:b w:val="false"/>
                  <w:color w:val="000080"/>
                  <w:sz w:val="22"/>
                  <w:u w:val="single"/>
                </w:rPr>
                <w:t>3</w:t>
              </w:r>
            </w:hyperlink>
            <w:hyperlink w:anchor="i238d9e0b422f441c810166691317c527_472">
              <w:r>
                <w:rPr>
                  <w:rStyle w:val="InternetLink"/>
                  <w:rFonts w:ascii="Times New Roman;sans-serif" w:hAnsi="Times New Roman;sans-serif"/>
                  <w:b w:val="false"/>
                  <w:color w:val="000080"/>
                  <w:sz w:val="22"/>
                  <w:u w:val="single"/>
                </w:rPr>
                <w:t xml:space="preserve"> and 20</w:t>
              </w:r>
            </w:hyperlink>
            <w:hyperlink w:anchor="i238d9e0b422f441c810166691317c527_472">
              <w:r>
                <w:rPr>
                  <w:rStyle w:val="InternetLink"/>
                  <w:rFonts w:ascii="Times New Roman;sans-serif" w:hAnsi="Times New Roman;sans-serif"/>
                  <w:b w:val="false"/>
                  <w:color w:val="000080"/>
                  <w:sz w:val="22"/>
                  <w:u w:val="single"/>
                </w:rPr>
                <w:t>2</w:t>
              </w:r>
            </w:hyperlink>
            <w:hyperlink w:anchor="i238d9e0b422f441c810166691317c527_472">
              <w:r>
                <w:rPr>
                  <w:rStyle w:val="InternetLink"/>
                  <w:rFonts w:ascii="Times New Roman;sans-serif" w:hAnsi="Times New Roman;sans-serif"/>
                  <w:b w:val="false"/>
                  <w:color w:val="000080"/>
                  <w:sz w:val="22"/>
                  <w:u w:val="single"/>
                </w:rPr>
                <w:t>2</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72">
              <w:r>
                <w:rPr>
                  <w:rStyle w:val="InternetLink"/>
                  <w:rFonts w:ascii="Times New Roman;sans-serif" w:hAnsi="Times New Roman;sans-serif"/>
                  <w:b w:val="false"/>
                  <w:color w:val="0000FF"/>
                  <w:sz w:val="22"/>
                  <w:u w:val="single"/>
                </w:rPr>
                <w:t>63</w:t>
              </w:r>
            </w:hyperlink>
          </w:p>
        </w:tc>
      </w:tr>
      <w:tr>
        <w:trPr/>
        <w:tc>
          <w:tcPr>
            <w:tcW w:w="7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75">
              <w:r>
                <w:rPr>
                  <w:rStyle w:val="InternetLink"/>
                  <w:rFonts w:ascii="Times New Roman;sans-serif" w:hAnsi="Times New Roman;sans-serif"/>
                  <w:b w:val="false"/>
                  <w:color w:val="000080"/>
                  <w:sz w:val="22"/>
                  <w:u w:val="single"/>
                </w:rPr>
                <w:t>Consolidated Statements of Cash Flows —</w:t>
              </w:r>
            </w:hyperlink>
            <w:hyperlink w:anchor="i238d9e0b422f441c810166691317c527_475">
              <w:r>
                <w:rPr>
                  <w:rStyle w:val="InternetLink"/>
                  <w:rFonts w:ascii="Times New Roman;sans-serif" w:hAnsi="Times New Roman;sans-serif"/>
                  <w:b w:val="false"/>
                  <w:color w:val="000080"/>
                  <w:sz w:val="22"/>
                  <w:u w:val="single"/>
                </w:rPr>
                <w:br/>
              </w:r>
            </w:hyperlink>
            <w:hyperlink w:anchor="i238d9e0b422f441c810166691317c527_475">
              <w:r>
                <w:rPr>
                  <w:rStyle w:val="InternetLink"/>
                  <w:rFonts w:ascii="Times New Roman;sans-serif" w:hAnsi="Times New Roman;sans-serif"/>
                  <w:b w:val="false"/>
                  <w:color w:val="000080"/>
                  <w:sz w:val="22"/>
                  <w:u w:val="single"/>
                </w:rPr>
                <w:t>For Fiscal Years 202</w:t>
              </w:r>
            </w:hyperlink>
            <w:hyperlink w:anchor="i238d9e0b422f441c810166691317c527_475">
              <w:r>
                <w:rPr>
                  <w:rStyle w:val="InternetLink"/>
                  <w:rFonts w:ascii="Times New Roman;sans-serif" w:hAnsi="Times New Roman;sans-serif"/>
                  <w:b w:val="false"/>
                  <w:color w:val="000080"/>
                  <w:sz w:val="22"/>
                  <w:u w:val="single"/>
                </w:rPr>
                <w:t>4</w:t>
              </w:r>
            </w:hyperlink>
            <w:hyperlink w:anchor="i238d9e0b422f441c810166691317c527_475">
              <w:r>
                <w:rPr>
                  <w:rStyle w:val="InternetLink"/>
                  <w:rFonts w:ascii="Times New Roman;sans-serif" w:hAnsi="Times New Roman;sans-serif"/>
                  <w:b w:val="false"/>
                  <w:color w:val="000080"/>
                  <w:sz w:val="22"/>
                  <w:u w:val="single"/>
                </w:rPr>
                <w:t>, 202</w:t>
              </w:r>
            </w:hyperlink>
            <w:hyperlink w:anchor="i238d9e0b422f441c810166691317c527_475">
              <w:r>
                <w:rPr>
                  <w:rStyle w:val="InternetLink"/>
                  <w:rFonts w:ascii="Times New Roman;sans-serif" w:hAnsi="Times New Roman;sans-serif"/>
                  <w:b w:val="false"/>
                  <w:color w:val="000080"/>
                  <w:sz w:val="22"/>
                  <w:u w:val="single"/>
                </w:rPr>
                <w:t>3</w:t>
              </w:r>
            </w:hyperlink>
            <w:hyperlink w:anchor="i238d9e0b422f441c810166691317c527_475">
              <w:r>
                <w:rPr>
                  <w:rStyle w:val="InternetLink"/>
                  <w:rFonts w:ascii="Times New Roman;sans-serif" w:hAnsi="Times New Roman;sans-serif"/>
                  <w:b w:val="false"/>
                  <w:color w:val="000080"/>
                  <w:sz w:val="22"/>
                  <w:u w:val="single"/>
                </w:rPr>
                <w:t xml:space="preserve"> and 20</w:t>
              </w:r>
            </w:hyperlink>
            <w:hyperlink w:anchor="i238d9e0b422f441c810166691317c527_475">
              <w:r>
                <w:rPr>
                  <w:rStyle w:val="InternetLink"/>
                  <w:rFonts w:ascii="Times New Roman;sans-serif" w:hAnsi="Times New Roman;sans-serif"/>
                  <w:b w:val="false"/>
                  <w:color w:val="000080"/>
                  <w:sz w:val="22"/>
                  <w:u w:val="single"/>
                </w:rPr>
                <w:t>2</w:t>
              </w:r>
            </w:hyperlink>
            <w:hyperlink w:anchor="i238d9e0b422f441c810166691317c527_475">
              <w:r>
                <w:rPr>
                  <w:rStyle w:val="InternetLink"/>
                  <w:rFonts w:ascii="Times New Roman;sans-serif" w:hAnsi="Times New Roman;sans-serif"/>
                  <w:b w:val="false"/>
                  <w:color w:val="000080"/>
                  <w:sz w:val="22"/>
                  <w:u w:val="single"/>
                </w:rPr>
                <w:t>2</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75">
              <w:r>
                <w:rPr>
                  <w:rStyle w:val="InternetLink"/>
                  <w:rFonts w:ascii="Times New Roman;sans-serif" w:hAnsi="Times New Roman;sans-serif"/>
                  <w:b w:val="false"/>
                  <w:color w:val="0000FF"/>
                  <w:sz w:val="22"/>
                  <w:u w:val="single"/>
                </w:rPr>
                <w:t>65</w:t>
              </w:r>
            </w:hyperlink>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8d9e0b422f441c810166691317c527_481">
              <w:r>
                <w:rPr>
                  <w:rStyle w:val="InternetLink"/>
                  <w:rFonts w:ascii="Times New Roman;sans-serif" w:hAnsi="Times New Roman;sans-serif"/>
                  <w:b w:val="false"/>
                  <w:color w:val="0000FF"/>
                  <w:sz w:val="22"/>
                  <w:u w:val="single"/>
                </w:rPr>
                <w:t>Notes to Consolidated Financial Statements</w:t>
              </w:r>
            </w:hyperlink>
          </w:p>
        </w:tc>
        <w:tc>
          <w:tcPr>
            <w:tcW w:w="10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8d9e0b422f441c810166691317c527_481">
              <w:r>
                <w:rPr>
                  <w:rStyle w:val="InternetLink"/>
                  <w:rFonts w:ascii="Times New Roman;sans-serif" w:hAnsi="Times New Roman;sans-serif"/>
                  <w:b w:val="false"/>
                  <w:color w:val="0000FF"/>
                  <w:sz w:val="22"/>
                  <w:u w:val="single"/>
                </w:rPr>
                <w:t>67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Management’s Annual Report on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Under the supervision and with the participation of management, including our Chief Executive Officer and Chief Financial Officer, we carried out an evaluation of the effectiveness of our internal control over financial reporting as of December 29, 2024 using the criteria described in </w:t>
      </w:r>
      <w:r>
        <w:rPr>
          <w:rFonts w:ascii="Times New Roman;sans-serif" w:hAnsi="Times New Roman;sans-serif"/>
          <w:b w:val="false"/>
          <w:i/>
          <w:color w:val="000000"/>
          <w:sz w:val="22"/>
        </w:rPr>
        <w:t>Internal Control—Integrated Framework</w:t>
      </w:r>
      <w:r>
        <w:rPr>
          <w:color w:val="000000"/>
        </w:rPr>
        <w:t xml:space="preserve"> </w:t>
      </w:r>
      <w:r>
        <w:rPr>
          <w:rFonts w:ascii="Times New Roman;sans-serif" w:hAnsi="Times New Roman;sans-serif"/>
          <w:b w:val="false"/>
          <w:color w:val="000000"/>
          <w:sz w:val="22"/>
        </w:rPr>
        <w:t>issued by the Committee of Sponsoring Organizations of the Treadway Commission (2013 Framework) (“COSO”). Based upon our evaluation, management concluded that our internal control over financial reporting was effective as of December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effectiveness of our internal control over financial reporting as of December 29, 2024 has been audited by PricewaterhouseCoopers LLP, an independent registered public accounting firm, as stated in their report which is included herein.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bookmarkStart w:id="36" w:name="i9f77bf5497bd42a29f19a2a5d85f0f05_9357"/>
      <w:bookmarkEnd w:id="36"/>
      <w:r>
        <w:rPr>
          <w:rFonts w:ascii="Times New Roman;sans-serif" w:hAnsi="Times New Roman;sans-serif"/>
          <w:b/>
          <w:color w:val="000000"/>
          <w:sz w:val="22"/>
        </w:rPr>
        <w:t>Report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the Board of Directors and Stockholders of Bloomin’ Brands, Inc.</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Opinions on the Financial Statements and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We have audited the accompanying consolidated balance sheets of Bloomin’ Brands, Inc. and its subsidiaries (the “Company”) as of December 29, 2024 and December 31, 2023 and the related consolidated statements of operations and comprehensive (loss) income, of changes in stockholders’ equity and of cash flows for each of the three years in the period ended December 29, 2024, including the related notes (collectively referred to as the “consolidated financial statements”). We also have audited the Company’s internal control over financial reporting as of December 29, 2024, based on criteria established in </w:t>
      </w:r>
      <w:r>
        <w:rPr>
          <w:rFonts w:ascii="Times New Roman;sans-serif" w:hAnsi="Times New Roman;sans-serif"/>
          <w:b w:val="false"/>
          <w:i/>
          <w:color w:val="000000"/>
          <w:sz w:val="22"/>
        </w:rPr>
        <w:t>Internal Control - Integrated Framework</w:t>
      </w:r>
      <w:r>
        <w:rPr>
          <w:color w:val="000000"/>
        </w:rPr>
        <w:t xml:space="preserve"> </w:t>
      </w:r>
      <w:r>
        <w:rPr>
          <w:rFonts w:ascii="Times New Roman;sans-serif" w:hAnsi="Times New Roman;sans-serif"/>
          <w:b w:val="false"/>
          <w:color w:val="000000"/>
          <w:sz w:val="22"/>
        </w:rPr>
        <w:t>(2013) issued by the Committee of Sponsoring Organizations of the Treadway Commission (COSO).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our opinion, the consolidated financial statements referred to above present fairly, in all material respects, the financial position of the Company as of December 29, 2024 and December 31, 2023 and the results of its operations and its cash flows for each of the three years in the period ended December 29, 2024 in conformity with accounting principles generally accepted in the United States of America. Also in our opinion, the Company maintained, in all material respects, effective internal control over financial reporting as of December 29, 2024, based on criteria established in </w:t>
      </w:r>
      <w:r>
        <w:rPr>
          <w:rFonts w:ascii="Times New Roman;sans-serif" w:hAnsi="Times New Roman;sans-serif"/>
          <w:b w:val="false"/>
          <w:i/>
          <w:color w:val="000000"/>
          <w:sz w:val="22"/>
        </w:rPr>
        <w:t>Internal Control - Integrated Framework</w:t>
      </w:r>
      <w:r>
        <w:rPr>
          <w:color w:val="000000"/>
        </w:rPr>
        <w:t xml:space="preserve"> </w:t>
      </w:r>
      <w:r>
        <w:rPr>
          <w:rFonts w:ascii="Times New Roman;sans-serif" w:hAnsi="Times New Roman;sans-serif"/>
          <w:b w:val="false"/>
          <w:color w:val="000000"/>
          <w:sz w:val="22"/>
        </w:rPr>
        <w:t>(2013) issued by the COSO.</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Basis for Opinions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2"/>
        </w:rPr>
      </w:pPr>
      <w:bookmarkStart w:id="37" w:name="i9f77bf5497bd42a29f19a2a5d85f0f05_9358"/>
      <w:bookmarkEnd w:id="37"/>
      <w:r>
        <w:rPr>
          <w:rFonts w:ascii="Times New Roman;sans-serif" w:hAnsi="Times New Roman;sans-serif"/>
          <w:b/>
          <w:i/>
          <w:color w:val="000000"/>
          <w:sz w:val="22"/>
        </w:rPr>
        <w:t>Critical Audit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critical audit matter communicated below is a matter</w:t>
      </w:r>
      <w:r>
        <w:rPr>
          <w:color w:val="FF0000"/>
        </w:rPr>
        <w:t xml:space="preserve"> </w:t>
      </w:r>
      <w:r>
        <w:rPr>
          <w:rFonts w:ascii="Times New Roman;sans-serif" w:hAnsi="Times New Roman;sans-serif"/>
          <w:b w:val="false"/>
          <w:color w:val="000000"/>
          <w:sz w:val="22"/>
        </w:rPr>
        <w:t>arising from the current period audit of the consolidated financial statements that was communicated or required to be communicated to the audit committee and that (i) relates to accounts or disclosures that are material to the</w:t>
      </w:r>
      <w:r>
        <w:rPr>
          <w:color w:val="FF0000"/>
        </w:rPr>
        <w:t xml:space="preserve"> </w:t>
      </w:r>
      <w:r>
        <w:rPr>
          <w:rFonts w:ascii="Times New Roman;sans-serif" w:hAnsi="Times New Roman;sans-serif"/>
          <w:b w:val="false"/>
          <w:color w:val="000000"/>
          <w:sz w:val="22"/>
        </w:rPr>
        <w:t>consolidated financial statements and (ii) involved our especially challenging, subjective, or complex judgments. The communication of critical audit matters does not alter in any way our opinion on the consolidated</w:t>
      </w:r>
      <w:r>
        <w:rPr>
          <w:color w:val="FF0000"/>
        </w:rPr>
        <w:t xml:space="preserve"> </w:t>
      </w:r>
      <w:r>
        <w:rPr>
          <w:rFonts w:ascii="Times New Roman;sans-serif" w:hAnsi="Times New Roman;sans-serif"/>
          <w:b w:val="false"/>
          <w:color w:val="000000"/>
          <w:sz w:val="22"/>
        </w:rPr>
        <w:t xml:space="preserve">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Valuation of Insurance Reserves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described in Notes</w:t>
      </w:r>
      <w:r>
        <w:rPr>
          <w:color w:val="FF0000"/>
        </w:rPr>
        <w:t xml:space="preserve"> </w:t>
      </w:r>
      <w:r>
        <w:rPr>
          <w:rFonts w:ascii="Times New Roman;sans-serif" w:hAnsi="Times New Roman;sans-serif"/>
          <w:b w:val="false"/>
          <w:color w:val="000000"/>
          <w:sz w:val="22"/>
        </w:rPr>
        <w:t>2 and 18 to the consolidated financial statements, the Company’s consolidated discounted insurance reserves balance was $53.0 million as of December 29, 2024.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 The principal considerations for our determination that performing procedures relating to the valuation of insurance reserves is a critical audit matter are (i) the significant judgment by management when developing the estimated reserves, which in turn led to (ii) a high degree of auditor judgment, subjectivity, and effort in performing procedures and evaluating the actuarial assumptions related to economic conditions and the frequency and severity of claims, and (iii) the audit effort included the involvement of professionals with specialized skill and knowledge. 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w:t>
      </w:r>
      <w:r>
        <w:rPr>
          <w:color w:val="FF0000"/>
        </w:rPr>
        <w:t xml:space="preserve"> </w:t>
      </w:r>
      <w:r>
        <w:rPr>
          <w:rFonts w:ascii="Times New Roman;sans-serif" w:hAnsi="Times New Roman;sans-serif"/>
          <w:b w:val="false"/>
          <w:color w:val="000000"/>
          <w:sz w:val="22"/>
        </w:rPr>
        <w:t>These procedures also</w:t>
      </w:r>
      <w:r>
        <w:rPr>
          <w:color w:val="FF0000"/>
        </w:rPr>
        <w:t xml:space="preserve"> </w:t>
      </w:r>
      <w:r>
        <w:rPr>
          <w:rFonts w:ascii="Times New Roman;sans-serif" w:hAnsi="Times New Roman;sans-serif"/>
          <w:b w:val="false"/>
          <w:color w:val="000000"/>
          <w:sz w:val="22"/>
        </w:rPr>
        <w:t xml:space="preserve">included, among others, (i) evaluating management’s process for developing the insurance reserves, (ii) evaluating the appropriateness of management’s actuarial methods used, (iii) evaluating the reasonableness of the actuarial assumptions related to economic conditions and the frequency and severity of claims, and (iv) testing the completeness and accuracy of underlying data used in the valuation. Evaluating the actuarial assumptions related to economic conditions and the frequency and severity of claims involved evaluating whether the assumptions were reasonable considering inflation and the environment, and whether these assumptions were consistent with evidence obtained in other areas of the audit. Professionals with specialized skill and knowledge were used to assist in evaluating the appropriateness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actuarial methods used in determining the insurance reserves and evaluating the reasonableness of assumptions related to economic c</w:t>
      </w:r>
      <w:bookmarkStart w:id="38" w:name="i9f77bf5497bd42a29f19a2a5d85f0f05_9359"/>
      <w:bookmarkEnd w:id="38"/>
      <w:r>
        <w:rPr>
          <w:rFonts w:ascii="Times New Roman;sans-serif" w:hAnsi="Times New Roman;sans-serif"/>
          <w:b w:val="false"/>
          <w:color w:val="000000"/>
          <w:sz w:val="22"/>
        </w:rPr>
        <w:t>onditions.</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 PricewaterhouseCoopers LLP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Tampa, Florida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 have served as the Company’s audit</w:t>
      </w:r>
      <w:bookmarkStart w:id="39" w:name="i9f77bf5497bd42a29f19a2a5d85f0f05_9353"/>
      <w:bookmarkEnd w:id="39"/>
      <w:r>
        <w:rPr>
          <w:rFonts w:ascii="Times New Roman;sans-serif" w:hAnsi="Times New Roman;sans-serif"/>
          <w:b w:val="false"/>
          <w:color w:val="000000"/>
          <w:sz w:val="22"/>
        </w:rPr>
        <w:t>or since 1998.</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21"/>
        <w:gridCol w:w="2078"/>
        <w:gridCol w:w="2092"/>
        <w:gridCol w:w="236"/>
        <w:gridCol w:w="1052"/>
        <w:gridCol w:w="131"/>
        <w:gridCol w:w="109"/>
        <w:gridCol w:w="109"/>
        <w:gridCol w:w="109"/>
        <w:gridCol w:w="234"/>
        <w:gridCol w:w="1045"/>
        <w:gridCol w:w="189"/>
      </w:tblGrid>
      <w:tr>
        <w:trPr/>
        <w:tc>
          <w:tcPr>
            <w:tcW w:w="2821"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4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 held for sale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320,519 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343,314 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1,031,271 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60,090 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 held for sale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3,424,081 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197,681 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 held for sale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952,336 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1,002,335 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 net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780,719 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 of discontinued operations held for sale</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3,245,359 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3,012,078 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18)</w:t>
            </w:r>
          </w:p>
        </w:tc>
        <w:tc>
          <w:tcPr>
            <w:tcW w:w="14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December 29, 2024 and December 31, 2023</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84,854,768 and 86,968,536 shares issued and outstanding as of December 29, 2024 and December 31, 2023, respectively</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135,510 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409,122 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139,446 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3,424,081 </w:t>
            </w:r>
          </w:p>
        </w:tc>
        <w:tc>
          <w:tcPr>
            <w:tcW w:w="18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bookmarkStart w:id="40" w:name="i23a111ceb0eb49c890fdb64037369b34_48-0-1"/>
            <w:bookmarkEnd w:id="40"/>
            <w:r>
              <w:rPr>
                <w:rFonts w:ascii="Times New Roman;sans-serif" w:hAnsi="Times New Roman;sans-serif"/>
                <w:b w:val="false"/>
                <w:color w:val="000000"/>
                <w:sz w:val="22"/>
              </w:rPr>
              <w:t>The accompanying notes are an integral part of these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(LOSS)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tbl>
      <w:tblPr>
        <w:tblW w:w="9101" w:type="dxa"/>
        <w:jc w:val="left"/>
        <w:tblInd w:w="0" w:type="dxa"/>
        <w:tblLayout w:type="fixed"/>
        <w:tblCellMar>
          <w:top w:w="28" w:type="dxa"/>
          <w:left w:w="28" w:type="dxa"/>
          <w:bottom w:w="28" w:type="dxa"/>
          <w:right w:w="28" w:type="dxa"/>
        </w:tblCellMar>
      </w:tblPr>
      <w:tblGrid>
        <w:gridCol w:w="1765"/>
        <w:gridCol w:w="1551"/>
        <w:gridCol w:w="1558"/>
        <w:gridCol w:w="196"/>
        <w:gridCol w:w="871"/>
        <w:gridCol w:w="109"/>
        <w:gridCol w:w="109"/>
        <w:gridCol w:w="109"/>
        <w:gridCol w:w="109"/>
        <w:gridCol w:w="196"/>
        <w:gridCol w:w="871"/>
        <w:gridCol w:w="109"/>
        <w:gridCol w:w="109"/>
        <w:gridCol w:w="109"/>
        <w:gridCol w:w="109"/>
        <w:gridCol w:w="196"/>
        <w:gridCol w:w="871"/>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41" w:name="i580aff74e1f745468d5d7adb322ca570_2-0-1-"/>
            <w:bookmarkEnd w:id="41"/>
            <w:r>
              <w:rPr>
                <w:rFonts w:ascii="Times New Roman;sans-serif" w:hAnsi="Times New Roman;sans-serif"/>
                <w:b w:val="false"/>
                <w:color w:val="000000"/>
                <w:sz w:val="18"/>
              </w:rPr>
              <w:t>Revenues</w:t>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3,950,475 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4,168,160 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4,009,250 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3,810,667 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3,885,391 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3,703,168 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(benefit) provision for income taxes</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(58,807)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continuing operations</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212,785 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net of reclassification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gain on derivatives, net of tax</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income</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(157,144)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261,421 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129,881 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income attributable to Bloomin’ Brands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(162,507)</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254,393 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122,585 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earnings per share: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basic (loss) earnings per share</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earnings per share: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(loss) earnings per share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98,512 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per common share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CONSOLIDATED STATEMENTS OF CHANGES IN STOCKHOLDERS’ EQUITY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tbl>
      <w:tblPr>
        <w:tblW w:w="11601" w:type="dxa"/>
        <w:jc w:val="left"/>
        <w:tblInd w:w="0" w:type="dxa"/>
        <w:tblLayout w:type="fixed"/>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26,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$0.56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 net of tax of $489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25, 2022</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87,696 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1,161,912 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(706,109)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273,909 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$0.96 per common share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$136</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31,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86,969 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CONSOLIDATED STATEMENTS OF CHANGES IN STOCKHOLDERS’ EQUITY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tbl>
      <w:tblPr>
        <w:tblW w:w="11616" w:type="dxa"/>
        <w:jc w:val="left"/>
        <w:tblInd w:w="0" w:type="dxa"/>
        <w:tblLayout w:type="fixed"/>
        <w:tblCellMar>
          <w:top w:w="28" w:type="dxa"/>
          <w:left w:w="28" w:type="dxa"/>
          <w:bottom w:w="28" w:type="dxa"/>
          <w:right w:w="28" w:type="dxa"/>
        </w:tblCellMar>
      </w:tblPr>
      <w:tblGrid>
        <w:gridCol w:w="547"/>
        <w:gridCol w:w="370"/>
        <w:gridCol w:w="269"/>
        <w:gridCol w:w="330"/>
        <w:gridCol w:w="331"/>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31, 2023</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(34,489)</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$0.96 per common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 including excise tax of $325</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December 29, 2024</w:t>
            </w:r>
          </w:p>
        </w:tc>
        <w:tc>
          <w:tcPr>
            <w:tcW w:w="66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84,855 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1,273,288 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(925,834)</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shares withheld for employee taxes.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bl>
      <w:tblPr>
        <w:tblW w:w="10205" w:type="dxa"/>
        <w:jc w:val="left"/>
        <w:tblInd w:w="0" w:type="dxa"/>
        <w:tblLayout w:type="fixed"/>
        <w:tblCellMar>
          <w:top w:w="28" w:type="dxa"/>
          <w:left w:w="28" w:type="dxa"/>
          <w:bottom w:w="28" w:type="dxa"/>
          <w:right w:w="28" w:type="dxa"/>
        </w:tblCellMar>
      </w:tblPr>
      <w:tblGrid>
        <w:gridCol w:w="2398"/>
        <w:gridCol w:w="1909"/>
        <w:gridCol w:w="1924"/>
        <w:gridCol w:w="196"/>
        <w:gridCol w:w="785"/>
        <w:gridCol w:w="109"/>
        <w:gridCol w:w="109"/>
        <w:gridCol w:w="109"/>
        <w:gridCol w:w="109"/>
        <w:gridCol w:w="196"/>
        <w:gridCol w:w="785"/>
        <w:gridCol w:w="109"/>
        <w:gridCol w:w="109"/>
        <w:gridCol w:w="109"/>
        <w:gridCol w:w="109"/>
        <w:gridCol w:w="196"/>
        <w:gridCol w:w="785"/>
        <w:gridCol w:w="159"/>
      </w:tblGrid>
      <w:tr>
        <w:trPr/>
        <w:tc>
          <w:tcPr>
            <w:tcW w:w="2398"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6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42" w:name="i6d12ac18bcb64f2cae6c04be58a66675_3-0-1-"/>
            <w:bookmarkEnd w:id="42"/>
            <w:r>
              <w:rPr>
                <w:rFonts w:ascii="Times New Roman;sans-serif" w:hAnsi="Times New Roman;sans-serif"/>
                <w:b w:val="false"/>
                <w:color w:val="000000"/>
                <w:sz w:val="18"/>
              </w:rPr>
              <w:t>Cash flows provided by operating activities: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continuing operations</w:t>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(46,673)</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212,785 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93,150 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from continuing operations to cash provided by operating activities of continuing operations: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from terminated interest rate swaps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for expected credit losses and contingent lease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 forward contracts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inventories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current assets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accounts payable and accrued and other current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unearned revenue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operating lease liabilities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other long-term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of continuing operations</w:t>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216,000 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454,166 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348,332 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of discontinued operations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228,132 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532,421 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390,922 </w:t>
            </w:r>
          </w:p>
        </w:tc>
        <w:tc>
          <w:tcPr>
            <w:tcW w:w="1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0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disposal of property, fixtures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received from company-owned life insurance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foreign currency forward contracts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of continuing operations</w:t>
            </w:r>
          </w:p>
        </w:tc>
        <w:tc>
          <w:tcPr>
            <w:tcW w:w="9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(199,282)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(275,080)</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(174,265)</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of discontinued operations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(239,026)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(317,106)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(201,138)</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w:t>
      </w:r>
    </w:p>
    <w:tbl>
      <w:tblPr>
        <w:tblW w:w="10205" w:type="dxa"/>
        <w:jc w:val="left"/>
        <w:tblInd w:w="0" w:type="dxa"/>
        <w:tblLayout w:type="fixed"/>
        <w:tblCellMar>
          <w:top w:w="28" w:type="dxa"/>
          <w:left w:w="28" w:type="dxa"/>
          <w:bottom w:w="28" w:type="dxa"/>
          <w:right w:w="28" w:type="dxa"/>
        </w:tblCellMar>
      </w:tblPr>
      <w:tblGrid>
        <w:gridCol w:w="2242"/>
        <w:gridCol w:w="1861"/>
        <w:gridCol w:w="1874"/>
        <w:gridCol w:w="196"/>
        <w:gridCol w:w="871"/>
        <w:gridCol w:w="109"/>
        <w:gridCol w:w="109"/>
        <w:gridCol w:w="109"/>
        <w:gridCol w:w="109"/>
        <w:gridCol w:w="196"/>
        <w:gridCol w:w="871"/>
        <w:gridCol w:w="109"/>
        <w:gridCol w:w="109"/>
        <w:gridCol w:w="109"/>
        <w:gridCol w:w="109"/>
        <w:gridCol w:w="196"/>
        <w:gridCol w:w="871"/>
        <w:gridCol w:w="155"/>
      </w:tblGrid>
      <w:tr>
        <w:trPr/>
        <w:tc>
          <w:tcPr>
            <w:tcW w:w="224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finance lease obligations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settlements and repurchase of convertible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retirement of convertible senior note hedges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retirement of warrants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taxes) proceeds from share-based compensation,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partner equity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of continuing operations</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(186,856)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(195,350)</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of discontinued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(23,508)</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(187,125)</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(195,501)</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(44,317)</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29,638 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(4,322)</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beginning of the period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as of the end of the period</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84,735 </w:t>
            </w:r>
          </w:p>
        </w:tc>
        <w:tc>
          <w:tcPr>
            <w:tcW w:w="1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liabilities from the acquisition of property, fixtures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on settlement of convertible senior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received and retired on exercise of call option under bond hedge upon settlement of convertible senior notes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97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2"/>
        </w:rPr>
        <w:t>The accompanying notes are an integral part of these consolidated fina</w:t>
      </w:r>
      <w:bookmarkStart w:id="43" w:name="i050c32596763496c9e78e9967afa8b5b_120"/>
      <w:bookmarkEnd w:id="43"/>
      <w:r>
        <w:rPr>
          <w:rFonts w:ascii="Times New Roman;sans-serif" w:hAnsi="Times New Roman;sans-serif"/>
          <w:b w:val="false"/>
          <w:color w:val="000000"/>
          <w:sz w:val="22"/>
        </w:rPr>
        <w:t>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owns and operates casual, polished casual and fine dining restaurants. The Company’s restaurant portfolio includes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           Summary of </w:t>
      </w:r>
      <w:bookmarkStart w:id="44" w:name="ic902dcd4be4b4cbf839cc6b2751986d3_30262"/>
      <w:bookmarkEnd w:id="44"/>
      <w:r>
        <w:rPr>
          <w:rFonts w:ascii="Times New Roman;sans-serif" w:hAnsi="Times New Roman;sans-serif"/>
          <w:b w:val="false"/>
          <w:color w:val="000000"/>
          <w:sz w:val="22"/>
        </w:rPr>
        <w:t>Significant Accounting Policies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Basis of Presentation -</w:t>
      </w:r>
      <w:r>
        <w:rPr>
          <w:color w:val="000000"/>
        </w:rPr>
        <w:t xml:space="preserve"> </w:t>
      </w:r>
      <w:r>
        <w:rPr>
          <w:rFonts w:ascii="Times New Roman;sans-serif" w:hAnsi="Times New Roman;sans-serif"/>
          <w:b w:val="false"/>
          <w:color w:val="000000"/>
          <w:sz w:val="22"/>
        </w:rPr>
        <w:t>The Company’s consolidated financial statements include the accounts and operations of Bloomin’ Brands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Principles of Consolidation - </w:t>
      </w:r>
      <w:r>
        <w:rPr>
          <w:rFonts w:ascii="Times New Roman;sans-serif" w:hAnsi="Times New Roman;sans-serif"/>
          <w:b w:val="false"/>
          <w:color w:val="000000"/>
          <w:sz w:val="22"/>
        </w:rPr>
        <w:t>All intercompany accounts and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consolidates variable interest entities where it has been determined that the Company is the primary beneficiary of those entities’ operations. As of December 29, 2024, the Company franchised 291 restaurants but did not possess any ownership interests in its franchisees and did not provide material direct financial support to its franchisees. These franchise relationships are not deemed variable interest entities and are not consolidated.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Investments in entities the Company does not control, but where the Company’s interest is between 20% and 50% and the Company has the ability to exercise significant influence over the entity, are accounted for under the equity method and are not consolidated into the Company’s financial statements. See </w:t>
      </w:r>
      <w:r>
        <w:rPr>
          <w:rFonts w:ascii="Times New Roman;sans-serif" w:hAnsi="Times New Roman;sans-serif"/>
          <w:b w:val="false"/>
          <w:i/>
          <w:color w:val="000000"/>
          <w:sz w:val="22"/>
        </w:rPr>
        <w:t xml:space="preserve">Equity Method Investments </w:t>
      </w:r>
      <w:r>
        <w:rPr>
          <w:rFonts w:ascii="Times New Roman;sans-serif" w:hAnsi="Times New Roman;sans-serif"/>
          <w:b w:val="false"/>
          <w:color w:val="000000"/>
          <w:sz w:val="22"/>
        </w:rPr>
        <w:t>below</w:t>
      </w:r>
      <w:r>
        <w:rPr>
          <w:color w:val="000000"/>
        </w:rPr>
        <w:t xml:space="preserve"> </w:t>
      </w:r>
      <w:r>
        <w:rPr>
          <w:rFonts w:ascii="Times New Roman;sans-serif" w:hAnsi="Times New Roman;sans-serif"/>
          <w:b w:val="false"/>
          <w:color w:val="000000"/>
          <w:sz w:val="22"/>
        </w:rPr>
        <w:t>for the Company’s equity method investment accounting policies.</w:t>
      </w:r>
    </w:p>
    <w:p>
      <w:pPr>
        <w:pStyle w:val="TextBody"/>
        <w:bidi w:val="0"/>
        <w:spacing w:before="0" w:after="0"/>
        <w:jc w:val="both"/>
        <w:rPr/>
      </w:pPr>
      <w:r>
        <w:rPr/>
      </w:r>
    </w:p>
    <w:p>
      <w:pPr>
        <w:pStyle w:val="TextBody"/>
        <w:bidi w:val="0"/>
        <w:spacing w:lineRule="auto" w:line="288" w:before="0" w:after="0"/>
        <w:jc w:val="both"/>
        <w:rPr/>
      </w:pPr>
      <w:bookmarkStart w:id="45" w:name="ibceaee7e86814fb1bf8ca926d9de5e65_63984"/>
      <w:bookmarkEnd w:id="45"/>
      <w:r>
        <w:rPr>
          <w:rFonts w:ascii="Times New Roman;sans-serif" w:hAnsi="Times New Roman;sans-serif"/>
          <w:b w:val="false"/>
          <w:color w:val="000000"/>
          <w:sz w:val="22"/>
        </w:rPr>
        <w:t xml:space="preserve">To ensure timely reporting, the Company consolidates the results of its Brazil operations on a one-month calendar lag. On December 30, 2024, the Company completed the sale of 67% of its Brazil operations, with the Company retaining a 33% interest accounted for under the equity method of accounting. The balance sheets, results of operations and cash flows of the Company’s Brazil operations are reported as discontinued operations for all periods presented and accounted for under the equity method of accounting following the sale. Unless otherwise noted, disclosures within these Notes to Consolidated Financial Statements relate solely to the Company’s continuing operations. For additional information regarding the Brazil sale and discontinued operations, see Note 3 - </w:t>
      </w:r>
      <w:r>
        <w:rPr>
          <w:rFonts w:ascii="Times New Roman;sans-serif" w:hAnsi="Times New Roman;sans-serif"/>
          <w:b w:val="false"/>
          <w:i/>
          <w:color w:val="000000"/>
          <w:sz w:val="22"/>
        </w:rPr>
        <w:t>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Fiscal Year - </w:t>
      </w:r>
      <w:r>
        <w:rPr>
          <w:rFonts w:ascii="Times New Roman;sans-serif" w:hAnsi="Times New Roman;sans-serif"/>
          <w:b w:val="false"/>
          <w:color w:val="000000"/>
          <w:sz w:val="22"/>
        </w:rPr>
        <w:t>The Company utilizes a 52-53-week year ending on the last Sunday in December. In a 52-week fiscal year, each quarterly period is comprised of 13 weeks. The additional week in a 53-week fiscal year is added to the fourth quarter. Fiscal year 2023 consisted of 53 weeks and fiscal years 2024 and 2022 consisted of 52 weeks. The additional operating week of 2023 resulted in increases of $83.5 million of Total revenues and $0.15 of GAAP diluted earnings per share in the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Use of Estimates - </w:t>
      </w:r>
      <w:r>
        <w:rPr>
          <w:rFonts w:ascii="Times New Roman;sans-serif" w:hAnsi="Times New Roman;sans-serif"/>
          <w:b w:val="false"/>
          <w:color w:val="000000"/>
          <w:sz w:val="22"/>
        </w:rPr>
        <w:t>The preparation of the accompanying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Cash and Cash Equivalents - </w:t>
      </w:r>
      <w:r>
        <w:rPr>
          <w:rFonts w:ascii="Times New Roman;sans-serif" w:hAnsi="Times New Roman;sans-serif"/>
          <w:b w:val="false"/>
          <w:color w:val="000000"/>
          <w:sz w:val="22"/>
        </w:rPr>
        <w:t>Cash equivalents consist of investments that are readily convertible to cash with an original maturity date of three months or less. Cash and cash equivalents include $49.1 million and $56.2 million, as of December 29, 2024 and December 31, 2023, respectively, for amounts in transit from credit card companies since settlement is reasonably assured.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Restricted Cash</w:t>
      </w:r>
      <w:r>
        <w:rPr>
          <w:color w:val="000000"/>
        </w:rPr>
        <w:t xml:space="preserve"> </w:t>
      </w:r>
      <w:r>
        <w:rPr>
          <w:rFonts w:ascii="Times New Roman;sans-serif" w:hAnsi="Times New Roman;sans-serif"/>
          <w:b w:val="false"/>
          <w:color w:val="000000"/>
          <w:sz w:val="22"/>
        </w:rPr>
        <w:t>- From time to time, the Company may have short-term restricted cash balances consisting of amounts pledged for settlement of deferred compensation plan obligations.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Concentrations of Credit and Counterparty Risk - </w:t>
      </w:r>
      <w:r>
        <w:rPr>
          <w:rFonts w:ascii="Times New Roman;sans-serif" w:hAnsi="Times New Roman;sans-serif"/>
          <w:b w:val="false"/>
          <w:color w:val="000000"/>
          <w:sz w:val="22"/>
        </w:rPr>
        <w:t>Financial instruments that potentially subject the Company to a concentration of credit risk and credit losses are through credit card and trade receivables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 See Note 8 - </w:t>
      </w:r>
      <w:r>
        <w:rPr>
          <w:rFonts w:ascii="Times New Roman;sans-serif" w:hAnsi="Times New Roman;sans-serif"/>
          <w:b w:val="false"/>
          <w:i/>
          <w:color w:val="000000"/>
          <w:sz w:val="22"/>
        </w:rPr>
        <w:t>Supplemental Balance Sheet Information</w:t>
      </w:r>
      <w:r>
        <w:rPr>
          <w:color w:val="000000"/>
        </w:rPr>
        <w:t xml:space="preserve"> </w:t>
      </w:r>
      <w:r>
        <w:rPr>
          <w:rFonts w:ascii="Times New Roman;sans-serif" w:hAnsi="Times New Roman;sans-serif"/>
          <w:b w:val="false"/>
          <w:color w:val="000000"/>
          <w:sz w:val="22"/>
        </w:rPr>
        <w:t xml:space="preserve">- </w:t>
      </w:r>
      <w:r>
        <w:rPr>
          <w:rFonts w:ascii="Times New Roman;sans-serif" w:hAnsi="Times New Roman;sans-serif"/>
          <w:b w:val="false"/>
          <w:i/>
          <w:color w:val="000000"/>
          <w:sz w:val="22"/>
        </w:rPr>
        <w:t xml:space="preserve">Other current assets, net </w:t>
      </w:r>
      <w:r>
        <w:rPr>
          <w:rFonts w:ascii="Times New Roman;sans-serif" w:hAnsi="Times New Roman;sans-serif"/>
          <w:b w:val="false"/>
          <w:color w:val="000000"/>
          <w:sz w:val="22"/>
        </w:rPr>
        <w:t>for disclosure of trade receivables by category as of December 29, 2024 and December 31,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Financial instruments that potentially subject the Company to concentrations of counterparty risk are cash and cash equivalents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13 - </w:t>
      </w:r>
      <w:r>
        <w:rPr>
          <w:rFonts w:ascii="Times New Roman;sans-serif" w:hAnsi="Times New Roman;sans-serif"/>
          <w:b w:val="false"/>
          <w:i/>
          <w:color w:val="000000"/>
          <w:sz w:val="22"/>
        </w:rPr>
        <w:t xml:space="preserve">Derivative Instruments and Hedging Activities </w:t>
      </w:r>
      <w:r>
        <w:rPr>
          <w:rFonts w:ascii="Times New Roman;sans-serif" w:hAnsi="Times New Roman;sans-serif"/>
          <w:b w:val="false"/>
          <w:color w:val="000000"/>
          <w:sz w:val="22"/>
        </w:rPr>
        <w:t>for a discussion of the Company’s use of derivative instruments and management of credit risk inherent in derivative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Allowance for Expected Credit Losses - </w:t>
      </w:r>
      <w:r>
        <w:rPr>
          <w:rFonts w:ascii="Times New Roman;sans-serif" w:hAnsi="Times New Roman;sans-serif"/>
          <w:b w:val="false"/>
          <w:color w:val="000000"/>
          <w:sz w:val="22"/>
        </w:rPr>
        <w:t xml:space="preserve">The Company evaluates the collectability of credit card and trade receivables based on historical loss experience by risk pool and records periodic adjustments for factors such as deterioration of economic conditions, specific customer circumstances and changes in the aging of accounts receivable balances. In instances where there is no established loss history, S&amp;P speculative-grade default rates are utilized as an estimated expected credit loss rate. Losses are charged off in the period in which they are determined to be uncollectible. See Note 16 - </w:t>
      </w:r>
      <w:r>
        <w:rPr>
          <w:rFonts w:ascii="Times New Roman;sans-serif" w:hAnsi="Times New Roman;sans-serif"/>
          <w:b w:val="false"/>
          <w:i/>
          <w:color w:val="000000"/>
          <w:sz w:val="22"/>
        </w:rPr>
        <w:t>Allowance for Expected Credit Losses</w:t>
      </w:r>
      <w:r>
        <w:rPr>
          <w:color w:val="000000"/>
        </w:rPr>
        <w:t xml:space="preserve"> </w:t>
      </w:r>
      <w:r>
        <w:rPr>
          <w:rFonts w:ascii="Times New Roman;sans-serif" w:hAnsi="Times New Roman;sans-serif"/>
          <w:b w:val="false"/>
          <w:color w:val="000000"/>
          <w:sz w:val="22"/>
        </w:rPr>
        <w:t>for a discussion of the Company’s allowance for expected credit losses.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assigns its interest, and is contingently liable, under certain real estate leases, primarily related 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18 -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 xml:space="preserve">for a discussion of the Company’s contingent lease liabilities.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Fair Value - </w:t>
      </w: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348" w:type="dxa"/>
        <w:jc w:val="center"/>
        <w:tblInd w:w="0" w:type="dxa"/>
        <w:tblLayout w:type="fixed"/>
        <w:tblCellMar>
          <w:top w:w="28" w:type="dxa"/>
          <w:left w:w="28" w:type="dxa"/>
          <w:bottom w:w="28" w:type="dxa"/>
          <w:right w:w="28" w:type="dxa"/>
        </w:tblCellMar>
      </w:tblPr>
      <w:tblGrid>
        <w:gridCol w:w="234"/>
        <w:gridCol w:w="205"/>
        <w:gridCol w:w="205"/>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Inventories - </w:t>
      </w:r>
      <w:r>
        <w:rPr>
          <w:rFonts w:ascii="Times New Roman;sans-serif" w:hAnsi="Times New Roman;sans-serif"/>
          <w:b w:val="false"/>
          <w:color w:val="000000"/>
          <w:sz w:val="22"/>
        </w:rPr>
        <w:t>Inventories consist of food and beverages and are stated at the lower of cost (first-in, first-out) or net realizable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bookmarkStart w:id="46" w:name="if2df3709dc3a4ffdbac34e84c40aea85_1810"/>
      <w:bookmarkEnd w:id="46"/>
      <w:r>
        <w:rPr>
          <w:rFonts w:ascii="Times New Roman;sans-serif" w:hAnsi="Times New Roman;sans-serif"/>
          <w:b w:val="false"/>
          <w:i/>
          <w:color w:val="000000"/>
          <w:sz w:val="22"/>
        </w:rPr>
        <w:t>Cloud-Based Computing Arrangements</w:t>
      </w:r>
      <w:r>
        <w:rPr>
          <w:color w:val="000000"/>
        </w:rPr>
        <w:t xml:space="preserve"> </w:t>
      </w:r>
      <w:r>
        <w:rPr>
          <w:rFonts w:ascii="Times New Roman;sans-serif" w:hAnsi="Times New Roman;sans-serif"/>
          <w:b w:val="false"/>
          <w:color w:val="000000"/>
          <w:sz w:val="22"/>
        </w:rPr>
        <w:t xml:space="preserve">- The Company defers costs incurred under the application development stage for cloud-based computing arrangements and amortizes those costs over the related service agreement. Capitalized cloud computing implementation costs were $4.6 million, net of accumulated amortization, as of December 29, 2024, primarily related to human resource management systems, and are included in Other current assets, net and Other assets, net on the Company’s Consolidated Balance Sheets. Capitalized cloud computing implementation costs were immaterial as of December 31, 2023. Related amortization expense is included in General and administrative expenses in the Company’s Consolidated Statements of Operations and Comprehensive (Loss) Income and was immaterial for all periods </w:t>
      </w:r>
      <w:bookmarkStart w:id="47" w:name="if2df3709dc3a4ffdbac34e84c40aea85_1811"/>
      <w:bookmarkEnd w:id="47"/>
      <w:r>
        <w:rPr>
          <w:rFonts w:ascii="Times New Roman;sans-serif" w:hAnsi="Times New Roman;sans-serif"/>
          <w:b w:val="false"/>
          <w:color w:val="000000"/>
          <w:sz w:val="22"/>
        </w:rPr>
        <w:t>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Property, Fixtures and Equipment - </w:t>
      </w:r>
      <w:r>
        <w:rPr>
          <w:rFonts w:ascii="Times New Roman;sans-serif" w:hAnsi="Times New Roman;sans-serif"/>
          <w:b w:val="false"/>
          <w:color w:val="000000"/>
          <w:sz w:val="22"/>
        </w:rPr>
        <w:t>Property, fixtures and equipment are stated at cost, net of accumulated depreciation. Depreciation is computed on the straight-line method over the estimated useful life of the assets. Estimated useful lives by major asset category are generally as follows:</w:t>
      </w:r>
    </w:p>
    <w:tbl>
      <w:tblPr>
        <w:tblW w:w="3629" w:type="dxa"/>
        <w:jc w:val="left"/>
        <w:tblInd w:w="0" w:type="dxa"/>
        <w:tblLayout w:type="fixed"/>
        <w:tblCellMar>
          <w:top w:w="28" w:type="dxa"/>
          <w:left w:w="28" w:type="dxa"/>
          <w:bottom w:w="28" w:type="dxa"/>
          <w:right w:w="28" w:type="dxa"/>
        </w:tblCellMar>
      </w:tblPr>
      <w:tblGrid>
        <w:gridCol w:w="929"/>
        <w:gridCol w:w="817"/>
        <w:gridCol w:w="818"/>
        <w:gridCol w:w="312"/>
        <w:gridCol w:w="312"/>
        <w:gridCol w:w="441"/>
      </w:tblGrid>
      <w:tr>
        <w:trPr/>
        <w:tc>
          <w:tcPr>
            <w:tcW w:w="92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(1)</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 to 30 years</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5 to 7 years</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w:t>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2 to 7 years </w:t>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and software</w:t>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2 to 7 years</w:t>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improvements to leased properties which are depreciated over the shorter of their useful life or reasonably certain lease term, including reasonably certain renewal periods.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Repair and maintenance costs that maintain the appearance and functionality of the restaurant, but do not extend the useful life of any restaurant asset, are expensed as incurred.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(Loss)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Depreciation and repair and maintenance expense are as follows for the periods indicated:</w:t>
      </w:r>
    </w:p>
    <w:tbl>
      <w:tblPr>
        <w:tblW w:w="6236" w:type="dxa"/>
        <w:jc w:val="center"/>
        <w:tblInd w:w="0" w:type="dxa"/>
        <w:tblLayout w:type="fixed"/>
        <w:tblCellMar>
          <w:top w:w="28" w:type="dxa"/>
          <w:left w:w="28" w:type="dxa"/>
          <w:bottom w:w="28" w:type="dxa"/>
          <w:right w:w="28" w:type="dxa"/>
        </w:tblCellMar>
      </w:tblPr>
      <w:tblGrid>
        <w:gridCol w:w="873"/>
        <w:gridCol w:w="769"/>
        <w:gridCol w:w="772"/>
        <w:gridCol w:w="196"/>
        <w:gridCol w:w="736"/>
        <w:gridCol w:w="109"/>
        <w:gridCol w:w="109"/>
        <w:gridCol w:w="109"/>
        <w:gridCol w:w="109"/>
        <w:gridCol w:w="196"/>
        <w:gridCol w:w="736"/>
        <w:gridCol w:w="109"/>
        <w:gridCol w:w="109"/>
        <w:gridCol w:w="109"/>
        <w:gridCol w:w="109"/>
        <w:gridCol w:w="196"/>
        <w:gridCol w:w="736"/>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165,190 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145,961 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Repair and maintenance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capitalizes direct and indirect internal costs associated with the acquisition, development, design and construction of Company-owned restaurant locations as these costs have a future benefit to the Company. Upon restaurant opening, these costs are charged to Depreciation and amortization expense over the reasonably certain lease term. Internal costs of $5.3 million and $4.9 million were capitalized during 2024 and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2024 and 2023, computer equipment and software costs of $8.1 million and $10.8 million, respectively, were capitalized. As of December 29, 2024 and December 31, 2023, there was $11.4 million and $12.5 million, respectively, of unamortized computer equipment and software included in Property, fixtures and equipment, net on the Company’s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8" w:name="i313e52bb35f842a6977c4035ff38eac2_2463"/>
      <w:bookmarkEnd w:id="48"/>
      <w:r>
        <w:rPr>
          <w:rFonts w:ascii="Times New Roman;sans-serif" w:hAnsi="Times New Roman;sans-serif"/>
          <w:b w:val="false"/>
          <w:i/>
          <w:color w:val="000000"/>
          <w:sz w:val="22"/>
        </w:rPr>
        <w:t>Equity Method Investments</w:t>
      </w:r>
      <w:r>
        <w:rPr>
          <w:color w:val="000000"/>
        </w:rPr>
        <w:t xml:space="preserve"> </w:t>
      </w:r>
      <w:r>
        <w:rPr>
          <w:rFonts w:ascii="Times New Roman;sans-serif" w:hAnsi="Times New Roman;sans-serif"/>
          <w:b w:val="false"/>
          <w:color w:val="000000"/>
          <w:sz w:val="22"/>
        </w:rPr>
        <w:t xml:space="preserve">- Revenue and expenses of equity method investees are not consolidated into the Company’s financial statements. The Company’s proportionate share of earnings or losses is recorded in Income from operations of unconsolidated affiliates in its Consolidated Statements of Operations and Comprehensive (Loss) Income and as an adjustment to the carrying value in the Company’s Consolidated Balance Sheets. Equity method investments are evaluated for impairment when facts and circumstances indicate that the carrying value may not be recoverable.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Goodwill and Intangible Assets - </w:t>
      </w:r>
      <w:r>
        <w:rPr>
          <w:rFonts w:ascii="Times New Roman;sans-serif" w:hAnsi="Times New Roman;sans-serif"/>
          <w:b w:val="false"/>
          <w:color w:val="000000"/>
          <w:sz w:val="22"/>
        </w:rPr>
        <w:t>Goodwill represents the excess of the purchase price over the fair value of net assets acquired in business combinations and is assigned to the reporting unit in which the acquired business will operate. The Company’s indefinite-lived intangible assets consist of trade names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calculated fair value, with any excess of carrying value over fair value deemed to be an impairment.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Definite-lived intangible assets, which consist of trademarks, are recorded at fair value as of the date of acquisition, amortized over their estimated useful lives and tested for impairment, using the relief from royalty method, whenever events or changes in circumstances indicate that the carrying value may not be recoverable. See Note 9 - </w:t>
      </w:r>
      <w:r>
        <w:rPr>
          <w:rFonts w:ascii="Times New Roman;sans-serif" w:hAnsi="Times New Roman;sans-serif"/>
          <w:b w:val="false"/>
          <w:i/>
          <w:color w:val="000000"/>
          <w:sz w:val="22"/>
        </w:rPr>
        <w:t xml:space="preserve">Goodwill and Intangible Assets, Net </w:t>
      </w:r>
      <w:r>
        <w:rPr>
          <w:rFonts w:ascii="Times New Roman;sans-serif" w:hAnsi="Times New Roman;sans-serif"/>
          <w:b w:val="false"/>
          <w:color w:val="000000"/>
          <w:sz w:val="22"/>
        </w:rPr>
        <w:t>for goodwill, indefinite-lived intangibles and definite-lived intangibles balances by reporting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9" w:name="i77ab6c9408954105be3c1b225f64ebb9_43001"/>
      <w:bookmarkEnd w:id="49"/>
      <w:r>
        <w:rPr>
          <w:rFonts w:ascii="Times New Roman;sans-serif" w:hAnsi="Times New Roman;sans-serif"/>
          <w:b w:val="false"/>
          <w:i/>
          <w:color w:val="000000"/>
          <w:sz w:val="22"/>
        </w:rPr>
        <w:t xml:space="preserve">Derivatives - </w:t>
      </w:r>
      <w:r>
        <w:rPr>
          <w:rFonts w:ascii="Times New Roman;sans-serif" w:hAnsi="Times New Roman;sans-serif"/>
          <w:b w:val="false"/>
          <w:color w:val="000000"/>
          <w:sz w:val="22"/>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Derivatives designated and qualifying as a hedge of the exposure to variability in expected future cash flows, or other types of forecasted transactions, are considered cash flow hedges. If the derivative qualifies for hedge accounting treatment, any gain or loss on the derivative instrument is recognized in equity as a change to Accumulated other comprehensive loss and reclassified into earnings in the same period or periods during which the hedged transaction affects earnings.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Unrealized gains or losses on the Company’s interest rate swaps are reclassified to Interest expense, net as interest payments are made on the hedged portion of the Company’s revolving credit facility. The Company has elected to record cash flows from interest rate swaps within operating activities, the same category as the items being hedged, in its Consolidated Statements of Cash Flows. The Company has elected not to offset derivative positions in the balance sheet with the same counterparty under the same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enter into derivative contracts that are intended to economically hedge certain of its risks, even though hedge accounting does not apply or the Company elects not to apply hedge accounting. Derivatives not designated as hedges are not speculative and are used to manage the Company’s exposure to interest rate movements, foreign currency exchange rate movements, changes in energy prices and other identified risks. Changes in the fair value of derivatives not designated in hedging relationships are recorded directly in earnings.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During 2024, the Company entered into foreign currency forward contracts not designated as hedges to mitigate a portion of the exchange rate risk associated with purchase price installment payments in connection with the sale of the majority ownership of its Brazil operations. The change in fair value of the foreign currency forward contracts is recorded in General and administrative expense, consistent with the related underlying exposure. See Note 13 - </w:t>
      </w:r>
      <w:r>
        <w:rPr>
          <w:rFonts w:ascii="Times New Roman;sans-serif" w:hAnsi="Times New Roman;sans-serif"/>
          <w:b w:val="false"/>
          <w:i/>
          <w:color w:val="000000"/>
          <w:sz w:val="22"/>
        </w:rPr>
        <w:t>Derivative Instruments and Hedging Activities</w:t>
      </w:r>
      <w:r>
        <w:rPr>
          <w:color w:val="000000"/>
        </w:rPr>
        <w:t xml:space="preserve"> </w:t>
      </w:r>
      <w:r>
        <w:rPr>
          <w:rFonts w:ascii="Times New Roman;sans-serif" w:hAnsi="Times New Roman;sans-serif"/>
          <w:b w:val="false"/>
          <w:color w:val="000000"/>
          <w:sz w:val="22"/>
        </w:rPr>
        <w:t>for additional details regarding the foreign currency forward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Deferred Debt Issuance Costs</w:t>
      </w:r>
      <w:r>
        <w:rPr>
          <w:color w:val="000000"/>
        </w:rPr>
        <w:t xml:space="preserve"> </w:t>
      </w:r>
      <w:r>
        <w:rPr>
          <w:rFonts w:ascii="Times New Roman;sans-serif" w:hAnsi="Times New Roman;sans-serif"/>
          <w:b w:val="false"/>
          <w:color w:val="000000"/>
          <w:sz w:val="22"/>
        </w:rPr>
        <w:t>- For its revolving credit facility, the Company records deferred debt issuance costs related to the issuance of debt obligations in Other assets, net on its Consolidated Balance Sheets. For fees associated with all other debt obligations, the Company records deferred debt issuance costs as a reduction of Long-term debt,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amortizes deferred debt issuance costs to interest expense over the term of the respective financing arrangement, primarily using the effective interest method. The Company amortized deferred debt issuance costs of $2.8 million, $3.1 million and $3.5 million to Interest expense, net for 2024, 2023 and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Liquor Licenses - </w:t>
      </w:r>
      <w:r>
        <w:rPr>
          <w:rFonts w:ascii="Times New Roman;sans-serif" w:hAnsi="Times New Roman;sans-serif"/>
          <w:b w:val="false"/>
          <w:color w:val="000000"/>
          <w:sz w:val="22"/>
        </w:rPr>
        <w:t>The fees from obtaining non-transferable liquor licenses directly issued by local government agencies for nominal fees are 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 Liquor licenses are reviewed for impairment annually or more frequently if events or changes in circumstances indicate that the carrying amount may not be recoverable.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Insurance Reserves - </w:t>
      </w:r>
      <w:r>
        <w:rPr>
          <w:rFonts w:ascii="Times New Roman;sans-serif" w:hAnsi="Times New Roman;sans-serif"/>
          <w:b w:val="false"/>
          <w:color w:val="000000"/>
          <w:sz w:val="22"/>
        </w:rPr>
        <w:t>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Share Repurchase -</w:t>
      </w:r>
      <w:r>
        <w:rPr>
          <w:color w:val="000000"/>
        </w:rPr>
        <w:t xml:space="preserve"> </w:t>
      </w:r>
      <w:r>
        <w:rPr>
          <w:rFonts w:ascii="Times New Roman;sans-serif" w:hAnsi="Times New Roman;sans-serif"/>
          <w:b w:val="false"/>
          <w:color w:val="000000"/>
          <w:sz w:val="22"/>
        </w:rPr>
        <w:t>The par value of the repurchased shares is deducted from common stock and the excess of the purchase price over the par value of the shares, including broker commissions, certain transaction related costs and excises taxes, are recorded to Accumulated deficit. All shares of common stock acquired through share repurchase programs are retired and restored to authorized but unissued shares of common stock. The Company has elected to record excise taxes in connection with share repurchases within operating activities in its Consolidated Statements of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Revenue Recognition - </w:t>
      </w:r>
      <w:r>
        <w:rPr>
          <w:rFonts w:ascii="Times New Roman;sans-serif" w:hAnsi="Times New Roman;sans-serif"/>
          <w:b w:val="false"/>
          <w:color w:val="000000"/>
          <w:sz w:val="22"/>
        </w:rPr>
        <w:t>The Company records food and beverage revenues, net of discounts and taxes, upon delivery to the customer. Franchise-related revenues are included in Franchise and other revenues in the Company’s Consolidated Statements of Operations and Comprehensive (Loss) Income. Royalties, which are generally a percentage of net sales of the franchisee, are recognized as revenue in the period in which they occurred provided collectability is reasonably assured.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Proceeds from the sale of gift cards, which do not have expiration dates, are recorded as deferred revenue and recognized as revenue upon redemption by the customer. The Company applies the portfolio approach practical expedient to account for gift card contracts and performance obligations. Gift card breakage, the amount of gift cards which will not be redeemed, is recognized using estimates based on historical redemption patterns. If actual 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(Loss) Income. Approximately 84% of deferred gift card revenue is expected to be recognized within 12 months of inception.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Gift card sales commissions paid to third-party providers are capitalized and subsequently amortized to Other restaurant operating expense based on historical gift card redemption patterns. See Note 4 - </w:t>
      </w:r>
      <w:r>
        <w:rPr>
          <w:rFonts w:ascii="Times New Roman;sans-serif" w:hAnsi="Times New Roman;sans-serif"/>
          <w:b w:val="false"/>
          <w:i/>
          <w:color w:val="000000"/>
          <w:sz w:val="22"/>
        </w:rPr>
        <w:t>Revenue Recognition</w:t>
      </w:r>
      <w:r>
        <w:rPr>
          <w:color w:val="000000"/>
        </w:rPr>
        <w:t xml:space="preserve"> </w:t>
      </w:r>
      <w:r>
        <w:rPr>
          <w:rFonts w:ascii="Times New Roman;sans-serif" w:hAnsi="Times New Roman;sans-serif"/>
          <w:b w:val="false"/>
          <w:color w:val="000000"/>
          <w:sz w:val="22"/>
        </w:rPr>
        <w:t>for rollforwards of deferred gift card sales commissions and unearned gift card revenue.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Advertising fees charged to franchisees are recognized in Franchise and other revenues in the Company’s Consolidated Statements of Operations and Comprehensive (Loss) Income provided collectability is reasonably assured. Initial franchise and renewal fees are recognized over the term of the franchise agreement and renewal period, respectively. The weighted average remaining term of franchise agreements and renewal periods was approximately 11 years as of December 29, 2024. On December 30, 2024, in connection with the sale of a majority ownership of the Company’s Brazil operations, the Company entered into 20-year franchise agreements for its existing restaurants in that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maintains a customer loyalty program, Dine Rewards, in the U.S., where customers earn a reward after attaining qualified spend amounts. The Company’s estimate of the fair value of the reward is recorded as deferred revenue. Each reward must be redeemed within specified time limits of earning such reward. Revenue is recorded upon redemption and breakage for unredeemed rewards is recorded proportional to historical redemption patterns. The Company applies the practical expedient to exclude disclosures regarding loyalty program remaining performance obligations, which have original expected durations of less than one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collects and remits sales, food and beverage, alcoholic beverage and hospitality taxes on transactions with customers and reports revenue net of taxes in its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 The Company’s determination of whether an arrangement contains a lease is based on an evaluation of whether the arrangement 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(Loss) Income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restrictive covenants.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Upon the 2019 adoption of ASC Topic 842 - </w:t>
      </w:r>
      <w:r>
        <w:rPr>
          <w:rFonts w:ascii="Times New Roman;sans-serif" w:hAnsi="Times New Roman;sans-serif"/>
          <w:b w:val="false"/>
          <w:i/>
          <w:color w:val="000000"/>
          <w:sz w:val="22"/>
        </w:rPr>
        <w:t>Leases</w:t>
      </w:r>
      <w:r>
        <w:rPr>
          <w:color w:val="000000"/>
        </w:rPr>
        <w:t xml:space="preserve"> </w:t>
      </w:r>
      <w:r>
        <w:rPr>
          <w:rFonts w:ascii="Times New Roman;sans-serif" w:hAnsi="Times New Roman;sans-serif"/>
          <w:b w:val="false"/>
          <w:color w:val="000000"/>
          <w:sz w:val="22"/>
        </w:rPr>
        <w:t xml:space="preserve">(“ASC 842”), the Company elected the practical expedient to not separate U.S. lease and non-lease components for real estate leases entered into after adoption. Additionally, for certain equipment leases, the Company applies a portfolio approach to account for lease assets and liabilities. Leases with an initial term of 12 months or less are not recorded on its Consolidated Balance Sheets and are recognized on a straight-line basis over the lease term within Other restaurant operating expense in the Company’s Consolidated Statements of Operations and Comprehensive (Loss) Income.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Rent expense for the Company’s operating leases, which generally have escalating rentals over the term of the lease and may include rent holidays, is recorded on a straight-line basis over the initial lease term and those renewal periods that are reasonably certain. Operating lease rent expense for open Company-owned restaurants is recorded in Other restaurant operating expense in the Company’s Consolidated Statements of Operations and Comprehensive (Loss) Income. Payments received from landlords as incentives for leasehold improvements are recorded as a reduction of the right-of-use asset and amortized on a straight-line basis over the term of the lease as a reduction of rent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Pre-Opening Expenses - </w:t>
      </w:r>
      <w:r>
        <w:rPr>
          <w:rFonts w:ascii="Times New Roman;sans-serif" w:hAnsi="Times New Roman;sans-serif"/>
          <w:b w:val="false"/>
          <w:color w:val="000000"/>
          <w:sz w:val="22"/>
        </w:rPr>
        <w:t>Non-capital expenditures associated with opening new restaurants are expensed as incurred and are included in Other restaurant operating expense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Consideration Received from Vendors - </w:t>
      </w:r>
      <w:r>
        <w:rPr>
          <w:rFonts w:ascii="Times New Roman;sans-serif" w:hAnsi="Times New Roman;sans-serif"/>
          <w:b w:val="false"/>
          <w:color w:val="000000"/>
          <w:sz w:val="22"/>
        </w:rPr>
        <w:t>The Company receives consideration for a variety of vendor-sponsored programs, such as volume rebates, promotions and advertising allowances. Advertising allowances are intended to offset the Company’s costs of promoting and selling menu items in its restaurants. Vendor consideration is recorded as a reduction of Food and beverage cost or Other restaurant operating expense when recognized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Impairment of Long-Lived Assets and Costs Associated with Exit Activities - </w:t>
      </w:r>
      <w:r>
        <w:rPr>
          <w:rFonts w:ascii="Times New Roman;sans-serif" w:hAnsi="Times New Roman;sans-serif"/>
          <w:b w:val="false"/>
          <w:color w:val="000000"/>
          <w:sz w:val="22"/>
        </w:rPr>
        <w:t>Long-lived assets are reviewed for impairment whenever events 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fair value. Fair value is generally estimated using a discounted cash flow model.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 closure costs, including lease termination fees, are expensed as incurred. For U.S. restaurant facility leases executed subsequent to the adoption of ASC 842, the Company accounts for fixed lease and non-lease components as a single lease component included within the lease liability at least commencement. For all leases executed prior to such date, when the Company ceases using the property rights under a non-cancelable operating lease, it records a liability for the net present value of any remaining non-rent lease-related obligations, less the estimated subtenant cost recovery that can reasonably be obtained for the property. Any subsequent adjustment to that liability as a result of lease termination or changes in estimates of cost recovery is recorded in the period incurred. The associated expense is recorded in Provision for impaired assets and restaurant closings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50" w:name="i69deada1594545ce895337376ee55dde_1334"/>
      <w:bookmarkEnd w:id="50"/>
      <w:r>
        <w:rPr>
          <w:rFonts w:ascii="Times New Roman;sans-serif" w:hAnsi="Times New Roman;sans-serif"/>
          <w:b w:val="false"/>
          <w:i/>
          <w:color w:val="000000"/>
          <w:sz w:val="22"/>
        </w:rPr>
        <w:t xml:space="preserve">Held for Sale and Discontinued Operations </w:t>
      </w:r>
      <w:r>
        <w:rPr>
          <w:rFonts w:ascii="Times New Roman;sans-serif" w:hAnsi="Times New Roman;sans-serif"/>
          <w:b w:val="false"/>
          <w:color w:val="000000"/>
          <w:sz w:val="22"/>
        </w:rPr>
        <w:t>- Restaurant sites and certain other assets to be sold are included in assets held for sale when certain criteria are met, including the requirement that the likelihood of selling the assets within one year is probable.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Assets and liabilities classified as held for sale are presented separately within the Consolidated Balance Sheets at the lower of its carrying value or fair value less costs to sell. Depreciation of property, plant and equipment and amortization of intangible and right-of-use assets are not recorded while these assets are classified as held for sale.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reports the results of operations of a business as discontinued operations if a disposal represents a strategic shift that will have a major effect on its operations and financial results. The results of discontinued operations are reported as Net (loss) income from discontinued operations, net of tax in the Consolidated Statements of Operations and Comprehensive (Loss) Income for the current and prior periods beginning in the period in which the held for sale criteria are met.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Advertising Costs - </w:t>
      </w:r>
      <w:r>
        <w:rPr>
          <w:rFonts w:ascii="Times New Roman;sans-serif" w:hAnsi="Times New Roman;sans-serif"/>
          <w:b w:val="false"/>
          <w:color w:val="000000"/>
          <w:sz w:val="22"/>
        </w:rPr>
        <w:t>Advertising production costs are expensed in the period when the advertising first occurs. All other advertising costs are expensed in the period in which the costs are incurred. Advertising expense of $111.3 million, $96.2 million and $80.1 million for 2024, 2023 and 2022, respectively, was recorded in Other restaurant operating expense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Legal Costs - </w:t>
      </w:r>
      <w:r>
        <w:rPr>
          <w:rFonts w:ascii="Times New Roman;sans-serif" w:hAnsi="Times New Roman;sans-serif"/>
          <w:b w:val="false"/>
          <w:color w:val="000000"/>
          <w:sz w:val="22"/>
        </w:rPr>
        <w:t>Settlement costs for employment litigation are recorded to Other restaurant operating expense when they are deemed probable and reasonably estimable. Legal fees are recognized as incurred and are reported in General and administrative expense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Research and Development Expenses (“R&amp;D”) - </w:t>
      </w:r>
      <w:r>
        <w:rPr>
          <w:rFonts w:ascii="Times New Roman;sans-serif" w:hAnsi="Times New Roman;sans-serif"/>
          <w:b w:val="false"/>
          <w:color w:val="000000"/>
          <w:sz w:val="22"/>
        </w:rPr>
        <w:t>R&amp;D is expensed as incurred in General and administrative expense in the Company’s Consolidated Statements of Operations and Comprehensive (Loss) Income. R&amp;D primarily consists of payroll and benefit costs. R&amp;D was $3.5 million, $3.1 million and $2.5 million</w:t>
      </w:r>
      <w:r>
        <w:rPr>
          <w:color w:val="000000"/>
        </w:rPr>
        <w:t xml:space="preserve"> </w:t>
      </w:r>
      <w:r>
        <w:rPr>
          <w:rFonts w:ascii="Times New Roman;sans-serif" w:hAnsi="Times New Roman;sans-serif"/>
          <w:b w:val="false"/>
          <w:color w:val="000000"/>
          <w:sz w:val="22"/>
        </w:rPr>
        <w:t>for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Partner Compensation - </w:t>
      </w:r>
      <w:r>
        <w:rPr>
          <w:rFonts w:ascii="Times New Roman;sans-serif" w:hAnsi="Times New Roman;sans-serif"/>
          <w:b w:val="false"/>
          <w:color w:val="000000"/>
          <w:sz w:val="22"/>
        </w:rPr>
        <w:t>In addition to base salary, field-level operators and multi-unit supervisors receive performance-based bonuses for providing management and supervisory services to their restaurants, certain of which may be based on their restaurants’ monthly operating results or cash flows. The Company accrues for these obligations using current and historical restaurant performance information. Most field-level compensation is recorded in Labor and other related expense, with compensation for multi-unit supervisors recorded in General and administrative expense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Stock-based Compensation - </w:t>
      </w:r>
      <w:r>
        <w:rPr>
          <w:rFonts w:ascii="Times New Roman;sans-serif" w:hAnsi="Times New Roman;sans-serif"/>
          <w:b w:val="false"/>
          <w:color w:val="000000"/>
          <w:sz w:val="22"/>
        </w:rPr>
        <w:t>Stock-based compensation awards are measured at fair value at the date of grant and expensed over their vesting or service periods. Stock-based compensation expense is recognized only for those awards expected to vest. The expense is recognized using the straight-line method and recorded in General and administrative expense in the Company’s Consolidated Statements of Operations and Comprehensive (Loss) Income. Forfeitures of share-based compensation awards are recognized as they occur.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Performance-based share units (“PSUs”) issued by the Company may include a relative total shareholder return (“Relative TSR”) modifier to the final payout outcome, which can adjust the payout percentage based on the achieved performance metric. The Relative TSR is measured by comparing the Company’s Relative TSR to that of the constituents of the S&amp;P 1500 Restaurants index.</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Basic and Diluted (Loss) Earnings per Share</w:t>
      </w:r>
      <w:r>
        <w:rPr>
          <w:color w:val="000000"/>
        </w:rPr>
        <w:t xml:space="preserve"> </w:t>
      </w:r>
      <w:r>
        <w:rPr>
          <w:rFonts w:ascii="Times New Roman;sans-serif" w:hAnsi="Times New Roman;sans-serif"/>
          <w:b w:val="false"/>
          <w:color w:val="000000"/>
          <w:sz w:val="22"/>
        </w:rPr>
        <w:t>- The Company computes basic (loss) earnings per share based on the weighted average number of common shares that were outstanding during the period. Except where the result would be antidilutive, diluted (loss) earnings per share includes the dilutive effect of common stock equivalents, consisting of stock options, restricted stock units, PSUs and warrants, measured using the treasury stock method, and the Company’s convertible senior notes, measured using the if-converted method. PSUs are considered dilutive when the related performance criterion has been met.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has provided the trustee of </w:t>
      </w:r>
      <w:r>
        <w:rPr>
          <w:rFonts w:ascii="Times New Roman;sans-serif" w:hAnsi="Times New Roman;sans-serif"/>
          <w:b w:val="false"/>
          <w:color w:val="252525"/>
          <w:sz w:val="22"/>
        </w:rPr>
        <w:t xml:space="preserve">the </w:t>
      </w:r>
      <w:r>
        <w:rPr>
          <w:rFonts w:ascii="Times New Roman;sans-serif" w:hAnsi="Times New Roman;sans-serif"/>
          <w:b w:val="false"/>
          <w:color w:val="000000"/>
          <w:sz w:val="22"/>
        </w:rPr>
        <w:t>Company’s convertible senior notes due 2025 (the</w:t>
      </w:r>
      <w:r>
        <w:rPr>
          <w:color w:val="252525"/>
        </w:rPr>
        <w:t xml:space="preserve"> “</w:t>
      </w:r>
      <w:r>
        <w:rPr>
          <w:rFonts w:ascii="Times New Roman;sans-serif" w:hAnsi="Times New Roman;sans-serif"/>
          <w:b w:val="false"/>
          <w:color w:val="000000"/>
          <w:sz w:val="22"/>
        </w:rPr>
        <w:t xml:space="preserve">2025 Notes”) notice of its irrevocable election under the 2025 Notes indenture to settle the principal portion of </w:t>
      </w:r>
      <w:r>
        <w:rPr>
          <w:rFonts w:ascii="Times New Roman;sans-serif" w:hAnsi="Times New Roman;sans-serif"/>
          <w:b w:val="false"/>
          <w:color w:val="252525"/>
          <w:sz w:val="22"/>
        </w:rPr>
        <w:t xml:space="preserve">the </w:t>
      </w:r>
      <w:r>
        <w:rPr>
          <w:rFonts w:ascii="Times New Roman;sans-serif" w:hAnsi="Times New Roman;sans-serif"/>
          <w:b w:val="false"/>
          <w:color w:val="000000"/>
          <w:sz w:val="22"/>
        </w:rPr>
        <w:t>2025 Notes upon conversion in cash and any excess in shares. As a result, only the amounts in excess of the principal amount, if applicable, are considered in diluted earnings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Foreign Currency Translation and Transactions - </w:t>
      </w:r>
      <w:r>
        <w:rPr>
          <w:rFonts w:ascii="Times New Roman;sans-serif" w:hAnsi="Times New Roman;sans-serif"/>
          <w:b w:val="false"/>
          <w:color w:val="000000"/>
          <w:sz w:val="22"/>
        </w:rPr>
        <w:t>For non-U.S. operations, the functional currency is the local currency. Foreign currency 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Income Taxes - </w:t>
      </w:r>
      <w:r>
        <w:rPr>
          <w:rFonts w:ascii="Times New Roman;sans-serif" w:hAnsi="Times New Roman;sans-serif"/>
          <w:b w:val="false"/>
          <w:color w:val="000000"/>
          <w:sz w:val="22"/>
        </w:rPr>
        <w:t>Deferred income tax assets and liabilities are recognized for the future tax consequences attributable to differences between 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within income in the period that includes the enactment date of the rate change. A valuation allowance may reduce deferred income tax assets to the amount that is more likely than not to be realized.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are recorded as a reduction of Deferred income tax assets, net and within Other long-term liabilities, net, with related interest and penalties recorded in Other long-term liabilities, net, on the Company’s Consolidated Balance Sheets. Interest and penalties recognized on liabilities for unrecognized tax benefits are included in (Benefit) provision for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Recently </w:t>
      </w:r>
      <w:bookmarkStart w:id="51" w:name="i29d2f2d0eff04474ba78b1e7de61e615_9414"/>
      <w:bookmarkEnd w:id="51"/>
      <w:r>
        <w:rPr>
          <w:rFonts w:ascii="Times New Roman;sans-serif" w:hAnsi="Times New Roman;sans-serif"/>
          <w:b w:val="false"/>
          <w:i/>
          <w:color w:val="000000"/>
          <w:sz w:val="22"/>
        </w:rPr>
        <w:t>Adopted Financial Accounting Standards</w:t>
      </w:r>
      <w:r>
        <w:rPr>
          <w:color w:val="000000"/>
        </w:rPr>
        <w:t xml:space="preserve"> </w:t>
      </w:r>
      <w:r>
        <w:rPr>
          <w:rFonts w:ascii="Times New Roman;sans-serif" w:hAnsi="Times New Roman;sans-serif"/>
          <w:b w:val="false"/>
          <w:color w:val="000000"/>
          <w:sz w:val="22"/>
        </w:rPr>
        <w:t xml:space="preserve">- On December 29, 2024, the Company adopted Accounting Standards Update (“ASU”) No. 2023-07, “Segment Reporting (Topic 280): Improvements to Reportable Segment Disclosures,” (“ASU No. 2023-07”) which requires disclosure of significant segment expenses regularly provided to the Company’s chief operating decision-maker (“CODM”). ASU No. 2023-07 also allows for multiple measures of segment profit (loss) if the CODM utilizes such measures to allocate resources or assess performance. The adoption of ASU No. 2023-07 did not impact the Company’s results of operations, cash flows, or financial condition. See Note 19 -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for the Company’s segment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Recently Issued Financial Accounting Standards Not Yet Adopted - </w:t>
      </w:r>
      <w:r>
        <w:rPr>
          <w:rFonts w:ascii="Times New Roman;sans-serif" w:hAnsi="Times New Roman;sans-serif"/>
          <w:b w:val="false"/>
          <w:color w:val="000000"/>
          <w:sz w:val="22"/>
        </w:rPr>
        <w:t>In December 2023, the Financial Accounting Standards Board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The Company is currently evaluating the impact ASU No. 2023-09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2027 Form 10-K, with early adoption permitted, and may be applied either prospectively for reporting periods after the effective date or retrospectively to prior periods presented. The Company is currently evaluating the impact ASU No. 2024-03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Recent accounting guidance not discussed herein is not applicable, did not have or is not expected to have a material impact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Reclassifications - </w:t>
      </w:r>
      <w:r>
        <w:rPr>
          <w:rFonts w:ascii="Times New Roman;sans-serif" w:hAnsi="Times New Roman;sans-serif"/>
          <w:b w:val="false"/>
          <w:color w:val="000000"/>
          <w:sz w:val="22"/>
        </w:rPr>
        <w:t>The Company reclassified certain items in the accompanying consolidated financial statements for prior periods to be comparable with the classification for the current period, including presentation of certain items within consolidated statements of cash flows and the notes to the consolidated financial statements. These reclassifications had no effect on previously reporte</w:t>
      </w:r>
      <w:bookmarkStart w:id="52" w:name="id0b0fbd0773046a886a6b54b381001d3_907"/>
      <w:bookmarkEnd w:id="52"/>
      <w:r>
        <w:rPr>
          <w:rFonts w:ascii="Times New Roman;sans-serif" w:hAnsi="Times New Roman;sans-serif"/>
          <w:b w:val="false"/>
          <w:color w:val="000000"/>
          <w:sz w:val="22"/>
        </w:rPr>
        <w:t>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3.    </w:t>
      </w:r>
      <w:bookmarkStart w:id="53" w:name="i7b7254bdabfc4547a097128abd26be35_61187"/>
      <w:bookmarkEnd w:id="53"/>
      <w:r>
        <w:rPr>
          <w:rFonts w:ascii="Times New Roman;sans-serif" w:hAnsi="Times New Roman;sans-serif"/>
          <w:b w:val="false"/>
          <w:color w:val="000000"/>
          <w:sz w:val="22"/>
        </w:rPr>
        <w:t>Discontinued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November 6, 2024, an indirect wholly owned subsidiary of the Company (the “Seller”) entered into a Quota Purchase Agreement and Other Covenants (the “Purchase Agreement”) with a fund managed by an affiliate of Vinci Partners Investments Ltd. (the “Buyer”) for the sale of 67% of its business in Brazil (the “Disposal Group”). The sale (the “Brazil Sale Transaction”) closed on December 30, 2024 (the “Closing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aggregate consideration paid to the Seller consists of 67% of the enterprise valuation of the Disposal Group in the amount of R$2.06 billion Brazilian Reais, which equals R$1.4 billion Brazilian Reais (approximately $225.3 million in U.S. Dollars based on the exchange rate on the Closing Date), subject to customary adjustments, and withholding for Brazilian taxes (the “Purchase Price”). On December 30, 2024 the Company received cash proceeds, net of withheld income taxes, of $103.9 million, in U.S. dollars based on the exchange rate on the Closing Date, representing 52% of the Purchase Price. The proceeds were applied to the Company’s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thirteen weeks ended March 30, 2025. The second installment payment, representing 48% of the Purchase Price is due on the first anniversary of the Closing Date (based on the exchange rate on the date of payment) and will generate interest income based on the interbank deposit rate in Brazil until paid.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the closing, the Brazil restaurants began operating as unconsolidated franchisees. The sale represents a strategic shift to a primarily franchised model for the Company’s international operations. The assets and liabilities of the Disposal Group are classified as held for sale on the Company’s Consolidated Balance Sheets as of December 29, 2024 and December 31, 2023. For fiscal years 2024, 2023 and 2022, all sales, direct costs and expenses and income taxes attributable to restaurants classified as discontinued operations have been aggregated to a single caption titled (Loss) income from discontinued operations, net of tax in the Company’s Consolidated Statements of Operations and Comprehensive (Loss) Income for all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Company entered into foreign exchange forward contracts to mitigate most of the exchange rate risk associated with the Purchase Price installment payments. See Note 13 - </w:t>
      </w:r>
      <w:r>
        <w:rPr>
          <w:rFonts w:ascii="Times New Roman;sans-serif" w:hAnsi="Times New Roman;sans-serif"/>
          <w:b w:val="false"/>
          <w:i/>
          <w:color w:val="000000"/>
          <w:sz w:val="22"/>
        </w:rPr>
        <w:t>Derivative Instruments and Hedging Activities</w:t>
      </w:r>
      <w:r>
        <w:rPr>
          <w:color w:val="000000"/>
        </w:rPr>
        <w:t xml:space="preserve"> </w:t>
      </w:r>
      <w:r>
        <w:rPr>
          <w:rFonts w:ascii="Times New Roman;sans-serif" w:hAnsi="Times New Roman;sans-serif"/>
          <w:b w:val="false"/>
          <w:color w:val="000000"/>
          <w:sz w:val="22"/>
        </w:rPr>
        <w:t xml:space="preserve">for details regarding the foreign exchange forward contracts.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the Closing Date, the Seller and the Buyer entered into a shareholders agreement (the “Shareholders Agreement”), pursuant to which Buyer and Seller will have representation on a board of directors and in executive management based on their respective equity interests.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the thirteen weeks ended December 29, 2024, the Company recorded $68.3 million of impairment in connection with the Brazil Sale Transaction within (Loss) income from discontinued operations, net of tax in its Consolidated Statements of Operations and Comprehensive (Loss) Income. The impairment represents the difference between the estimated fair value of the Disposal Group and its carrying value, which included $212.2 million of cumulative currency translation adjustment losses and the impact of measurement of the Company’s 33% retained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the Closing Date, the fair value of the Company’s retained interest was $59.9 million based on the proportional enterprise valuation of the Disposal Group negotiated as a part of the Purchase Agreement, adjusted for debt used by the Buyer to fund a portion of the Purchase Price and to be pushed down to the operating entity subsequent to the Closing Date. Under the Shareholders Agreement, the Buyer may cause the Seller to sell or the Seller may cause the Buyer to purchase the totality of the remaining interest in the Disposal Group for a period between October 1, 2028 and December 31, 2028 at a defined multiple of earnings less net indebtedness.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following table presents the carrying amounts of the major classes of assets and liabilities of the Disposal Group classified as held for sale on the Company’s Consolidated Balance Sheets as of the periods indicated: </w:t>
      </w:r>
    </w:p>
    <w:tbl>
      <w:tblPr>
        <w:tblW w:w="9794" w:type="dxa"/>
        <w:jc w:val="center"/>
        <w:tblInd w:w="0" w:type="dxa"/>
        <w:tblLayout w:type="fixed"/>
        <w:tblCellMar>
          <w:top w:w="28" w:type="dxa"/>
          <w:left w:w="28" w:type="dxa"/>
          <w:bottom w:w="28" w:type="dxa"/>
          <w:right w:w="28" w:type="dxa"/>
        </w:tblCellMar>
      </w:tblPr>
      <w:tblGrid>
        <w:gridCol w:w="1854"/>
        <w:gridCol w:w="1635"/>
        <w:gridCol w:w="1641"/>
        <w:gridCol w:w="322"/>
        <w:gridCol w:w="1209"/>
        <w:gridCol w:w="179"/>
        <w:gridCol w:w="109"/>
        <w:gridCol w:w="109"/>
        <w:gridCol w:w="109"/>
        <w:gridCol w:w="322"/>
        <w:gridCol w:w="1209"/>
        <w:gridCol w:w="179"/>
        <w:gridCol w:w="109"/>
        <w:gridCol w:w="109"/>
        <w:gridCol w:w="109"/>
        <w:gridCol w:w="109"/>
        <w:gridCol w:w="109"/>
        <w:gridCol w:w="109"/>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 of disposal group classified as held for sale</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28,095 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17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103,757 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assets</w:t>
            </w:r>
          </w:p>
        </w:tc>
        <w:tc>
          <w:tcPr>
            <w:tcW w:w="153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268,772 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259,830 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Impairment of disposal group assets </w:t>
            </w:r>
          </w:p>
        </w:tc>
        <w:tc>
          <w:tcPr>
            <w:tcW w:w="153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(68,271)</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non-current assets of disposal group classified as held for sale</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200,501 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259,830 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 of disposal group classified as held for sale</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87,956 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17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non-current liabilities of disposal group classified as held for sale</w:t>
            </w:r>
          </w:p>
        </w:tc>
        <w:tc>
          <w:tcPr>
            <w:tcW w:w="32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49,865 </w:t>
            </w:r>
          </w:p>
        </w:tc>
        <w:tc>
          <w:tcPr>
            <w:tcW w:w="17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58,645 </w:t>
            </w:r>
          </w:p>
        </w:tc>
        <w:tc>
          <w:tcPr>
            <w:tcW w:w="179" w:type="dxa"/>
            <w:tcBorders>
              <w:top w:val="single" w:sz="16"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Included in discontinued operations are benefits from a law in Brazil that provided a 100% exemption from income tax (IRPJ and CSLL) and federal value added taxes (PIS and COFINS). These exemptions impacted GAAP diluted earnings per share from discontinued operations by approximately $0.25 for 2023. After receipt of an unfavorable court ruling in January 2024, a cash judicial deposit of $42.9 million, inclusive of principal, interest and potential penalties, was made during 2024 to appeal the unfavorable court ruling.</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2024, new tax legislation granted certain industries additional exemptions from income and federal value added taxes for varying timeframes resulting in a benefit of $0.15 GAAP diluted earnings per share from discontinued operations during 2024.</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color w:val="000000"/>
          <w:sz w:val="22"/>
        </w:rPr>
        <w:t xml:space="preserve">Following closing of the Brazil Sale Transaction, the Company retained certain rights to favorable resolution of the ongoing litigation and recorded a contingent consideration asset at fair value on the Closing Date. See </w:t>
      </w:r>
      <w:r>
        <w:rPr>
          <w:rFonts w:ascii="Times New Roman;sans-serif" w:hAnsi="Times New Roman;sans-serif"/>
          <w:b w:val="false"/>
          <w:i/>
          <w:color w:val="000000"/>
          <w:sz w:val="22"/>
        </w:rPr>
        <w:t>Contingent Consideration Assets and Indemnification Liabilities</w:t>
      </w:r>
      <w:r>
        <w:rPr>
          <w:color w:val="000000"/>
        </w:rPr>
        <w:t xml:space="preserve"> </w:t>
      </w:r>
      <w:r>
        <w:rPr>
          <w:rFonts w:ascii="Times New Roman;sans-serif" w:hAnsi="Times New Roman;sans-serif"/>
          <w:b w:val="false"/>
          <w:color w:val="000000"/>
          <w:sz w:val="22"/>
        </w:rPr>
        <w:t>section below for details.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(Loss) income from discontinued operations, net of tax in the Company’s Consolidated Statements of Operations and Comprehensive (Loss) Income includes the following for the periods indicated: </w:t>
      </w:r>
    </w:p>
    <w:tbl>
      <w:tblPr>
        <w:tblW w:w="8045" w:type="dxa"/>
        <w:jc w:val="center"/>
        <w:tblInd w:w="0" w:type="dxa"/>
        <w:tblLayout w:type="fixed"/>
        <w:tblCellMar>
          <w:top w:w="28" w:type="dxa"/>
          <w:left w:w="28" w:type="dxa"/>
          <w:bottom w:w="28" w:type="dxa"/>
          <w:right w:w="28" w:type="dxa"/>
        </w:tblCellMar>
      </w:tblPr>
      <w:tblGrid>
        <w:gridCol w:w="1448"/>
        <w:gridCol w:w="1276"/>
        <w:gridCol w:w="1281"/>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525,268 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529,671 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428,840 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assets held for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487,296 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404,501 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operations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(38,601)</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42,375 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provision for income taxes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41,788 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discontinued operations, net of tax</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royalty expense of $25.9 million, $26.4 million and $21.6 million for fiscal years 2024, 2023 and 2022, respectively, eliminated in consolidation prior to the Brazil Sale Transaction, with the corresponding royalty revenues recorded within Franchise and other revenues from continuing operations in the Company’s Consolidated Statements of Operations and Comprehensive (Loss) Income. On December 30, 2024, the Company entered into franchise agreements that include royalty rates that are lower than its historical intercompany rates and on the low end of its international franchisee royalty percentage range.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Contingent Consideration Assets and Indemnification Liabilities</w:t>
      </w:r>
      <w:r>
        <w:rPr>
          <w:color w:val="000000"/>
        </w:rPr>
        <w:t xml:space="preserve"> </w:t>
      </w:r>
      <w:r>
        <w:rPr>
          <w:rFonts w:ascii="Times New Roman;sans-serif" w:hAnsi="Times New Roman;sans-serif"/>
          <w:b w:val="false"/>
          <w:color w:val="000000"/>
          <w:sz w:val="22"/>
        </w:rPr>
        <w:t>- Subsequent to December 29, 2024</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2"/>
        </w:rPr>
        <w:t xml:space="preserve">the Company recognized contingent consideration assets of $29.3 million and indemnifications liabilities of $6.9 million within Other assets, net and Other long-term liabilities, net, respectively, on the Company’s Consolidated Balance Sheet in connection with the Brazil Sale Transaction.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Contingent consideration assets relate to supervening rights to certain tax benefits, including from judicial deposits paid prior to the sale. Collection of amounts in connection with these assets will be net of applicable taxes and related costs incurred. Indemnification liabilities primarily relate to known labor and tax exposures.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Contingent consideration assets and indemnification liabilities were valued utilizing a probability-adjusted discounted cash flow model using inputs not observable in the market. The key internally developed assumptions used in these models are: (i) the probabilities of outcomes, (ii) interest rates for contingencies entitled to interest, (iii) discount rates and (iv) the anticipated timing of recognition. The Company utilized discount rates of approximately 13%, in its calculations of the estimated fair values of its contingent assets and liabilities as of the Closing Date</w:t>
      </w:r>
      <w:bookmarkStart w:id="54" w:name="i7b7254bdabfc4547a097128abd26be35_61188"/>
      <w:bookmarkEnd w:id="54"/>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Subsequent measurement of contingent consideration assets is based on ASC 450 gain contingency guidance and indemnification liabilities under ASC 460 guarantees guidance. Any subsequent recognition and measurement of contingent consideration and indemnification liabilities will be presented within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    Revenue Recognition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disaggregation of Restaurant sales and franchise revenues by restaurant concept and segment for the periods indicated:</w:t>
      </w:r>
    </w:p>
    <w:tbl>
      <w:tblPr>
        <w:tblW w:w="10205" w:type="dxa"/>
        <w:jc w:val="center"/>
        <w:tblInd w:w="0" w:type="dxa"/>
        <w:tblLayout w:type="fixed"/>
        <w:tblCellMar>
          <w:top w:w="28" w:type="dxa"/>
          <w:left w:w="28" w:type="dxa"/>
          <w:bottom w:w="28" w:type="dxa"/>
          <w:right w:w="28" w:type="dxa"/>
        </w:tblCellMar>
      </w:tblPr>
      <w:tblGrid>
        <w:gridCol w:w="526"/>
        <w:gridCol w:w="331"/>
        <w:gridCol w:w="332"/>
        <w:gridCol w:w="213"/>
        <w:gridCol w:w="947"/>
        <w:gridCol w:w="119"/>
        <w:gridCol w:w="109"/>
        <w:gridCol w:w="109"/>
        <w:gridCol w:w="109"/>
        <w:gridCol w:w="239"/>
        <w:gridCol w:w="790"/>
        <w:gridCol w:w="134"/>
        <w:gridCol w:w="109"/>
        <w:gridCol w:w="109"/>
        <w:gridCol w:w="109"/>
        <w:gridCol w:w="213"/>
        <w:gridCol w:w="947"/>
        <w:gridCol w:w="119"/>
        <w:gridCol w:w="109"/>
        <w:gridCol w:w="109"/>
        <w:gridCol w:w="109"/>
        <w:gridCol w:w="239"/>
        <w:gridCol w:w="790"/>
        <w:gridCol w:w="134"/>
        <w:gridCol w:w="109"/>
        <w:gridCol w:w="109"/>
        <w:gridCol w:w="109"/>
        <w:gridCol w:w="213"/>
        <w:gridCol w:w="947"/>
        <w:gridCol w:w="119"/>
        <w:gridCol w:w="109"/>
        <w:gridCol w:w="109"/>
        <w:gridCol w:w="109"/>
        <w:gridCol w:w="237"/>
        <w:gridCol w:w="784"/>
        <w:gridCol w:w="197"/>
      </w:tblGrid>
      <w:tr>
        <w:trPr/>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2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2,219,812 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2,316,449 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693,421 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721,946 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676,467 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559,583 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368,663 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1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3,812,604 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34,623 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4,005,053 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35,908 </w:t>
            </w:r>
          </w:p>
        </w:tc>
        <w:tc>
          <w:tcPr>
            <w:tcW w:w="1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3,863,016 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35,067 </w:t>
            </w:r>
          </w:p>
        </w:tc>
        <w:tc>
          <w:tcPr>
            <w:tcW w:w="19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(1)</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3,866,344 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74,113 </w:t>
            </w:r>
          </w:p>
        </w:tc>
        <w:tc>
          <w:tcPr>
            <w:tcW w:w="13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4,077,789 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77,432 </w:t>
            </w:r>
          </w:p>
        </w:tc>
        <w:tc>
          <w:tcPr>
            <w:tcW w:w="13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3,923,894 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71,269 </w:t>
            </w:r>
          </w:p>
        </w:tc>
        <w:tc>
          <w:tcPr>
            <w:tcW w:w="19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revenues from franchised restaurants and intercompany royalties from Brazil.</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Restaurant sales for Company-owned restaurants in Hong Kong and China.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7191" w:type="dxa"/>
        <w:jc w:val="center"/>
        <w:tblInd w:w="0" w:type="dxa"/>
        <w:tblLayout w:type="fixed"/>
        <w:tblCellMar>
          <w:top w:w="28" w:type="dxa"/>
          <w:left w:w="28" w:type="dxa"/>
          <w:bottom w:w="28" w:type="dxa"/>
          <w:right w:w="28" w:type="dxa"/>
        </w:tblCellMar>
      </w:tblPr>
      <w:tblGrid>
        <w:gridCol w:w="992"/>
        <w:gridCol w:w="875"/>
        <w:gridCol w:w="878"/>
        <w:gridCol w:w="322"/>
        <w:gridCol w:w="1209"/>
        <w:gridCol w:w="179"/>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374,099 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380,154 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7474" w:type="dxa"/>
        <w:jc w:val="center"/>
        <w:tblInd w:w="0" w:type="dxa"/>
        <w:tblLayout w:type="fixed"/>
        <w:tblCellMar>
          <w:top w:w="28" w:type="dxa"/>
          <w:left w:w="28" w:type="dxa"/>
          <w:bottom w:w="28" w:type="dxa"/>
          <w:right w:w="28" w:type="dxa"/>
        </w:tblCellMar>
      </w:tblPr>
      <w:tblGrid>
        <w:gridCol w:w="1339"/>
        <w:gridCol w:w="1180"/>
        <w:gridCol w:w="1185"/>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unearned gift card revenue for the periods indicated:</w:t>
      </w:r>
    </w:p>
    <w:tbl>
      <w:tblPr>
        <w:tblW w:w="6454" w:type="dxa"/>
        <w:jc w:val="center"/>
        <w:tblInd w:w="0" w:type="dxa"/>
        <w:tblLayout w:type="fixed"/>
        <w:tblCellMar>
          <w:top w:w="28" w:type="dxa"/>
          <w:left w:w="28" w:type="dxa"/>
          <w:bottom w:w="28" w:type="dxa"/>
          <w:right w:w="28" w:type="dxa"/>
        </w:tblCellMar>
      </w:tblPr>
      <w:tblGrid>
        <w:gridCol w:w="873"/>
        <w:gridCol w:w="769"/>
        <w:gridCol w:w="772"/>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372,551 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385,444 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387,339 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366,059 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372,551 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385,444 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Franchisee Deferred Payment Agreement</w:t>
      </w:r>
      <w:r>
        <w:rPr>
          <w:color w:val="000000"/>
        </w:rPr>
        <w:t xml:space="preserve"> </w:t>
      </w:r>
      <w:r>
        <w:rPr>
          <w:rFonts w:ascii="Times New Roman;sans-serif" w:hAnsi="Times New Roman;sans-serif"/>
          <w:b w:val="false"/>
          <w:color w:val="000000"/>
          <w:sz w:val="22"/>
        </w:rPr>
        <w:t>- Effective December 31, 2023, the Company entered into an Amended &amp; Restated Holistic Resolution Agreement (the “2023 Resolution Agreement”) with Cerca Trova Southwest Restaurant Group, LLC (d/b/a Out West Restaurant Group) and certain of its affiliates (collectively, “Out West”), who currently operate 75 franchised Outback Steakhouse restaurants in the western United States, primarily in California. The 2023 Resolution Agreement ends on December 27, 2026 or upon the earlier occurrence of certain specified events, including the sale of all or substantially all of the assets or equity of Out West, bankruptcy or a liquidation event. The 2023 Resolution Agreement includes agreements between Out West and its lenders prioritizing rents, royalties, national advertising fees and local marketing expenditures, and provides a mechanism to settle its obligations with its lenders and provide for capital expenditures, within certain limitations.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5.     </w:t>
      </w:r>
      <w:bookmarkStart w:id="55" w:name="ic1b1e97db31a43179da0b4c52f1220be_1146"/>
      <w:bookmarkEnd w:id="55"/>
      <w:r>
        <w:rPr>
          <w:rFonts w:ascii="Times New Roman;sans-serif" w:hAnsi="Times New Roman;sans-serif"/>
          <w:b w:val="false"/>
          <w:color w:val="000000"/>
          <w:sz w:val="22"/>
        </w:rPr>
        <w:t>Impairments and Exit Costs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Provision for impaired assets and restaurant closings are as follows for the periods indicated:</w:t>
      </w:r>
    </w:p>
    <w:tbl>
      <w:tblPr>
        <w:tblW w:w="7316" w:type="dxa"/>
        <w:jc w:val="left"/>
        <w:tblInd w:w="0" w:type="dxa"/>
        <w:tblLayout w:type="fixed"/>
        <w:tblCellMar>
          <w:top w:w="28" w:type="dxa"/>
          <w:left w:w="28" w:type="dxa"/>
          <w:bottom w:w="28" w:type="dxa"/>
          <w:right w:w="28" w:type="dxa"/>
        </w:tblCellMar>
      </w:tblPr>
      <w:tblGrid>
        <w:gridCol w:w="1394"/>
        <w:gridCol w:w="1227"/>
        <w:gridCol w:w="1233"/>
        <w:gridCol w:w="196"/>
        <w:gridCol w:w="646"/>
        <w:gridCol w:w="109"/>
        <w:gridCol w:w="109"/>
        <w:gridCol w:w="109"/>
        <w:gridCol w:w="109"/>
        <w:gridCol w:w="196"/>
        <w:gridCol w:w="646"/>
        <w:gridCol w:w="109"/>
        <w:gridCol w:w="109"/>
        <w:gridCol w:w="109"/>
        <w:gridCol w:w="109"/>
        <w:gridCol w:w="196"/>
        <w:gridCol w:w="55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impairment losses</w:t>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 charges (benefit)</w:t>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closure charges (benefit)</w:t>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64,291 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33,574 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(1)Primarily includes charges related to the 2023 Restaurant Closures and the Q4 2024 Restaurant Impairment, as discussed below.</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(2)Primarily includes charges related to the 2024 closure of nine restaurants in Hong Kong.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2023 Restaurant Closures</w:t>
      </w:r>
      <w:r>
        <w:rPr>
          <w:color w:val="000000"/>
        </w:rPr>
        <w:t xml:space="preserve"> </w:t>
      </w:r>
      <w:r>
        <w:rPr>
          <w:rFonts w:ascii="Times New Roman;sans-serif" w:hAnsi="Times New Roman;sans-serif"/>
          <w:b w:val="false"/>
          <w:color w:val="000000"/>
          <w:sz w:val="22"/>
        </w:rPr>
        <w:t>- During 2023, the Company closed three U.S. and two Hong Kong Aussie Grill restaurants and made the decision to close 36 predominantly older, underperforming U.S. restaurants (the “2023 Restaurant Closures”). Following is a summary of 2023 Restaurant Closures expenses recognized in the Consolidated Statements of Operations and Comprehensive (Loss) Income for the periods indicated (dollars in thousands):</w:t>
      </w:r>
    </w:p>
    <w:tbl>
      <w:tblPr>
        <w:tblW w:w="10205" w:type="dxa"/>
        <w:jc w:val="left"/>
        <w:tblInd w:w="0" w:type="dxa"/>
        <w:tblLayout w:type="fixed"/>
        <w:tblCellMar>
          <w:top w:w="28" w:type="dxa"/>
          <w:left w:w="28" w:type="dxa"/>
          <w:bottom w:w="28" w:type="dxa"/>
          <w:right w:w="28" w:type="dxa"/>
        </w:tblCellMar>
      </w:tblPr>
      <w:tblGrid>
        <w:gridCol w:w="740"/>
        <w:gridCol w:w="649"/>
        <w:gridCol w:w="652"/>
        <w:gridCol w:w="109"/>
        <w:gridCol w:w="109"/>
        <w:gridCol w:w="109"/>
        <w:gridCol w:w="1670"/>
        <w:gridCol w:w="1670"/>
        <w:gridCol w:w="1674"/>
        <w:gridCol w:w="109"/>
        <w:gridCol w:w="109"/>
        <w:gridCol w:w="109"/>
        <w:gridCol w:w="109"/>
        <w:gridCol w:w="109"/>
        <w:gridCol w:w="196"/>
        <w:gridCol w:w="646"/>
        <w:gridCol w:w="109"/>
        <w:gridCol w:w="109"/>
        <w:gridCol w:w="109"/>
        <w:gridCol w:w="109"/>
        <w:gridCol w:w="196"/>
        <w:gridCol w:w="646"/>
        <w:gridCol w:w="158"/>
      </w:tblGrid>
      <w:tr>
        <w:trPr/>
        <w:tc>
          <w:tcPr>
            <w:tcW w:w="7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FISCAL YEAR</w:t>
            </w:r>
          </w:p>
        </w:tc>
      </w:tr>
      <w:tr>
        <w:trPr/>
        <w:tc>
          <w:tcPr>
            <w:tcW w:w="2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r>
        <w:trPr/>
        <w:tc>
          <w:tcPr>
            <w:tcW w:w="20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34,200 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Closure-related labor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remeasurement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32,372 </w:t>
            </w:r>
          </w:p>
        </w:tc>
        <w:tc>
          <w:tcPr>
            <w:tcW w:w="1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During 2023, the Company recognized a lease termination gain of $6.7 million, net of related asset impairments, in connection with the closure of one U.S. restaurant.</w:t>
      </w:r>
    </w:p>
    <w:p>
      <w:pPr>
        <w:pStyle w:val="TextBody"/>
        <w:bidi w:val="0"/>
        <w:spacing w:before="0" w:after="0"/>
        <w:jc w:val="both"/>
        <w:rPr/>
      </w:pPr>
      <w:r>
        <w:rPr/>
      </w:r>
    </w:p>
    <w:p>
      <w:pPr>
        <w:pStyle w:val="TextBody"/>
        <w:bidi w:val="0"/>
        <w:spacing w:lineRule="auto" w:line="288" w:before="0" w:after="0"/>
        <w:jc w:val="both"/>
        <w:rPr/>
      </w:pPr>
      <w:bookmarkStart w:id="56" w:name="ic1b1e97db31a43179da0b4c52f1220be_10187"/>
      <w:bookmarkEnd w:id="56"/>
      <w:r>
        <w:rPr>
          <w:rFonts w:ascii="Times New Roman;sans-serif" w:hAnsi="Times New Roman;sans-serif"/>
          <w:b w:val="false"/>
          <w:i/>
          <w:color w:val="000000"/>
          <w:sz w:val="22"/>
        </w:rPr>
        <w:t>Q4 2024 Restaurant Impairment</w:t>
      </w:r>
      <w:r>
        <w:rPr>
          <w:color w:val="000000"/>
        </w:rPr>
        <w:t xml:space="preserve"> </w:t>
      </w:r>
      <w:r>
        <w:rPr>
          <w:rFonts w:ascii="Times New Roman;sans-serif" w:hAnsi="Times New Roman;sans-serif"/>
          <w:b w:val="false"/>
          <w:color w:val="000000"/>
          <w:sz w:val="22"/>
        </w:rPr>
        <w:t>- During the thirteen weeks ended December 29, 2024, the Company recorded asset impairment charges of $25.5 million primarily related to 41 older, underperforming U.S. restaurants based on an assessment of each restaurant’s historical operating performance and trends, combined with updated expected cash flow projections over the respective remaining lease term (the “Q4 2024 Restaurant Impairment”). The projections considered, among other factors, continued challenging operating and macroeconomic conditions since these restaurants tend to underperform Company-wide averages for sales and operating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remaining impairment and closure charges during the periods presented resulted primarily from locations identified for closure, including the closure of all Company-owned U.S. Aussie Grill rest</w:t>
      </w:r>
      <w:bookmarkStart w:id="57" w:name="ic1b1e97db31a43179da0b4c52f1220be_10186"/>
      <w:bookmarkEnd w:id="57"/>
      <w:r>
        <w:rPr>
          <w:rFonts w:ascii="Times New Roman;sans-serif" w:hAnsi="Times New Roman;sans-serif"/>
          <w:b w:val="false"/>
          <w:color w:val="000000"/>
          <w:sz w:val="22"/>
        </w:rPr>
        <w:t>aurants.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6.         (Loss) Earnings Per Share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In connection with the offering of the 2025 Notes, the Company entered into the Convertible Note Hedge Transactions and Warrant Transactions described in Note 11 -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 xml:space="preserve">However, the Convertible Note Hedge Transactions are not considered when calculating dilutive shares given their antidilutive impact as an offset to dilution of shares underlying the 2025 Notes. The Warrant Transactions have a dilutive effect on the Company’s common stock to the extent the price of its common stock exceeds the strike price of the Warrant Transactions. See Note 11 - </w:t>
      </w:r>
      <w:r>
        <w:rPr>
          <w:rFonts w:ascii="Times New Roman;sans-serif" w:hAnsi="Times New Roman;sans-serif"/>
          <w:b w:val="false"/>
          <w:i/>
          <w:color w:val="000000"/>
          <w:sz w:val="22"/>
        </w:rPr>
        <w:t>Convertible Senior Notes</w:t>
      </w:r>
      <w:r>
        <w:rPr>
          <w:color w:val="000000"/>
        </w:rPr>
        <w:t xml:space="preserve"> </w:t>
      </w:r>
      <w:r>
        <w:rPr>
          <w:rFonts w:ascii="Times New Roman;sans-serif" w:hAnsi="Times New Roman;sans-serif"/>
          <w:b w:val="false"/>
          <w:color w:val="000000"/>
          <w:sz w:val="22"/>
        </w:rPr>
        <w:t>for additional information regarding the 2025 Notes, Convertible Note Hedge Transactions and Warrant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(loss) earnings per share for the periods indicated:</w:t>
      </w:r>
    </w:p>
    <w:tbl>
      <w:tblPr>
        <w:tblW w:w="9522" w:type="dxa"/>
        <w:jc w:val="left"/>
        <w:tblInd w:w="0" w:type="dxa"/>
        <w:tblLayout w:type="fixed"/>
        <w:tblCellMar>
          <w:top w:w="28" w:type="dxa"/>
          <w:left w:w="28" w:type="dxa"/>
          <w:bottom w:w="28" w:type="dxa"/>
          <w:right w:w="28" w:type="dxa"/>
        </w:tblCellMar>
      </w:tblPr>
      <w:tblGrid>
        <w:gridCol w:w="2038"/>
        <w:gridCol w:w="1790"/>
        <w:gridCol w:w="1797"/>
        <w:gridCol w:w="196"/>
        <w:gridCol w:w="811"/>
        <w:gridCol w:w="109"/>
        <w:gridCol w:w="109"/>
        <w:gridCol w:w="109"/>
        <w:gridCol w:w="109"/>
        <w:gridCol w:w="196"/>
        <w:gridCol w:w="736"/>
        <w:gridCol w:w="109"/>
        <w:gridCol w:w="109"/>
        <w:gridCol w:w="109"/>
        <w:gridCol w:w="109"/>
        <w:gridCol w:w="196"/>
        <w:gridCol w:w="736"/>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(128,018)</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247,386 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101,907 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Bloomin’ Brands from continuing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205,757 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85,854 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Warrants (1)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96,453 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98,512 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(loss) earnings per share: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basic (loss) earnings per share</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(loss) earnings per share:</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(loss) earnings per share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Antidilutive stock-based compensation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(1)During 2024, the Company repurchased $83.6 million of the 2025 Notes and settled the corresponding portion of the related warrants. See Note 11 - </w:t>
      </w:r>
      <w:r>
        <w:rPr>
          <w:rFonts w:ascii="Times New Roman;sans-serif" w:hAnsi="Times New Roman;sans-serif"/>
          <w:b w:val="false"/>
          <w:i/>
          <w:color w:val="000000"/>
          <w:sz w:val="18"/>
        </w:rPr>
        <w:t>Convertible Senior Notes</w:t>
      </w:r>
      <w:r>
        <w:rPr>
          <w:color w:val="000000"/>
        </w:rPr>
        <w:t xml:space="preserve"> </w:t>
      </w:r>
      <w:r>
        <w:rPr>
          <w:rFonts w:ascii="Times New Roman;sans-serif" w:hAnsi="Times New Roman;sans-serif"/>
          <w:b w:val="false"/>
          <w:color w:val="000000"/>
          <w:sz w:val="18"/>
        </w:rPr>
        <w:t>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           Stock-based and Deferred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Stock-based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recognized stock-based compensation expense as follows for the periods indicated:</w:t>
      </w:r>
    </w:p>
    <w:tbl>
      <w:tblPr>
        <w:tblW w:w="8231" w:type="dxa"/>
        <w:jc w:val="left"/>
        <w:tblInd w:w="0" w:type="dxa"/>
        <w:tblLayout w:type="fixed"/>
        <w:tblCellMar>
          <w:top w:w="28" w:type="dxa"/>
          <w:left w:w="28" w:type="dxa"/>
          <w:bottom w:w="28" w:type="dxa"/>
          <w:right w:w="28" w:type="dxa"/>
        </w:tblCellMar>
      </w:tblPr>
      <w:tblGrid>
        <w:gridCol w:w="1724"/>
        <w:gridCol w:w="1520"/>
        <w:gridCol w:w="1525"/>
        <w:gridCol w:w="196"/>
        <w:gridCol w:w="556"/>
        <w:gridCol w:w="109"/>
        <w:gridCol w:w="109"/>
        <w:gridCol w:w="109"/>
        <w:gridCol w:w="109"/>
        <w:gridCol w:w="196"/>
        <w:gridCol w:w="646"/>
        <w:gridCol w:w="109"/>
        <w:gridCol w:w="109"/>
        <w:gridCol w:w="109"/>
        <w:gridCol w:w="109"/>
        <w:gridCol w:w="196"/>
        <w:gridCol w:w="64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 of capitalized expense (1)</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 xml:space="preserve">For 2024, 2023 and 2022, includes a cumulative life-to-date adjustment to decrease expense for PSUs granted in fiscal years 2024 and 2023, 2022 and 2020, respectively, based on updated assumptions regarding the criteria set forth in the award agreements.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PSUs</w:t>
      </w:r>
      <w:r>
        <w:rPr>
          <w:color w:val="000000"/>
        </w:rPr>
        <w:t xml:space="preserve"> </w:t>
      </w:r>
      <w:r>
        <w:rPr>
          <w:rFonts w:ascii="Times New Roman;sans-serif" w:hAnsi="Times New Roman;sans-serif"/>
          <w:b w:val="false"/>
          <w:i/>
          <w:color w:val="000000"/>
          <w:sz w:val="22"/>
        </w:rPr>
        <w:t>and Restricted Stock Units (“RSUs”)</w:t>
      </w:r>
      <w:r>
        <w:rPr>
          <w:color w:val="000000"/>
        </w:rPr>
        <w:t xml:space="preserve"> </w:t>
      </w:r>
      <w:r>
        <w:rPr>
          <w:rFonts w:ascii="Times New Roman;sans-serif" w:hAnsi="Times New Roman;sans-serif"/>
          <w:b w:val="false"/>
          <w:color w:val="000000"/>
          <w:sz w:val="22"/>
        </w:rPr>
        <w:t>- The number of PSUs that vest is determined for each year based on the achievement of certain performance criteria as set forth in the award agreement and may range from zero to 200% of the annual target grant. The PSUs are settled in shares of common stock, with holders receiving one share of common stock for each performance-based share unit that vests. Compensation expense for PSUs is recognized over the vesting period when it is probable the performance criteria will be achieved. RSUs generally vest over a period of three years in an equal number of shares each year.</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PSU and RSU activity:</w:t>
      </w:r>
    </w:p>
    <w:tbl>
      <w:tblPr>
        <w:tblW w:w="10205" w:type="dxa"/>
        <w:jc w:val="left"/>
        <w:tblInd w:w="0" w:type="dxa"/>
        <w:tblLayout w:type="fixed"/>
        <w:tblCellMar>
          <w:top w:w="28" w:type="dxa"/>
          <w:left w:w="28" w:type="dxa"/>
          <w:bottom w:w="28" w:type="dxa"/>
          <w:right w:w="28" w:type="dxa"/>
        </w:tblCellMar>
      </w:tblPr>
      <w:tblGrid>
        <w:gridCol w:w="781"/>
        <w:gridCol w:w="617"/>
        <w:gridCol w:w="620"/>
        <w:gridCol w:w="229"/>
        <w:gridCol w:w="231"/>
        <w:gridCol w:w="161"/>
        <w:gridCol w:w="109"/>
        <w:gridCol w:w="109"/>
        <w:gridCol w:w="109"/>
        <w:gridCol w:w="276"/>
        <w:gridCol w:w="280"/>
        <w:gridCol w:w="166"/>
        <w:gridCol w:w="109"/>
        <w:gridCol w:w="109"/>
        <w:gridCol w:w="109"/>
        <w:gridCol w:w="313"/>
        <w:gridCol w:w="890"/>
        <w:gridCol w:w="174"/>
        <w:gridCol w:w="174"/>
        <w:gridCol w:w="174"/>
        <w:gridCol w:w="174"/>
        <w:gridCol w:w="313"/>
        <w:gridCol w:w="890"/>
        <w:gridCol w:w="174"/>
        <w:gridCol w:w="109"/>
        <w:gridCol w:w="109"/>
        <w:gridCol w:w="109"/>
        <w:gridCol w:w="222"/>
        <w:gridCol w:w="733"/>
        <w:gridCol w:w="123"/>
        <w:gridCol w:w="123"/>
        <w:gridCol w:w="123"/>
        <w:gridCol w:w="123"/>
        <w:gridCol w:w="222"/>
        <w:gridCol w:w="733"/>
        <w:gridCol w:w="185"/>
      </w:tblGrid>
      <w:tr>
        <w:trPr/>
        <w:tc>
          <w:tcPr>
            <w:tcW w:w="78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(1)</w:t>
            </w:r>
          </w:p>
        </w:tc>
      </w:tr>
      <w:tr>
        <w:trPr/>
        <w:tc>
          <w:tcPr>
            <w:tcW w:w="2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5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2023</w:t>
            </w:r>
          </w:p>
        </w:tc>
        <w:tc>
          <w:tcPr>
            <w:tcW w:w="4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23,026 </w:t>
            </w:r>
          </w:p>
        </w:tc>
        <w:tc>
          <w:tcPr>
            <w:tcW w:w="12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17,757 </w:t>
            </w:r>
          </w:p>
        </w:tc>
        <w:tc>
          <w:tcPr>
            <w:tcW w:w="1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(2)</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29, 2024</w:t>
            </w:r>
          </w:p>
        </w:tc>
        <w:tc>
          <w:tcPr>
            <w:tcW w:w="4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December 29, 2024 (3)</w:t>
            </w:r>
          </w:p>
        </w:tc>
        <w:tc>
          <w:tcPr>
            <w:tcW w:w="46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(1)Based on the $28.15 and $12.27 share price of the Company’s common stock on December 29, 2023 and December 27, 2024, the last trading day of the years ended December 31, 2023 and December 29, 2024, respectively.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(2)Represents adjustment to 200% payout for PSUs granted during 2021.</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(3)For PSUs, estimated number of units to be issued upon the vesting of outstanding PSUs based on Company performance projections of performance criteria set forth in the 2022, 2023 and 2024 PSU award agreements.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granted PSUs subject to final payout modification by a Relative TSR modifier for all periods presented. This Relative TSR modifier can adjust the final payout outcome by 75%, 100% or 125% of the achieved performance metric, with the overall payout capped at 200% of the annual target grant. These PSUs have a three-year cliff vesting period and their fair value was estimated using the Monte Carlo simulation model. The Monte Carlo simulation model utilizes multiple input variables to estimate the probability that the market conditions will be achieved and is applied to the closing price of the Company’s common stock on the date of the grant.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Assumptions used in the Monte Carlo simulation model and the grant date fair value of PSUs granted were as follows for the periods indicated:</w:t>
      </w:r>
    </w:p>
    <w:tbl>
      <w:tblPr>
        <w:tblW w:w="5242" w:type="dxa"/>
        <w:jc w:val="left"/>
        <w:tblInd w:w="0" w:type="dxa"/>
        <w:tblLayout w:type="fixed"/>
        <w:tblCellMar>
          <w:top w:w="28" w:type="dxa"/>
          <w:left w:w="28" w:type="dxa"/>
          <w:bottom w:w="28" w:type="dxa"/>
          <w:right w:w="28" w:type="dxa"/>
        </w:tblCellMar>
      </w:tblPr>
      <w:tblGrid>
        <w:gridCol w:w="684"/>
        <w:gridCol w:w="601"/>
        <w:gridCol w:w="604"/>
        <w:gridCol w:w="278"/>
        <w:gridCol w:w="278"/>
        <w:gridCol w:w="256"/>
        <w:gridCol w:w="109"/>
        <w:gridCol w:w="109"/>
        <w:gridCol w:w="109"/>
        <w:gridCol w:w="278"/>
        <w:gridCol w:w="278"/>
        <w:gridCol w:w="256"/>
        <w:gridCol w:w="109"/>
        <w:gridCol w:w="109"/>
        <w:gridCol w:w="109"/>
        <w:gridCol w:w="278"/>
        <w:gridCol w:w="278"/>
        <w:gridCol w:w="256"/>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Assumptions:</w:t>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 (1)</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(2)</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 (3)</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(1)Risk-free interest rate is the U.S. Treasury yield curve in effect as of the grant date for the performance period of the unit.</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(2)Dividend yield is the level of dividends expected to be paid on the Company’s common stock over the expected term.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(3)Based on the historical volatility of the Company’s stock over the last seven years.</w:t>
      </w:r>
    </w:p>
    <w:p>
      <w:pPr>
        <w:pStyle w:val="TextBody"/>
        <w:bidi w:val="0"/>
        <w:spacing w:before="0" w:after="0"/>
        <w:ind w:left="0" w:right="0" w:hanging="360"/>
        <w:jc w:val="both"/>
        <w:rPr/>
      </w:pPr>
      <w:r>
        <w:rPr/>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following represents PSU and RSU compensation information for the periods indicated:</w:t>
      </w:r>
    </w:p>
    <w:tbl>
      <w:tblPr>
        <w:tblW w:w="10205" w:type="dxa"/>
        <w:jc w:val="left"/>
        <w:tblInd w:w="0" w:type="dxa"/>
        <w:tblLayout w:type="fixed"/>
        <w:tblCellMar>
          <w:top w:w="28" w:type="dxa"/>
          <w:left w:w="28" w:type="dxa"/>
          <w:bottom w:w="28" w:type="dxa"/>
          <w:right w:w="28" w:type="dxa"/>
        </w:tblCellMar>
      </w:tblPr>
      <w:tblGrid>
        <w:gridCol w:w="1101"/>
        <w:gridCol w:w="946"/>
        <w:gridCol w:w="95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56"/>
      </w:tblGrid>
      <w:tr>
        <w:trPr/>
        <w:tc>
          <w:tcPr>
            <w:tcW w:w="110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8" w:type="dxa"/>
            <w:gridSpan w:val="3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unit data)</w:t>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per unit (1)</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for vested units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vested units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benefits for compensation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Remaining weighted average vesting period</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(1)For PSUs, represents a (discount) premium above the grant date per share value of the Company’s common stock for the Relative TSR modifier of (1.6)%, 2.7% and 7.9% for grants during 2024, 2023 and 2022, respectively. For RSUs, the weighted average dividend yield was 4.83%, 3.63% and 2.43% for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Stock Options</w:t>
      </w:r>
      <w:r>
        <w:rPr>
          <w:color w:val="000000"/>
        </w:rPr>
        <w:t xml:space="preserve"> </w:t>
      </w:r>
      <w:r>
        <w:rPr>
          <w:rFonts w:ascii="Times New Roman;sans-serif" w:hAnsi="Times New Roman;sans-serif"/>
          <w:b w:val="false"/>
          <w:color w:val="000000"/>
          <w:sz w:val="22"/>
        </w:rPr>
        <w:t xml:space="preserve">- Stock options generally vest and become exercisable over a period of four years in an equal number of shares each year. Stock options have an exercisable life of no more than ten years from the date of grant. The Company settles stock option exercises with authorized but unissued shares of the Company’s common stock.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a summary of the Company’s stock option activity:</w:t>
      </w:r>
    </w:p>
    <w:tbl>
      <w:tblPr>
        <w:tblW w:w="10060" w:type="dxa"/>
        <w:jc w:val="left"/>
        <w:tblInd w:w="0" w:type="dxa"/>
        <w:tblLayout w:type="fixed"/>
        <w:tblCellMar>
          <w:top w:w="28" w:type="dxa"/>
          <w:left w:w="28" w:type="dxa"/>
          <w:bottom w:w="28" w:type="dxa"/>
          <w:right w:w="28" w:type="dxa"/>
        </w:tblCellMar>
      </w:tblPr>
      <w:tblGrid>
        <w:gridCol w:w="1651"/>
        <w:gridCol w:w="1452"/>
        <w:gridCol w:w="1457"/>
        <w:gridCol w:w="285"/>
        <w:gridCol w:w="285"/>
        <w:gridCol w:w="286"/>
        <w:gridCol w:w="109"/>
        <w:gridCol w:w="109"/>
        <w:gridCol w:w="109"/>
        <w:gridCol w:w="235"/>
        <w:gridCol w:w="669"/>
        <w:gridCol w:w="132"/>
        <w:gridCol w:w="109"/>
        <w:gridCol w:w="109"/>
        <w:gridCol w:w="109"/>
        <w:gridCol w:w="465"/>
        <w:gridCol w:w="465"/>
        <w:gridCol w:w="466"/>
        <w:gridCol w:w="109"/>
        <w:gridCol w:w="109"/>
        <w:gridCol w:w="109"/>
        <w:gridCol w:w="242"/>
        <w:gridCol w:w="798"/>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exercise price and contractual life data)</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31, 2023</w:t>
            </w:r>
          </w:p>
        </w:tc>
        <w:tc>
          <w:tcPr>
            <w:tcW w:w="57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1,725 </w:t>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12,263 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or expired</w:t>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and exercisable as of December 29, 2024 (1)</w:t>
            </w:r>
          </w:p>
        </w:tc>
        <w:tc>
          <w:tcPr>
            <w:tcW w:w="570"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1,200 </w:t>
            </w:r>
          </w:p>
        </w:tc>
        <w:tc>
          <w:tcPr>
            <w:tcW w:w="28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 xml:space="preserve">(1)No stock options were granted during </w:t>
      </w:r>
      <w:r>
        <w:rPr>
          <w:rFonts w:ascii="Times New Roman;sans-serif" w:hAnsi="Times New Roman;sans-serif"/>
          <w:b w:val="false"/>
          <w:color w:val="000000"/>
          <w:sz w:val="18"/>
        </w:rPr>
        <w:t>2024.</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represents stock option compensation information for the periods indicated:</w:t>
      </w:r>
    </w:p>
    <w:tbl>
      <w:tblPr>
        <w:tblW w:w="7796" w:type="dxa"/>
        <w:jc w:val="center"/>
        <w:tblInd w:w="0" w:type="dxa"/>
        <w:tblLayout w:type="fixed"/>
        <w:tblCellMar>
          <w:top w:w="28" w:type="dxa"/>
          <w:left w:w="28" w:type="dxa"/>
          <w:bottom w:w="28" w:type="dxa"/>
          <w:right w:w="28" w:type="dxa"/>
        </w:tblCellMar>
      </w:tblPr>
      <w:tblGrid>
        <w:gridCol w:w="1567"/>
        <w:gridCol w:w="1381"/>
        <w:gridCol w:w="1386"/>
        <w:gridCol w:w="196"/>
        <w:gridCol w:w="556"/>
        <w:gridCol w:w="109"/>
        <w:gridCol w:w="109"/>
        <w:gridCol w:w="109"/>
        <w:gridCol w:w="109"/>
        <w:gridCol w:w="196"/>
        <w:gridCol w:w="646"/>
        <w:gridCol w:w="109"/>
        <w:gridCol w:w="109"/>
        <w:gridCol w:w="109"/>
        <w:gridCol w:w="109"/>
        <w:gridCol w:w="196"/>
        <w:gridCol w:w="64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Intrinsic value of options exercised</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option exercises, net of tax withholding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stock options vested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benefits for stock option compensation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the maximum number of shares of common stock available for issuance for equity instruments pursuant to the 2020 Omnibus Incentive Compensation Plan was 5,305,102.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Deferred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401(k) Plan</w:t>
      </w:r>
      <w:r>
        <w:rPr>
          <w:color w:val="000000"/>
        </w:rPr>
        <w:t xml:space="preserve"> </w:t>
      </w:r>
      <w:r>
        <w:rPr>
          <w:rFonts w:ascii="Times New Roman;sans-serif" w:hAnsi="Times New Roman;sans-serif"/>
          <w:b w:val="false"/>
          <w:color w:val="000000"/>
          <w:sz w:val="22"/>
        </w:rPr>
        <w:t>- The Company has a qualified defined contribution plan that qualifies under Section 401(k) of the Internal Revenue Code of 1986, as amended. The Company incurred contribution costs of $5.7 million, $5.6 million and $5.6 million for the 401(k) Plan for 2024, 2023 and 2022,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Highly Compensated Employee Plan - </w:t>
      </w:r>
      <w:r>
        <w:rPr>
          <w:rFonts w:ascii="Times New Roman;sans-serif" w:hAnsi="Times New Roman;sans-serif"/>
          <w:b w:val="false"/>
          <w:color w:val="000000"/>
          <w:sz w:val="22"/>
        </w:rPr>
        <w:t>The Company provides a deferred compensation plan for its highly compensated employees who are not 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8.           Supplemental Balance Sheet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2"/>
        </w:rPr>
        <w:t xml:space="preserve">Other current assets, net, </w:t>
      </w:r>
      <w:r>
        <w:rPr>
          <w:rFonts w:ascii="Times New Roman;sans-serif" w:hAnsi="Times New Roman;sans-serif"/>
          <w:b w:val="false"/>
          <w:color w:val="000000"/>
          <w:sz w:val="22"/>
        </w:rPr>
        <w:t>consisted of the following as of the periods indicated:</w:t>
      </w:r>
    </w:p>
    <w:tbl>
      <w:tblPr>
        <w:tblW w:w="6837" w:type="dxa"/>
        <w:jc w:val="left"/>
        <w:tblInd w:w="0" w:type="dxa"/>
        <w:tblLayout w:type="fixed"/>
        <w:tblCellMar>
          <w:top w:w="28" w:type="dxa"/>
          <w:left w:w="28" w:type="dxa"/>
          <w:bottom w:w="28" w:type="dxa"/>
          <w:right w:w="28" w:type="dxa"/>
        </w:tblCellMar>
      </w:tblPr>
      <w:tblGrid>
        <w:gridCol w:w="1101"/>
        <w:gridCol w:w="970"/>
        <w:gridCol w:w="974"/>
        <w:gridCol w:w="322"/>
        <w:gridCol w:w="1209"/>
        <w:gridCol w:w="179"/>
        <w:gridCol w:w="109"/>
        <w:gridCol w:w="109"/>
        <w:gridCol w:w="109"/>
        <w:gridCol w:w="316"/>
        <w:gridCol w:w="1190"/>
        <w:gridCol w:w="249"/>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21,902 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 (1)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67,424 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 (1)</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 (1)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 (1)</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158,775 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137,898 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Note 16 - </w:t>
      </w:r>
      <w:r>
        <w:rPr>
          <w:rFonts w:ascii="Times New Roman;sans-serif" w:hAnsi="Times New Roman;sans-serif"/>
          <w:b w:val="false"/>
          <w:i/>
          <w:color w:val="000000"/>
          <w:sz w:val="18"/>
        </w:rPr>
        <w:t>Allowance for Expected Credit Losses</w:t>
      </w:r>
      <w:r>
        <w:rPr>
          <w:color w:val="000000"/>
        </w:rPr>
        <w:t xml:space="preserve"> </w:t>
      </w:r>
      <w:r>
        <w:rPr>
          <w:rFonts w:ascii="Times New Roman;sans-serif" w:hAnsi="Times New Roman;sans-serif"/>
          <w:b w:val="false"/>
          <w:color w:val="000000"/>
          <w:sz w:val="18"/>
        </w:rPr>
        <w:t>for a rollforward of the related allowance for expected credit losses.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Property, fixtures and equipment, net</w:t>
      </w:r>
      <w:r>
        <w:rPr>
          <w:rFonts w:ascii="Times New Roman;sans-serif" w:hAnsi="Times New Roman;sans-serif"/>
          <w:b w:val="false"/>
          <w:color w:val="000000"/>
          <w:sz w:val="22"/>
        </w:rPr>
        <w:t>, consisted of the following as of the periods indicated:</w:t>
      </w:r>
    </w:p>
    <w:tbl>
      <w:tblPr>
        <w:tblW w:w="6101" w:type="dxa"/>
        <w:jc w:val="left"/>
        <w:tblInd w:w="0" w:type="dxa"/>
        <w:tblLayout w:type="fixed"/>
        <w:tblCellMar>
          <w:top w:w="28" w:type="dxa"/>
          <w:left w:w="28" w:type="dxa"/>
          <w:bottom w:w="28" w:type="dxa"/>
          <w:right w:w="28" w:type="dxa"/>
        </w:tblCellMar>
      </w:tblPr>
      <w:tblGrid>
        <w:gridCol w:w="835"/>
        <w:gridCol w:w="735"/>
        <w:gridCol w:w="739"/>
        <w:gridCol w:w="322"/>
        <w:gridCol w:w="1209"/>
        <w:gridCol w:w="179"/>
        <w:gridCol w:w="109"/>
        <w:gridCol w:w="109"/>
        <w:gridCol w:w="109"/>
        <w:gridCol w:w="316"/>
        <w:gridCol w:w="1190"/>
        <w:gridCol w:w="24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29,458 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34,650 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1,201,949 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1,180,004 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511,291 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493,037 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760,058 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65,068 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(1,619,303)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(1,573,359)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948,521 </w:t>
            </w:r>
          </w:p>
        </w:tc>
        <w:tc>
          <w:tcPr>
            <w:tcW w:w="1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928,165 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2"/>
        </w:rPr>
        <w:t>Other assets, net</w:t>
      </w:r>
      <w:r>
        <w:rPr>
          <w:rFonts w:ascii="Times New Roman;sans-serif" w:hAnsi="Times New Roman;sans-serif"/>
          <w:b w:val="false"/>
          <w:color w:val="000000"/>
          <w:sz w:val="22"/>
        </w:rPr>
        <w:t>, consisted of the following as of the periods indicated:</w:t>
      </w:r>
    </w:p>
    <w:tbl>
      <w:tblPr>
        <w:tblW w:w="7976" w:type="dxa"/>
        <w:jc w:val="left"/>
        <w:tblInd w:w="0" w:type="dxa"/>
        <w:tblLayout w:type="fixed"/>
        <w:tblCellMar>
          <w:top w:w="28" w:type="dxa"/>
          <w:left w:w="28" w:type="dxa"/>
          <w:bottom w:w="28" w:type="dxa"/>
          <w:right w:w="28" w:type="dxa"/>
        </w:tblCellMar>
      </w:tblPr>
      <w:tblGrid>
        <w:gridCol w:w="1514"/>
        <w:gridCol w:w="1333"/>
        <w:gridCol w:w="1338"/>
        <w:gridCol w:w="351"/>
        <w:gridCol w:w="1161"/>
        <w:gridCol w:w="198"/>
        <w:gridCol w:w="109"/>
        <w:gridCol w:w="109"/>
        <w:gridCol w:w="109"/>
        <w:gridCol w:w="344"/>
        <w:gridCol w:w="1138"/>
        <w:gridCol w:w="272"/>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31,971 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28,018 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debt issuance costs - revolving credit facility (1)</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Liquor licenses</w:t>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74,471 </w:t>
            </w:r>
          </w:p>
        </w:tc>
        <w:tc>
          <w:tcPr>
            <w:tcW w:w="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60,090 </w:t>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56" w:before="0" w:after="0"/>
        <w:ind w:left="0" w:right="0" w:hanging="720"/>
        <w:jc w:val="both"/>
        <w:rPr/>
      </w:pPr>
      <w:r>
        <w:rPr>
          <w:rFonts w:ascii="Times New Roman;sans-serif" w:hAnsi="Times New Roman;sans-serif"/>
          <w:b w:val="false"/>
          <w:color w:val="000000"/>
          <w:sz w:val="18"/>
        </w:rPr>
        <w:t xml:space="preserve">(1)Net of accumulated amortization of $0.6 million and $11.7 million as of December 29, 2024 and December 31, 2023, respectively. During 2024, the Company recorded $9.0 million of deferred debt issuance costs in connection with the Third Amended and Restated Credit Agreement, as defined and discussed in more detail within Note 10 - </w:t>
      </w:r>
      <w:r>
        <w:rPr>
          <w:rFonts w:ascii="Times New Roman;sans-serif" w:hAnsi="Times New Roman;sans-serif"/>
          <w:b w:val="false"/>
          <w:i/>
          <w:color w:val="000000"/>
          <w:sz w:val="18"/>
        </w:rPr>
        <w:t>Long-term Debt, Net</w:t>
      </w:r>
      <w:r>
        <w:rPr>
          <w:color w:val="000000"/>
        </w:rPr>
        <w:t xml:space="preserve"> </w:t>
      </w:r>
      <w:r>
        <w:rPr>
          <w:rFonts w:ascii="Times New Roman;sans-serif" w:hAnsi="Times New Roman;sans-serif"/>
          <w:b w:val="false"/>
          <w:color w:val="000000"/>
          <w:sz w:val="18"/>
        </w:rPr>
        <w:t xml:space="preserve">below.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2"/>
        </w:rPr>
        <w:t>Accrued and other current liabilities</w:t>
      </w:r>
      <w:r>
        <w:rPr>
          <w:color w:val="000000"/>
        </w:rPr>
        <w:t xml:space="preserve"> </w:t>
      </w:r>
      <w:r>
        <w:rPr>
          <w:rFonts w:ascii="Times New Roman;sans-serif" w:hAnsi="Times New Roman;sans-serif"/>
          <w:b w:val="false"/>
          <w:color w:val="000000"/>
          <w:sz w:val="22"/>
        </w:rPr>
        <w:t>consisted of the following as of the periods indicated:</w:t>
      </w:r>
    </w:p>
    <w:tbl>
      <w:tblPr>
        <w:tblW w:w="6777" w:type="dxa"/>
        <w:jc w:val="left"/>
        <w:tblInd w:w="0" w:type="dxa"/>
        <w:tblLayout w:type="fixed"/>
        <w:tblCellMar>
          <w:top w:w="28" w:type="dxa"/>
          <w:left w:w="28" w:type="dxa"/>
          <w:bottom w:w="28" w:type="dxa"/>
          <w:right w:w="28" w:type="dxa"/>
        </w:tblCellMar>
      </w:tblPr>
      <w:tblGrid>
        <w:gridCol w:w="1079"/>
        <w:gridCol w:w="951"/>
        <w:gridCol w:w="955"/>
        <w:gridCol w:w="322"/>
        <w:gridCol w:w="1209"/>
        <w:gridCol w:w="179"/>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compensation</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71,848 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106,523 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178,314 </w:t>
            </w:r>
          </w:p>
        </w:tc>
        <w:tc>
          <w:tcPr>
            <w:tcW w:w="1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197,681 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2"/>
        </w:rPr>
        <w:t>Other long-term liabilities, net</w:t>
      </w:r>
      <w:r>
        <w:rPr>
          <w:rFonts w:ascii="Times New Roman;sans-serif" w:hAnsi="Times New Roman;sans-serif"/>
          <w:b w:val="false"/>
          <w:color w:val="000000"/>
          <w:sz w:val="22"/>
        </w:rPr>
        <w:t>, consisted of the following as of the periods indicated:</w:t>
      </w:r>
    </w:p>
    <w:tbl>
      <w:tblPr>
        <w:tblW w:w="6386" w:type="dxa"/>
        <w:jc w:val="left"/>
        <w:tblInd w:w="0" w:type="dxa"/>
        <w:tblLayout w:type="fixed"/>
        <w:tblCellMar>
          <w:top w:w="28" w:type="dxa"/>
          <w:left w:w="28" w:type="dxa"/>
          <w:bottom w:w="28" w:type="dxa"/>
          <w:right w:w="28" w:type="dxa"/>
        </w:tblCellMar>
      </w:tblPr>
      <w:tblGrid>
        <w:gridCol w:w="938"/>
        <w:gridCol w:w="827"/>
        <w:gridCol w:w="830"/>
        <w:gridCol w:w="351"/>
        <w:gridCol w:w="1161"/>
        <w:gridCol w:w="198"/>
        <w:gridCol w:w="109"/>
        <w:gridCol w:w="109"/>
        <w:gridCol w:w="109"/>
        <w:gridCol w:w="344"/>
        <w:gridCol w:w="1138"/>
        <w:gridCol w:w="272"/>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33,519 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26,616 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obligations</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29,127 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93,420 </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83,026 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9.           Goodwill and Intangible Assets,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Goodwill - </w:t>
      </w:r>
      <w:r>
        <w:rPr>
          <w:rFonts w:ascii="Times New Roman;sans-serif" w:hAnsi="Times New Roman;sans-serif"/>
          <w:b w:val="false"/>
          <w:color w:val="000000"/>
          <w:sz w:val="22"/>
        </w:rPr>
        <w:t>The following table is a rollforward of goodwill and the related accumulated impairment losses for the periods indicated:</w:t>
      </w:r>
    </w:p>
    <w:tbl>
      <w:tblPr>
        <w:tblW w:w="8565" w:type="dxa"/>
        <w:jc w:val="center"/>
        <w:tblInd w:w="0" w:type="dxa"/>
        <w:tblLayout w:type="fixed"/>
        <w:tblCellMar>
          <w:top w:w="28" w:type="dxa"/>
          <w:left w:w="28" w:type="dxa"/>
          <w:bottom w:w="28" w:type="dxa"/>
          <w:right w:w="28" w:type="dxa"/>
        </w:tblCellMar>
      </w:tblPr>
      <w:tblGrid>
        <w:gridCol w:w="943"/>
        <w:gridCol w:w="831"/>
        <w:gridCol w:w="835"/>
        <w:gridCol w:w="196"/>
        <w:gridCol w:w="736"/>
        <w:gridCol w:w="109"/>
        <w:gridCol w:w="109"/>
        <w:gridCol w:w="109"/>
        <w:gridCol w:w="109"/>
        <w:gridCol w:w="521"/>
        <w:gridCol w:w="1962"/>
        <w:gridCol w:w="292"/>
        <w:gridCol w:w="109"/>
        <w:gridCol w:w="109"/>
        <w:gridCol w:w="109"/>
        <w:gridCol w:w="238"/>
        <w:gridCol w:w="1060"/>
        <w:gridCol w:w="188"/>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INTERNATIONAL FRANCHISE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gross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162,549 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1,001,376 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(119,883)</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(788,053)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170,657 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42,666 </w:t>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8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Changes in 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29, 2024</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gross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162,549 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1,001,376 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(119,883)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(788,053)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net</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170,657 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42,666 </w:t>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(1)Excludes $51.9 million and $63.0 million of Goodwill, net as of December 29, 2024 and December 31, 2023, respectively, classified as held for sale. </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performs its annual assessment for impairment of goodwill and other indefinite-lived intangible assets during its second fiscal quarter. The Company’s 2024 and 2022 assessments were qualitative and its 2023 assessment was quantitative. In connection with these assessments, the Company did not record any goodwill asset impairment charges during the periods presented.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Intangible Assets, net -</w:t>
      </w:r>
      <w:r>
        <w:rPr>
          <w:color w:val="000000"/>
        </w:rPr>
        <w:t xml:space="preserve"> </w:t>
      </w:r>
      <w:r>
        <w:rPr>
          <w:rFonts w:ascii="Times New Roman;sans-serif" w:hAnsi="Times New Roman;sans-serif"/>
          <w:b w:val="false"/>
          <w:color w:val="000000"/>
          <w:sz w:val="22"/>
        </w:rPr>
        <w:t>Intangible assets, net, consisted of the following as of the periods indicated:</w:t>
      </w:r>
    </w:p>
    <w:tbl>
      <w:tblPr>
        <w:tblW w:w="11455" w:type="dxa"/>
        <w:jc w:val="center"/>
        <w:tblInd w:w="0" w:type="dxa"/>
        <w:tblLayout w:type="fixed"/>
        <w:tblCellMar>
          <w:top w:w="28" w:type="dxa"/>
          <w:left w:w="28" w:type="dxa"/>
          <w:bottom w:w="28" w:type="dxa"/>
          <w:right w:w="28" w:type="dxa"/>
        </w:tblCellMar>
      </w:tblPr>
      <w:tblGrid>
        <w:gridCol w:w="424"/>
        <w:gridCol w:w="268"/>
        <w:gridCol w:w="269"/>
        <w:gridCol w:w="480"/>
        <w:gridCol w:w="480"/>
        <w:gridCol w:w="481"/>
        <w:gridCol w:w="109"/>
        <w:gridCol w:w="109"/>
        <w:gridCol w:w="109"/>
        <w:gridCol w:w="196"/>
        <w:gridCol w:w="736"/>
        <w:gridCol w:w="109"/>
        <w:gridCol w:w="109"/>
        <w:gridCol w:w="109"/>
        <w:gridCol w:w="109"/>
        <w:gridCol w:w="292"/>
        <w:gridCol w:w="986"/>
        <w:gridCol w:w="163"/>
        <w:gridCol w:w="109"/>
        <w:gridCol w:w="109"/>
        <w:gridCol w:w="109"/>
        <w:gridCol w:w="196"/>
        <w:gridCol w:w="736"/>
        <w:gridCol w:w="109"/>
        <w:gridCol w:w="109"/>
        <w:gridCol w:w="109"/>
        <w:gridCol w:w="109"/>
        <w:gridCol w:w="196"/>
        <w:gridCol w:w="736"/>
        <w:gridCol w:w="109"/>
        <w:gridCol w:w="109"/>
        <w:gridCol w:w="109"/>
        <w:gridCol w:w="109"/>
        <w:gridCol w:w="292"/>
        <w:gridCol w:w="986"/>
        <w:gridCol w:w="163"/>
        <w:gridCol w:w="109"/>
        <w:gridCol w:w="109"/>
        <w:gridCol w:w="109"/>
        <w:gridCol w:w="196"/>
        <w:gridCol w:w="73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w:t>
            </w:r>
          </w:p>
        </w:tc>
        <w:tc>
          <w:tcPr>
            <w:tcW w:w="144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496,668 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(67,577)</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429,091 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496,668 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(63,752)</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did not record any intangible asset impairment charges during the periods presented.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goodwill, trade names and trademarks balances by reporting unit as of the periods indicated:</w:t>
      </w:r>
    </w:p>
    <w:tbl>
      <w:tblPr>
        <w:tblW w:w="10205" w:type="dxa"/>
        <w:jc w:val="left"/>
        <w:tblInd w:w="0" w:type="dxa"/>
        <w:tblLayout w:type="fixed"/>
        <w:tblCellMar>
          <w:top w:w="28" w:type="dxa"/>
          <w:left w:w="28" w:type="dxa"/>
          <w:bottom w:w="28" w:type="dxa"/>
          <w:right w:w="28" w:type="dxa"/>
        </w:tblCellMar>
      </w:tblPr>
      <w:tblGrid>
        <w:gridCol w:w="647"/>
        <w:gridCol w:w="466"/>
        <w:gridCol w:w="467"/>
        <w:gridCol w:w="200"/>
        <w:gridCol w:w="753"/>
        <w:gridCol w:w="113"/>
        <w:gridCol w:w="109"/>
        <w:gridCol w:w="109"/>
        <w:gridCol w:w="109"/>
        <w:gridCol w:w="209"/>
        <w:gridCol w:w="788"/>
        <w:gridCol w:w="116"/>
        <w:gridCol w:w="109"/>
        <w:gridCol w:w="109"/>
        <w:gridCol w:w="109"/>
        <w:gridCol w:w="266"/>
        <w:gridCol w:w="876"/>
        <w:gridCol w:w="149"/>
        <w:gridCol w:w="109"/>
        <w:gridCol w:w="109"/>
        <w:gridCol w:w="109"/>
        <w:gridCol w:w="200"/>
        <w:gridCol w:w="753"/>
        <w:gridCol w:w="113"/>
        <w:gridCol w:w="109"/>
        <w:gridCol w:w="109"/>
        <w:gridCol w:w="109"/>
        <w:gridCol w:w="209"/>
        <w:gridCol w:w="788"/>
        <w:gridCol w:w="116"/>
        <w:gridCol w:w="109"/>
        <w:gridCol w:w="109"/>
        <w:gridCol w:w="109"/>
        <w:gridCol w:w="262"/>
        <w:gridCol w:w="866"/>
        <w:gridCol w:w="213"/>
      </w:tblGrid>
      <w:tr>
        <w:trPr/>
        <w:tc>
          <w:tcPr>
            <w:tcW w:w="64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 NAMES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TRADEMARKS</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123,188 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123,188 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287,000 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170,657 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356,000 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170,657 </w:t>
            </w:r>
          </w:p>
        </w:tc>
        <w:tc>
          <w:tcPr>
            <w:tcW w:w="1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356,000 </w:t>
            </w:r>
          </w:p>
        </w:tc>
        <w:tc>
          <w:tcPr>
            <w:tcW w:w="1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42,666 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58,716 </w:t>
            </w:r>
          </w:p>
        </w:tc>
        <w:tc>
          <w:tcPr>
            <w:tcW w:w="1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42,666 </w:t>
            </w:r>
          </w:p>
        </w:tc>
        <w:tc>
          <w:tcPr>
            <w:tcW w:w="1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58,716 </w:t>
            </w:r>
          </w:p>
        </w:tc>
        <w:tc>
          <w:tcPr>
            <w:tcW w:w="1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14,375 </w:t>
            </w:r>
          </w:p>
        </w:tc>
        <w:tc>
          <w:tcPr>
            <w:tcW w:w="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414,716 </w:t>
            </w:r>
          </w:p>
        </w:tc>
        <w:tc>
          <w:tcPr>
            <w:tcW w:w="1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18,200 </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Definite-lived intangible assets are amortized on a straight-line basis. The following table presents the aggregate expense related to the amortization of the Company’s trademarks for the periods indicated:</w:t>
      </w:r>
    </w:p>
    <w:tbl>
      <w:tblPr>
        <w:tblW w:w="4961" w:type="dxa"/>
        <w:jc w:val="center"/>
        <w:tblInd w:w="0" w:type="dxa"/>
        <w:tblLayout w:type="fixed"/>
        <w:tblCellMar>
          <w:top w:w="28" w:type="dxa"/>
          <w:left w:w="28" w:type="dxa"/>
          <w:bottom w:w="28" w:type="dxa"/>
          <w:right w:w="28" w:type="dxa"/>
        </w:tblCellMar>
      </w:tblPr>
      <w:tblGrid>
        <w:gridCol w:w="607"/>
        <w:gridCol w:w="535"/>
        <w:gridCol w:w="537"/>
        <w:gridCol w:w="196"/>
        <w:gridCol w:w="556"/>
        <w:gridCol w:w="109"/>
        <w:gridCol w:w="109"/>
        <w:gridCol w:w="109"/>
        <w:gridCol w:w="109"/>
        <w:gridCol w:w="196"/>
        <w:gridCol w:w="556"/>
        <w:gridCol w:w="109"/>
        <w:gridCol w:w="109"/>
        <w:gridCol w:w="109"/>
        <w:gridCol w:w="109"/>
        <w:gridCol w:w="196"/>
        <w:gridCol w:w="55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expected annual amortization of intangible assets as of December 29, 2024:</w:t>
      </w:r>
    </w:p>
    <w:tbl>
      <w:tblPr>
        <w:tblW w:w="8269" w:type="dxa"/>
        <w:jc w:val="center"/>
        <w:tblInd w:w="0" w:type="dxa"/>
        <w:tblLayout w:type="fixed"/>
        <w:tblCellMar>
          <w:top w:w="28" w:type="dxa"/>
          <w:left w:w="28" w:type="dxa"/>
          <w:bottom w:w="28" w:type="dxa"/>
          <w:right w:w="28" w:type="dxa"/>
        </w:tblCellMar>
      </w:tblPr>
      <w:tblGrid>
        <w:gridCol w:w="884"/>
        <w:gridCol w:w="779"/>
        <w:gridCol w:w="78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196"/>
        <w:gridCol w:w="421"/>
        <w:gridCol w:w="109"/>
        <w:gridCol w:w="109"/>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10.           Long-term Debt, Net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outstanding long-term debt, net, as of the periods indicated:</w:t>
      </w:r>
    </w:p>
    <w:tbl>
      <w:tblPr>
        <w:tblW w:w="10205" w:type="dxa"/>
        <w:jc w:val="left"/>
        <w:tblInd w:w="0" w:type="dxa"/>
        <w:tblLayout w:type="fixed"/>
        <w:tblCellMar>
          <w:top w:w="28" w:type="dxa"/>
          <w:left w:w="28" w:type="dxa"/>
          <w:bottom w:w="28" w:type="dxa"/>
          <w:right w:w="28" w:type="dxa"/>
        </w:tblCellMar>
      </w:tblPr>
      <w:tblGrid>
        <w:gridCol w:w="1104"/>
        <w:gridCol w:w="952"/>
        <w:gridCol w:w="956"/>
        <w:gridCol w:w="306"/>
        <w:gridCol w:w="1366"/>
        <w:gridCol w:w="172"/>
        <w:gridCol w:w="109"/>
        <w:gridCol w:w="109"/>
        <w:gridCol w:w="109"/>
        <w:gridCol w:w="296"/>
        <w:gridCol w:w="278"/>
        <w:gridCol w:w="658"/>
        <w:gridCol w:w="109"/>
        <w:gridCol w:w="109"/>
        <w:gridCol w:w="109"/>
        <w:gridCol w:w="346"/>
        <w:gridCol w:w="1304"/>
        <w:gridCol w:w="194"/>
        <w:gridCol w:w="109"/>
        <w:gridCol w:w="109"/>
        <w:gridCol w:w="109"/>
        <w:gridCol w:w="288"/>
        <w:gridCol w:w="263"/>
        <w:gridCol w:w="741"/>
      </w:tblGrid>
      <w:tr>
        <w:trPr/>
        <w:tc>
          <w:tcPr>
            <w:tcW w:w="110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(1)(2)</w:t>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6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Former credit facility - revolving credit facility (2)</w:t>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(3)(4)</w:t>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67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785,786 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 (3)</w:t>
            </w:r>
          </w:p>
        </w:tc>
        <w:tc>
          <w:tcPr>
            <w:tcW w:w="1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1,027,398 </w:t>
            </w:r>
          </w:p>
        </w:tc>
        <w:tc>
          <w:tcPr>
            <w:tcW w:w="1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780,719 </w:t>
            </w:r>
          </w:p>
        </w:tc>
        <w:tc>
          <w:tcPr>
            <w:tcW w:w="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r>
        <w:trPr/>
        <w:tc>
          <w:tcPr>
            <w:tcW w:w="301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(1)Subsequent to December 29, 2024, the Company repaid $140.0 million on its revolving credit facility, primarily with proceeds from the Brazil Sale Transaction.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(2)Interest rate represents the weighted average interest rate as of the respective periods.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(3)During 2024, the Company repurchased $83.6 million</w:t>
      </w:r>
      <w:r>
        <w:rPr>
          <w:color w:val="000000"/>
        </w:rPr>
        <w:t xml:space="preserve"> </w:t>
      </w:r>
      <w:r>
        <w:rPr>
          <w:rFonts w:ascii="Times New Roman;sans-serif" w:hAnsi="Times New Roman;sans-serif"/>
          <w:b w:val="false"/>
          <w:color w:val="000000"/>
          <w:sz w:val="18"/>
        </w:rPr>
        <w:t xml:space="preserve">of the 2025 Notes and as a result, wrote off $0.8 million of debt issuance costs. See Note 11 - </w:t>
      </w:r>
      <w:r>
        <w:rPr>
          <w:rFonts w:ascii="Times New Roman;sans-serif" w:hAnsi="Times New Roman;sans-serif"/>
          <w:b w:val="false"/>
          <w:i/>
          <w:color w:val="000000"/>
          <w:sz w:val="18"/>
        </w:rPr>
        <w:t>Convertible Senior Notes</w:t>
      </w:r>
      <w:r>
        <w:rPr>
          <w:color w:val="000000"/>
        </w:rPr>
        <w:t xml:space="preserve"> </w:t>
      </w:r>
      <w:r>
        <w:rPr>
          <w:rFonts w:ascii="Times New Roman;sans-serif" w:hAnsi="Times New Roman;sans-serif"/>
          <w:b w:val="false"/>
          <w:color w:val="000000"/>
          <w:sz w:val="18"/>
        </w:rPr>
        <w:t>for additional details.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(4)Obligations under the 2025 Notes, which mature on May 1, 2025, have been classified as long-term, reflecting the Company’s intent and ability to refinance these notes through borrowings on its existing revolving credit facility.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Bloomin’ Brands, Inc. is a holding company and conducts its operations through its subsidiaries, certain of which have incurred indebtedness as described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Credit Agreement</w:t>
      </w:r>
      <w:r>
        <w:rPr>
          <w:color w:val="000000"/>
        </w:rPr>
        <w:t xml:space="preserve"> – </w:t>
      </w:r>
      <w:r>
        <w:rPr>
          <w:rFonts w:ascii="Times New Roman;sans-serif" w:hAnsi="Times New Roman;sans-serif"/>
          <w:b w:val="false"/>
          <w:color w:val="000000"/>
          <w:sz w:val="22"/>
        </w:rPr>
        <w:t>On September 19, 2024, the Company and OSI, as co-borrowers, entered into the Third Amended and Restated Credit Agreement (the “Credit Agreement”), which provides for senior secured financing of up to $1.2 billion consisting of a revolving credit facility (the “Senior Secured Credit Facility”). The Senior Secured Credit Facility matures on September 19, 2029 and replaced the Company’s prior senior secured financing of up to $1.0 billion (the “Former Credit Facility”). The total indebtedness of the Company and interest rate applied to the Company’s borrowings remained unchanged as a result of the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commitments under the Credit Agreement may be increased in an aggregate principal amount of up to; (i) $550.0 million or (ii) at the Company’s option, up to an unlimited amount of incremental facilities, so long as the Consolidated Senior Secured Net Leverage Ratio, as defined in the Credit Agreement, is no more than 3.00 to 1.00 as of the last day of the most recent period of four consecutive fiscal quarters ended, after giving effect to any such incurrence on a pro forma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Under the Third Amended and Restated Credit Agreement, the Company may elect an interest rate at each reset period based on the Base Rate or Term SOFR, plus an applicable spread. The Term SOFR rate is the forward-looking term rate based on the secured overnight financing rate (“SOFR”) that is published by CME Group Benchmark Administration Limited (“Term SOFR”). The Base Rate option is the highest of: (i) the prime rate of Wells Fargo Bank, National Association, (ii) the federal funds effective rate plus 0.5 of 1.0% or (iii) the one-month Term SOFR plus a 0.10% Term SOFR Adjustment, plus 1.0% (the “Base Rate”). The Adjusted Term SOFR option is the Term SOFR rate plus a 0.10% Term SOFR Adjustment, subject to a 0% floor. The interest rate spreads are as follows:</w:t>
      </w:r>
    </w:p>
    <w:tbl>
      <w:tblPr>
        <w:tblW w:w="9206" w:type="dxa"/>
        <w:jc w:val="left"/>
        <w:tblInd w:w="0" w:type="dxa"/>
        <w:tblLayout w:type="fixed"/>
        <w:tblCellMar>
          <w:top w:w="28" w:type="dxa"/>
          <w:left w:w="28" w:type="dxa"/>
          <w:bottom w:w="28" w:type="dxa"/>
          <w:right w:w="28" w:type="dxa"/>
        </w:tblCellMar>
      </w:tblPr>
      <w:tblGrid>
        <w:gridCol w:w="657"/>
        <w:gridCol w:w="577"/>
        <w:gridCol w:w="581"/>
        <w:gridCol w:w="1009"/>
        <w:gridCol w:w="1009"/>
        <w:gridCol w:w="1012"/>
        <w:gridCol w:w="109"/>
        <w:gridCol w:w="109"/>
        <w:gridCol w:w="109"/>
        <w:gridCol w:w="1181"/>
        <w:gridCol w:w="1181"/>
        <w:gridCol w:w="1672"/>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BASE RATE ELECTION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ADJUSTED TERM SOFR ELECTION</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w:t>
            </w:r>
          </w:p>
        </w:tc>
        <w:tc>
          <w:tcPr>
            <w:tcW w:w="303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 to 150 basis points over the Base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150 to 250 basis points over the Adjusted Term SOFR</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Third Amended and Restated Credit Agreement requires a Total Net Leverage Ratio (“TNLR”) not to exceed 4.50 to 1.00 (with a limited ability to temporarily increase TNLR to 5.00 to 1.00 in connection with material acquisitions). TNLR is the ratio of Consolidated Total Debt (Current portion of long-term debt and Long-term debt, net of cash, excluding the 2025 Notes) to Consolidated EBITDA (earnings before interest, taxes, depreciation and amortization and certain other adjustments as defined in the Third Amended and Restated Credit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and December 31, 2023, the Company was in compliance with its debt covenants.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2029 Notes</w:t>
      </w:r>
      <w:r>
        <w:rPr>
          <w:color w:val="000000"/>
        </w:rPr>
        <w:t xml:space="preserve"> </w:t>
      </w:r>
      <w:r>
        <w:rPr>
          <w:rFonts w:ascii="Times New Roman;sans-serif" w:hAnsi="Times New Roman;sans-serif"/>
          <w:b w:val="false"/>
          <w:color w:val="000000"/>
          <w:sz w:val="22"/>
        </w:rPr>
        <w:t xml:space="preserve">- On April 16, 2021, the Company and its wholly-owned subsidiary OSI, as co-issuers, issued $300.0 million aggregate principal amount of senior unsecured notes due 2029 (the “2029 Notes”).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2029 Notes were issued pursuant to an Indenture, dated April 16, 2021 (the “Indenture”), by and among the Company, the guarantors named therein, and Wells Fargo Bank, National Association, as trustee. The 2029 Notes are guaranteed by each of the Company’s existing and future domestic restricted subsidiaries (other than OSI) that are guarantors or borrowers under its Senior Secured Credit Facility or certain other indebtedness. The 2029 Notes mature on April 15, 2029, unless earlier redeemed or purchased by the Company. The 2029 Notes bear cash interest at an annual rate of 5.125% payable semi-annually in arrears on April 15 and October 15 of each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may redeem some or all of the 2029 Notes at the redemption prices set forth in the Indenture, plus accrued and unpaid interest.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Indenture contains restrictive covenants that limit the ability of the Company and its restricted subsidiaries to, among other things, incur additional indebtedness or issue certain preferred stock; pay dividends above certain thresholds,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Maturities</w:t>
      </w:r>
      <w:r>
        <w:rPr>
          <w:color w:val="000000"/>
        </w:rPr>
        <w:t xml:space="preserve"> </w:t>
      </w:r>
      <w:r>
        <w:rPr>
          <w:rFonts w:ascii="Times New Roman;sans-serif" w:hAnsi="Times New Roman;sans-serif"/>
          <w:b w:val="false"/>
          <w:color w:val="000000"/>
          <w:sz w:val="22"/>
        </w:rPr>
        <w:t>- Following is a summary of principal payments of the Company’s total consolidated debt outstanding as of December 29, 2024:</w:t>
      </w:r>
    </w:p>
    <w:tbl>
      <w:tblPr>
        <w:tblW w:w="10205" w:type="dxa"/>
        <w:jc w:val="left"/>
        <w:tblInd w:w="0" w:type="dxa"/>
        <w:tblLayout w:type="fixed"/>
        <w:tblCellMar>
          <w:top w:w="28" w:type="dxa"/>
          <w:left w:w="28" w:type="dxa"/>
          <w:bottom w:w="28" w:type="dxa"/>
          <w:right w:w="28" w:type="dxa"/>
        </w:tblCellMar>
      </w:tblPr>
      <w:tblGrid>
        <w:gridCol w:w="564"/>
        <w:gridCol w:w="482"/>
        <w:gridCol w:w="483"/>
        <w:gridCol w:w="196"/>
        <w:gridCol w:w="64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871"/>
        <w:gridCol w:w="109"/>
        <w:gridCol w:w="109"/>
        <w:gridCol w:w="109"/>
        <w:gridCol w:w="109"/>
        <w:gridCol w:w="339"/>
        <w:gridCol w:w="702"/>
        <w:gridCol w:w="190"/>
        <w:gridCol w:w="109"/>
        <w:gridCol w:w="109"/>
        <w:gridCol w:w="109"/>
        <w:gridCol w:w="196"/>
        <w:gridCol w:w="871"/>
        <w:gridCol w:w="156"/>
      </w:tblGrid>
      <w:tr>
        <w:trPr/>
        <w:tc>
          <w:tcPr>
            <w:tcW w:w="56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repayments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11.    Convertible Senior Notes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2025 Notes</w:t>
      </w:r>
      <w:r>
        <w:rPr>
          <w:color w:val="000000"/>
        </w:rPr>
        <w:t xml:space="preserve"> </w:t>
      </w:r>
      <w:r>
        <w:rPr>
          <w:rFonts w:ascii="Times New Roman;sans-serif" w:hAnsi="Times New Roman;sans-serif"/>
          <w:b w:val="false"/>
          <w:color w:val="000000"/>
          <w:sz w:val="22"/>
        </w:rPr>
        <w:t xml:space="preserve">- In May 2020, the Company completed a $230.0 million principal amount private offering of 5.00% convertible senior unsecured notes due in 2025 (the “2025 Notes”). The 2025 Notes are governed by the terms of an indenture between the Company and Wells Fargo Bank, National Association, as the Trustee. The 2025 Notes mature on May 1, 2025, unless earlier converted, redeemed or purchased by the Company. The 2025 Notes bear cash interest at an annual rate of 5.00%, payable semi-annually in arrears on May 1 and November 1 of each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initial conversion rate applicable to the 2025 Notes was 84.122 shares of common stock per $1,000 principal amount of 2025 Notes, or a total of approximately 19.348 million shares for the total $230.0 million principal amount. This initial conversion rate was equivalent to an initial conversion price of approximately $11.89 per share. The conversion rate is subject to adjustment upon the occurrence of certain specified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Holders may convert all or a portion of their 2025 Notes at any time prior to the close of business on the second scheduled trading day immediately before the maturity date.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2025 Notes are redeemable by the Company, in whole or in part, at the Company’s option at any time, and from time to time, on or before the 40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If a fundamental change occurs prior to the maturity date, holders may require the Company to repurchase all or a portion of their 2025 Notes for cash at a price equal to 100% of the principal amount of the 2025 Notes to be repurchased, plus accrued and unpaid interest. Holders of 2025 Notes who convert their 2025 Notes in connection with a notice of redemption or a make-whole fundamental change may be entitled to a premium in the form of an increase in the conversion rate of the 2025 Notes.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has provided the trustee of </w:t>
      </w:r>
      <w:r>
        <w:rPr>
          <w:rFonts w:ascii="Times New Roman;sans-serif" w:hAnsi="Times New Roman;sans-serif"/>
          <w:b w:val="false"/>
          <w:color w:val="252525"/>
          <w:sz w:val="22"/>
        </w:rPr>
        <w:t xml:space="preserve">the </w:t>
      </w:r>
      <w:r>
        <w:rPr>
          <w:rFonts w:ascii="Times New Roman;sans-serif" w:hAnsi="Times New Roman;sans-serif"/>
          <w:b w:val="false"/>
          <w:color w:val="000000"/>
          <w:sz w:val="22"/>
        </w:rPr>
        <w:t xml:space="preserve">2025 Notes notice of its irrevocable election under the 2025 Notes indenture to settle the principal portion of </w:t>
      </w:r>
      <w:r>
        <w:rPr>
          <w:rFonts w:ascii="Times New Roman;sans-serif" w:hAnsi="Times New Roman;sans-serif"/>
          <w:b w:val="false"/>
          <w:color w:val="252525"/>
          <w:sz w:val="22"/>
        </w:rPr>
        <w:t xml:space="preserve">the </w:t>
      </w:r>
      <w:r>
        <w:rPr>
          <w:rFonts w:ascii="Times New Roman;sans-serif" w:hAnsi="Times New Roman;sans-serif"/>
          <w:b w:val="false"/>
          <w:color w:val="000000"/>
          <w:sz w:val="22"/>
        </w:rPr>
        <w:t>2025 Notes upon conversion in cash and any excess in shares.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May 25, 2022, the Company entered into exchange agreements (the “2022 Exchange Agreements”) with certain holders of the 2025 Notes. These holders agreed to exchange $125.0 million in aggregate principal amount of the Company’s outstanding 2025 Notes for $196.9 million in cash, plus accrued interest, and approximately 2.3 million shares of the Company’s common stock (the “First 2025 Notes Partial Repurchase”). Under the 2022 Exchange Agreements, the total amount of cash paid and number of shares of common stock issued by the Company were based upon the volume-weighted average price per share of the Company’s common stock during a ten-trading day averaging period ending on June 14, 2022. Upon entering into the 2022 Exchange Agreements, the conversion feature related to the 2025 Notes repurchased, as well as the settlements of the related convertible senior note hedges and warrants, were subject to derivative accounting. In connection with the First 2025 Notes Partial Repurchase, the Company recognized a loss on extinguishment of debt of $104.7 million and a loss on fair value adjustment of derivatives, net of $17.7 million, and recorded a $48.5 million increase to Additional paid-in capital during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February 29, 2024, the Company entered into exchange agreements (the “2024 Exchange Agreements”) with certain holders of the 2025 Notes. The 2024 Exchange Agreements provided for the Company to deliver and pay at the closing of the transactions on March 5, 2024, an aggregate of approximately 7.5 million shares of its common stock and $3.3 million in cash, including accrued interest, in exchange for $83.6 million in aggregate principal amount of the Company’s outstanding 2025 Notes (the “Second 2025 Notes Partial Repurchase”). In connection with the Second 2025 Notes Partial Repurchase, the Company recognized a loss on extinguishment of debt of $135.8 million and recorded a $216.1 million increase to Additional paid-in capital during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dividends paid during 2024, the conversion rate for the Company’s remaining 2025 Notes decreased to approximately $10.60 per share, which represents 94.360 shares of common stock per $1,000 principal amount of the 2025 Notes, or a total of approximately 1.956 million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outstanding principal amount and carrying value of the 2025 Notes as of the periods indicated:</w:t>
      </w:r>
    </w:p>
    <w:tbl>
      <w:tblPr>
        <w:tblW w:w="6852" w:type="dxa"/>
        <w:jc w:val="center"/>
        <w:tblInd w:w="0" w:type="dxa"/>
        <w:tblLayout w:type="fixed"/>
        <w:tblCellMar>
          <w:top w:w="28" w:type="dxa"/>
          <w:left w:w="28" w:type="dxa"/>
          <w:bottom w:w="28" w:type="dxa"/>
          <w:right w:w="28" w:type="dxa"/>
        </w:tblCellMar>
      </w:tblPr>
      <w:tblGrid>
        <w:gridCol w:w="1106"/>
        <w:gridCol w:w="975"/>
        <w:gridCol w:w="979"/>
        <w:gridCol w:w="351"/>
        <w:gridCol w:w="1161"/>
        <w:gridCol w:w="198"/>
        <w:gridCol w:w="109"/>
        <w:gridCol w:w="109"/>
        <w:gridCol w:w="109"/>
        <w:gridCol w:w="316"/>
        <w:gridCol w:w="1190"/>
        <w:gridCol w:w="249"/>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 (1)</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3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20,668 </w:t>
            </w:r>
          </w:p>
        </w:tc>
        <w:tc>
          <w:tcPr>
            <w:tcW w:w="1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103,648 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252525"/>
          <w:sz w:val="18"/>
        </w:rPr>
        <w:t>(1)</w:t>
      </w:r>
      <w:r>
        <w:rPr>
          <w:rFonts w:ascii="Times New Roman;sans-serif" w:hAnsi="Times New Roman;sans-serif"/>
          <w:b w:val="false"/>
          <w:color w:val="000000"/>
          <w:sz w:val="18"/>
        </w:rPr>
        <w:t>During 2024, the Company wrote off $0.8 million of debt issuance costs as a result of the Second 2025 Notes Partial Repurchase.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252525"/>
          <w:sz w:val="22"/>
        </w:rPr>
        <w:t xml:space="preserve">Following is a summary of interest expense for the </w:t>
      </w:r>
      <w:r>
        <w:rPr>
          <w:rFonts w:ascii="Times New Roman;sans-serif" w:hAnsi="Times New Roman;sans-serif"/>
          <w:b w:val="false"/>
          <w:color w:val="000000"/>
          <w:sz w:val="22"/>
        </w:rPr>
        <w:t>2025 Notes by component for the periods indicated:</w:t>
      </w:r>
    </w:p>
    <w:tbl>
      <w:tblPr>
        <w:tblW w:w="5636" w:type="dxa"/>
        <w:jc w:val="left"/>
        <w:tblInd w:w="0" w:type="dxa"/>
        <w:tblLayout w:type="fixed"/>
        <w:tblCellMar>
          <w:top w:w="28" w:type="dxa"/>
          <w:left w:w="28" w:type="dxa"/>
          <w:bottom w:w="28" w:type="dxa"/>
          <w:right w:w="28" w:type="dxa"/>
        </w:tblCellMar>
      </w:tblPr>
      <w:tblGrid>
        <w:gridCol w:w="851"/>
        <w:gridCol w:w="750"/>
        <w:gridCol w:w="753"/>
        <w:gridCol w:w="196"/>
        <w:gridCol w:w="556"/>
        <w:gridCol w:w="109"/>
        <w:gridCol w:w="109"/>
        <w:gridCol w:w="109"/>
        <w:gridCol w:w="109"/>
        <w:gridCol w:w="196"/>
        <w:gridCol w:w="556"/>
        <w:gridCol w:w="109"/>
        <w:gridCol w:w="109"/>
        <w:gridCol w:w="109"/>
        <w:gridCol w:w="109"/>
        <w:gridCol w:w="196"/>
        <w:gridCol w:w="55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(1)The effective rate of the 2025 Notes over their expected life is </w:t>
      </w:r>
      <w:r>
        <w:rPr>
          <w:rFonts w:ascii="Times New Roman;sans-serif" w:hAnsi="Times New Roman;sans-serif"/>
          <w:b w:val="false"/>
          <w:color w:val="252525"/>
          <w:sz w:val="18"/>
        </w:rPr>
        <w:t>5.85%.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Convertible Note Hedge and Warrant Transactions </w:t>
      </w:r>
      <w:r>
        <w:rPr>
          <w:rFonts w:ascii="Times New Roman;sans-serif" w:hAnsi="Times New Roman;sans-serif"/>
          <w:b w:val="false"/>
          <w:color w:val="000000"/>
          <w:sz w:val="22"/>
        </w:rPr>
        <w:t>- In connection with the offering of the 2025 Notes, the Company entered into convertible note hedge transactions (the “Convertible Note Hedge Transactions”) with certain of the initial purchasers of the 2025 Notes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Convertible Note Hedge Transactions cover, subject to customary anti-dilution adjustments, the number of shares of the Company’s common stock that initially underlie the 2025 Notes, and are expected generally to reduce the potential equity dilution in excess of the principal amount due upon conversion of the 2025 Notes. The Warrant Transactions have a dilutive effect on the Company’s common stock to the extent that the price of its common stock exceeds the strike price of the Warrant Transactions. The strike price was initially $16.64 per share and is subject to certain adjustments under the terms of the Warrant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Convertible Note Hedge Transactions are exercisable upon conversion of the 2025 Notes and expire upon maturity of the 2025 Notes. The Warrant Transactions are exercisable on the expiration dates included in the related forms of confirmation.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First 2025 Notes Partial Repurchase, the Company entered into partial unwind agreements with certain financial institutions relating to a portion of the convertible note hedge transactions (the “2022 Note Hedge Early Termination Agreements”) and a portion of the Warrant Transactions (the “2022 Warrant Early Termination Agreements”). Upon settlement, the Company received $131.9 million for the 2022 Note Hedge Early Termination Agreements and paid $114.8 million for the 2022 Warrant Early Termination Agreements. In connection with the 2022 Note Hedge Early Termination Agreements and the 2022 Warrant Early Termination Agreements the Company recorded a $113.0 million increase and a $97.6 million decrease, respectively, to Additional paid-in capital during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connection with the Second 2025 Notes Partial Repurchase, the Company entered into partial unwind agreements with certain financial institutions relating to a portion of the convertible note hedge transactions (the “2024 Note Hedge Early Termination Agreements”) and a portion of the warrant transactions (the “2024 Warrant Early Termination Agreements”, together the “2024 Early Termination Agreements”), that were previously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 Company in connection with the issuance of the 2025 Notes. Pursuant to the 2024 Early Termination Agreements, the Company received a termination payment which consisted of approximately $118.2 million in cash and 0.3 million shares of common stock, and the Company made a termination payment in an aggregate amount of approximately $102.2 million in cash. In connection with the 2024 Early Termination Agreements, the Company recorded a $126.5 million increase and a $102.2 million decrease, respectively, to Additional paid-in capital during 2024. The Company also recorded an $8.3 million increase to Accumulated deficit in connection with the 2024 Note Hedge Early Termination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remaining Warrant Transactions have a dilutive effect on the Company’s common stock to the extent that the price of its common stock exceeds the strike price of the Warrant Transactions. In connection with dividends paid during 2024, the strike price for the remaining Warrant Transactions decreased to $14.84.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         Stockholders’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In February 2024, the Company’s Board of Directors (the “Board”) canceled the remaining $57.5 million under the Company’s former share repurchase authorization and approved a new $350.0 million share repurchase authorization (the “2024 Share Repurchase Program”). The 2024 Share Repurchase Program includes capacity above the Company’s normal repurchase activity to provide flexibility in retiring the 2025 Notes at or prior to their maturity. 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March 1, 2024, the Company entered into an accelerated share repurchase agreement (the “ASR Agreement”), in connection with the 2024 Share Repurchase Program, with Wells Fargo Bank, National Association (“Wells Fargo”) to repurchase $220.0 million of the Company’s common stock. Under the ASR Agreement, the Company repurchased 7.9 million shares of common stock through April 23, 2024 based generally on the average of the daily volume-weighted average price per share of common stock during the repurchase period, subject to discounts and certain adjustments. The repurchase resulted in a $214.3 million increase in Accumulated deficit. The Company funded the payment under the ASR Agreement, together with the cash portion of the amounts payable under the 2024 Exchange Agreements, primarily with borrowings under the revolving credit facility and net proceeds from the 2024 Early Termination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the shares repurchased during fiscal year 2024:</w:t>
      </w:r>
    </w:p>
    <w:tbl>
      <w:tblPr>
        <w:tblW w:w="10205" w:type="dxa"/>
        <w:jc w:val="left"/>
        <w:tblInd w:w="0" w:type="dxa"/>
        <w:tblLayout w:type="fixed"/>
        <w:tblCellMar>
          <w:top w:w="28" w:type="dxa"/>
          <w:left w:w="28" w:type="dxa"/>
          <w:bottom w:w="28" w:type="dxa"/>
          <w:right w:w="28" w:type="dxa"/>
        </w:tblCellMar>
      </w:tblPr>
      <w:tblGrid>
        <w:gridCol w:w="1107"/>
        <w:gridCol w:w="657"/>
        <w:gridCol w:w="660"/>
        <w:gridCol w:w="449"/>
        <w:gridCol w:w="384"/>
        <w:gridCol w:w="385"/>
        <w:gridCol w:w="109"/>
        <w:gridCol w:w="2013"/>
        <w:gridCol w:w="109"/>
        <w:gridCol w:w="856"/>
        <w:gridCol w:w="109"/>
        <w:gridCol w:w="109"/>
        <w:gridCol w:w="109"/>
        <w:gridCol w:w="196"/>
        <w:gridCol w:w="556"/>
        <w:gridCol w:w="109"/>
        <w:gridCol w:w="109"/>
        <w:gridCol w:w="109"/>
        <w:gridCol w:w="109"/>
        <w:gridCol w:w="109"/>
        <w:gridCol w:w="109"/>
        <w:gridCol w:w="109"/>
        <w:gridCol w:w="109"/>
        <w:gridCol w:w="196"/>
        <w:gridCol w:w="736"/>
        <w:gridCol w:w="109"/>
        <w:gridCol w:w="109"/>
        <w:gridCol w:w="109"/>
        <w:gridCol w:w="109"/>
        <w:gridCol w:w="157"/>
      </w:tblGrid>
      <w:tr>
        <w:trPr/>
        <w:tc>
          <w:tcPr>
            <w:tcW w:w="110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REPURCHASE PRICE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476" w:type="dxa"/>
            <w:gridSpan w:val="20"/>
            <w:tcBorders/>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76" w:type="dxa"/>
            <w:gridSpan w:val="20"/>
            <w:tcBorders/>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83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6,948 </w:t>
            </w:r>
          </w:p>
        </w:tc>
        <w:tc>
          <w:tcPr>
            <w:tcW w:w="3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188,500 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fiscal quarter</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common stock repurchases</w:t>
            </w:r>
          </w:p>
        </w:tc>
        <w:tc>
          <w:tcPr>
            <w:tcW w:w="83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10,073 </w:t>
            </w:r>
          </w:p>
        </w:tc>
        <w:tc>
          <w:tcPr>
            <w:tcW w:w="38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repurchase-related ASR Agreement fees and excise taxes</w:t>
            </w:r>
          </w:p>
        </w:tc>
        <w:tc>
          <w:tcPr>
            <w:tcW w:w="121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33" w:type="dxa"/>
            <w:gridSpan w:val="2"/>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10,073 </w:t>
            </w:r>
          </w:p>
        </w:tc>
        <w:tc>
          <w:tcPr>
            <w:tcW w:w="3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266,423 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Dividends - </w:t>
      </w:r>
      <w:r>
        <w:rPr>
          <w:rFonts w:ascii="Times New Roman;sans-serif" w:hAnsi="Times New Roman;sans-serif"/>
          <w:b w:val="false"/>
          <w:color w:val="000000"/>
          <w:sz w:val="22"/>
        </w:rPr>
        <w:t>The Company declared and paid dividends per share during the periods presented as follows:</w:t>
      </w:r>
    </w:p>
    <w:tbl>
      <w:tblPr>
        <w:tblW w:w="9035" w:type="dxa"/>
        <w:jc w:val="center"/>
        <w:tblInd w:w="0" w:type="dxa"/>
        <w:tblLayout w:type="fixed"/>
        <w:tblCellMar>
          <w:top w:w="28" w:type="dxa"/>
          <w:left w:w="28" w:type="dxa"/>
          <w:bottom w:w="28" w:type="dxa"/>
          <w:right w:w="28" w:type="dxa"/>
        </w:tblCellMar>
      </w:tblPr>
      <w:tblGrid>
        <w:gridCol w:w="1206"/>
        <w:gridCol w:w="1060"/>
        <w:gridCol w:w="1063"/>
        <w:gridCol w:w="326"/>
        <w:gridCol w:w="776"/>
        <w:gridCol w:w="181"/>
        <w:gridCol w:w="181"/>
        <w:gridCol w:w="181"/>
        <w:gridCol w:w="181"/>
        <w:gridCol w:w="181"/>
        <w:gridCol w:w="109"/>
        <w:gridCol w:w="196"/>
        <w:gridCol w:w="466"/>
        <w:gridCol w:w="109"/>
        <w:gridCol w:w="109"/>
        <w:gridCol w:w="109"/>
        <w:gridCol w:w="109"/>
        <w:gridCol w:w="196"/>
        <w:gridCol w:w="646"/>
        <w:gridCol w:w="109"/>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7"/>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28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3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Second fiscal quarter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fiscal quarter</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Fourth fiscal quarter</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dividends declared and paid</w:t>
            </w:r>
          </w:p>
        </w:tc>
        <w:tc>
          <w:tcPr>
            <w:tcW w:w="3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83,742 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2025, the Board declared a quarterly cash dividend of $0.15 per share, payable on March 26, 2025 to shareholders of record at the close of business on March 11, 2025.</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i/>
          <w:color w:val="000000"/>
          <w:sz w:val="22"/>
        </w:rPr>
        <w:t>Accumulated Other Comprehensive Loss (“AOCL”)</w:t>
      </w:r>
      <w:r>
        <w:rPr>
          <w:color w:val="000000"/>
        </w:rPr>
        <w:t xml:space="preserve"> </w:t>
      </w:r>
      <w:r>
        <w:rPr>
          <w:rFonts w:ascii="Times New Roman;sans-serif" w:hAnsi="Times New Roman;sans-serif"/>
          <w:b w:val="false"/>
          <w:color w:val="000000"/>
          <w:sz w:val="22"/>
        </w:rPr>
        <w:t xml:space="preserve">- The following table is a rollforward of the components of </w:t>
      </w:r>
      <w:r>
        <w:rPr>
          <w:rFonts w:ascii="Times New Roman;sans-serif" w:hAnsi="Times New Roman;sans-serif"/>
          <w:b w:val="false"/>
          <w:i/>
          <w:color w:val="000000"/>
          <w:sz w:val="22"/>
        </w:rPr>
        <w:t>AOCL</w:t>
      </w:r>
      <w:r>
        <w:rPr>
          <w:color w:val="000000"/>
        </w:rPr>
        <w:t xml:space="preserve"> </w:t>
      </w:r>
      <w:r>
        <w:rPr>
          <w:rFonts w:ascii="Times New Roman;sans-serif" w:hAnsi="Times New Roman;sans-serif"/>
          <w:b w:val="false"/>
          <w:color w:val="000000"/>
          <w:sz w:val="22"/>
        </w:rPr>
        <w:t>for the periods indicated:</w:t>
      </w:r>
    </w:p>
    <w:tbl>
      <w:tblPr>
        <w:tblW w:w="10205" w:type="dxa"/>
        <w:jc w:val="center"/>
        <w:tblInd w:w="0" w:type="dxa"/>
        <w:tblLayout w:type="fixed"/>
        <w:tblCellMar>
          <w:top w:w="28" w:type="dxa"/>
          <w:left w:w="28" w:type="dxa"/>
          <w:bottom w:w="28" w:type="dxa"/>
          <w:right w:w="28" w:type="dxa"/>
        </w:tblCellMar>
      </w:tblPr>
      <w:tblGrid>
        <w:gridCol w:w="2155"/>
        <w:gridCol w:w="1803"/>
        <w:gridCol w:w="1809"/>
        <w:gridCol w:w="109"/>
        <w:gridCol w:w="109"/>
        <w:gridCol w:w="109"/>
        <w:gridCol w:w="109"/>
        <w:gridCol w:w="196"/>
        <w:gridCol w:w="795"/>
        <w:gridCol w:w="109"/>
        <w:gridCol w:w="109"/>
        <w:gridCol w:w="109"/>
        <w:gridCol w:w="109"/>
        <w:gridCol w:w="196"/>
        <w:gridCol w:w="795"/>
        <w:gridCol w:w="109"/>
        <w:gridCol w:w="109"/>
        <w:gridCol w:w="109"/>
        <w:gridCol w:w="109"/>
        <w:gridCol w:w="196"/>
        <w:gridCol w:w="795"/>
        <w:gridCol w:w="157"/>
      </w:tblGrid>
      <w:tr>
        <w:trPr/>
        <w:tc>
          <w:tcPr>
            <w:tcW w:w="215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5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foreign currency translation adjustments related to the liquidation of foreign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(212,172)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(177,689)</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gain on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realized in Net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Impact of terminated interest rate swaps included in Net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(205,989)</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(34,489)</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20,678 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(185,311)</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13.           Derivative Instruments and Hedging </w:t>
      </w:r>
      <w:bookmarkStart w:id="58" w:name="ida968e80bd8b49178477339d623d107c_4342"/>
      <w:bookmarkEnd w:id="58"/>
      <w:r>
        <w:rPr>
          <w:rFonts w:ascii="Times New Roman;sans-serif" w:hAnsi="Times New Roman;sans-serif"/>
          <w:b w:val="false"/>
          <w:color w:val="000000"/>
          <w:sz w:val="22"/>
        </w:rPr>
        <w:t>Activities</w:t>
      </w:r>
    </w:p>
    <w:p>
      <w:pPr>
        <w:pStyle w:val="TextBody"/>
        <w:bidi w:val="0"/>
        <w:spacing w:before="0" w:after="0"/>
        <w:ind w:left="0" w:right="0" w:firstLine="855"/>
        <w:jc w:val="both"/>
        <w:rPr/>
      </w:pPr>
      <w:r>
        <w:rPr/>
      </w:r>
    </w:p>
    <w:p>
      <w:pPr>
        <w:pStyle w:val="TextBody"/>
        <w:bidi w:val="0"/>
        <w:spacing w:lineRule="auto" w:line="288" w:before="0" w:after="200"/>
        <w:jc w:val="both"/>
        <w:rPr/>
      </w:pPr>
      <w:r>
        <w:rPr>
          <w:rFonts w:ascii="Times New Roman;sans-serif" w:hAnsi="Times New Roman;sans-serif"/>
          <w:b w:val="false"/>
          <w:i/>
          <w:color w:val="000000"/>
          <w:sz w:val="22"/>
        </w:rPr>
        <w:t>Interest Rate Risk</w:t>
      </w:r>
      <w:r>
        <w:rPr>
          <w:color w:val="000000"/>
        </w:rPr>
        <w:t xml:space="preserve"> </w:t>
      </w:r>
      <w:r>
        <w:rPr>
          <w:rFonts w:ascii="Times New Roman;sans-serif" w:hAnsi="Times New Roman;sans-serif"/>
          <w:b w:val="false"/>
          <w:color w:val="000000"/>
          <w:sz w:val="22"/>
        </w:rPr>
        <w:t>- The Company manages economic risks, including interest rate variability, primarily by managing the amount, sources and 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pStyle w:val="TextBody"/>
        <w:bidi w:val="0"/>
        <w:spacing w:lineRule="auto" w:line="288" w:before="0" w:after="200"/>
        <w:jc w:val="both"/>
        <w:rPr/>
      </w:pPr>
      <w:r>
        <w:rPr>
          <w:rFonts w:ascii="Times New Roman;sans-serif" w:hAnsi="Times New Roman;sans-serif"/>
          <w:b w:val="false"/>
          <w:i/>
          <w:color w:val="000000"/>
          <w:sz w:val="22"/>
        </w:rPr>
        <w:t>Currency Exchange Rate Risk</w:t>
      </w:r>
      <w:r>
        <w:rPr>
          <w:color w:val="000000"/>
        </w:rPr>
        <w:t xml:space="preserve"> </w:t>
      </w:r>
      <w:r>
        <w:rPr>
          <w:rFonts w:ascii="Times New Roman;sans-serif" w:hAnsi="Times New Roman;sans-serif"/>
          <w:b w:val="false"/>
          <w:color w:val="000000"/>
          <w:sz w:val="22"/>
        </w:rPr>
        <w:t>- The Company is exposed to foreign currency exchange rate risk arising from transactions and balances denominated in currencies other than the U.S. dollar. The Company may use foreign currency forward contracts to manage certain foreign currency exposures.</w:t>
      </w:r>
    </w:p>
    <w:p>
      <w:pPr>
        <w:pStyle w:val="TextBody"/>
        <w:bidi w:val="0"/>
        <w:spacing w:lineRule="auto" w:line="288" w:before="0" w:after="200"/>
        <w:jc w:val="both"/>
        <w:rPr>
          <w:rFonts w:ascii="Times New Roman;sans-serif" w:hAnsi="Times New Roman;sans-serif"/>
          <w:b/>
          <w:color w:val="000000"/>
          <w:sz w:val="22"/>
        </w:rPr>
      </w:pPr>
      <w:r>
        <w:rPr>
          <w:rFonts w:ascii="Times New Roman;sans-serif" w:hAnsi="Times New Roman;sans-serif"/>
          <w:b/>
          <w:color w:val="000000"/>
          <w:sz w:val="22"/>
        </w:rPr>
        <w:t>Designated Hedges</w:t>
      </w:r>
    </w:p>
    <w:p>
      <w:pPr>
        <w:pStyle w:val="TextBody"/>
        <w:bidi w:val="0"/>
        <w:spacing w:lineRule="auto" w:line="288" w:before="0" w:after="0"/>
        <w:jc w:val="both"/>
        <w:rPr/>
      </w:pPr>
      <w:r>
        <w:rPr>
          <w:rFonts w:ascii="Times New Roman;sans-serif" w:hAnsi="Times New Roman;sans-serif"/>
          <w:b w:val="false"/>
          <w:i/>
          <w:color w:val="000000"/>
          <w:sz w:val="22"/>
        </w:rPr>
        <w:t>Cash Flow Hedges of Interest Rate Risk</w:t>
      </w:r>
      <w:r>
        <w:rPr>
          <w:color w:val="000000"/>
        </w:rPr>
        <w:t xml:space="preserve"> </w:t>
      </w:r>
      <w:r>
        <w:rPr>
          <w:rFonts w:ascii="Times New Roman;sans-serif" w:hAnsi="Times New Roman;sans-serif"/>
          <w:b w:val="false"/>
          <w:color w:val="000000"/>
          <w:sz w:val="22"/>
        </w:rPr>
        <w:t>- In March 2024 and December 2023, OSI entered into 11 interest rate swap agreements with ten counterparties (the “Swap Transactions”) to manage its exposure to fluctuations in variable interest rates. The Swap Transactions have an aggregate notional amount of $375.0 million and include one and two-year tenors with the following terms: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2025</w:t>
            </w:r>
          </w:p>
        </w:tc>
      </w:tr>
      <w:tr>
        <w:trPr/>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2026</w:t>
            </w:r>
          </w:p>
        </w:tc>
      </w:tr>
      <w:tr>
        <w:trPr/>
        <w:tc>
          <w:tcPr>
            <w:tcW w:w="27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375,000,000 </w:t>
            </w:r>
          </w:p>
        </w:tc>
        <w:tc>
          <w:tcPr>
            <w:tcW w:w="1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Swap Transactions, the Company converted $375.0 million of its outstanding indebtedness from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Swap Transactions have been designated and qualify as cash flow hedges, are recognized on the Company’s Consolidated Balance Sheets at fair value as of December 29, 2024 and are classified based on the instruments’</w:t>
      </w:r>
      <w:r>
        <w:rPr>
          <w:color w:val="000000"/>
        </w:rPr>
        <w:t xml:space="preserve"> </w:t>
      </w:r>
      <w:r>
        <w:rPr>
          <w:rFonts w:ascii="Times New Roman;sans-serif" w:hAnsi="Times New Roman;sans-serif"/>
          <w:b w:val="false"/>
          <w:color w:val="000000"/>
          <w:sz w:val="22"/>
        </w:rPr>
        <w:t xml:space="preserve">maturity dates. The Company estimates $0.7 million of interest expense will be reclassified from AOCL to Interest expense, net over the next 12 months related to the Swap Transactions.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fair value and classification of the Company’s swap agreements as of the periods indicated:</w:t>
      </w:r>
    </w:p>
    <w:tbl>
      <w:tblPr>
        <w:tblW w:w="10205" w:type="dxa"/>
        <w:jc w:val="center"/>
        <w:tblInd w:w="0" w:type="dxa"/>
        <w:tblLayout w:type="fixed"/>
        <w:tblCellMar>
          <w:top w:w="28" w:type="dxa"/>
          <w:left w:w="28" w:type="dxa"/>
          <w:bottom w:w="28" w:type="dxa"/>
          <w:right w:w="28" w:type="dxa"/>
        </w:tblCellMar>
      </w:tblPr>
      <w:tblGrid>
        <w:gridCol w:w="1128"/>
        <w:gridCol w:w="965"/>
        <w:gridCol w:w="968"/>
        <w:gridCol w:w="1147"/>
        <w:gridCol w:w="1147"/>
        <w:gridCol w:w="1150"/>
        <w:gridCol w:w="109"/>
        <w:gridCol w:w="109"/>
        <w:gridCol w:w="109"/>
        <w:gridCol w:w="403"/>
        <w:gridCol w:w="868"/>
        <w:gridCol w:w="227"/>
        <w:gridCol w:w="109"/>
        <w:gridCol w:w="109"/>
        <w:gridCol w:w="109"/>
        <w:gridCol w:w="332"/>
        <w:gridCol w:w="947"/>
        <w:gridCol w:w="269"/>
      </w:tblGrid>
      <w:tr>
        <w:trPr/>
        <w:tc>
          <w:tcPr>
            <w:tcW w:w="112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asset (1)</w:t>
            </w:r>
          </w:p>
        </w:tc>
        <w:tc>
          <w:tcPr>
            <w:tcW w:w="34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3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3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3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3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fair value of derivative instruments - liabilities (1)</w:t>
            </w:r>
          </w:p>
        </w:tc>
        <w:tc>
          <w:tcPr>
            <w:tcW w:w="3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2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3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both"/>
        <w:rPr/>
      </w:pPr>
      <w:r>
        <w:rPr>
          <w:rFonts w:ascii="Times New Roman;sans-serif" w:hAnsi="Times New Roman;sans-serif"/>
          <w:b w:val="false"/>
          <w:color w:val="000000"/>
          <w:sz w:val="18"/>
        </w:rPr>
        <w:t xml:space="preserve">(1)    See Note 15 - </w:t>
      </w:r>
      <w:r>
        <w:rPr>
          <w:rFonts w:ascii="Times New Roman;sans-serif" w:hAnsi="Times New Roman;sans-serif"/>
          <w:b w:val="false"/>
          <w:i/>
          <w:color w:val="000000"/>
          <w:sz w:val="18"/>
        </w:rPr>
        <w:t>Fair Value Measurements</w:t>
      </w:r>
      <w:r>
        <w:rPr>
          <w:color w:val="000000"/>
        </w:rPr>
        <w:t xml:space="preserve"> </w:t>
      </w:r>
      <w:r>
        <w:rPr>
          <w:rFonts w:ascii="Times New Roman;sans-serif" w:hAnsi="Times New Roman;sans-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29, 2024,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and December 31, 2023, the fair value of the Company’s Swap Transactions was in a net liability position, including accrued interest but excluding any adjustment for nonperformance risk, of $0.8 million. As of December 29, 2024 and December 31, 2023, the Company has not posted any collateral related to the Swap Transactions.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December 29, 2024 and December 31, 2023, it could have been required to settle its obligations under the Swap Transactions at their termination value of $0.8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bookmarkStart w:id="59" w:name="ida968e80bd8b49178477339d623d107c_9629"/>
      <w:bookmarkEnd w:id="59"/>
      <w:r>
        <w:rPr>
          <w:rFonts w:ascii="Times New Roman;sans-serif" w:hAnsi="Times New Roman;sans-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fourth quarter of 2024, the Company entered into foreign currency forward contracts to partially offset the foreign currency exchange gains and losses generated by the Brazilian Reais rate risk associated with the purchase price installment payments from the Brazil Sale Transaction. As of December 29, 2024, the Company had $184.6 million of outstanding notional amounts related to its foreign currency forward contracts. Subsequent to December 29, 2024, the outstanding notional amounts related to the Company’s foreign currency forward contracts decreased to $107.7 million following the collection of the first installment payment from the Brazil Sale Transaction. As of December 29, 2024, the Company has not posted any collateral related to the foreign currency forward contracts.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fair value and classification of the Company’s foreign exchange forward contracts as of the period indicated:</w:t>
      </w:r>
    </w:p>
    <w:tbl>
      <w:tblPr>
        <w:tblW w:w="10205" w:type="dxa"/>
        <w:jc w:val="center"/>
        <w:tblInd w:w="0" w:type="dxa"/>
        <w:tblLayout w:type="fixed"/>
        <w:tblCellMar>
          <w:top w:w="28" w:type="dxa"/>
          <w:left w:w="28" w:type="dxa"/>
          <w:bottom w:w="28" w:type="dxa"/>
          <w:right w:w="28" w:type="dxa"/>
        </w:tblCellMar>
      </w:tblPr>
      <w:tblGrid>
        <w:gridCol w:w="1219"/>
        <w:gridCol w:w="1074"/>
        <w:gridCol w:w="1078"/>
        <w:gridCol w:w="1438"/>
        <w:gridCol w:w="1438"/>
        <w:gridCol w:w="1441"/>
        <w:gridCol w:w="109"/>
        <w:gridCol w:w="109"/>
        <w:gridCol w:w="109"/>
        <w:gridCol w:w="459"/>
        <w:gridCol w:w="989"/>
        <w:gridCol w:w="258"/>
        <w:gridCol w:w="109"/>
        <w:gridCol w:w="109"/>
        <w:gridCol w:w="109"/>
        <w:gridCol w:w="157"/>
      </w:tblGrid>
      <w:tr>
        <w:trPr/>
        <w:tc>
          <w:tcPr>
            <w:tcW w:w="121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4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 - asset (1)</w:t>
            </w:r>
          </w:p>
        </w:tc>
        <w:tc>
          <w:tcPr>
            <w:tcW w:w="431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4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71" w:type="dxa"/>
            <w:gridSpan w:val="3"/>
            <w:tcBorders/>
            <w:vAlign w:val="center"/>
          </w:tcPr>
          <w:p>
            <w:pPr>
              <w:pStyle w:val="TableContents"/>
              <w:bidi w:val="0"/>
              <w:spacing w:before="0" w:after="283"/>
              <w:jc w:val="left"/>
              <w:rPr>
                <w:sz w:val="4"/>
                <w:szCs w:val="4"/>
              </w:rPr>
            </w:pPr>
            <w:r>
              <w:rPr>
                <w:sz w:val="4"/>
                <w:szCs w:val="4"/>
              </w:rPr>
            </w:r>
          </w:p>
        </w:tc>
        <w:tc>
          <w:tcPr>
            <w:tcW w:w="4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both"/>
        <w:rPr/>
      </w:pPr>
      <w:r>
        <w:rPr>
          <w:rFonts w:ascii="Times New Roman;sans-serif" w:hAnsi="Times New Roman;sans-serif"/>
          <w:b w:val="false"/>
          <w:color w:val="000000"/>
          <w:sz w:val="18"/>
        </w:rPr>
        <w:t xml:space="preserve">(1)    See Note 15 - </w:t>
      </w:r>
      <w:r>
        <w:rPr>
          <w:rFonts w:ascii="Times New Roman;sans-serif" w:hAnsi="Times New Roman;sans-serif"/>
          <w:b w:val="false"/>
          <w:i/>
          <w:color w:val="000000"/>
          <w:sz w:val="18"/>
        </w:rPr>
        <w:t>Fair Value Measurements</w:t>
      </w:r>
      <w:r>
        <w:rPr>
          <w:color w:val="000000"/>
        </w:rPr>
        <w:t xml:space="preserve"> </w:t>
      </w:r>
      <w:r>
        <w:rPr>
          <w:rFonts w:ascii="Times New Roman;sans-serif" w:hAnsi="Times New Roman;sans-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effects of the Company’s foreign exchange forward contracts on the Consolidated Statements of Operations and Comprehensive (Loss) Income for the period indicated:</w:t>
      </w:r>
    </w:p>
    <w:tbl>
      <w:tblPr>
        <w:tblW w:w="10205" w:type="dxa"/>
        <w:jc w:val="center"/>
        <w:tblInd w:w="0" w:type="dxa"/>
        <w:tblLayout w:type="fixed"/>
        <w:tblCellMar>
          <w:top w:w="28" w:type="dxa"/>
          <w:left w:w="28" w:type="dxa"/>
          <w:bottom w:w="28" w:type="dxa"/>
          <w:right w:w="28" w:type="dxa"/>
        </w:tblCellMar>
      </w:tblPr>
      <w:tblGrid>
        <w:gridCol w:w="843"/>
        <w:gridCol w:w="743"/>
        <w:gridCol w:w="746"/>
        <w:gridCol w:w="1982"/>
        <w:gridCol w:w="1982"/>
        <w:gridCol w:w="1986"/>
        <w:gridCol w:w="109"/>
        <w:gridCol w:w="109"/>
        <w:gridCol w:w="109"/>
        <w:gridCol w:w="229"/>
        <w:gridCol w:w="756"/>
        <w:gridCol w:w="127"/>
        <w:gridCol w:w="109"/>
        <w:gridCol w:w="109"/>
        <w:gridCol w:w="109"/>
        <w:gridCol w:w="157"/>
      </w:tblGrid>
      <w:tr>
        <w:trPr/>
        <w:tc>
          <w:tcPr>
            <w:tcW w:w="8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59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foreign currency forward contracts</w:t>
            </w:r>
          </w:p>
        </w:tc>
        <w:tc>
          <w:tcPr>
            <w:tcW w:w="595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Company’s interest rate swaps and foreign currency forward contracts are subject to master netting arrangements. As of December 29, 2024, the Company elected not to offset derivative positions in the balance sheet with the same counterparty under the sam</w:t>
      </w:r>
      <w:bookmarkStart w:id="60" w:name="ida968e80bd8b49178477339d623d107c_9626"/>
      <w:bookmarkEnd w:id="60"/>
      <w:r>
        <w:rPr>
          <w:rFonts w:ascii="Times New Roman;sans-serif" w:hAnsi="Times New Roman;sans-serif"/>
          <w:b w:val="false"/>
          <w:color w:val="000000"/>
          <w:sz w:val="22"/>
        </w:rPr>
        <w:t>e agree</w:t>
      </w:r>
      <w:bookmarkStart w:id="61" w:name="ida968e80bd8b49178477339d623d107c_10170"/>
      <w:bookmarkEnd w:id="61"/>
      <w:r>
        <w:rPr>
          <w:rFonts w:ascii="Times New Roman;sans-serif" w:hAnsi="Times New Roman;sans-serif"/>
          <w:b w:val="false"/>
          <w:color w:val="000000"/>
          <w:sz w:val="22"/>
        </w:rPr>
        <w:t>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14.    Leases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880"/>
        <w:gridCol w:w="748"/>
        <w:gridCol w:w="751"/>
        <w:gridCol w:w="1238"/>
        <w:gridCol w:w="1238"/>
        <w:gridCol w:w="1240"/>
        <w:gridCol w:w="109"/>
        <w:gridCol w:w="109"/>
        <w:gridCol w:w="109"/>
        <w:gridCol w:w="265"/>
        <w:gridCol w:w="1181"/>
        <w:gridCol w:w="147"/>
        <w:gridCol w:w="109"/>
        <w:gridCol w:w="109"/>
        <w:gridCol w:w="109"/>
        <w:gridCol w:w="265"/>
        <w:gridCol w:w="1181"/>
        <w:gridCol w:w="147"/>
        <w:gridCol w:w="109"/>
        <w:gridCol w:w="161"/>
      </w:tblGrid>
      <w:tr>
        <w:trPr/>
        <w:tc>
          <w:tcPr>
            <w:tcW w:w="88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71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1,012,857 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1,031,271 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vAlign w:val="center"/>
          </w:tcPr>
          <w:p>
            <w:pPr>
              <w:pStyle w:val="TableContents"/>
              <w:bidi w:val="0"/>
              <w:spacing w:before="0" w:after="283"/>
              <w:jc w:val="left"/>
              <w:rPr>
                <w:sz w:val="4"/>
                <w:szCs w:val="4"/>
              </w:rPr>
            </w:pPr>
            <w:r>
              <w:rPr>
                <w:sz w:val="4"/>
                <w:szCs w:val="4"/>
              </w:rPr>
            </w:r>
          </w:p>
        </w:tc>
        <w:tc>
          <w:tcPr>
            <w:tcW w:w="3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3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1,022,915 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1,040,129 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163,724 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1,087,353 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1,258,301 </w:t>
            </w:r>
          </w:p>
        </w:tc>
        <w:tc>
          <w:tcPr>
            <w:tcW w:w="14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1,260,595 </w:t>
            </w:r>
          </w:p>
        </w:tc>
        <w:tc>
          <w:tcPr>
            <w:tcW w:w="14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$4.0 million and $3.5 million as December 29, 2024 and December 31, 2023, respectively.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(Loss) Income for the periods indicated:</w:t>
      </w:r>
    </w:p>
    <w:tbl>
      <w:tblPr>
        <w:tblW w:w="10205" w:type="dxa"/>
        <w:jc w:val="center"/>
        <w:tblInd w:w="0" w:type="dxa"/>
        <w:tblLayout w:type="fixed"/>
        <w:tblCellMar>
          <w:top w:w="28" w:type="dxa"/>
          <w:left w:w="28" w:type="dxa"/>
          <w:bottom w:w="28" w:type="dxa"/>
          <w:right w:w="28" w:type="dxa"/>
        </w:tblCellMar>
      </w:tblPr>
      <w:tblGrid>
        <w:gridCol w:w="607"/>
        <w:gridCol w:w="412"/>
        <w:gridCol w:w="414"/>
        <w:gridCol w:w="1321"/>
        <w:gridCol w:w="1321"/>
        <w:gridCol w:w="1324"/>
        <w:gridCol w:w="109"/>
        <w:gridCol w:w="109"/>
        <w:gridCol w:w="109"/>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7"/>
      </w:tblGrid>
      <w:tr>
        <w:trPr/>
        <w:tc>
          <w:tcPr>
            <w:tcW w:w="6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6" w:type="dxa"/>
            <w:gridSpan w:val="2"/>
            <w:tcBorders/>
          </w:tcPr>
          <w:p>
            <w:pPr>
              <w:pStyle w:val="TableContents"/>
              <w:bidi w:val="0"/>
              <w:spacing w:before="0" w:after="283"/>
              <w:jc w:val="left"/>
              <w:rPr>
                <w:sz w:val="4"/>
                <w:szCs w:val="4"/>
              </w:rPr>
            </w:pPr>
            <w:r>
              <w:rPr>
                <w:sz w:val="4"/>
                <w:szCs w:val="4"/>
              </w:rPr>
            </w:r>
          </w:p>
        </w:tc>
      </w:tr>
      <w:tr>
        <w:trPr/>
        <w:tc>
          <w:tcPr>
            <w:tcW w:w="1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 (1)</w:t>
            </w:r>
          </w:p>
        </w:tc>
        <w:tc>
          <w:tcPr>
            <w:tcW w:w="396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169,661 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171,248 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costs:</w:t>
            </w:r>
          </w:p>
        </w:tc>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3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169,221 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169,206 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165,384 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$14.3 million, $12.1 million and $11.9 million for 2024, 2023 and 2022, respectively, which is included in General and administrative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future minimum lease payments and sublease revenues under non-cancelable leases are as follows:</w:t>
      </w:r>
    </w:p>
    <w:tbl>
      <w:tblPr>
        <w:tblW w:w="9128" w:type="dxa"/>
        <w:jc w:val="left"/>
        <w:tblInd w:w="0" w:type="dxa"/>
        <w:tblLayout w:type="fixed"/>
        <w:tblCellMar>
          <w:top w:w="28" w:type="dxa"/>
          <w:left w:w="28" w:type="dxa"/>
          <w:bottom w:w="28" w:type="dxa"/>
          <w:right w:w="28" w:type="dxa"/>
        </w:tblCellMar>
      </w:tblPr>
      <w:tblGrid>
        <w:gridCol w:w="1182"/>
        <w:gridCol w:w="1042"/>
        <w:gridCol w:w="1046"/>
        <w:gridCol w:w="295"/>
        <w:gridCol w:w="1311"/>
        <w:gridCol w:w="164"/>
        <w:gridCol w:w="109"/>
        <w:gridCol w:w="109"/>
        <w:gridCol w:w="109"/>
        <w:gridCol w:w="312"/>
        <w:gridCol w:w="1029"/>
        <w:gridCol w:w="173"/>
        <w:gridCol w:w="109"/>
        <w:gridCol w:w="109"/>
        <w:gridCol w:w="109"/>
        <w:gridCol w:w="351"/>
        <w:gridCol w:w="1293"/>
        <w:gridCol w:w="276"/>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SUBLEASE REVENUES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(1)</w:t>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165,372 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2,699 </w:t>
            </w:r>
          </w:p>
        </w:tc>
        <w:tc>
          <w:tcPr>
            <w:tcW w:w="1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173,983 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1,327,887 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 (receipts) (2)</w:t>
            </w:r>
          </w:p>
        </w:tc>
        <w:tc>
          <w:tcPr>
            <w:tcW w:w="160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2,176,829 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15,968 </w:t>
            </w:r>
          </w:p>
        </w:tc>
        <w:tc>
          <w:tcPr>
            <w:tcW w:w="1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(55,693)</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Interest</w:t>
            </w:r>
          </w:p>
        </w:tc>
        <w:tc>
          <w:tcPr>
            <w:tcW w:w="16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(929,505)</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w:t>
            </w:r>
          </w:p>
        </w:tc>
        <w:tc>
          <w:tcPr>
            <w:tcW w:w="1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future lease payments</w:t>
            </w:r>
          </w:p>
        </w:tc>
        <w:tc>
          <w:tcPr>
            <w:tcW w:w="2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1,247,324 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10,977 </w:t>
            </w:r>
          </w:p>
        </w:tc>
        <w:tc>
          <w:tcPr>
            <w:tcW w:w="1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operating lease prepaid rent of $15.3 million.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$988.4 million related to operating lease renewal options that are reasonably certain of exercise and excludes $172.4 million of signed operating leases that have not yet commenced.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the weighted average remaining lease terms and weighted average discount rates of the Company’s leases as of the periods indicated:</w:t>
      </w:r>
    </w:p>
    <w:tbl>
      <w:tblPr>
        <w:tblW w:w="10205" w:type="dxa"/>
        <w:jc w:val="left"/>
        <w:tblInd w:w="0" w:type="dxa"/>
        <w:tblLayout w:type="fixed"/>
        <w:tblCellMar>
          <w:top w:w="28" w:type="dxa"/>
          <w:left w:w="28" w:type="dxa"/>
          <w:bottom w:w="28" w:type="dxa"/>
          <w:right w:w="28" w:type="dxa"/>
        </w:tblCellMar>
      </w:tblPr>
      <w:tblGrid>
        <w:gridCol w:w="948"/>
        <w:gridCol w:w="834"/>
        <w:gridCol w:w="837"/>
        <w:gridCol w:w="356"/>
        <w:gridCol w:w="356"/>
        <w:gridCol w:w="837"/>
        <w:gridCol w:w="124"/>
        <w:gridCol w:w="124"/>
        <w:gridCol w:w="124"/>
        <w:gridCol w:w="356"/>
        <w:gridCol w:w="356"/>
        <w:gridCol w:w="837"/>
        <w:gridCol w:w="109"/>
        <w:gridCol w:w="109"/>
        <w:gridCol w:w="109"/>
        <w:gridCol w:w="356"/>
        <w:gridCol w:w="356"/>
        <w:gridCol w:w="837"/>
        <w:gridCol w:w="141"/>
        <w:gridCol w:w="141"/>
        <w:gridCol w:w="141"/>
        <w:gridCol w:w="356"/>
        <w:gridCol w:w="356"/>
        <w:gridCol w:w="837"/>
        <w:gridCol w:w="109"/>
        <w:gridCol w:w="159"/>
      </w:tblGrid>
      <w:tr>
        <w:trPr/>
        <w:tc>
          <w:tcPr>
            <w:tcW w:w="94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42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(1):</w:t>
            </w:r>
          </w:p>
        </w:tc>
        <w:tc>
          <w:tcPr>
            <w:tcW w:w="15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years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years</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years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 (2):</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lease renewal options that are reasonably certain of exercise.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(2)Based on the Company’s incremental borrowing rate at lease commencement or lease remeasurement.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from the Company’s Consolidated Financial Statements related to its leases for the periods indicated:</w:t>
      </w:r>
    </w:p>
    <w:tbl>
      <w:tblPr>
        <w:tblW w:w="9785" w:type="dxa"/>
        <w:jc w:val="center"/>
        <w:tblInd w:w="0" w:type="dxa"/>
        <w:tblLayout w:type="fixed"/>
        <w:tblCellMar>
          <w:top w:w="28" w:type="dxa"/>
          <w:left w:w="28" w:type="dxa"/>
          <w:bottom w:w="28" w:type="dxa"/>
          <w:right w:w="28" w:type="dxa"/>
        </w:tblCellMar>
      </w:tblPr>
      <w:tblGrid>
        <w:gridCol w:w="2077"/>
        <w:gridCol w:w="1831"/>
        <w:gridCol w:w="1837"/>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263" w:type="dxa"/>
            <w:gridSpan w:val="2"/>
            <w:tcBorders/>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15.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582"/>
        <w:gridCol w:w="438"/>
        <w:gridCol w:w="440"/>
        <w:gridCol w:w="786"/>
        <w:gridCol w:w="786"/>
        <w:gridCol w:w="787"/>
        <w:gridCol w:w="109"/>
        <w:gridCol w:w="109"/>
        <w:gridCol w:w="109"/>
        <w:gridCol w:w="523"/>
        <w:gridCol w:w="523"/>
        <w:gridCol w:w="524"/>
        <w:gridCol w:w="109"/>
        <w:gridCol w:w="109"/>
        <w:gridCol w:w="109"/>
        <w:gridCol w:w="254"/>
        <w:gridCol w:w="840"/>
        <w:gridCol w:w="143"/>
        <w:gridCol w:w="109"/>
        <w:gridCol w:w="109"/>
        <w:gridCol w:w="109"/>
        <w:gridCol w:w="109"/>
        <w:gridCol w:w="109"/>
        <w:gridCol w:w="109"/>
        <w:gridCol w:w="109"/>
        <w:gridCol w:w="109"/>
        <w:gridCol w:w="109"/>
        <w:gridCol w:w="254"/>
        <w:gridCol w:w="840"/>
        <w:gridCol w:w="143"/>
        <w:gridCol w:w="109"/>
        <w:gridCol w:w="109"/>
        <w:gridCol w:w="109"/>
        <w:gridCol w:w="109"/>
        <w:gridCol w:w="109"/>
        <w:gridCol w:w="162"/>
      </w:tblGrid>
      <w:tr>
        <w:trPr/>
        <w:tc>
          <w:tcPr>
            <w:tcW w:w="58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1" w:type="dxa"/>
            <w:gridSpan w:val="12"/>
            <w:tcBorders/>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235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2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2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75"/>
        <w:gridCol w:w="418"/>
        <w:gridCol w:w="420"/>
        <w:gridCol w:w="109"/>
        <w:gridCol w:w="109"/>
        <w:gridCol w:w="109"/>
        <w:gridCol w:w="2506"/>
        <w:gridCol w:w="2506"/>
        <w:gridCol w:w="3553"/>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METHODS AND ASSUMPTIONS</w:t>
            </w:r>
          </w:p>
        </w:tc>
      </w:tr>
      <w:tr>
        <w:trPr/>
        <w:tc>
          <w:tcPr>
            <w:tcW w:w="13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approximates fair value because maturities are less than three months.</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derivative instruments include interest rate swaps and foreign currency forward contracts. Fair value measurements are based on the contractual terms of the derivatives and observable market-based inputs. Interest rate swaps are valued using a discounted cash flow analysis on the expected cash flows of each derivative using observable inputs including interest rate curves and credit spreads. Foreign currency forwards are valued by comparing the contracted forward exchange rate to the current market forward exchange rate. Key inputs for the valuation of the foreign currency forwards are spot rates, foreign currency forward rates, and the interest rate curve of the domestic currency. The Company also considers its own nonperformance risk and the respective counterparty’s nonperformance risk in the fair value measurements. As of December 29, 2024 and December 31, 2023, the Company determined that the credit valuation adjustments were not significant to the overall valuation of its derivatives.</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Nonrecurring Basis - </w:t>
      </w:r>
      <w:r>
        <w:rPr>
          <w:rFonts w:ascii="Times New Roman;sans-serif" w:hAnsi="Times New Roman;sans-serif"/>
          <w:b w:val="false"/>
          <w:color w:val="000000"/>
          <w:sz w:val="22"/>
        </w:rPr>
        <w:t>Assets and liabilities that are measured at fair value on a nonrecurring basis relate 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tbl>
      <w:tblPr>
        <w:tblW w:w="10205" w:type="dxa"/>
        <w:jc w:val="center"/>
        <w:tblInd w:w="0" w:type="dxa"/>
        <w:tblLayout w:type="fixed"/>
        <w:tblCellMar>
          <w:top w:w="28" w:type="dxa"/>
          <w:left w:w="28" w:type="dxa"/>
          <w:bottom w:w="28" w:type="dxa"/>
          <w:right w:w="28" w:type="dxa"/>
        </w:tblCellMar>
      </w:tblPr>
      <w:tblGrid>
        <w:gridCol w:w="471"/>
        <w:gridCol w:w="318"/>
        <w:gridCol w:w="319"/>
        <w:gridCol w:w="250"/>
        <w:gridCol w:w="829"/>
        <w:gridCol w:w="141"/>
        <w:gridCol w:w="109"/>
        <w:gridCol w:w="109"/>
        <w:gridCol w:w="109"/>
        <w:gridCol w:w="257"/>
        <w:gridCol w:w="848"/>
        <w:gridCol w:w="144"/>
        <w:gridCol w:w="109"/>
        <w:gridCol w:w="109"/>
        <w:gridCol w:w="109"/>
        <w:gridCol w:w="277"/>
        <w:gridCol w:w="788"/>
        <w:gridCol w:w="156"/>
        <w:gridCol w:w="109"/>
        <w:gridCol w:w="109"/>
        <w:gridCol w:w="109"/>
        <w:gridCol w:w="257"/>
        <w:gridCol w:w="848"/>
        <w:gridCol w:w="144"/>
        <w:gridCol w:w="109"/>
        <w:gridCol w:w="109"/>
        <w:gridCol w:w="109"/>
        <w:gridCol w:w="277"/>
        <w:gridCol w:w="788"/>
        <w:gridCol w:w="156"/>
        <w:gridCol w:w="109"/>
        <w:gridCol w:w="109"/>
        <w:gridCol w:w="109"/>
        <w:gridCol w:w="279"/>
        <w:gridCol w:w="794"/>
        <w:gridCol w:w="229"/>
      </w:tblGrid>
      <w:tr>
        <w:trPr/>
        <w:tc>
          <w:tcPr>
            <w:tcW w:w="4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IMPAIRMENT</w:t>
            </w:r>
          </w:p>
        </w:tc>
      </w:tr>
      <w:tr>
        <w:trPr/>
        <w:tc>
          <w:tcPr>
            <w:tcW w:w="110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(1)</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14,053 </w:t>
            </w:r>
          </w:p>
        </w:tc>
        <w:tc>
          <w:tcPr>
            <w:tcW w:w="1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23,895 </w:t>
            </w:r>
          </w:p>
        </w:tc>
        <w:tc>
          <w:tcPr>
            <w:tcW w:w="1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10,210 </w:t>
            </w:r>
          </w:p>
        </w:tc>
        <w:tc>
          <w:tcPr>
            <w:tcW w:w="14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2,219 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(2)</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8"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31,149 </w:t>
            </w:r>
          </w:p>
        </w:tc>
        <w:tc>
          <w:tcPr>
            <w:tcW w:w="1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46,435 </w:t>
            </w:r>
          </w:p>
        </w:tc>
        <w:tc>
          <w:tcPr>
            <w:tcW w:w="1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8,680 </w:t>
            </w:r>
          </w:p>
        </w:tc>
        <w:tc>
          <w:tcPr>
            <w:tcW w:w="1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40,412 </w:t>
            </w:r>
          </w:p>
        </w:tc>
        <w:tc>
          <w:tcPr>
            <w:tcW w:w="1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5,026 </w:t>
            </w:r>
          </w:p>
        </w:tc>
        <w:tc>
          <w:tcPr>
            <w:tcW w:w="1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5,486 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(1)Carrying values measured using discounted cash flow models (Level 3).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(2)Carrying values measured using Level 2 inputs to estimate fair value totaled $1.2 million for 2024 and 2023. All other assets were valued using Level 3 inputs. Third-party market appraisals and executed sales contracts (Level 2) and discounted cash flow models (Level 3) were used to estimate the fair value.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See</w:t>
      </w:r>
      <w:r>
        <w:rPr>
          <w:color w:val="000000"/>
        </w:rPr>
        <w:t xml:space="preserve"> </w:t>
      </w:r>
      <w:r>
        <w:rPr>
          <w:rFonts w:ascii="Times New Roman;sans-serif" w:hAnsi="Times New Roman;sans-serif"/>
          <w:b w:val="false"/>
          <w:color w:val="000000"/>
          <w:sz w:val="22"/>
        </w:rPr>
        <w:t xml:space="preserve">Note 5 - </w:t>
      </w:r>
      <w:r>
        <w:rPr>
          <w:rFonts w:ascii="Times New Roman;sans-serif" w:hAnsi="Times New Roman;sans-serif"/>
          <w:b w:val="false"/>
          <w:i/>
          <w:color w:val="000000"/>
          <w:sz w:val="22"/>
        </w:rPr>
        <w:t>Impairments and Exit Costs</w:t>
      </w:r>
      <w:r>
        <w:rPr>
          <w:color w:val="000000"/>
        </w:rPr>
        <w:t xml:space="preserve"> </w:t>
      </w:r>
      <w:r>
        <w:rPr>
          <w:rFonts w:ascii="Times New Roman;sans-serif" w:hAnsi="Times New Roman;sans-serif"/>
          <w:b w:val="false"/>
          <w:color w:val="000000"/>
          <w:sz w:val="22"/>
        </w:rPr>
        <w:t xml:space="preserve">for information regarding impairment charges during 2024 and 2023.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assessment of impairment for operating locations, the Company determines the fair values of individual operating locations using an income approach, which requires discounting projected future cash flows. When determining the stream of projected future cash flows associated with an individual operating location, management makes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discounts its cash flow estimates at its weighted-average cost of capital applicable to the country in which the measured assets reside. Unobservable inputs, including weighted average cost of capital of 12%, were used in the Company’s Level 3 fair value measurements of Operating lease right-of-use assets and Property, fixtures and equipment for the impairment losses incurred during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Fair Value of Financial Instruments - </w:t>
      </w:r>
      <w:r>
        <w:rPr>
          <w:rFonts w:ascii="Times New Roman;sans-serif" w:hAnsi="Times New Roman;sans-serif"/>
          <w:b w:val="false"/>
          <w:color w:val="000000"/>
          <w:sz w:val="22"/>
        </w:rPr>
        <w:t>The Company’s non-derivative financial instruments consist of cash equivalents, accounts receivable, accounts payable and long-term debt. The fair values of cash equivalents, accounts receivable and accounts payable approximate their carrying amounts reported on its Consolidated Balance Sheets due to their short duration.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center"/>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tcPr>
          <w:p>
            <w:pPr>
              <w:pStyle w:val="TableContents"/>
              <w:bidi w:val="0"/>
              <w:spacing w:before="0" w:after="283"/>
              <w:jc w:val="left"/>
              <w:rPr>
                <w:sz w:val="4"/>
                <w:szCs w:val="4"/>
              </w:rPr>
            </w:pPr>
            <w:r>
              <w:rPr>
                <w:sz w:val="4"/>
                <w:szCs w:val="4"/>
              </w:rPr>
            </w:r>
          </w:p>
        </w:tc>
        <w:tc>
          <w:tcPr>
            <w:tcW w:w="119" w:type="dxa"/>
            <w:tcBorders/>
          </w:tcPr>
          <w:p>
            <w:pPr>
              <w:pStyle w:val="TableContents"/>
              <w:bidi w:val="0"/>
              <w:spacing w:before="0" w:after="283"/>
              <w:jc w:val="left"/>
              <w:rPr>
                <w:sz w:val="4"/>
                <w:szCs w:val="4"/>
              </w:rPr>
            </w:pPr>
            <w:r>
              <w:rPr>
                <w:sz w:val="4"/>
                <w:szCs w:val="4"/>
              </w:rPr>
            </w:r>
          </w:p>
        </w:tc>
        <w:tc>
          <w:tcPr>
            <w:tcW w:w="119" w:type="dxa"/>
            <w:tcBorders/>
          </w:tcPr>
          <w:p>
            <w:pPr>
              <w:pStyle w:val="TableContents"/>
              <w:bidi w:val="0"/>
              <w:spacing w:before="0" w:after="283"/>
              <w:jc w:val="left"/>
              <w:rPr>
                <w:sz w:val="4"/>
                <w:szCs w:val="4"/>
              </w:rPr>
            </w:pPr>
            <w:r>
              <w:rPr>
                <w:sz w:val="4"/>
                <w:szCs w:val="4"/>
              </w:rPr>
            </w:r>
          </w:p>
        </w:tc>
        <w:tc>
          <w:tcPr>
            <w:tcW w:w="1411"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543"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16.    Allowance for Expected Credit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the Company’s trade receivables allowance for expected credit losses for the periods indicated:</w:t>
      </w:r>
    </w:p>
    <w:tbl>
      <w:tblPr>
        <w:tblW w:w="7736" w:type="dxa"/>
        <w:jc w:val="center"/>
        <w:tblInd w:w="0" w:type="dxa"/>
        <w:tblLayout w:type="fixed"/>
        <w:tblCellMar>
          <w:top w:w="28" w:type="dxa"/>
          <w:left w:w="28" w:type="dxa"/>
          <w:bottom w:w="28" w:type="dxa"/>
          <w:right w:w="28" w:type="dxa"/>
        </w:tblCellMar>
      </w:tblPr>
      <w:tblGrid>
        <w:gridCol w:w="1610"/>
        <w:gridCol w:w="1419"/>
        <w:gridCol w:w="1425"/>
        <w:gridCol w:w="196"/>
        <w:gridCol w:w="556"/>
        <w:gridCol w:w="109"/>
        <w:gridCol w:w="109"/>
        <w:gridCol w:w="109"/>
        <w:gridCol w:w="109"/>
        <w:gridCol w:w="196"/>
        <w:gridCol w:w="556"/>
        <w:gridCol w:w="109"/>
        <w:gridCol w:w="109"/>
        <w:gridCol w:w="109"/>
        <w:gridCol w:w="109"/>
        <w:gridCol w:w="196"/>
        <w:gridCol w:w="556"/>
        <w:gridCol w:w="154"/>
      </w:tblGrid>
      <w:tr>
        <w:trPr/>
        <w:tc>
          <w:tcPr>
            <w:tcW w:w="16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expected credit losses, beginning of the period</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expected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 of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expected credit losses, end of the period</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5,216 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The Company is also exposed to credit losses from off-balance sheet lease guarantees primarily related to the divestiture of certain formerly Company-owned restaurant sites. See Note 18 -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for details regarding these lease guarantees.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17.           Income </w:t>
      </w:r>
      <w:bookmarkStart w:id="62" w:name="i921c7f32eda34d48b8430a92d50818b5_29473"/>
      <w:bookmarkEnd w:id="62"/>
      <w:r>
        <w:rPr>
          <w:rFonts w:ascii="Times New Roman;sans-serif" w:hAnsi="Times New Roman;sans-serif"/>
          <w:b w:val="false"/>
          <w:color w:val="000000"/>
          <w:sz w:val="22"/>
        </w:rPr>
        <w:t xml:space="preserve">Taxes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domestic and foreign components of (Loss) income before (benefit) provision for income taxes for the periods indicated:</w:t>
      </w:r>
    </w:p>
    <w:tbl>
      <w:tblPr>
        <w:tblW w:w="8022" w:type="dxa"/>
        <w:jc w:val="left"/>
        <w:tblInd w:w="0" w:type="dxa"/>
        <w:tblLayout w:type="fixed"/>
        <w:tblCellMar>
          <w:top w:w="28" w:type="dxa"/>
          <w:left w:w="28" w:type="dxa"/>
          <w:bottom w:w="28" w:type="dxa"/>
          <w:right w:w="28" w:type="dxa"/>
        </w:tblCellMar>
      </w:tblPr>
      <w:tblGrid>
        <w:gridCol w:w="1524"/>
        <w:gridCol w:w="1343"/>
        <w:gridCol w:w="1348"/>
        <w:gridCol w:w="196"/>
        <w:gridCol w:w="721"/>
        <w:gridCol w:w="109"/>
        <w:gridCol w:w="109"/>
        <w:gridCol w:w="109"/>
        <w:gridCol w:w="109"/>
        <w:gridCol w:w="196"/>
        <w:gridCol w:w="736"/>
        <w:gridCol w:w="109"/>
        <w:gridCol w:w="109"/>
        <w:gridCol w:w="109"/>
        <w:gridCol w:w="109"/>
        <w:gridCol w:w="196"/>
        <w:gridCol w:w="73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134,465 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(benefit) provision for income taxes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(58,807)</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231,187 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127,403 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(Benefit) provision for income taxes consisted of the following for the periods indicated:</w:t>
      </w:r>
    </w:p>
    <w:tbl>
      <w:tblPr>
        <w:tblW w:w="6312" w:type="dxa"/>
        <w:jc w:val="left"/>
        <w:tblInd w:w="0" w:type="dxa"/>
        <w:tblLayout w:type="fixed"/>
        <w:tblCellMar>
          <w:top w:w="28" w:type="dxa"/>
          <w:left w:w="28" w:type="dxa"/>
          <w:bottom w:w="28" w:type="dxa"/>
          <w:right w:w="28" w:type="dxa"/>
        </w:tblCellMar>
      </w:tblPr>
      <w:tblGrid>
        <w:gridCol w:w="971"/>
        <w:gridCol w:w="855"/>
        <w:gridCol w:w="859"/>
        <w:gridCol w:w="196"/>
        <w:gridCol w:w="721"/>
        <w:gridCol w:w="109"/>
        <w:gridCol w:w="109"/>
        <w:gridCol w:w="109"/>
        <w:gridCol w:w="109"/>
        <w:gridCol w:w="196"/>
        <w:gridCol w:w="646"/>
        <w:gridCol w:w="109"/>
        <w:gridCol w:w="109"/>
        <w:gridCol w:w="109"/>
        <w:gridCol w:w="109"/>
        <w:gridCol w:w="196"/>
        <w:gridCol w:w="64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2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provision (benefit):</w:t>
            </w:r>
          </w:p>
        </w:tc>
        <w:tc>
          <w:tcPr>
            <w:tcW w:w="102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(benefit) provision:</w:t>
            </w:r>
          </w:p>
        </w:tc>
        <w:tc>
          <w:tcPr>
            <w:tcW w:w="10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(30,337)</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(12,134)</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18,402 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34,253 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Effective Income Tax Rate</w:t>
      </w:r>
      <w:r>
        <w:rPr>
          <w:color w:val="000000"/>
        </w:rPr>
        <w:t xml:space="preserve"> </w:t>
      </w:r>
      <w:r>
        <w:rPr>
          <w:rFonts w:ascii="Times New Roman;sans-serif" w:hAnsi="Times New Roman;sans-serif"/>
          <w:b w:val="false"/>
          <w:color w:val="000000"/>
          <w:sz w:val="22"/>
        </w:rPr>
        <w:t>- The reconciliation of income taxes calculated at the United States federal tax statutory rate to the Company’s effective income tax rate is as follows for the periods indicated. Due to the pre-tax book loss for 2024, a positive percentage change for such year in the effective tax rate table reflects a favorable income tax benefit, whereas a negative percentage change in the effective tax rate table reflects an unfavorable income tax expense:</w:t>
      </w:r>
    </w:p>
    <w:tbl>
      <w:tblPr>
        <w:tblW w:w="7226" w:type="dxa"/>
        <w:jc w:val="left"/>
        <w:tblInd w:w="0" w:type="dxa"/>
        <w:tblLayout w:type="fixed"/>
        <w:tblCellMar>
          <w:top w:w="28" w:type="dxa"/>
          <w:left w:w="28" w:type="dxa"/>
          <w:bottom w:w="28" w:type="dxa"/>
          <w:right w:w="28" w:type="dxa"/>
        </w:tblCellMar>
      </w:tblPr>
      <w:tblGrid>
        <w:gridCol w:w="1496"/>
        <w:gridCol w:w="1315"/>
        <w:gridCol w:w="1328"/>
        <w:gridCol w:w="269"/>
        <w:gridCol w:w="271"/>
        <w:gridCol w:w="256"/>
        <w:gridCol w:w="109"/>
        <w:gridCol w:w="109"/>
        <w:gridCol w:w="109"/>
        <w:gridCol w:w="269"/>
        <w:gridCol w:w="271"/>
        <w:gridCol w:w="256"/>
        <w:gridCol w:w="109"/>
        <w:gridCol w:w="109"/>
        <w:gridCol w:w="109"/>
        <w:gridCol w:w="269"/>
        <w:gridCol w:w="271"/>
        <w:gridCol w:w="301"/>
      </w:tblGrid>
      <w:tr>
        <w:trPr/>
        <w:tc>
          <w:tcPr>
            <w:tcW w:w="149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63" w:name="i6810f07919fa47dd946e4996966be50a_2-0-1-"/>
            <w:bookmarkEnd w:id="63"/>
            <w:r>
              <w:rPr>
                <w:rFonts w:ascii="Times New Roman;sans-serif" w:hAnsi="Times New Roman;sans-serif"/>
                <w:b w:val="false"/>
                <w:color w:val="000000"/>
                <w:sz w:val="18"/>
              </w:rPr>
              <w:t>Income taxes at federal statutory rate</w:t>
            </w:r>
          </w:p>
        </w:tc>
        <w:tc>
          <w:tcPr>
            <w:tcW w:w="54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3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 income taxes, net of federal benefit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loss on 2025 Notes Partial Repurchases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deferred tax valuation allowances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tax rate differential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Non-deductible compensation</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non-deductible expenses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foreign tax law</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Statute expiration on foreign net operating losses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settlements and related adjustments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Employment-related credits, net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Non-taxable gains on foreign currency forward contracts</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life insurance expense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tax impact on foreign income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540"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0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(Loss) income before (benefit)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net increase in the effective income tax rate in 2024 as compared to 2023 was primarily a result of the benefit of FICA tax credits on certain tipped wages, partially offset by the 2024 non-deductible losses associated with the Second 2025 Notes Partial Repurchase, relative to the 2024 pre-tax book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net decrease in the effective income tax rate in 2023 as compared to 2022 was primarily a result of the non-deductible losses recorded during 2022 associated with the First 2025 Notes Partial Repurchase.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a blended federal and state statutory rate of approximately 26%. The effective income tax rate for 2024 was lower than the blended federal and state statutory rate primarily due to the federal and state impact of nondeductible losses associated with the Second 2025 Notes Partial Repurchase, partially offset by the FICA tax credits on certain tipped wages, relative to the 2024 pre-tax book loss.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Deferred Tax Assets and Liabilities</w:t>
      </w:r>
      <w:r>
        <w:rPr>
          <w:color w:val="000000"/>
        </w:rPr>
        <w:t xml:space="preserve"> </w:t>
      </w:r>
      <w:r>
        <w:rPr>
          <w:rFonts w:ascii="Times New Roman;sans-serif" w:hAnsi="Times New Roman;sans-serif"/>
          <w:b w:val="false"/>
          <w:color w:val="000000"/>
          <w:sz w:val="22"/>
        </w:rPr>
        <w:t>- The income tax effects of temporary differences that give rise to significant portions of deferred income tax assets and liabilities are as follows as of the periods indicated:</w:t>
      </w:r>
    </w:p>
    <w:tbl>
      <w:tblPr>
        <w:tblW w:w="7887" w:type="dxa"/>
        <w:jc w:val="left"/>
        <w:tblInd w:w="0" w:type="dxa"/>
        <w:tblLayout w:type="fixed"/>
        <w:tblCellMar>
          <w:top w:w="28" w:type="dxa"/>
          <w:left w:w="28" w:type="dxa"/>
          <w:bottom w:w="28" w:type="dxa"/>
          <w:right w:w="28" w:type="dxa"/>
        </w:tblCellMar>
      </w:tblPr>
      <w:tblGrid>
        <w:gridCol w:w="1481"/>
        <w:gridCol w:w="1304"/>
        <w:gridCol w:w="1310"/>
        <w:gridCol w:w="322"/>
        <w:gridCol w:w="1209"/>
        <w:gridCol w:w="179"/>
        <w:gridCol w:w="109"/>
        <w:gridCol w:w="109"/>
        <w:gridCol w:w="109"/>
        <w:gridCol w:w="316"/>
        <w:gridCol w:w="1190"/>
        <w:gridCol w:w="249"/>
      </w:tblGrid>
      <w:tr>
        <w:trPr/>
        <w:tc>
          <w:tcPr>
            <w:tcW w:w="148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w:t>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320,169 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319,039 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reserves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55,746 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tax credit carryforwards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177,775 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 (1)</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deferred income tax assets</w:t>
            </w:r>
          </w:p>
        </w:tc>
        <w:tc>
          <w:tcPr>
            <w:tcW w:w="153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621,228 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591,667 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(10,483)</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 of valuation allowance</w:t>
            </w:r>
          </w:p>
        </w:tc>
        <w:tc>
          <w:tcPr>
            <w:tcW w:w="153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607,521 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581,184 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w:t>
            </w:r>
          </w:p>
        </w:tc>
        <w:tc>
          <w:tcPr>
            <w:tcW w:w="171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operating lease right-of-use asset basis differences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(252,958)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(257,422)</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property, fixtures and equipment basis differences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intangible asset basis differences</w:t>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(97,656)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foreign outside basis differences</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151,700 </w:t>
            </w:r>
          </w:p>
        </w:tc>
        <w:tc>
          <w:tcPr>
            <w:tcW w:w="1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155,172 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76" w:before="0" w:after="0"/>
        <w:ind w:left="0" w:right="0" w:hanging="720"/>
        <w:jc w:val="both"/>
        <w:rPr/>
      </w:pPr>
      <w:r>
        <w:rPr>
          <w:rFonts w:ascii="Times New Roman;sans-serif" w:hAnsi="Times New Roman;sans-serif"/>
          <w:b w:val="false"/>
          <w:color w:val="000000"/>
          <w:sz w:val="18"/>
        </w:rPr>
        <w:t>(1)As of December 29, 2024 and December 31, 2023, the Company maintained deferred tax liabilities for state income taxes on historical foreign earnings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$0.3 million and $0.5 million, respectively.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December 29, 2024, valuation allowances against deferred tax assets in the U.S. and in certain foreign jurisdictions totaled $0.9 million and $12.8 million, respectively. The Company will maintain the valuation allowances in each applicable tax jurisdiction until it determines it is more likely than not the deferred tax assets will be realized. The net change in the deferred tax valuation allowance in 2024 is primarily attributable to additional net operating loss carryforwards in certain foreign jurisdictions with full valuation allowances recorded that are available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Brazil Sale Transaction, the Company no longer asserts that is it is indefinitely reinvested in its Brazil operations and has recorded a deferred tax liability of $33.8 million. The deferred tax liability is related to the financial statement carrying amount over the respective tax basis of the Company’s investment in the Brazil operations. Except for the Brazil operations, 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is not practicable due to the uncertainty of how these investments would be recovered.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the Company did not have aggregate undistributed foreign earnings from its consolidated foreign subsidiaries.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Tax Carryforwards - </w:t>
      </w:r>
      <w:r>
        <w:rPr>
          <w:rFonts w:ascii="Times New Roman;sans-serif" w:hAnsi="Times New Roman;sans-serif"/>
          <w:b w:val="false"/>
          <w:color w:val="000000"/>
          <w:sz w:val="22"/>
        </w:rPr>
        <w:t>The amount and expiration dates of tax loss carryforwards and credit carryforwards as of December 29, 2024 are as follows:</w:t>
      </w:r>
    </w:p>
    <w:tbl>
      <w:tblPr>
        <w:tblW w:w="5671" w:type="dxa"/>
        <w:jc w:val="center"/>
        <w:tblInd w:w="0" w:type="dxa"/>
        <w:tblLayout w:type="fixed"/>
        <w:tblCellMar>
          <w:top w:w="28" w:type="dxa"/>
          <w:left w:w="28" w:type="dxa"/>
          <w:bottom w:w="28" w:type="dxa"/>
          <w:right w:w="28" w:type="dxa"/>
        </w:tblCellMar>
      </w:tblPr>
      <w:tblGrid>
        <w:gridCol w:w="862"/>
        <w:gridCol w:w="760"/>
        <w:gridCol w:w="763"/>
        <w:gridCol w:w="182"/>
        <w:gridCol w:w="182"/>
        <w:gridCol w:w="182"/>
        <w:gridCol w:w="182"/>
        <w:gridCol w:w="182"/>
        <w:gridCol w:w="182"/>
        <w:gridCol w:w="305"/>
        <w:gridCol w:w="254"/>
        <w:gridCol w:w="222"/>
        <w:gridCol w:w="109"/>
        <w:gridCol w:w="109"/>
        <w:gridCol w:w="109"/>
        <w:gridCol w:w="196"/>
        <w:gridCol w:w="73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tax credit carryforwards</w:t>
            </w:r>
          </w:p>
        </w:tc>
        <w:tc>
          <w:tcPr>
            <w:tcW w:w="5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5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loss carryforwards</w:t>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credit carryforwards</w:t>
            </w:r>
          </w:p>
        </w:tc>
        <w:tc>
          <w:tcPr>
            <w:tcW w:w="187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December 29, 2024, the Company had $213.7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 as well as the Company’s inability to generate sufficient future taxable income.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Unrecognized Tax Benefits - </w:t>
      </w:r>
      <w:r>
        <w:rPr>
          <w:rFonts w:ascii="Times New Roman;sans-serif" w:hAnsi="Times New Roman;sans-serif"/>
          <w:b w:val="false"/>
          <w:color w:val="000000"/>
          <w:sz w:val="22"/>
        </w:rPr>
        <w:t>As of December 29, 2024 and December 31, 2023, the liability for unrecognized tax benefits was $17.5 million and $17.1 million, respectively. Of the total amount of unrecognized tax benefits, including accrued interest and penalties, $17.1 million and $16.6 million, respectively, if recognized, would impact the Company’s effective income tax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summarizes the activity related to the Company’s unrecognized tax benefits for the period indicated:</w:t>
      </w:r>
    </w:p>
    <w:tbl>
      <w:tblPr>
        <w:tblW w:w="5940" w:type="dxa"/>
        <w:jc w:val="left"/>
        <w:tblInd w:w="0" w:type="dxa"/>
        <w:tblLayout w:type="fixed"/>
        <w:tblCellMar>
          <w:top w:w="28" w:type="dxa"/>
          <w:left w:w="28" w:type="dxa"/>
          <w:bottom w:w="28" w:type="dxa"/>
          <w:right w:w="28" w:type="dxa"/>
        </w:tblCellMar>
      </w:tblPr>
      <w:tblGrid>
        <w:gridCol w:w="1535"/>
        <w:gridCol w:w="1352"/>
        <w:gridCol w:w="1357"/>
        <w:gridCol w:w="250"/>
        <w:gridCol w:w="826"/>
        <w:gridCol w:w="139"/>
        <w:gridCol w:w="109"/>
        <w:gridCol w:w="109"/>
        <w:gridCol w:w="109"/>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for tax positions taken during a prior period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tax positions taken during a prior period</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for tax positions taken during the current period</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Lapses in the applicable statutes of limitations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17,479 </w:t>
            </w:r>
          </w:p>
        </w:tc>
        <w:tc>
          <w:tcPr>
            <w:tcW w:w="1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had approximately $0.7 million and $0.5 million accrued for the payment of interest and penalties as of December 29, 2024 and December 31, 2023, respectively. The Company recognized immaterial interest and penalties related to uncertain tax positions in the (Benefit) provision for income taxes, for all periods presented.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$0.5 million to $1.0 million within the next 12 months.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Open Tax Years - </w:t>
      </w:r>
      <w:r>
        <w:rPr>
          <w:rFonts w:ascii="Times New Roman;sans-serif" w:hAnsi="Times New Roman;sans-serif"/>
          <w:b w:val="false"/>
          <w:color w:val="000000"/>
          <w:sz w:val="22"/>
        </w:rPr>
        <w:t>Following is a summary of the open audit years by jurisdiction as of December 29, 2024:</w:t>
      </w:r>
    </w:p>
    <w:tbl>
      <w:tblPr>
        <w:tblW w:w="3474" w:type="dxa"/>
        <w:jc w:val="center"/>
        <w:tblInd w:w="0" w:type="dxa"/>
        <w:tblLayout w:type="fixed"/>
        <w:tblCellMar>
          <w:top w:w="28" w:type="dxa"/>
          <w:left w:w="28" w:type="dxa"/>
          <w:bottom w:w="28" w:type="dxa"/>
          <w:right w:w="28" w:type="dxa"/>
        </w:tblCellMar>
      </w:tblPr>
      <w:tblGrid>
        <w:gridCol w:w="612"/>
        <w:gridCol w:w="540"/>
        <w:gridCol w:w="542"/>
        <w:gridCol w:w="189"/>
        <w:gridCol w:w="189"/>
        <w:gridCol w:w="189"/>
        <w:gridCol w:w="189"/>
        <w:gridCol w:w="189"/>
        <w:gridCol w:w="189"/>
        <w:gridCol w:w="189"/>
        <w:gridCol w:w="189"/>
        <w:gridCol w:w="268"/>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AUDIT YEARS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 federal</w:t>
            </w:r>
          </w:p>
        </w:tc>
        <w:tc>
          <w:tcPr>
            <w:tcW w:w="5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w:t>
            </w:r>
          </w:p>
        </w:tc>
        <w:tc>
          <w:tcPr>
            <w:tcW w:w="5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 state</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64" w:name="i9d9c62fbaae04165842d41c3dcd2b9d2_3-3-1-"/>
            <w:bookmarkEnd w:id="64"/>
            <w:r>
              <w:rPr>
                <w:rFonts w:ascii="Times New Roman;sans-serif" w:hAnsi="Times New Roman;sans-serif"/>
                <w:b w:val="false"/>
                <w:color w:val="000000"/>
                <w:sz w:val="18"/>
              </w:rPr>
              <w:t>2023</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18.           Commitments and Contingencies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 latest of which expires in 2032. As of December 29, 2024, the undiscounted payments the Company could be required to make in the event of non-payment by the primary lessees was approximately $10.4 million. The present value of these potential payments discounted at the Company’s incremental borrowing rate as of December 29, 2024 was approximately $8.6 million. In the event of default, the indemnity clauses in the Company’s purchase and sale agreements govern its ability to pursue and recover damages incurred. As of December 29, 2024 and December 31, 2023, the Company’s recorded contingent lease liability was $1.6 million and $5.3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Purchase Obligations - </w:t>
      </w:r>
      <w:r>
        <w:rPr>
          <w:rFonts w:ascii="Times New Roman;sans-serif" w:hAnsi="Times New Roman;sans-serif"/>
          <w:b w:val="false"/>
          <w:color w:val="000000"/>
          <w:sz w:val="22"/>
        </w:rPr>
        <w:t>Purchase obligations were $168.5 million and $165.1 million as of December 29, 2024 and December 31, 2023, respectively. These purchase obligations are primarily due within three years, however commitments with various vendors extend through December 2030. Outstanding commitments consist primarily of inventory, technology, store-level services and fixtures and equipment. In 2024, the Company purchased more than 90% of its U.S. beef raw materials from four beef suppliers that represent a significant portion of the total beef marketplace in the 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Litigation and Other Matters - </w:t>
      </w:r>
      <w:r>
        <w:rPr>
          <w:rFonts w:ascii="Times New Roman;sans-serif" w:hAnsi="Times New Roman;sans-serif"/>
          <w:b w:val="false"/>
          <w:color w:val="000000"/>
          <w:sz w:val="22"/>
        </w:rPr>
        <w:t>The Company is subject to legal proceedings, claims and liabilities, such as liquor liability, slip and fall cases, wage and hour and other employment-related litigation, which arise in the ordinary course of business. A reserve is recorded when it is both: (i) probable that a loss has occurred and (ii) the amount of loss can be reasonably estimated. The Company evaluates, on a quarterly basis, developments in legal proceedings that could cause an increase or decrease in the amount of the reserve that has been previously recorded, or a revision to the disclosed estimated range of possible losses, as applicable.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 liquidity or financial condition could be materially affected in a particular future reporting period by the unfavorable resolution of one or more matters or contingencies during such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recent years, certain subsidiaries of the Company were named in collective actions alleging violations of the Fair Labor Standards Act and state wage and hour laws. For these and other matters, the Company recorded reserves of $2.3 million and $10.5 million as of December 29, 2024 and December 31, 2023,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 During 2024, 2023 and 2022, the Company recognized $(0.9) million, $(0.2) million and $9.4 million, respectively, in Other restaurant operating expense in the Company’s Consolidated Statements of Operations and Comprehensive (Loss) Income for certain legal reserves and settlements.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Insurance - </w:t>
      </w:r>
      <w:r>
        <w:rPr>
          <w:rFonts w:ascii="Times New Roman;sans-serif" w:hAnsi="Times New Roman;sans-serif"/>
          <w:b w:val="false"/>
          <w:color w:val="000000"/>
          <w:sz w:val="22"/>
        </w:rPr>
        <w:t>As of December 29, 2024, the future undiscounted payments the Company expects for workers’ compensation, general liability and health insurance claims are as follows:</w:t>
      </w:r>
    </w:p>
    <w:tbl>
      <w:tblPr>
        <w:tblW w:w="10205" w:type="dxa"/>
        <w:jc w:val="left"/>
        <w:tblInd w:w="0" w:type="dxa"/>
        <w:tblLayout w:type="fixed"/>
        <w:tblCellMar>
          <w:top w:w="28" w:type="dxa"/>
          <w:left w:w="28" w:type="dxa"/>
          <w:bottom w:w="28" w:type="dxa"/>
          <w:right w:w="28" w:type="dxa"/>
        </w:tblCellMar>
      </w:tblPr>
      <w:tblGrid>
        <w:gridCol w:w="624"/>
        <w:gridCol w:w="452"/>
        <w:gridCol w:w="45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80"/>
        <w:gridCol w:w="794"/>
        <w:gridCol w:w="157"/>
        <w:gridCol w:w="109"/>
        <w:gridCol w:w="109"/>
        <w:gridCol w:w="109"/>
        <w:gridCol w:w="196"/>
        <w:gridCol w:w="646"/>
        <w:gridCol w:w="156"/>
      </w:tblGrid>
      <w:tr>
        <w:trPr/>
        <w:tc>
          <w:tcPr>
            <w:tcW w:w="6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Undiscounted payments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59,407 </w:t>
            </w:r>
          </w:p>
        </w:tc>
        <w:tc>
          <w:tcPr>
            <w:tcW w:w="1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reconciliation of the expected aggregate undiscounted reserves to the discounted reserves for insurance claims recognized on the Company’s Consolidated Balance Sheets as of the periods indicated:</w:t>
      </w:r>
    </w:p>
    <w:tbl>
      <w:tblPr>
        <w:tblW w:w="9640" w:type="dxa"/>
        <w:jc w:val="left"/>
        <w:tblInd w:w="0" w:type="dxa"/>
        <w:tblLayout w:type="fixed"/>
        <w:tblCellMar>
          <w:top w:w="28" w:type="dxa"/>
          <w:left w:w="28" w:type="dxa"/>
          <w:bottom w:w="28" w:type="dxa"/>
          <w:right w:w="28" w:type="dxa"/>
        </w:tblCellMar>
      </w:tblPr>
      <w:tblGrid>
        <w:gridCol w:w="2116"/>
        <w:gridCol w:w="1863"/>
        <w:gridCol w:w="1870"/>
        <w:gridCol w:w="351"/>
        <w:gridCol w:w="1161"/>
        <w:gridCol w:w="198"/>
        <w:gridCol w:w="109"/>
        <w:gridCol w:w="109"/>
        <w:gridCol w:w="109"/>
        <w:gridCol w:w="344"/>
        <w:gridCol w:w="1138"/>
        <w:gridCol w:w="272"/>
      </w:tblGrid>
      <w:tr>
        <w:trPr/>
        <w:tc>
          <w:tcPr>
            <w:tcW w:w="2116"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Undiscounted reserves</w:t>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59,407 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52,494 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(1)</w:t>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reserves</w:t>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53,046 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45,926 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Discounted reserves recognized on the Company’s Consolidated Balance Sheets: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53,046 </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45,926 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     Discount rates of 4.21% and 5.13% were used for December 29, 2024 and December 31, 2023, respectively.</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19.    </w:t>
      </w:r>
      <w:bookmarkStart w:id="65" w:name="i7590e93dfef04c30a38a291f88b23435_2097"/>
      <w:bookmarkEnd w:id="65"/>
      <w:r>
        <w:rPr>
          <w:rFonts w:ascii="Times New Roman;sans-serif" w:hAnsi="Times New Roman;sans-serif"/>
          <w:b w:val="false"/>
          <w:color w:val="000000"/>
          <w:sz w:val="22"/>
        </w:rPr>
        <w:t>Segment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considers each of its U.S. restaurant concepts and its international franchise business as operating segments, which reflects how the Company manages its business, reviews operating performance and allocates resources. All other operating segments, which include the Company’s operations in Hong Kong and China do not meet the quantitative thresholds for determining reportable operating segments.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Resources are allocated and performance is assessed by the Company’s Chief Executive Officer, whom the Company has determined to be its CODM. The Company aggregates its U.S. operating segments into a U.S. reportable segment. The U.S. segment includes all restaurants operating in the U.S. while franchised restaurants operating outside the U.S. are included in the international franchise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12 Franchise Markets</w:t>
            </w:r>
          </w:p>
        </w:tc>
      </w:tr>
      <w:tr>
        <w:trPr/>
        <w:tc>
          <w:tcPr>
            <w:tcW w:w="210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Summary of Significant Accounting Policies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Revenues for all segments include only transactions with customers and exclude intersegment revenues. Excluded from Income from operations for U.S. are certain legal and corporate costs not directly related to the performance of the segment, most stock-based compensation expenses, a portion of insurance expenses and certain bonus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Operating income is utilized by the Company’s CODM as the primary segment profit or loss measure. The Company’s CODM utilizes the segment profit or loss measures to manage the business, review operating performance and allocate resources.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revenues by segment for the periods indicated:</w:t>
      </w:r>
    </w:p>
    <w:tbl>
      <w:tblPr>
        <w:tblW w:w="6012" w:type="dxa"/>
        <w:jc w:val="center"/>
        <w:tblInd w:w="0" w:type="dxa"/>
        <w:tblLayout w:type="fixed"/>
        <w:tblCellMar>
          <w:top w:w="28" w:type="dxa"/>
          <w:left w:w="28" w:type="dxa"/>
          <w:bottom w:w="28" w:type="dxa"/>
          <w:right w:w="28" w:type="dxa"/>
        </w:tblCellMar>
      </w:tblPr>
      <w:tblGrid>
        <w:gridCol w:w="646"/>
        <w:gridCol w:w="568"/>
        <w:gridCol w:w="571"/>
        <w:gridCol w:w="196"/>
        <w:gridCol w:w="871"/>
        <w:gridCol w:w="109"/>
        <w:gridCol w:w="109"/>
        <w:gridCol w:w="109"/>
        <w:gridCol w:w="109"/>
        <w:gridCol w:w="196"/>
        <w:gridCol w:w="871"/>
        <w:gridCol w:w="109"/>
        <w:gridCol w:w="109"/>
        <w:gridCol w:w="109"/>
        <w:gridCol w:w="109"/>
        <w:gridCol w:w="196"/>
        <w:gridCol w:w="871"/>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3,896,624 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4,095,123 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3,948,072 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revenues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3,950,475 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4,168,160 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4,009,250 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revenues related to the Company’s Hong Kong and China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segment operating income and significant segment expense information for the periods indicated:</w:t>
      </w:r>
    </w:p>
    <w:tbl>
      <w:tblPr>
        <w:tblW w:w="7061" w:type="dxa"/>
        <w:jc w:val="left"/>
        <w:tblInd w:w="0" w:type="dxa"/>
        <w:tblLayout w:type="fixed"/>
        <w:tblCellMar>
          <w:top w:w="28" w:type="dxa"/>
          <w:left w:w="28" w:type="dxa"/>
          <w:bottom w:w="28" w:type="dxa"/>
          <w:right w:w="28" w:type="dxa"/>
        </w:tblCellMar>
      </w:tblPr>
      <w:tblGrid>
        <w:gridCol w:w="1025"/>
        <w:gridCol w:w="903"/>
        <w:gridCol w:w="906"/>
        <w:gridCol w:w="196"/>
        <w:gridCol w:w="871"/>
        <w:gridCol w:w="109"/>
        <w:gridCol w:w="109"/>
        <w:gridCol w:w="109"/>
        <w:gridCol w:w="109"/>
        <w:gridCol w:w="196"/>
        <w:gridCol w:w="871"/>
        <w:gridCol w:w="109"/>
        <w:gridCol w:w="109"/>
        <w:gridCol w:w="109"/>
        <w:gridCol w:w="109"/>
        <w:gridCol w:w="196"/>
        <w:gridCol w:w="87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U.S.</w:t>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3,607,084 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3,676,065 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3,504,010 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250,050 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377,534 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407,860 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51" w:type="dxa"/>
            <w:gridSpan w:val="12"/>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International Franchise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37,961 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39,207 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051" w:type="dxa"/>
            <w:gridSpan w:val="12"/>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segment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3,896,624 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3,948,072 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288,011 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416,741 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442,076 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depreciation and amortization, general and administrative and impairment expense.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amortization and general and administrative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(Loss) income before (benefit) provision for income taxes for the periods indicated:</w:t>
      </w:r>
    </w:p>
    <w:tbl>
      <w:tblPr>
        <w:tblW w:w="8036" w:type="dxa"/>
        <w:jc w:val="left"/>
        <w:tblInd w:w="0" w:type="dxa"/>
        <w:tblLayout w:type="fixed"/>
        <w:tblCellMar>
          <w:top w:w="28" w:type="dxa"/>
          <w:left w:w="28" w:type="dxa"/>
          <w:bottom w:w="28" w:type="dxa"/>
          <w:right w:w="28" w:type="dxa"/>
        </w:tblCellMar>
      </w:tblPr>
      <w:tblGrid>
        <w:gridCol w:w="1524"/>
        <w:gridCol w:w="1342"/>
        <w:gridCol w:w="1348"/>
        <w:gridCol w:w="196"/>
        <w:gridCol w:w="736"/>
        <w:gridCol w:w="109"/>
        <w:gridCol w:w="109"/>
        <w:gridCol w:w="109"/>
        <w:gridCol w:w="109"/>
        <w:gridCol w:w="196"/>
        <w:gridCol w:w="736"/>
        <w:gridCol w:w="109"/>
        <w:gridCol w:w="109"/>
        <w:gridCol w:w="109"/>
        <w:gridCol w:w="109"/>
        <w:gridCol w:w="196"/>
        <w:gridCol w:w="73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288,011 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416,741 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442,076 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(loss) income from operations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282,769 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306,082 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fair value adjustment of derivatives,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(benefit) provision for income taxes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(58,807)</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231,187 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127,403 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net (loss) income from operations related to the Company’s Hong Kong and China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Depreciation and amortization expense by segment for the periods indicated:</w:t>
      </w:r>
    </w:p>
    <w:tbl>
      <w:tblPr>
        <w:tblW w:w="7047" w:type="dxa"/>
        <w:jc w:val="center"/>
        <w:tblInd w:w="0" w:type="dxa"/>
        <w:tblLayout w:type="fixed"/>
        <w:tblCellMar>
          <w:top w:w="28" w:type="dxa"/>
          <w:left w:w="28" w:type="dxa"/>
          <w:bottom w:w="28" w:type="dxa"/>
          <w:right w:w="28" w:type="dxa"/>
        </w:tblCellMar>
      </w:tblPr>
      <w:tblGrid>
        <w:gridCol w:w="1166"/>
        <w:gridCol w:w="1027"/>
        <w:gridCol w:w="1032"/>
        <w:gridCol w:w="196"/>
        <w:gridCol w:w="736"/>
        <w:gridCol w:w="109"/>
        <w:gridCol w:w="109"/>
        <w:gridCol w:w="109"/>
        <w:gridCol w:w="109"/>
        <w:gridCol w:w="196"/>
        <w:gridCol w:w="736"/>
        <w:gridCol w:w="109"/>
        <w:gridCol w:w="109"/>
        <w:gridCol w:w="109"/>
        <w:gridCol w:w="109"/>
        <w:gridCol w:w="196"/>
        <w:gridCol w:w="736"/>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depreciation and amortization</w:t>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165,140 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158,130 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139,284 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 and amortization</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175,580 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169,266 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149,900 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capital expenditures by segment for the periods indicated:</w:t>
      </w:r>
    </w:p>
    <w:tbl>
      <w:tblPr>
        <w:tblW w:w="5742" w:type="dxa"/>
        <w:jc w:val="center"/>
        <w:tblInd w:w="0" w:type="dxa"/>
        <w:tblLayout w:type="fixed"/>
        <w:tblCellMar>
          <w:top w:w="28" w:type="dxa"/>
          <w:left w:w="28" w:type="dxa"/>
          <w:bottom w:w="28" w:type="dxa"/>
          <w:right w:w="28" w:type="dxa"/>
        </w:tblCellMar>
      </w:tblPr>
      <w:tblGrid>
        <w:gridCol w:w="694"/>
        <w:gridCol w:w="612"/>
        <w:gridCol w:w="614"/>
        <w:gridCol w:w="196"/>
        <w:gridCol w:w="736"/>
        <w:gridCol w:w="109"/>
        <w:gridCol w:w="109"/>
        <w:gridCol w:w="109"/>
        <w:gridCol w:w="109"/>
        <w:gridCol w:w="196"/>
        <w:gridCol w:w="736"/>
        <w:gridCol w:w="109"/>
        <w:gridCol w:w="109"/>
        <w:gridCol w:w="109"/>
        <w:gridCol w:w="109"/>
        <w:gridCol w:w="196"/>
        <w:gridCol w:w="736"/>
        <w:gridCol w:w="154"/>
      </w:tblGrid>
      <w:tr>
        <w:trPr/>
        <w:tc>
          <w:tcPr>
            <w:tcW w:w="69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capital expenditures</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256,152 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334,163 </w:t>
            </w:r>
          </w:p>
        </w:tc>
        <w:tc>
          <w:tcPr>
            <w:tcW w:w="1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236,519 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Total assets by segment as of the periods indicated:</w:t>
      </w:r>
    </w:p>
    <w:tbl>
      <w:tblPr>
        <w:tblW w:w="7335" w:type="dxa"/>
        <w:jc w:val="center"/>
        <w:tblInd w:w="0" w:type="dxa"/>
        <w:tblLayout w:type="fixed"/>
        <w:tblCellMar>
          <w:top w:w="28" w:type="dxa"/>
          <w:left w:w="28" w:type="dxa"/>
          <w:bottom w:w="28" w:type="dxa"/>
          <w:right w:w="28" w:type="dxa"/>
        </w:tblCellMar>
      </w:tblPr>
      <w:tblGrid>
        <w:gridCol w:w="1242"/>
        <w:gridCol w:w="1094"/>
        <w:gridCol w:w="1098"/>
        <w:gridCol w:w="285"/>
        <w:gridCol w:w="1267"/>
        <w:gridCol w:w="158"/>
        <w:gridCol w:w="109"/>
        <w:gridCol w:w="109"/>
        <w:gridCol w:w="109"/>
        <w:gridCol w:w="285"/>
        <w:gridCol w:w="1267"/>
        <w:gridCol w:w="15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2,703,751 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assets</w:t>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2,838,493 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2,807,296 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of discontinued operations held for sale</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3,424,081 </w:t>
            </w:r>
          </w:p>
        </w:tc>
        <w:tc>
          <w:tcPr>
            <w:tcW w:w="1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 Continued</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2"/>
        </w:rPr>
        <w:t>Geographic areas</w:t>
      </w:r>
      <w:r>
        <w:rPr>
          <w:color w:val="000000"/>
        </w:rPr>
        <w:t xml:space="preserve"> — </w:t>
      </w:r>
      <w:r>
        <w:rPr>
          <w:rFonts w:ascii="Times New Roman;sans-serif" w:hAnsi="Times New Roman;sans-serif"/>
          <w:b w:val="false"/>
          <w:color w:val="000000"/>
          <w:sz w:val="22"/>
        </w:rPr>
        <w:t>International assets are defined as assets residing in a country other than the U.S. The following table details long-lived assets, excluding goodwill, operating lease right-of-use assets, intangible assets and deferred tax assets, by major geographic area as of the period</w:t>
      </w:r>
      <w:bookmarkStart w:id="66" w:name="i951ad2a370824161b1fa0db588026907_324"/>
      <w:bookmarkEnd w:id="66"/>
      <w:r>
        <w:rPr>
          <w:rFonts w:ascii="Times New Roman;sans-serif" w:hAnsi="Times New Roman;sans-serif"/>
          <w:b w:val="false"/>
          <w:color w:val="000000"/>
          <w:sz w:val="22"/>
        </w:rPr>
        <w:t>s indicated:</w:t>
      </w:r>
    </w:p>
    <w:tbl>
      <w:tblPr>
        <w:tblW w:w="5502" w:type="dxa"/>
        <w:jc w:val="center"/>
        <w:tblInd w:w="0" w:type="dxa"/>
        <w:tblLayout w:type="fixed"/>
        <w:tblCellMar>
          <w:top w:w="28" w:type="dxa"/>
          <w:left w:w="28" w:type="dxa"/>
          <w:bottom w:w="28" w:type="dxa"/>
          <w:right w:w="28" w:type="dxa"/>
        </w:tblCellMar>
      </w:tblPr>
      <w:tblGrid>
        <w:gridCol w:w="618"/>
        <w:gridCol w:w="545"/>
        <w:gridCol w:w="547"/>
        <w:gridCol w:w="285"/>
        <w:gridCol w:w="1267"/>
        <w:gridCol w:w="158"/>
        <w:gridCol w:w="109"/>
        <w:gridCol w:w="109"/>
        <w:gridCol w:w="109"/>
        <w:gridCol w:w="316"/>
        <w:gridCol w:w="1190"/>
        <w:gridCol w:w="249"/>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1,018,309 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980,731 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28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1,022,992 </w:t>
            </w:r>
          </w:p>
        </w:tc>
        <w:tc>
          <w:tcPr>
            <w:tcW w:w="1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988,255 </w:t>
            </w:r>
          </w:p>
        </w:tc>
        <w:tc>
          <w:tcPr>
            <w:tcW w:w="2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20.    Selected Quarterly Financial </w:t>
      </w:r>
      <w:bookmarkStart w:id="67" w:name="ief9da93e86e24b478871f4306b1b1a05_5648"/>
      <w:bookmarkEnd w:id="67"/>
      <w:r>
        <w:rPr>
          <w:rFonts w:ascii="Times New Roman;sans-serif" w:hAnsi="Times New Roman;sans-serif"/>
          <w:b w:val="false"/>
          <w:color w:val="000000"/>
          <w:sz w:val="22"/>
        </w:rPr>
        <w:t>Data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3"/>
        <w:gridCol w:w="998"/>
        <w:gridCol w:w="1001"/>
        <w:gridCol w:w="196"/>
        <w:gridCol w:w="871"/>
        <w:gridCol w:w="109"/>
        <w:gridCol w:w="109"/>
        <w:gridCol w:w="109"/>
        <w:gridCol w:w="109"/>
        <w:gridCol w:w="196"/>
        <w:gridCol w:w="739"/>
        <w:gridCol w:w="109"/>
        <w:gridCol w:w="109"/>
        <w:gridCol w:w="109"/>
        <w:gridCol w:w="109"/>
        <w:gridCol w:w="196"/>
        <w:gridCol w:w="736"/>
        <w:gridCol w:w="109"/>
        <w:gridCol w:w="109"/>
        <w:gridCol w:w="109"/>
        <w:gridCol w:w="109"/>
        <w:gridCol w:w="199"/>
        <w:gridCol w:w="749"/>
        <w:gridCol w:w="110"/>
        <w:gridCol w:w="109"/>
        <w:gridCol w:w="109"/>
        <w:gridCol w:w="109"/>
        <w:gridCol w:w="229"/>
        <w:gridCol w:w="1021"/>
        <w:gridCol w:w="186"/>
      </w:tblGrid>
      <w:tr>
        <w:trPr/>
        <w:tc>
          <w:tcPr>
            <w:tcW w:w="114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FISCAL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2024</w:t>
            </w:r>
          </w:p>
        </w:tc>
      </w:tr>
      <w:tr>
        <w:trPr/>
        <w:tc>
          <w:tcPr>
            <w:tcW w:w="3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1,069,073 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999,369 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910,013 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972,020 </w:t>
            </w:r>
          </w:p>
        </w:tc>
        <w:tc>
          <w:tcPr>
            <w:tcW w:w="11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3,950,475 </w:t>
            </w:r>
          </w:p>
        </w:tc>
        <w:tc>
          <w:tcPr>
            <w:tcW w:w="18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continuing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(46,673)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continuing operations attributable to Bloomin’ Brands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earnings per share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9"/>
        <w:gridCol w:w="907"/>
        <w:gridCol w:w="910"/>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235"/>
        <w:gridCol w:w="1048"/>
        <w:gridCol w:w="189"/>
      </w:tblGrid>
      <w:tr>
        <w:trPr/>
        <w:tc>
          <w:tcPr>
            <w:tcW w:w="103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 FISCAL 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2023</w:t>
            </w:r>
          </w:p>
        </w:tc>
      </w:tr>
      <w:tr>
        <w:trPr/>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1,122,066 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1,032,755 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941,625 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1,071,714 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4,168,160 </w:t>
            </w:r>
          </w:p>
        </w:tc>
        <w:tc>
          <w:tcPr>
            <w:tcW w:w="18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continuing operations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continuing attributable to Bloomin’ Brands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from continuing operations: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____________________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(1)Income from operations in the first, second, third and fourth quarters include expense of $13.0 million, $16.2 million, $5.1 million and $30.6 million, respectively, primarily related to asset impairment, closure costs and severance in connection with the 2023 Restaurant Closures, the closure of nine Hong Kong restaurants and the Q4 2024 Restaurant Impairment. Net loss in the first quarter includes losses in connection with the Second 2025 Notes Partial Repurchase. </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(2)Total revenues includes $83.5 million for the 53rd week. Income from operations includes expense of $32.4 million, primarily related to asset impairments, closure costs and severance partially offset by lease remeasurement gains in connection with the 2023 Restaurant Closures. Includes $0.15 of additional diluted earnings per share from a 53</w:t>
      </w:r>
      <w:r>
        <w:rPr>
          <w:rFonts w:ascii="Times New Roman;sans-serif" w:hAnsi="Times New Roman;sans-serif"/>
          <w:b w:val="false"/>
          <w:color w:val="000000"/>
          <w:sz w:val="12"/>
        </w:rPr>
        <w:t>rd</w:t>
      </w:r>
      <w:bookmarkStart w:id="68" w:name="ief9da93e86e24b478871f4306b1b1a05_5755"/>
      <w:bookmarkEnd w:id="68"/>
      <w:r>
        <w:rPr>
          <w:color w:val="000000"/>
        </w:rPr>
        <w:t xml:space="preserve"> </w:t>
      </w:r>
      <w:r>
        <w:rPr>
          <w:rFonts w:ascii="Times New Roman;sans-serif" w:hAnsi="Times New Roman;sans-serif"/>
          <w:b w:val="false"/>
          <w:color w:val="000000"/>
          <w:sz w:val="18"/>
        </w:rPr>
        <w:t>opera</w:t>
      </w:r>
      <w:bookmarkStart w:id="69" w:name="ief9da93e86e24b478871f4306b1b1a05_5647"/>
      <w:bookmarkEnd w:id="69"/>
      <w:r>
        <w:rPr>
          <w:rFonts w:ascii="Times New Roman;sans-serif" w:hAnsi="Times New Roman;sans-serif"/>
          <w:b w:val="false"/>
          <w:color w:val="000000"/>
          <w:sz w:val="18"/>
        </w:rPr>
        <w:t>ting week.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9. Changes in and Disagreements with Accountants on Accounting and Financial Disclosure</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9A. Controls and Procedures</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December 29,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Management’s Annual Report on Internal Control over Financial Reporting</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our most recent quarter ended December 29, 2024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9B.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Rule 10b5-1 Trading Plans - </w:t>
      </w:r>
      <w:r>
        <w:rPr>
          <w:rFonts w:ascii="Times New Roman;sans-serif" w:hAnsi="Times New Roman;sans-serif"/>
          <w:b w:val="false"/>
          <w:color w:val="000000"/>
          <w:sz w:val="22"/>
        </w:rPr>
        <w:t>During the thirteen weeks ended December 29, 2024, 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9C. Disclosure Regarding Foreign Jurisdictions that Prevent Inspections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PART III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required by this item relating to our directors and nominees will be included under the captions “Proposal No. 1: Election of Directors—Nominees for Election at this Annual Meeting” in our definitive Proxy Statement for the 2025 Annual Meeting of Stockholders (“Definitive Proxy Statement”) and is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relating to our executive officers is included under the caption “Information About Our Executive Officers” in Part I of this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intend to satisfy any disclosure requirement under Item 5.05 of Form 8-K regarding an amendment to, or waiver from, a provision of this code of ethics by posting such information on our website, on the Governance Documents webpage, as specified above.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required by this item regarding our Audit Committee and Audit Committee Financial Expert will be included under the caption “Proposal No. 1: Election of Directors—Board Committees and Meetings” in our Definitive Proxy Statement and is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have adopted an Insider Trading Policy governing the purchase, sale and other disposition of our securities by directors, officers, and employees that is designed to promote compliance with insider trading laws, rules and regulations, and applicable listing standards, as well as procedures designed to further the foregoing purposes. While the Company does not have a formal written policy governing the purchase, sale, and/or any other dispositions of its securities by the Company, the Company has developed procedures that are designed to promote compliance with insider trading laws, rules and regulations with respect to the Company’s share repurchase program.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 copy of our Insider Trading Policy is filed with this Annual Report on Form 10-K as Exhibit 19.1.</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Item 11. Executive Compensation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required by this item will be included under the captions “Proposal No. 1: Election of Directors—Director Compensation” and “Executive Compensation and Related Information” in our Definitive Proxy Statement and, except for the information under the caption “Pay vs. Performance”, is incorporated herein by reference.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Item 12. Security Ownership of Certain Beneficial Owners and Management and Related Stockholder Matters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information required by this item will be included under the caption “Ownership of Securities” in our Definitive Proxy Statement and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relating to securities authorized for issuance under equity compensation plans is included under the caption “Securities Authorized for Issuance Under Equity Compensation Plans” in Item 5 of this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13. Certain Relationships and Related Transactions, and Director Independence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 1: Election of Directors—Independent Directors,” in each case in our Definitive Proxy Statement,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2"/>
        </w:rPr>
      </w:pPr>
      <w:r>
        <w:rPr>
          <w:rFonts w:ascii="Times New Roman;sans-serif" w:hAnsi="Times New Roman;sans-serif"/>
          <w:b/>
          <w:color w:val="000000"/>
          <w:sz w:val="22"/>
        </w:rPr>
        <w:t>Item 14. Principal Accounting Fees and Services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information required by this item will be included under the captions “Proposal No. 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PART IV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15. Exhibits and Financial Statement Schedules</w:t>
      </w:r>
    </w:p>
    <w:p>
      <w:pPr>
        <w:pStyle w:val="TextBody"/>
        <w:bidi w:val="0"/>
        <w:spacing w:lineRule="auto" w:line="288" w:before="180" w:after="283"/>
        <w:jc w:val="left"/>
        <w:rPr/>
      </w:pPr>
      <w:r>
        <w:rPr>
          <w:rFonts w:ascii="Times New Roman;sans-serif" w:hAnsi="Times New Roman;sans-serif"/>
          <w:b w:val="false"/>
          <w:color w:val="000000"/>
          <w:sz w:val="20"/>
        </w:rPr>
        <w:t xml:space="preserve">(a)(1) </w:t>
      </w:r>
      <w:r>
        <w:rPr>
          <w:rFonts w:ascii="Times New Roman;sans-serif" w:hAnsi="Times New Roman;sans-serif"/>
          <w:b w:val="false"/>
          <w:color w:val="000000"/>
          <w:sz w:val="22"/>
        </w:rPr>
        <w:t>LISTING OF FINANCIAL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consolidated financial statements of the Company and subsidiaries are included in Item 8 of this Report: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Consolidated Balance Sheets – December 29, 2024 and December 31, 2023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Consolidated Statements of Operations and Comprehensive (Loss) Income – Fiscal years 2024, 2023 and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Consolidated Statements of Changes in Stockholders’ Equity – Fiscal years 2024, 2023 and 2022</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 xml:space="preserve">Consolidated Statements of Cash Flows – Fiscal years 2024, 2023 and 2022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(a)(2) 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pStyle w:val="TextBody"/>
        <w:bidi w:val="0"/>
        <w:spacing w:lineRule="auto" w:line="288" w:before="18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(a)(3) EXHIBITS</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925"/>
        <w:gridCol w:w="1776"/>
        <w:gridCol w:w="1780"/>
        <w:gridCol w:w="109"/>
        <w:gridCol w:w="109"/>
        <w:gridCol w:w="109"/>
        <w:gridCol w:w="944"/>
        <w:gridCol w:w="944"/>
        <w:gridCol w:w="134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FILINGS REFERENCED FOR</w:t>
              <w:br/>
              <w:t xml:space="preserve"> INCORPORATION BY REFERENCE </w:t>
            </w:r>
          </w:p>
        </w:tc>
      </w:tr>
      <w:tr>
        <w:trPr/>
        <w:tc>
          <w:tcPr>
            <w:tcW w:w="8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2"/>
                  <w:u w:val="single"/>
                </w:rPr>
                <w:t>Fifth Amended and Restated Certificate of Incorporation of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2"/>
                  <w:u w:val="single"/>
                </w:rPr>
                <w:t>Fourth Amended and Restated Bylaws of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19, 2023, Form 8-K, Exhibit 3.2</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2"/>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No. 4 to Registration Statement on Form S-1, File No. 333-180615, filed on July 18, 2012,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2"/>
                  <w:u w:val="single"/>
                </w:rPr>
                <w:t>Description of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26, 2023, Form 10-Q,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2"/>
                  <w:u w:val="single"/>
                </w:rPr>
                <w:t>Indenture, dated as of May 8, 2020, between Bloomin’ Brands, Inc. and Wells Fargo Bank,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11, 2020, Form 8-K,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2"/>
                  <w:u w:val="single"/>
                </w:rPr>
                <w:t>Form of 5.00% Convertible Senior Notes due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11, 2020, Form 8-K, Included as Exhibit A to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ans-serif" w:hAnsi="Times New Roman;sans-serif"/>
                  <w:b w:val="false"/>
                  <w:color w:val="0000FF"/>
                  <w:sz w:val="22"/>
                  <w:u w:val="single"/>
                </w:rPr>
                <w:t>Indenture, dated as of April 16, 2021, by and among Bloomin’ Brands, Inc., OSI Restaurant Partners, LLC, the guarantors party thereto, and Wells Fargo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20, 2021, Form 8-K,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2"/>
                <w:u w:val="single"/>
                <w:b w:val="false"/>
                <w:rFonts w:ascii="Times New Roman;sans-serif" w:hAnsi="Times New Roman;sans-serif"/>
                <w:color w:val="0000FF"/>
              </w:rPr>
              <w:instrText xml:space="preserve"> HYPERLINK "https://www.sec.gov/Archives/edgar/data/1546417/000119312521122784/d138233dex41.htm" \l "tx138233_100"</w:instrText>
            </w:r>
            <w:r>
              <w:rPr>
                <w:rStyle w:val="InternetLink"/>
                <w:sz w:val="22"/>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2"/>
                <w:u w:val="single"/>
              </w:rPr>
              <w:t>Form of 5.125% Senior Notes due 2029</w:t>
            </w:r>
            <w:r>
              <w:rPr>
                <w:rStyle w:val="InternetLink"/>
                <w:sz w:val="22"/>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20, 2021, Form 8-K, Included as Exhibit A to Exhibit 4.1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2"/>
                  <w:u w:val="single"/>
                </w:rPr>
                <w:t>Third Amended and Restated Credit Agreement, dated September 19, 2024, by and among Bloomin’ Brands, Inc., OSI Restaurant Partners, LLC. the guarantors party thereto, the lenders party thereto, and Wells Fargo Bank, National Association,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September 24, 2024, Form 8-K,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tbl>
      <w:tblPr>
        <w:tblW w:w="10205" w:type="dxa"/>
        <w:jc w:val="left"/>
        <w:tblInd w:w="0" w:type="dxa"/>
        <w:tblLayout w:type="fixed"/>
        <w:tblCellMar>
          <w:top w:w="28" w:type="dxa"/>
          <w:left w:w="28" w:type="dxa"/>
          <w:bottom w:w="28" w:type="dxa"/>
          <w:right w:w="28" w:type="dxa"/>
        </w:tblCellMar>
      </w:tblPr>
      <w:tblGrid>
        <w:gridCol w:w="307"/>
        <w:gridCol w:w="271"/>
        <w:gridCol w:w="272"/>
        <w:gridCol w:w="109"/>
        <w:gridCol w:w="109"/>
        <w:gridCol w:w="109"/>
        <w:gridCol w:w="1980"/>
        <w:gridCol w:w="1696"/>
        <w:gridCol w:w="1700"/>
        <w:gridCol w:w="109"/>
        <w:gridCol w:w="109"/>
        <w:gridCol w:w="109"/>
        <w:gridCol w:w="971"/>
        <w:gridCol w:w="971"/>
        <w:gridCol w:w="1383"/>
      </w:tblGrid>
      <w:tr>
        <w:trPr/>
        <w:tc>
          <w:tcPr>
            <w:tcW w:w="3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FILINGS REFERENCED FOR</w:t>
              <w:br/>
              <w:t xml:space="preserve"> INCORPORATION BY REFERENCE </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2"/>
                  <w:u w:val="single"/>
                </w:rPr>
                <w:t>Shareholders Agreement, dated December 30, 2024, by and among Bloom Group Holdings, B.V., Bold Hospitality Company, S.A., Outback Steakhouse Restaurantes Brasil S.A., and Osaka Participações Societárias S.A.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2024, Form 8-K, Exhibit 10.2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2"/>
                  <w:u w:val="single"/>
                </w:rPr>
                <w:t xml:space="preserve">Amended and Restated Operating Agreement for OSI/Fleming’s, LLC made as of June 4, 2010 by and among OS Prime, LLC, a wholly-owned subsidiary of OSI Restaurant Partners, LLC, FPSH Limited Partnership and AWA III Steakhouses, Inc.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Registration Statement on Form S-1, File No. 333-180615, filed on April 6, 2012, Exhibit 10.8</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2"/>
                  <w:u w:val="single"/>
                </w:rPr>
                <w:t>Quota Purchase Agreement and Other Covenants, dated November 6, 2024, by and among Bloom Group Holdings, B.V., Bloom Participações Ltda., Outback Steakhouse Restaurantes Brasil S.A., and Osaka Participações Societárias S.A.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8, 2024, Form 8-K, Exhibit 10.1</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2"/>
                  <w:u w:val="single"/>
                </w:rPr>
                <w:t>OSI Restaurant Partners, LLC HCE Deferred Compensation Plan effective October 1, 2007,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2023, Form 10-K, Exhibit 10.5</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2"/>
                  <w:u w:val="single"/>
                </w:rPr>
                <w:t xml:space="preserve">Bloomin’ Brands, Inc. 2012 Incentive Award Plan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No. 4 to Registration Statement on Form S-1, File No. 333-180615, filed on July 18, 2012, Exhibit 10.2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18">
              <w:r>
                <w:rPr>
                  <w:rStyle w:val="InternetLink"/>
                  <w:rFonts w:ascii="Times New Roman;sans-serif" w:hAnsi="Times New Roman;sans-serif"/>
                  <w:b w:val="false"/>
                  <w:color w:val="0000FF"/>
                  <w:sz w:val="22"/>
                  <w:u w:val="single"/>
                </w:rPr>
                <w:t>Form of Nonqualified Stock Option Award Agreement for options granted under the Bloomin’ Brands, Inc. 2012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2"/>
              </w:rPr>
            </w:pPr>
            <w:r>
              <w:rPr>
                <w:rFonts w:ascii="Times New Roman;sans-serif" w:hAnsi="Times New Roman;sans-serif"/>
                <w:b w:val="false"/>
                <w:color w:val="000000"/>
                <w:sz w:val="22"/>
              </w:rPr>
              <w:t>December 7, 2012, Form 8-K, Exhibit 10.2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2"/>
                  <w:u w:val="single"/>
                </w:rPr>
                <w:t>Form of Bloomin’ Brands, Inc. Indemnification Agreement by and between Bloomin’ Brands, Inc. and each member of its Board of Directors and each of its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 No. 4 to Registration Statement on Form S-1, File No. 333-180615, filed on July 18, 2012, Exhibit 10.39</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2"/>
                  <w:u w:val="single"/>
                </w:rPr>
                <w:t>Bloomin’ Brands, Inc. 2016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11, 2016, Definitive Proxy Statement</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2"/>
                  <w:u w:val="single"/>
                </w:rPr>
                <w:t>Form of Nonqualified Stock Option Award Agreement for options granted to executive management under the Bloomin’ Brands, Inc. 2016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26, 2016, Form 10-Q, Exhibit 10.2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2"/>
                  <w:u w:val="single"/>
                </w:rPr>
                <w:t>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April 9, 2020, Definitive Proxy Statement</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2"/>
                  <w:u w:val="single"/>
                </w:rPr>
                <w:t>Form of Restricted Stock Unit Award Agreement for restricted stock granted to directors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29, 2020, Form 8-K, Exhibit 10.2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2"/>
                  <w:u w:val="single"/>
                </w:rPr>
                <w:t>Form of Nonqualified Stock Option Award Agreement for options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29, 2020, Form 8-K, Exhibit 10.3</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2"/>
                  <w:u w:val="single"/>
                </w:rPr>
                <w:t>Form of Restricted Stock Unit Award Agreement for restricted stock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29, 2020, Form 8-K, Exhibit 10.4</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2"/>
                  <w:u w:val="single"/>
                </w:rPr>
                <w:t>Form of Performance Award Agreement for performance units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29, 2020, Form 8-K, Exhibit 10.5</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2"/>
                  <w:u w:val="single"/>
                </w:rPr>
                <w:t>Form of Restricted Cash Award Agreement for cash awards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29, 2020, Form 8-K, Exhibit 10.6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tbl>
      <w:tblPr>
        <w:tblW w:w="10205" w:type="dxa"/>
        <w:jc w:val="left"/>
        <w:tblInd w:w="0" w:type="dxa"/>
        <w:tblLayout w:type="fixed"/>
        <w:tblCellMar>
          <w:top w:w="28" w:type="dxa"/>
          <w:left w:w="28" w:type="dxa"/>
          <w:bottom w:w="28" w:type="dxa"/>
          <w:right w:w="28" w:type="dxa"/>
        </w:tblCellMar>
      </w:tblPr>
      <w:tblGrid>
        <w:gridCol w:w="309"/>
        <w:gridCol w:w="272"/>
        <w:gridCol w:w="273"/>
        <w:gridCol w:w="109"/>
        <w:gridCol w:w="109"/>
        <w:gridCol w:w="109"/>
        <w:gridCol w:w="2200"/>
        <w:gridCol w:w="2044"/>
        <w:gridCol w:w="2049"/>
        <w:gridCol w:w="109"/>
        <w:gridCol w:w="109"/>
        <w:gridCol w:w="109"/>
        <w:gridCol w:w="702"/>
        <w:gridCol w:w="702"/>
        <w:gridCol w:w="1000"/>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FILINGS REFERENCED FOR</w:t>
              <w:br/>
              <w:t xml:space="preserve"> INCORPORATION BY REFERENCE </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2"/>
                  <w:u w:val="single"/>
                </w:rPr>
                <w:t>Amended Form of Performance Award Agreement for performance units granted to executive management under the Bloomin’ Brands, Inc. 2020 Omnibus Incentive Compensation Plan</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27, 2020, Form 10-K, Exhibit 10.48</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2"/>
                  <w:u w:val="single"/>
                </w:rPr>
                <w:t>Amended Form of Performance Award Agreement with adapted service criteria for performance units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27, 2020, Form 10-K, Exhibit 10.49</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2"/>
                  <w:u w:val="single"/>
                </w:rPr>
                <w:t>Form of Restricted Stock Unit Award Agreement with adapted service criteria for restricted stock units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27, 2020, Form 10-K, Exhibit 10.50</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2"/>
                  <w:u w:val="single"/>
                </w:rPr>
                <w:t>Form of Restricted Stock Unit Retention Award Agreement for restricted stock granted to executive management under the Bloomin’ Brands, Inc. 2020 Omnibus Incentive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August 7, 2024, Form 10-Q, Exhibit 10.2</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32">
              <w:r>
                <w:rPr>
                  <w:rStyle w:val="InternetLink"/>
                  <w:rFonts w:ascii="Times New Roman;sans-serif" w:hAnsi="Times New Roman;sans-serif"/>
                  <w:b w:val="false"/>
                  <w:color w:val="0000FF"/>
                  <w:sz w:val="22"/>
                  <w:u w:val="single"/>
                </w:rPr>
                <w:t xml:space="preserve">Bloomin’ Brands, Inc. Executive Change in Control Plan, effective December 6, 2012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2"/>
              </w:rPr>
            </w:pPr>
            <w:r>
              <w:rPr>
                <w:rFonts w:ascii="Times New Roman;sans-serif" w:hAnsi="Times New Roman;sans-serif"/>
                <w:b w:val="false"/>
                <w:color w:val="000000"/>
                <w:sz w:val="22"/>
              </w:rPr>
              <w:t>December 7, 2012, Form 8-K, Exhibit 10.1</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2"/>
                  <w:u w:val="single"/>
                </w:rPr>
                <w:t>Amended and Restated Severance Pay Plan for Salaried Employees L-8/Vice President and Above effective October 21,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October 24, 2024, Form 8-K, Exhibit 10.1</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2"/>
                  <w:u w:val="single"/>
                </w:rPr>
                <w:t>Amended and Restated Officer Employment Agreement, effective April 1, 2019, by and between David J. Deno and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31, 2019, Form 10-Q, Exhibit 10.3</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2"/>
                  <w:u w:val="single"/>
                </w:rPr>
                <w:t>Employment Offer Letter Agreement, dated as of March 7, 2019, between Bloomin’ Brands, Inc. and Christopher Meyer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31, 2019, Form 10-Q, Exhibit 10.4</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2"/>
                  <w:u w:val="single"/>
                </w:rPr>
                <w:t>Employment Offer Letter Agreement, dated as of May 1, 2019, between Kelly Lefferts and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June 30, 2019, Form 10-Q, Exhibit 10.4</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2"/>
                  <w:u w:val="single"/>
                </w:rPr>
                <w:t>Amendment to Officer Employment Agreement, dated as of April 6, 2020, between Bloomin’ Brands, Inc. and David J. Deno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March 29, 2020, Form 10-Q, Exhibit 10.4</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2"/>
                  <w:u w:val="single"/>
                </w:rPr>
                <w:t>Second Amendment to Officer Employment Agreement, dated as of February 21, 2022, between Bloomin’ Brands, Inc. and David J. Deno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26, 2021, Form 10-K, Exhibit 10.48</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2"/>
                  <w:u w:val="single"/>
                </w:rPr>
                <w:t>Employment Offer Letter Agreement, dated as of April 3, 2024, between Bloomin’ Brands, Inc. and Michael Healy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2024, Form 10-Q, Exhibit 10.4</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2"/>
                  <w:u w:val="single"/>
                </w:rPr>
                <w:t>Employment Offer Letter Agreement, dated as of August 21, 2024, between Bloomin’ Brands, Inc. and Michael L. Spanos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8, 2024, Form 10-Q, Exhibit 10.2</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1030.htm">
              <w:r>
                <w:rPr>
                  <w:rStyle w:val="InternetLink"/>
                  <w:rFonts w:ascii="Times New Roman;sans-serif" w:hAnsi="Times New Roman;sans-serif"/>
                  <w:b w:val="false"/>
                  <w:color w:val="0000FF"/>
                  <w:sz w:val="22"/>
                  <w:u w:val="single"/>
                </w:rPr>
                <w:t>Employment Offer Letter Agreement, dated as of January 6, 2025, between Bloomin’ Brands, Inc. and Pat Hafner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2"/>
                  <w:u w:val="single"/>
                </w:rPr>
                <w:t>Position and Retention Letter, effective March 15, 2024, by and between Gregg Scarlett and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2023, Form 10-K, Exhibit 10.36</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2"/>
                  <w:u w:val="single"/>
                </w:rPr>
                <w:t>Separation Agreement, dated as of September 3, 2024, by and between Astrid Isaacs and Bloomin’ Brands,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November 8, 2024, Form 10-Q, Exhibit 10.3</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2"/>
                  <w:u w:val="single"/>
                </w:rPr>
                <w:t>Agreement, dated as of January 2, 2024, by and among Bloomin’ Brands, Inc, Starboard Value LP and other parties set forth on this signature pages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January 2, 2024, Form 8-K, Exhibit 10.1</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2"/>
                  <w:u w:val="single"/>
                </w:rPr>
                <w:t>Form of Convertible Note Hedge Transactions confirmation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11, 2020, Form 8-K,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tbl>
      <w:tblPr>
        <w:tblW w:w="10205" w:type="dxa"/>
        <w:jc w:val="left"/>
        <w:tblInd w:w="0" w:type="dxa"/>
        <w:tblLayout w:type="fixed"/>
        <w:tblCellMar>
          <w:top w:w="28" w:type="dxa"/>
          <w:left w:w="28" w:type="dxa"/>
          <w:bottom w:w="28" w:type="dxa"/>
          <w:right w:w="28" w:type="dxa"/>
        </w:tblCellMar>
      </w:tblPr>
      <w:tblGrid>
        <w:gridCol w:w="352"/>
        <w:gridCol w:w="310"/>
        <w:gridCol w:w="312"/>
        <w:gridCol w:w="121"/>
        <w:gridCol w:w="121"/>
        <w:gridCol w:w="121"/>
        <w:gridCol w:w="2622"/>
        <w:gridCol w:w="1640"/>
        <w:gridCol w:w="1643"/>
        <w:gridCol w:w="121"/>
        <w:gridCol w:w="121"/>
        <w:gridCol w:w="121"/>
        <w:gridCol w:w="759"/>
        <w:gridCol w:w="759"/>
        <w:gridCol w:w="1082"/>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FILINGS REFERENCED FOR</w:t>
              <w:br/>
              <w:t xml:space="preserve"> INCORPORATION BY REFERENCE </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2"/>
                  <w:u w:val="single"/>
                </w:rPr>
                <w:t>Form of Warrant Transactions confirmation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11, 2020, Form 8-K, Exhibit 10.2</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2"/>
                  <w:u w:val="single"/>
                </w:rPr>
                <w:t>Form of Accelerated Share Repurchase Confirmation</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2024, Form 10-Q, Exhibit 10.2</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10.37</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2"/>
                  <w:u w:val="single"/>
                </w:rPr>
                <w:t>Form of Exchange Agreement</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2024, Form 10-Q, Exhibit 10.3</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19.1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191.htm">
              <w:r>
                <w:rPr>
                  <w:rStyle w:val="InternetLink"/>
                  <w:rFonts w:ascii="Times New Roman;sans-serif" w:hAnsi="Times New Roman;sans-serif"/>
                  <w:b w:val="false"/>
                  <w:color w:val="0000FF"/>
                  <w:sz w:val="22"/>
                  <w:u w:val="single"/>
                </w:rPr>
                <w:t>Bloomin Brand’s, Inc. Insider Trading Policy</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211.htm">
              <w:r>
                <w:rPr>
                  <w:rStyle w:val="InternetLink"/>
                  <w:rFonts w:ascii="Times New Roman;sans-serif" w:hAnsi="Times New Roman;sans-serif"/>
                  <w:b w:val="false"/>
                  <w:color w:val="0000FF"/>
                  <w:sz w:val="22"/>
                  <w:u w:val="single"/>
                </w:rPr>
                <w:t>List of Subsidiaries</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231.htm">
              <w:r>
                <w:rPr>
                  <w:rStyle w:val="InternetLink"/>
                  <w:rFonts w:ascii="Times New Roman;sans-serif" w:hAnsi="Times New Roman;sans-serif"/>
                  <w:b w:val="false"/>
                  <w:color w:val="0000FF"/>
                  <w:sz w:val="22"/>
                  <w:u w:val="single"/>
                </w:rPr>
                <w:t>Consent of PricewaterhouseCoopers LLP</w:t>
              </w:r>
            </w:hyperlink>
            <w:r>
              <w:rPr>
                <w:color w:val="000000"/>
              </w:rPr>
              <w:t xml:space="preserve"> </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mn-122924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97.1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2"/>
                  <w:u w:val="single"/>
                </w:rPr>
                <w:t>Bloomin’ Brands, Inc. Compensation Recovery Policy</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December 31, 2023, Form 10-K, Exhibit 97.1</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*Portions of this exhibit (indicated by asterisks) have been redacted in compliance with Regulation S-K Item 601(b)(2)(ii).</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**Management contract or compensatory plan or arrangement required to be filed as an exhibit.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Exchange Act or the Exchange Act, except to the extent that the registrant specifically incorporates them by reference.</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2"/>
        </w:rPr>
      </w:pPr>
      <w:r>
        <w:rPr>
          <w:rFonts w:ascii="Times New Roman;sans-serif" w:hAnsi="Times New Roman;sans-serif"/>
          <w:b/>
          <w:color w:val="000000"/>
          <w:sz w:val="22"/>
        </w:rPr>
        <w:t>Item 16. Form 10-K Summary</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238d9e0b422f441c810166691317c527_13">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5619" w:type="dxa"/>
        <w:jc w:val="left"/>
        <w:tblInd w:w="0" w:type="dxa"/>
        <w:tblLayout w:type="fixed"/>
        <w:tblCellMar>
          <w:top w:w="28" w:type="dxa"/>
          <w:left w:w="28" w:type="dxa"/>
          <w:bottom w:w="28" w:type="dxa"/>
          <w:right w:w="28" w:type="dxa"/>
        </w:tblCellMar>
      </w:tblPr>
      <w:tblGrid>
        <w:gridCol w:w="124"/>
        <w:gridCol w:w="109"/>
        <w:gridCol w:w="109"/>
        <w:gridCol w:w="199"/>
        <w:gridCol w:w="199"/>
        <w:gridCol w:w="201"/>
        <w:gridCol w:w="614"/>
        <w:gridCol w:w="614"/>
        <w:gridCol w:w="616"/>
        <w:gridCol w:w="828"/>
        <w:gridCol w:w="828"/>
        <w:gridCol w:w="1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Michael L. Spanos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ind w:left="0" w:right="0" w:firstLine="900"/>
              <w:jc w:val="left"/>
              <w:rPr>
                <w:sz w:val="4"/>
                <w:szCs w:val="4"/>
              </w:rPr>
            </w:pPr>
            <w:r>
              <w:rPr>
                <w:sz w:val="4"/>
                <w:szCs w:val="4"/>
              </w:rPr>
            </w:r>
          </w:p>
        </w:tc>
        <w:tc>
          <w:tcPr>
            <w:tcW w:w="28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this report has been signed below by the following persons on behalf of the registrant and in the capacities and on the dates indicated.</w:t>
      </w:r>
    </w:p>
    <w:tbl>
      <w:tblPr>
        <w:tblW w:w="10118" w:type="dxa"/>
        <w:jc w:val="center"/>
        <w:tblInd w:w="0" w:type="dxa"/>
        <w:tblLayout w:type="fixed"/>
        <w:tblCellMar>
          <w:top w:w="28" w:type="dxa"/>
          <w:left w:w="28" w:type="dxa"/>
          <w:bottom w:w="28" w:type="dxa"/>
          <w:right w:w="28" w:type="dxa"/>
        </w:tblCellMar>
      </w:tblPr>
      <w:tblGrid>
        <w:gridCol w:w="891"/>
        <w:gridCol w:w="782"/>
        <w:gridCol w:w="787"/>
        <w:gridCol w:w="109"/>
        <w:gridCol w:w="109"/>
        <w:gridCol w:w="109"/>
        <w:gridCol w:w="1698"/>
        <w:gridCol w:w="1698"/>
        <w:gridCol w:w="1718"/>
        <w:gridCol w:w="109"/>
        <w:gridCol w:w="109"/>
        <w:gridCol w:w="109"/>
        <w:gridCol w:w="551"/>
        <w:gridCol w:w="551"/>
        <w:gridCol w:w="788"/>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Date</w:t>
            </w:r>
          </w:p>
        </w:tc>
      </w:tr>
      <w:tr>
        <w:trPr/>
        <w:tc>
          <w:tcPr>
            <w:tcW w:w="24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L. Spanos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Vice President and 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Philip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 Michael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Chairman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 Michael Mohan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David George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David George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Lawrence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Lawrence Jackson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Julie Kunkel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Julie Kunkel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Rohit Lal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Rohit Lal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Tara Walpert Levy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Tara Walpert Levy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John J. Mahoney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 J. Mahoney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Melanie Marein-Efron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Melanie Marein-Efron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Jonathan Sagal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Jonathan Sagal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James L. Dinkins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James L. Dinkins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10.30</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90550" cy="962025"/>
            <wp:effectExtent l="0" t="0" r="0" b="0"/>
            <wp:docPr id="1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 descr=""/>
                    <pic:cNvPicPr>
                      <a:picLocks noChangeAspect="1" noChangeArrowheads="1"/>
                    </pic:cNvPicPr>
                  </pic:nvPicPr>
                  <pic:blipFill>
                    <a:blip r:embed="rId49"/>
                    <a:stretch>
                      <a:fillRect/>
                    </a:stretch>
                  </pic:blipFill>
                  <pic:spPr bwMode="auto">
                    <a:xfrm>
                      <a:off x="0" y="0"/>
                      <a:ext cx="590550" cy="962025"/>
                    </a:xfrm>
                    <a:prstGeom prst="rect">
                      <a:avLst/>
                    </a:prstGeom>
                  </pic:spPr>
                </pic:pic>
              </a:graphicData>
            </a:graphic>
          </wp:inline>
        </w:drawing>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January 6, 2025</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Pat Hafner</w: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Via Email</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Dear Pat,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letter agreement confirms the verbal offer extended to you by Bloomin’ Brands, Inc. (the “Company”) to serve as EVP, President, Outback Steakhouse reporting to Mike Spanos, Chief Executive Officer. Your effective date of appointment will be January 20, 2025. The terms of your employment will be: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will be employed by a subsidiary of the Company (the “Employer”) and your annual base salary will be $500,000 payable in equal bi-weekly installments. </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You will remain eligible to participate in the Company’s annual bonus program, and your target bonus shall be 85% of your base salary based on both Company performance against objectives as set forth in the Company bonus program and your individual performance. You must remain employed by the Employer through the payout date to receive the payout.</w:t>
      </w:r>
      <w:r>
        <w:rPr>
          <w:color w:val="000000"/>
        </w:rPr>
        <w:t xml:space="preserve"> </w:t>
      </w:r>
      <w:r>
        <w:rPr>
          <w:rFonts w:ascii="Times New Roman;sans-serif" w:hAnsi="Times New Roman;sans-serif"/>
          <w:b w:val="false"/>
          <w:color w:val="000000"/>
          <w:sz w:val="22"/>
        </w:rPr>
        <w:t>For 2025 (paid in 2026), your annual bonus will be prorated based on changes to your base salary during the 2025 plan year.</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addition to an annual bonus, you remain eligible for an annual long-term incentive (“LTI”) grant. You shall be eligible for a target LTI grant with a value of $500,000, which will be subject to Company and individual performance. The annual LTI grant, in the form of performance restricted stock units and restricted stock units, will be made during the Company’s standard annual award cycle in February of 2025.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will also issue you a one-time EVP appointment grant with a grant date value of $250,000 in the form of restricted stock units on the first trading day of the month immediately following your effective date. This grant will have standard vesting over three years, contingent on continued employment with the Company or the Employer. All grants are subject to the terms of our 2020 Omnibus Incentive Compensation Plan and Equity Award Policy (collectively, the “Plan”) and our standard award agreement. Our standard equity agreement includes a “double trigger” provision to protect you in the event of a change-in-control. The details of the Plan and the form of grant agreement will be provided to you separately.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Company Benefits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You will remain eligible to participate in the following benefits as applicable and in accordance with the terms of Company policy and subject to plan documents if any:</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Medical Benefits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Salaried Short-Term Disability Insurance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Salaried Long-Term Disability Insurance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Company Paid Group Term Life Insurance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Company Paid Accidental Death and Dismemberment Insurance</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Dental Benefits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Vision Benefits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Non-Qualified Deferred Compensation Plan</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2"/>
        </w:rPr>
        <w:t>Restaurant Support Center (RSC) Paid Time Off (PTO)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2"/>
        </w:rPr>
      </w:pPr>
      <w:r>
        <w:rPr>
          <w:rFonts w:ascii="Times New Roman;sans-serif" w:hAnsi="Times New Roman;sans-serif"/>
          <w:b/>
          <w:color w:val="000000"/>
          <w:sz w:val="22"/>
        </w:rPr>
        <w:t>Restrictive Covenants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 further condition of your employment, you agree to the following:</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1.    </w:t>
      </w:r>
      <w:r>
        <w:rPr>
          <w:rFonts w:ascii="Times New Roman;sans-serif" w:hAnsi="Times New Roman;sans-serif"/>
          <w:b/>
          <w:color w:val="000000"/>
          <w:sz w:val="22"/>
        </w:rPr>
        <w:t>Non-Competition</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u w:val="single"/>
        </w:rPr>
        <w:t>During Employment</w:t>
      </w:r>
      <w:r>
        <w:rPr>
          <w:rFonts w:ascii="Times New Roman;sans-serif" w:hAnsi="Times New Roman;sans-serif"/>
          <w:b w:val="false"/>
          <w:color w:val="000000"/>
          <w:sz w:val="22"/>
        </w:rPr>
        <w:t xml:space="preserve">. You will devote one hundred percent (100%) of your full business time, attention, energy, and effort to the 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written consent of the Employer, which consent shall not be unreasonably withheld.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4"/>
          <w:u w:val="single"/>
        </w:rPr>
        <w:t>Post Termination.</w:t>
      </w:r>
      <w:r>
        <w:rPr>
          <w:color w:val="000000"/>
        </w:rPr>
        <w:t xml:space="preserve"> </w:t>
      </w:r>
      <w:r>
        <w:rPr>
          <w:rFonts w:ascii="Times New Roman;sans-serif" w:hAnsi="Times New Roman;sans-serif"/>
          <w:b w:val="false"/>
          <w:color w:val="000000"/>
          <w:sz w:val="22"/>
        </w:rPr>
        <w:t xml:space="preserve">Commencing on the termination of your employment with the Employer, and for one year (1) thereafter you shall not, individually or jointly with others, 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if the duties you will perform will be substantially similar to those performed for the Company or the Employer.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 where Employee’s involvement was direct or indirect or where the Employee otherwise had knowledge of the proposed restaurant.</w:t>
      </w:r>
    </w:p>
    <w:p>
      <w:pPr>
        <w:pStyle w:val="TextBody"/>
        <w:bidi w:val="0"/>
        <w:spacing w:before="0" w:after="0"/>
        <w:jc w:val="left"/>
        <w:rPr/>
      </w:pPr>
      <w:r>
        <w:rPr/>
      </w:r>
    </w:p>
    <w:p>
      <w:pPr>
        <w:pStyle w:val="TextBody"/>
        <w:bidi w:val="0"/>
        <w:spacing w:lineRule="auto" w:line="268" w:before="0" w:after="0"/>
        <w:ind w:left="0" w:right="0" w:firstLine="360"/>
        <w:jc w:val="both"/>
        <w:rPr/>
      </w:pPr>
      <w:r>
        <w:rPr>
          <w:rFonts w:ascii="Times New Roman;sans-serif" w:hAnsi="Times New Roman;sans-serif"/>
          <w:b w:val="false"/>
          <w:color w:val="000000"/>
          <w:sz w:val="22"/>
        </w:rPr>
        <w:t>C.</w:t>
      </w:r>
      <w:r>
        <w:rPr>
          <w:rFonts w:ascii="Times New Roman;sans-serif" w:hAnsi="Times New Roman;sans-serif"/>
          <w:b w:val="false"/>
          <w:color w:val="000000"/>
          <w:sz w:val="24"/>
          <w:u w:val="single"/>
        </w:rPr>
        <w:t>Limitation</w:t>
      </w:r>
      <w:r>
        <w:rPr>
          <w:rFonts w:ascii="Times New Roman;sans-serif" w:hAnsi="Times New Roman;sans-serif"/>
          <w:b w:val="false"/>
          <w:color w:val="000000"/>
          <w:sz w:val="22"/>
        </w:rPr>
        <w:t xml:space="preserve">.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 </w:t>
      </w:r>
    </w:p>
    <w:p>
      <w:pPr>
        <w:pStyle w:val="TextBody"/>
        <w:bidi w:val="0"/>
        <w:spacing w:before="0" w:after="0"/>
        <w:jc w:val="both"/>
        <w:rPr/>
      </w:pPr>
      <w:r>
        <w:rPr/>
      </w:r>
    </w:p>
    <w:p>
      <w:pPr>
        <w:pStyle w:val="TextBody"/>
        <w:bidi w:val="0"/>
        <w:spacing w:lineRule="auto" w:line="268"/>
        <w:jc w:val="left"/>
        <w:rPr/>
      </w:pPr>
      <w:r>
        <w:rPr>
          <w:rFonts w:ascii="Times New Roman;sans-serif" w:hAnsi="Times New Roman;sans-serif"/>
          <w:b w:val="false"/>
          <w:color w:val="000000"/>
          <w:sz w:val="22"/>
        </w:rPr>
        <w:t>2.    </w:t>
      </w:r>
      <w:r>
        <w:rPr>
          <w:rFonts w:ascii="Times New Roman;sans-serif" w:hAnsi="Times New Roman;sans-serif"/>
          <w:b/>
          <w:color w:val="000000"/>
          <w:sz w:val="24"/>
          <w:u w:val="single"/>
        </w:rPr>
        <w:t>Non-Disclosure; Non-Solicitation; Non-Piracy</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21945"/>
                <wp:effectExtent l="0" t="0" r="0" b="0"/>
                <wp:wrapNone/>
                <wp:docPr id="118" name="Frame1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54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Except in the performance of your duties hereunder, at no time during your employment with the Company or the Employer, or at any time thereafter, shall you, individually or jointly with others, for your benefit of or for the benefit of </w:t>
      </w:r>
      <w:r>
        <w:rPr>
          <w:rFonts w:ascii="Times New Roman;sans-serif" w:hAnsi="Times New Roman;sans-serif"/>
          <w:b w:val="false"/>
          <w:color w:val="000000"/>
          <w:sz w:val="22"/>
        </w:rPr>
        <w:t>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pStyle w:val="TextBody"/>
        <w:bidi w:val="0"/>
        <w:spacing w:before="0" w:after="0"/>
        <w:ind w:left="0" w:right="0" w:firstLine="720"/>
        <w:jc w:val="both"/>
        <w:rPr/>
      </w:pPr>
      <w:r>
        <w:rPr/>
      </w:r>
    </w:p>
    <w:p>
      <w:pPr>
        <w:pStyle w:val="TextBody"/>
        <w:bidi w:val="0"/>
        <w:spacing w:lineRule="auto" w:line="268" w:before="0" w:after="0"/>
        <w:ind w:left="0" w:right="0" w:firstLine="54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3.    </w:t>
      </w:r>
      <w:r>
        <w:rPr>
          <w:rFonts w:ascii="Times New Roman;sans-serif" w:hAnsi="Times New Roman;sans-serif"/>
          <w:b/>
          <w:color w:val="000000"/>
          <w:sz w:val="24"/>
          <w:u w:val="single"/>
        </w:rPr>
        <w:t>Company and Employer Property: Duty to Return.</w:t>
      </w:r>
      <w:r>
        <w:rPr>
          <w:color w:val="000000"/>
        </w:rPr>
        <w:t xml:space="preserve"> </w:t>
      </w:r>
      <w:r>
        <w:rPr>
          <w:rFonts w:ascii="Times New Roman;sans-serif" w:hAnsi="Times New Roman;sans-serif"/>
          <w:b w:val="false"/>
          <w:color w:val="000000"/>
          <w:sz w:val="22"/>
        </w:rPr>
        <w:t>All Employer and Company property and assets, 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pStyle w:val="TextBody"/>
        <w:bidi w:val="0"/>
        <w:spacing w:before="0" w:after="0"/>
        <w:jc w:val="left"/>
        <w:rPr/>
      </w:pPr>
      <w:r>
        <w:rPr/>
      </w:r>
    </w:p>
    <w:p>
      <w:pPr>
        <w:pStyle w:val="TextBody"/>
        <w:bidi w:val="0"/>
        <w:spacing w:lineRule="auto" w:line="268"/>
        <w:jc w:val="both"/>
        <w:rPr/>
      </w:pPr>
      <w:r>
        <w:rPr>
          <w:rFonts w:ascii="Times New Roman;sans-serif" w:hAnsi="Times New Roman;sans-serif"/>
          <w:b w:val="false"/>
          <w:color w:val="000000"/>
          <w:sz w:val="22"/>
        </w:rPr>
        <w:t>4.    </w:t>
      </w:r>
      <w:r>
        <w:rPr>
          <w:rFonts w:ascii="Times New Roman;sans-serif" w:hAnsi="Times New Roman;sans-serif"/>
          <w:b/>
          <w:color w:val="000000"/>
          <w:sz w:val="24"/>
          <w:u w:val="single"/>
        </w:rPr>
        <w:t>Inventions, Ideas, Processes, and Designs.</w:t>
      </w:r>
      <w:r>
        <w:rPr>
          <w:color w:val="000000"/>
        </w:rPr>
        <w:t xml:space="preserve"> </w:t>
      </w:r>
      <w:r>
        <w:rPr>
          <w:rFonts w:ascii="Times New Roman;sans-serif" w:hAnsi="Times New Roman;sans-serif"/>
          <w:b w:val="false"/>
          <w:color w:val="000000"/>
          <w:sz w:val="22"/>
        </w:rPr>
        <w:t xml:space="preserve">All inventions, ideas, recipes, processes, programs, software 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 you made or conceived prior </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21945"/>
                <wp:effectExtent l="0" t="0" r="0" b="0"/>
                <wp:wrapNone/>
                <wp:docPr id="119" name="Frame1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your employment with the Employer, and that, therefore, are excluded from the scope of the employment with the Employer.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restrictive covenants contained in this agreement are given and made by you to induce the Employer to employ you and to enter into this Agreement with you, and you hereby acknowledge that employment with the Employer is valuable and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the termination of this agreement for any reason, shall not extinguish your obligations specified in these restrictive covenants.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5.    </w:t>
      </w:r>
      <w:r>
        <w:rPr>
          <w:rFonts w:ascii="Times New Roman;sans-serif" w:hAnsi="Times New Roman;sans-serif"/>
          <w:b/>
          <w:color w:val="000000"/>
          <w:sz w:val="24"/>
          <w:u w:val="single"/>
        </w:rPr>
        <w:t>Defense of Trade Secrets Act.</w:t>
      </w:r>
      <w:r>
        <w:rPr>
          <w:color w:val="000000"/>
        </w:rPr>
        <w:t xml:space="preserve"> </w:t>
      </w:r>
      <w:r>
        <w:rPr>
          <w:rFonts w:ascii="Times New Roman;sans-serif" w:hAnsi="Times New Roman;sans-serif"/>
          <w:b w:val="false"/>
          <w:color w:val="000000"/>
          <w:sz w:val="22"/>
        </w:rPr>
        <w:t>Notwithstanding anything to the contrary in this</w:t>
      </w:r>
      <w:r>
        <w:rPr>
          <w:color w:val="000000"/>
        </w:rPr>
        <w:t xml:space="preserve"> </w:t>
      </w:r>
      <w:r>
        <w:rPr>
          <w:rFonts w:ascii="Times New Roman;sans-serif" w:hAnsi="Times New Roman;sans-serif"/>
          <w:b w:val="false"/>
          <w:color w:val="000000"/>
          <w:sz w:val="22"/>
        </w:rPr>
        <w:t>Agreement, or otherwise, Employee understands and acknowledges that the Company has 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ALL PARTIES TO THIS AGREEMENT KNOW AND UNDERSTAND THAT THEY HAVE A CONSTITUTIONAL RIGHT TO A JURY TRIAL. THE PARTIES ACKNOWLEDGE THAT ANY DISPUTE OR CONTROVERSY THAT MAY ARISE OUT OF THIS AGREEMENT OR YOUR EMPLOYMENT WITH EMPLOYER WILL INVOLVE COMPLICATED AND DIFFICULT FACTUAL AND LEGAL ISSUES.</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HEREBY IRREVOCABLY WAIVE ANY RIGHT TO TRIAL BY JURY IN ANY PROCEEDING ARISING OUT OF OR RELATING TO YOUR EMPLOYMENT WITH EMPLOYER, THIS AGREEMENT OR ANY OF THE CONTEMPLATED TRANSACTIONS, WHETHER NOW EXISTING OR HEREAFTER ARISING, AND WHETHER SOUNDING IN CONTRACT, TORT OR</w:t>
      </w:r>
    </w:p>
    <w:p>
      <w:pPr>
        <w:pStyle w:val="TextBody"/>
        <w:bidi w:val="0"/>
        <w:spacing w:lineRule="auto" w:line="240" w:before="0" w:after="0"/>
        <w:jc w:val="lef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21945"/>
                <wp:effectExtent l="0" t="0" r="0" b="0"/>
                <wp:wrapNone/>
                <wp:docPr id="120" name="Frame1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OTHERWISE. THE PARTIES AGREE THAT ANY OF THEM MAY FILE A COPY OF THIS PARAGRAPH WITH ANY COURT AS WRITTEN EVIDENCE OF THE KNOWING, VOLUNTARY AND BARGAINED-FOR AGREEMENT AMONG THE PARTIES IRREVOCABLY TO WAIVE TRIAL BY JURY AND THAT ANY PROCEEDING WHATSOEVER BETWEEN THEM RELATING TO YOUR EMPLOYMENT WITH EMPLOYER, THIS AGREEMENT OR ANY OF THE CONTEMPLATED TRANSACTIONS SHALL INSTEAD BE TRIED IN A COURT OF COMPETENT JURISDICTION BY A JUDGE SITTING WITHOUT A JURY.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While it is our sincere hope and belief that our relationship will be mutually beneficial, the Company and the Employer do not offer employment for a specified term.</w:t>
      </w:r>
      <w:r>
        <w:rPr>
          <w:color w:val="000000"/>
        </w:rPr>
        <w:t xml:space="preserve"> </w:t>
      </w:r>
      <w:r>
        <w:rPr>
          <w:rFonts w:ascii="Times New Roman;sans-serif" w:hAnsi="Times New Roman;sans-serif"/>
          <w:b w:val="false"/>
          <w:color w:val="000000"/>
          <w:sz w:val="22"/>
        </w:rPr>
        <w:t>Any statements made to you in this letter and in meetings should not be construed in any manner as a proposed contract for any such term.</w:t>
      </w:r>
      <w:r>
        <w:rPr>
          <w:color w:val="000000"/>
        </w:rPr>
        <w:t xml:space="preserve"> </w:t>
      </w:r>
      <w:r>
        <w:rPr>
          <w:rFonts w:ascii="Times New Roman;sans-serif" w:hAnsi="Times New Roman;sans-serif"/>
          <w:b w:val="false"/>
          <w:color w:val="000000"/>
          <w:sz w:val="22"/>
        </w:rPr>
        <w:t>Both you and the Employer may terminate employment at any time, with or without prior notice, for any or no reason, and with or without cause.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validity, interpretation, and performance of this agreement shall be governed, interpreted, and construed in accordance with the laws of the State of Florida without giving effect to the principles of comity or conflicts of laws thereof.</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2"/>
        </w:rPr>
        <w:t>By signing this offer, you indicate your acceptance of our offer.</w:t>
      </w:r>
      <w:r>
        <w:rPr>
          <w:color w:val="000000"/>
        </w:rPr>
        <w:t xml:space="preserve"> </w:t>
      </w:r>
      <w:r>
        <w:rPr>
          <w:rFonts w:ascii="Times New Roman;sans-serif" w:hAnsi="Times New Roman;sans-serif"/>
          <w:b w:val="false"/>
          <w:color w:val="000000"/>
          <w:sz w:val="22"/>
        </w:rPr>
        <w:t>Please keep one original copy of this offer letter for your personal files.</w:t>
      </w:r>
    </w:p>
    <w:p>
      <w:pPr>
        <w:pStyle w:val="TextBody"/>
        <w:bidi w:val="0"/>
        <w:spacing w:lineRule="auto" w:line="268" w:before="0" w:after="0"/>
        <w:jc w:val="left"/>
        <w:rPr/>
      </w:pPr>
      <w:r>
        <w:rPr>
          <w:rFonts w:ascii="Times New Roman;sans-serif" w:hAnsi="Times New Roman;sans-serif"/>
          <w:b w:val="false"/>
          <w:color w:val="000000"/>
          <w:sz w:val="22"/>
        </w:rPr>
        <w:t>Congratulations!</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/s/ Mike Spanos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Mike Spanos</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I accept the above offer of employment and I understand the terms as set forth above. </w:t>
      </w:r>
    </w:p>
    <w:p>
      <w:pPr>
        <w:pStyle w:val="TextBody"/>
        <w:bidi w:val="0"/>
        <w:spacing w:before="0" w:after="0"/>
        <w:jc w:val="both"/>
        <w:rPr/>
      </w:pPr>
      <w:r>
        <w:rPr/>
      </w:r>
    </w:p>
    <w:tbl>
      <w:tblPr>
        <w:tblW w:w="2316"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09"/>
        <w:gridCol w:w="109"/>
        <w:gridCol w:w="109"/>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Pat Hafner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1/8/25</w:t>
            </w:r>
          </w:p>
        </w:tc>
      </w:tr>
      <w:tr>
        <w:trPr/>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Pat Hafner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2"/>
              </w:rPr>
            </w:pPr>
            <w:r>
              <w:rPr>
                <w:rFonts w:ascii="Times New Roman;sans-serif" w:hAnsi="Times New Roman;sans-serif"/>
                <w:b/>
                <w:color w:val="000000"/>
                <w:sz w:val="22"/>
              </w:rPr>
              <w:t>Date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21945"/>
                <wp:effectExtent l="0" t="0" r="0" b="0"/>
                <wp:wrapNone/>
                <wp:docPr id="121" name="Frame1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6" w:after="283"/>
        <w:jc w:val="left"/>
        <w:rPr/>
      </w:pPr>
      <w:r>
        <w:rPr/>
      </w:r>
    </w:p>
    <w:tbl>
      <w:tblPr>
        <w:tblW w:w="5494" w:type="dxa"/>
        <w:jc w:val="center"/>
        <w:tblInd w:w="0" w:type="dxa"/>
        <w:tblLayout w:type="fixed"/>
        <w:tblCellMar>
          <w:top w:w="28" w:type="dxa"/>
          <w:left w:w="28" w:type="dxa"/>
          <w:bottom w:w="28" w:type="dxa"/>
          <w:right w:w="28" w:type="dxa"/>
        </w:tblCellMar>
      </w:tblPr>
      <w:tblGrid>
        <w:gridCol w:w="362"/>
        <w:gridCol w:w="319"/>
        <w:gridCol w:w="320"/>
        <w:gridCol w:w="109"/>
        <w:gridCol w:w="109"/>
        <w:gridCol w:w="109"/>
        <w:gridCol w:w="1264"/>
        <w:gridCol w:w="1264"/>
        <w:gridCol w:w="1266"/>
        <w:gridCol w:w="109"/>
        <w:gridCol w:w="109"/>
        <w:gridCol w:w="154"/>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571500" cy="914400"/>
                  <wp:effectExtent l="0" t="0" r="0" b="0"/>
                  <wp:docPr id="1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 descr=""/>
                          <pic:cNvPicPr>
                            <a:picLocks noChangeAspect="1" noChangeArrowheads="1"/>
                          </pic:cNvPicPr>
                        </pic:nvPicPr>
                        <pic:blipFill>
                          <a:blip r:embed="rId50"/>
                          <a:stretch>
                            <a:fillRect/>
                          </a:stretch>
                        </pic:blipFill>
                        <pic:spPr bwMode="auto">
                          <a:xfrm>
                            <a:off x="0" y="0"/>
                            <a:ext cx="571500" cy="9144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8"/>
              </w:rPr>
            </w:pPr>
            <w:r>
              <w:rPr>
                <w:rFonts w:ascii="Calibri;sans-serif" w:hAnsi="Calibri;sans-serif"/>
                <w:b/>
                <w:color w:val="000000"/>
                <w:sz w:val="28"/>
              </w:rPr>
              <w:t>BLOOMIN’ BRANDS,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8"/>
              </w:rPr>
            </w:pPr>
            <w:r>
              <w:rPr>
                <w:rFonts w:ascii="Calibri;sans-serif" w:hAnsi="Calibri;sans-serif"/>
                <w:b/>
                <w:color w:val="000000"/>
                <w:sz w:val="28"/>
              </w:rPr>
              <w:t>INSIDER TRADING POLICY LG03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 w:after="283"/>
        <w:jc w:val="left"/>
        <w:rPr/>
      </w:pPr>
      <w:r>
        <w:rPr/>
      </w:r>
    </w:p>
    <w:p>
      <w:pPr>
        <w:pStyle w:val="TextBody"/>
        <w:bidi w:val="0"/>
        <w:spacing w:lineRule="auto" w:line="288" w:before="92" w:after="283"/>
        <w:jc w:val="left"/>
        <w:rPr>
          <w:rFonts w:ascii="Calibri;sans-serif" w:hAnsi="Calibri;sans-serif"/>
          <w:b/>
          <w:color w:val="000000"/>
          <w:sz w:val="24"/>
          <w:u w:val="single"/>
        </w:rPr>
      </w:pPr>
      <w:r>
        <w:rPr>
          <w:rFonts w:ascii="Calibri;sans-serif" w:hAnsi="Calibri;sans-serif"/>
          <w:b/>
          <w:color w:val="000000"/>
          <w:sz w:val="24"/>
          <w:u w:val="single"/>
        </w:rPr>
        <w:t>PURPOSE AND SCOPE</w:t>
      </w:r>
    </w:p>
    <w:p>
      <w:pPr>
        <w:pStyle w:val="TextBody"/>
        <w:bidi w:val="0"/>
        <w:spacing w:before="0" w:after="0"/>
        <w:jc w:val="left"/>
        <w:rPr/>
      </w:pPr>
      <w:r>
        <w:rPr/>
      </w:r>
    </w:p>
    <w:p>
      <w:pPr>
        <w:pStyle w:val="TextBody"/>
        <w:bidi w:val="0"/>
        <w:spacing w:lineRule="auto" w:line="288" w:before="93" w:after="283"/>
        <w:jc w:val="both"/>
        <w:rPr/>
      </w:pPr>
      <w:r>
        <w:rPr>
          <w:rFonts w:ascii="Calibri;sans-serif" w:hAnsi="Calibri;sans-serif"/>
          <w:b w:val="false"/>
          <w:color w:val="000000"/>
          <w:sz w:val="24"/>
        </w:rPr>
        <w:t>It is illegal under federal securities laws for anyone to purchase or sell securities of Bloomin’ Brands, Inc. (“</w:t>
      </w:r>
      <w:r>
        <w:rPr>
          <w:rFonts w:ascii="Calibri;sans-serif" w:hAnsi="Calibri;sans-serif"/>
          <w:b/>
          <w:color w:val="000000"/>
          <w:sz w:val="24"/>
        </w:rPr>
        <w:t>Bloomin’ Brands</w:t>
      </w:r>
      <w:r>
        <w:rPr>
          <w:color w:val="000000"/>
        </w:rPr>
        <w:t xml:space="preserve">” </w:t>
      </w:r>
      <w:r>
        <w:rPr>
          <w:rFonts w:ascii="Calibri;sans-serif" w:hAnsi="Calibri;sans-serif"/>
          <w:b w:val="false"/>
          <w:color w:val="000000"/>
          <w:sz w:val="24"/>
        </w:rPr>
        <w:t>or the “</w:t>
      </w:r>
      <w:r>
        <w:rPr>
          <w:rFonts w:ascii="Calibri;sans-serif" w:hAnsi="Calibri;sans-serif"/>
          <w:b/>
          <w:color w:val="000000"/>
          <w:sz w:val="24"/>
        </w:rPr>
        <w:t>Company</w:t>
      </w:r>
      <w:r>
        <w:rPr>
          <w:color w:val="000000"/>
        </w:rPr>
        <w:t>”</w:t>
      </w:r>
      <w:r>
        <w:rPr>
          <w:rFonts w:ascii="Calibri;sans-serif" w:hAnsi="Calibri;sans-serif"/>
          <w:b w:val="false"/>
          <w:color w:val="000000"/>
          <w:sz w:val="24"/>
        </w:rPr>
        <w:t>) or any other public company while aware of, or in possession of, material nonpublic information about Bloomin’ Brands or such other public company. It is also illegal to disclose that kind of information to others who may trade in the securities of Bloomin’ Brands or other public companies.</w:t>
      </w:r>
    </w:p>
    <w:p>
      <w:pPr>
        <w:pStyle w:val="TextBody"/>
        <w:bidi w:val="0"/>
        <w:spacing w:before="0" w:after="0"/>
        <w:jc w:val="both"/>
        <w:rPr/>
      </w:pPr>
      <w:r>
        <w:rPr/>
      </w:r>
    </w:p>
    <w:p>
      <w:pPr>
        <w:pStyle w:val="TextBody"/>
        <w:bidi w:val="0"/>
        <w:spacing w:lineRule="auto" w:line="288" w:before="0" w:after="0"/>
        <w:jc w:val="both"/>
        <w:rPr/>
      </w:pPr>
      <w:r>
        <w:rPr>
          <w:rFonts w:ascii="Calibri;sans-serif" w:hAnsi="Calibri;sans-serif"/>
          <w:b w:val="false"/>
          <w:color w:val="000000"/>
          <w:sz w:val="24"/>
        </w:rPr>
        <w:t>The penalties for illegal insider trading are severe, and insider trading violations are pursued vigorously by federal and state law enforcement, including the Securities and Exchange Commission (the "</w:t>
      </w:r>
      <w:r>
        <w:rPr>
          <w:rFonts w:ascii="Calibri;sans-serif" w:hAnsi="Calibri;sans-serif"/>
          <w:b/>
          <w:color w:val="000000"/>
          <w:sz w:val="24"/>
        </w:rPr>
        <w:t>SEC</w:t>
      </w:r>
      <w:r>
        <w:rPr>
          <w:rFonts w:ascii="Calibri;sans-serif" w:hAnsi="Calibri;sans-serif"/>
          <w:b w:val="false"/>
          <w:color w:val="000000"/>
          <w:sz w:val="24"/>
        </w:rPr>
        <w:t>") and the U.S. Department of Justice. Under the Insider Trading and Securities Fraud Enforcement Act of 1988, individuals trading on, or tipping material nonpublic information are subject to the following penalties:</w:t>
      </w:r>
    </w:p>
    <w:p>
      <w:pPr>
        <w:pStyle w:val="TextBody"/>
        <w:bidi w:val="0"/>
        <w:spacing w:before="0" w:after="0"/>
        <w:jc w:val="both"/>
        <w:rPr/>
      </w:pPr>
      <w:r>
        <w:rPr/>
      </w:r>
    </w:p>
    <w:p>
      <w:pPr>
        <w:pStyle w:val="TextBody"/>
        <w:bidi w:val="0"/>
        <w:spacing w:lineRule="atLeast" w:line="269" w:before="0" w:after="0"/>
        <w:ind w:left="0" w:right="0" w:hanging="360"/>
        <w:jc w:val="both"/>
        <w:rPr/>
      </w:pPr>
      <w:r>
        <w:rPr>
          <w:color w:val="000000"/>
        </w:rPr>
        <w:t>•</w:t>
      </w:r>
      <w:r>
        <w:rPr>
          <w:rFonts w:ascii="Calibri;sans-serif" w:hAnsi="Calibri;sans-serif"/>
          <w:b w:val="false"/>
          <w:color w:val="000000"/>
          <w:sz w:val="24"/>
        </w:rPr>
        <w:t>A civil penalty of up to three times the profit gained or loss avoided;</w:t>
      </w:r>
    </w:p>
    <w:p>
      <w:pPr>
        <w:pStyle w:val="TextBody"/>
        <w:bidi w:val="0"/>
        <w:spacing w:lineRule="atLeast" w:line="268" w:before="0" w:after="0"/>
        <w:ind w:left="0" w:right="0" w:hanging="360"/>
        <w:jc w:val="both"/>
        <w:rPr/>
      </w:pPr>
      <w:r>
        <w:rPr>
          <w:color w:val="000000"/>
        </w:rPr>
        <w:t>•</w:t>
      </w:r>
      <w:r>
        <w:rPr>
          <w:rFonts w:ascii="Calibri;sans-serif" w:hAnsi="Calibri;sans-serif"/>
          <w:b w:val="false"/>
          <w:color w:val="000000"/>
          <w:sz w:val="24"/>
        </w:rPr>
        <w:t>A criminal fine of up to $5 million (no matter how small the profit gained or loss avoided); and</w:t>
      </w:r>
    </w:p>
    <w:p>
      <w:pPr>
        <w:pStyle w:val="TextBody"/>
        <w:bidi w:val="0"/>
        <w:spacing w:lineRule="atLeast" w:line="269" w:before="0" w:after="0"/>
        <w:ind w:left="0" w:right="0" w:hanging="361"/>
        <w:jc w:val="both"/>
        <w:rPr/>
      </w:pPr>
      <w:r>
        <w:rPr>
          <w:color w:val="000000"/>
        </w:rPr>
        <w:t>•</w:t>
      </w:r>
      <w:r>
        <w:rPr>
          <w:rFonts w:ascii="Calibri;sans-serif" w:hAnsi="Calibri;sans-serif"/>
          <w:b w:val="false"/>
          <w:color w:val="000000"/>
          <w:sz w:val="24"/>
        </w:rPr>
        <w:t>A jail term of up to 20 years.</w:t>
      </w:r>
    </w:p>
    <w:p>
      <w:pPr>
        <w:pStyle w:val="TextBody"/>
        <w:bidi w:val="0"/>
        <w:spacing w:before="10" w:after="283"/>
        <w:jc w:val="both"/>
        <w:rPr/>
      </w:pPr>
      <w:r>
        <w:rPr/>
      </w:r>
    </w:p>
    <w:p>
      <w:pPr>
        <w:pStyle w:val="TextBody"/>
        <w:bidi w:val="0"/>
        <w:spacing w:lineRule="auto" w:line="288" w:before="0" w:after="0"/>
        <w:jc w:val="both"/>
        <w:rPr/>
      </w:pPr>
      <w:r>
        <w:rPr>
          <w:rFonts w:ascii="Calibri;sans-serif" w:hAnsi="Calibri;sans-serif"/>
          <w:b w:val="false"/>
          <w:color w:val="000000"/>
          <w:sz w:val="24"/>
        </w:rPr>
        <w:t>The Company’s Board of Directors has adopted this Insider Trading Policy (“</w:t>
      </w:r>
      <w:r>
        <w:rPr>
          <w:rFonts w:ascii="Calibri;sans-serif" w:hAnsi="Calibri;sans-serif"/>
          <w:b/>
          <w:color w:val="000000"/>
          <w:sz w:val="24"/>
        </w:rPr>
        <w:t>Policy</w:t>
      </w:r>
      <w:r>
        <w:rPr>
          <w:color w:val="000000"/>
        </w:rPr>
        <w:t>”</w:t>
      </w:r>
      <w:r>
        <w:rPr>
          <w:rFonts w:ascii="Calibri;sans-serif" w:hAnsi="Calibri;sans-serif"/>
          <w:b w:val="false"/>
          <w:color w:val="000000"/>
          <w:sz w:val="24"/>
        </w:rPr>
        <w:t>) to promote compliance with federal and state securities laws, to prevent improper insider trading and to help our employees avoid the consequences associated with insider trading violations and the misuse of material nonpublic information. In addition, this Policy is intended to help prevent even the appearance of improper conduct on the part of anyone employed by or associated with Bloomin’ Brands, not just so-called “insiders.”</w:t>
      </w:r>
    </w:p>
    <w:p>
      <w:pPr>
        <w:pStyle w:val="TextBody"/>
        <w:bidi w:val="0"/>
        <w:spacing w:before="0" w:after="0"/>
        <w:jc w:val="both"/>
        <w:rPr/>
      </w:pPr>
      <w:r>
        <w:rPr/>
      </w:r>
    </w:p>
    <w:p>
      <w:pPr>
        <w:pStyle w:val="TextBody"/>
        <w:bidi w:val="0"/>
        <w:spacing w:lineRule="auto" w:line="288" w:before="1" w:after="283"/>
        <w:jc w:val="both"/>
        <w:rPr/>
      </w:pPr>
      <w:r>
        <w:rPr>
          <w:rFonts w:ascii="Calibri;sans-serif" w:hAnsi="Calibri;sans-serif"/>
          <w:b w:val="false"/>
          <w:color w:val="000000"/>
          <w:sz w:val="24"/>
        </w:rPr>
        <w:t>This Policy applies to all directors and employees of Bloomin’ Brands, its subsidiaries and controlled affiliates and their immediate family members. Directors and officers that are subject to the requirements of Section 16 of the Securities Exchange Act of 1934 (“</w:t>
      </w:r>
      <w:r>
        <w:rPr>
          <w:rFonts w:ascii="Calibri;sans-serif" w:hAnsi="Calibri;sans-serif"/>
          <w:b/>
          <w:color w:val="000000"/>
          <w:sz w:val="24"/>
        </w:rPr>
        <w:t>Section 16 Officers</w:t>
      </w:r>
      <w:r>
        <w:rPr>
          <w:color w:val="000000"/>
        </w:rPr>
        <w:t>”</w:t>
      </w:r>
      <w:r>
        <w:rPr>
          <w:rFonts w:ascii="Calibri;sans-serif" w:hAnsi="Calibri;sans-serif"/>
          <w:b w:val="false"/>
          <w:color w:val="000000"/>
          <w:sz w:val="24"/>
        </w:rPr>
        <w:t xml:space="preserve">) and employees identified from time to time on the attached </w:t>
      </w:r>
      <w:r>
        <w:rPr>
          <w:rFonts w:ascii="Calibri;sans-serif" w:hAnsi="Calibri;sans-serif"/>
          <w:b w:val="false"/>
          <w:color w:val="000000"/>
          <w:sz w:val="24"/>
          <w:u w:val="single"/>
        </w:rPr>
        <w:t>Exhibit A</w:t>
      </w:r>
      <w:r>
        <w:rPr>
          <w:color w:val="000000"/>
        </w:rPr>
        <w:t xml:space="preserve"> </w:t>
      </w:r>
      <w:r>
        <w:rPr>
          <w:rFonts w:ascii="Calibri;sans-serif" w:hAnsi="Calibri;sans-serif"/>
          <w:b w:val="false"/>
          <w:color w:val="000000"/>
          <w:sz w:val="24"/>
        </w:rPr>
        <w:t>(“</w:t>
      </w:r>
      <w:r>
        <w:rPr>
          <w:rFonts w:ascii="Calibri;sans-serif" w:hAnsi="Calibri;sans-serif"/>
          <w:b/>
          <w:color w:val="000000"/>
          <w:sz w:val="24"/>
        </w:rPr>
        <w:t>Designated Employees</w:t>
      </w:r>
      <w:r>
        <w:rPr>
          <w:color w:val="000000"/>
        </w:rPr>
        <w:t>”</w:t>
      </w:r>
      <w:r>
        <w:rPr>
          <w:rFonts w:ascii="Calibri;sans-serif" w:hAnsi="Calibri;sans-serif"/>
          <w:b w:val="false"/>
          <w:color w:val="000000"/>
          <w:sz w:val="24"/>
        </w:rPr>
        <w:t>) will be asked to sign a certification promising compliance with this Policy and to certify on an annual basis to continued compliance. All other employees will be informed of this Policy periodically and are expected to comply with it.</w:t>
      </w:r>
    </w:p>
    <w:p>
      <w:pPr>
        <w:pStyle w:val="TextBody"/>
        <w:bidi w:val="0"/>
        <w:spacing w:before="10" w:after="283"/>
        <w:jc w:val="both"/>
        <w:rPr/>
      </w:pPr>
      <w:r>
        <w:rPr/>
      </w:r>
    </w:p>
    <w:p>
      <w:pPr>
        <w:pStyle w:val="TextBody"/>
        <w:bidi w:val="0"/>
        <w:spacing w:lineRule="auto" w:line="288" w:before="1" w:after="283"/>
        <w:jc w:val="both"/>
        <w:rPr>
          <w:rFonts w:ascii="Calibri;sans-serif" w:hAnsi="Calibri;sans-serif"/>
          <w:b w:val="false"/>
          <w:color w:val="000000"/>
          <w:sz w:val="24"/>
        </w:rPr>
      </w:pPr>
      <w:r>
        <w:rPr>
          <w:rFonts w:ascii="Calibri;sans-serif" w:hAnsi="Calibri;sans-serif"/>
          <w:b w:val="false"/>
          <w:color w:val="000000"/>
          <w:sz w:val="24"/>
        </w:rPr>
        <w:t>Violations of this Policy could lead to discipline by Bloomin’ Brands, which may include termination of employment or ineligibility to participate in Bloomin’ Brands’ incentive plans, as well as civil or criminal liability and other serious damage to one’s reputation and career. Transactions that may be necessary or justifiable for independent reasons (such as the need for funds for an emergency expenditure) do not excuse noncompliance with this Policy.</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33120"/>
                <wp:effectExtent l="0" t="0" r="0" b="0"/>
                <wp:wrapNone/>
                <wp:docPr id="123" name="Frame118"/>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1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1 of 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securities transactions ever become the subject of scrutiny, they are likely to be viewed “after the fact,” with the benefit of hindsight. As a result, before engaging in any transaction, directors and employees should carefully consider how a transaction may be construed in the bright light of hindsight. In the event of any questions or uncertainties about this Policy, please seek assistance from the Company’s Chief Legal Officer.</w:t>
      </w:r>
    </w:p>
    <w:p>
      <w:pPr>
        <w:pStyle w:val="TextBody"/>
        <w:bidi w:val="0"/>
        <w:spacing w:before="8" w:after="283"/>
        <w:jc w:val="both"/>
        <w:rPr/>
      </w:pPr>
      <w:r>
        <w:rPr/>
      </w:r>
    </w:p>
    <w:p>
      <w:pPr>
        <w:pStyle w:val="TextBody"/>
        <w:bidi w:val="0"/>
        <w:spacing w:lineRule="auto" w:line="288" w:before="93" w:after="283"/>
        <w:jc w:val="both"/>
        <w:rPr>
          <w:rFonts w:ascii="Calibri;sans-serif" w:hAnsi="Calibri;sans-serif"/>
          <w:b/>
          <w:color w:val="000000"/>
          <w:sz w:val="24"/>
          <w:u w:val="single"/>
        </w:rPr>
      </w:pPr>
      <w:r>
        <w:rPr>
          <w:rFonts w:ascii="Calibri;sans-serif" w:hAnsi="Calibri;sans-serif"/>
          <w:b/>
          <w:color w:val="000000"/>
          <w:sz w:val="24"/>
          <w:u w:val="single"/>
        </w:rPr>
        <w:t>POLICY</w:t>
      </w:r>
    </w:p>
    <w:p>
      <w:pPr>
        <w:pStyle w:val="TextBody"/>
        <w:bidi w:val="0"/>
        <w:spacing w:before="10" w:after="283"/>
        <w:jc w:val="both"/>
        <w:rPr/>
      </w:pPr>
      <w:r>
        <w:rPr/>
      </w:r>
    </w:p>
    <w:p>
      <w:pPr>
        <w:pStyle w:val="TextBody"/>
        <w:bidi w:val="0"/>
        <w:spacing w:lineRule="auto" w:line="288" w:before="93" w:after="283"/>
        <w:jc w:val="both"/>
        <w:rPr/>
      </w:pPr>
      <w:r>
        <w:rPr>
          <w:rFonts w:ascii="Calibri;sans-serif" w:hAnsi="Calibri;sans-serif"/>
          <w:b/>
          <w:color w:val="000000"/>
          <w:sz w:val="24"/>
          <w:u w:val="single"/>
        </w:rPr>
        <w:t>Prohibitions on Insider Trading and Treatment of Information— Applicable to Directors</w:t>
      </w:r>
      <w:r>
        <w:rPr>
          <w:color w:val="000000"/>
        </w:rPr>
        <w:t xml:space="preserve"> </w:t>
      </w:r>
      <w:r>
        <w:rPr>
          <w:rFonts w:ascii="Calibri;sans-serif" w:hAnsi="Calibri;sans-serif"/>
          <w:b/>
          <w:color w:val="000000"/>
          <w:sz w:val="24"/>
          <w:u w:val="single"/>
        </w:rPr>
        <w:t>and All Employees</w:t>
      </w:r>
    </w:p>
    <w:p>
      <w:pPr>
        <w:pStyle w:val="TextBody"/>
        <w:bidi w:val="0"/>
        <w:spacing w:before="0" w:after="0"/>
        <w:jc w:val="both"/>
        <w:rPr/>
      </w:pPr>
      <w:r>
        <w:rPr/>
      </w:r>
    </w:p>
    <w:p>
      <w:pPr>
        <w:pStyle w:val="TextBody"/>
        <w:bidi w:val="0"/>
        <w:spacing w:lineRule="auto" w:line="288" w:before="92" w:after="283"/>
        <w:jc w:val="both"/>
        <w:rPr>
          <w:rFonts w:ascii="Calibri;sans-serif" w:hAnsi="Calibri;sans-serif"/>
          <w:b w:val="false"/>
          <w:color w:val="000000"/>
          <w:sz w:val="24"/>
        </w:rPr>
      </w:pPr>
      <w:r>
        <w:rPr>
          <w:rFonts w:ascii="Calibri;sans-serif" w:hAnsi="Calibri;sans-serif"/>
          <w:b w:val="false"/>
          <w:color w:val="000000"/>
          <w:sz w:val="24"/>
        </w:rPr>
        <w:t>If a director or employee is aware of, or in possession of, material nonpublic information regarding the Company, he or she may not trade directly or indirectly in the Company’s securities or disclose (“tip”) any such information to another person until the information becomes public or is no longer material. Similarly, if a director or employee is aware of, or in possession of, material nonpublic information concerning any other publicly held company as a result of his or her employment or relationship with Bloomin’ Brands, he or she may not trade directly or indirectly in the securities of any such company or tip any such information to another person until the information becomes public or is no longer material.</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An exercise of an option for cash is not subject to the prohibition in this Policy on trading while in possession of material, non-public information. However, securities acquired upon any option exercise cannot be sold except in compliance with this Policy. Further, the prohibition in this Policy on trading while in possession of material, non-public information does not apply to the exercise of a stock withholding right pursuant to which an employee elects to have the Company withhold shares (whether pursuant to an option exercise or the vesting of restricted shares).</w:t>
      </w:r>
    </w:p>
    <w:p>
      <w:pPr>
        <w:pStyle w:val="TextBody"/>
        <w:bidi w:val="0"/>
        <w:spacing w:before="0" w:after="0"/>
        <w:jc w:val="both"/>
        <w:rPr/>
      </w:pPr>
      <w:r>
        <w:rPr/>
      </w:r>
    </w:p>
    <w:p>
      <w:pPr>
        <w:pStyle w:val="TextBody"/>
        <w:bidi w:val="0"/>
        <w:spacing w:lineRule="auto" w:line="288" w:before="1" w:after="283"/>
        <w:jc w:val="both"/>
        <w:rPr>
          <w:rFonts w:ascii="Calibri;sans-serif" w:hAnsi="Calibri;sans-serif"/>
          <w:b w:val="false"/>
          <w:color w:val="000000"/>
          <w:sz w:val="24"/>
        </w:rPr>
      </w:pPr>
      <w:r>
        <w:rPr>
          <w:rFonts w:ascii="Calibri;sans-serif" w:hAnsi="Calibri;sans-serif"/>
          <w:b w:val="false"/>
          <w:color w:val="000000"/>
          <w:sz w:val="24"/>
        </w:rPr>
        <w:t>All material information that has not been publicly disseminated should be distributed within Bloomin’ Brands strictly on a “need-to-know” basis. No director or employee is permitted to disclose such information without a corporate purpose or to use such information to his or her advantage or for the benefit of others.</w:t>
      </w:r>
    </w:p>
    <w:p>
      <w:pPr>
        <w:pStyle w:val="TextBody"/>
        <w:bidi w:val="0"/>
        <w:spacing w:before="11" w:after="283"/>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Definition of Material Information</w:t>
      </w:r>
    </w:p>
    <w:p>
      <w:pPr>
        <w:pStyle w:val="TextBody"/>
        <w:bidi w:val="0"/>
        <w:spacing w:before="10" w:after="283"/>
        <w:jc w:val="both"/>
        <w:rPr/>
      </w:pPr>
      <w:r>
        <w:rPr/>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The materiality of a fact depends upon the circumstances. In general, a fact about a company is considered “material” if a reasonable investor would consider it important in deciding to buy, hold or sell that company’s securities. In short, any information that could reasonably affect the price of Bloomin’ Brands stock is material to Bloomin’ Brands. Both positive and negative information may be material.</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Examples of material information include, but are not limited to:</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33120"/>
                <wp:effectExtent l="0" t="0" r="0" b="0"/>
                <wp:wrapNone/>
                <wp:docPr id="124" name="Frame119"/>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2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2 of 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tLeast" w:line="269" w:before="0" w:after="0"/>
        <w:ind w:left="0" w:right="0" w:hanging="361"/>
        <w:jc w:val="both"/>
        <w:rPr/>
      </w:pPr>
      <w:r>
        <w:rPr>
          <w:color w:val="000000"/>
        </w:rPr>
        <w:t>•</w:t>
      </w:r>
      <w:r>
        <w:rPr>
          <w:rFonts w:ascii="Calibri;sans-serif" w:hAnsi="Calibri;sans-serif"/>
          <w:b w:val="false"/>
          <w:color w:val="000000"/>
          <w:sz w:val="24"/>
        </w:rPr>
        <w:t>Earnings guidance and any change to previously announced guidance;</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Annual and quarterly financial or same store sale results, including preliminary results;</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Events that could result in restating financial information;</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Major management changes;</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A change in auditors;</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A large cyber event, data breach or similar incident impacting the Company;</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Certain proposed acquisitions, dispositions or joint ventures;</w:t>
      </w:r>
    </w:p>
    <w:p>
      <w:pPr>
        <w:pStyle w:val="TextBody"/>
        <w:bidi w:val="0"/>
        <w:spacing w:lineRule="auto" w:line="288" w:before="0" w:after="0"/>
        <w:ind w:left="0" w:right="0" w:hanging="360"/>
        <w:jc w:val="both"/>
        <w:rPr/>
      </w:pPr>
      <w:r>
        <w:rPr>
          <w:color w:val="000000"/>
        </w:rPr>
        <w:t>•</w:t>
      </w:r>
      <w:r>
        <w:rPr>
          <w:rFonts w:ascii="Calibri;sans-serif" w:hAnsi="Calibri;sans-serif"/>
          <w:b w:val="false"/>
          <w:color w:val="000000"/>
          <w:sz w:val="24"/>
        </w:rPr>
        <w:t>The acquisition or loss of a significant supplier or substantial change in a material supplier relationship;</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Dividend actions and stock splits;</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The establishment of a repurchase program for the Company's securities;</w:t>
      </w:r>
    </w:p>
    <w:p>
      <w:pPr>
        <w:pStyle w:val="TextBody"/>
        <w:bidi w:val="0"/>
        <w:spacing w:lineRule="atLeast" w:line="268" w:before="0" w:after="0"/>
        <w:ind w:left="0" w:right="0" w:hanging="361"/>
        <w:jc w:val="both"/>
        <w:rPr/>
      </w:pPr>
      <w:r>
        <w:rPr>
          <w:color w:val="000000"/>
        </w:rPr>
        <w:t>•</w:t>
      </w:r>
      <w:r>
        <w:rPr>
          <w:rFonts w:ascii="Calibri;sans-serif" w:hAnsi="Calibri;sans-serif"/>
          <w:b w:val="false"/>
          <w:color w:val="000000"/>
          <w:sz w:val="24"/>
        </w:rPr>
        <w:t>Pending or threatened litigation or the resolution thereof; and</w:t>
      </w:r>
    </w:p>
    <w:p>
      <w:pPr>
        <w:pStyle w:val="TextBody"/>
        <w:bidi w:val="0"/>
        <w:spacing w:lineRule="atLeast" w:line="269" w:before="0" w:after="0"/>
        <w:ind w:left="0" w:right="0" w:hanging="361"/>
        <w:jc w:val="both"/>
        <w:rPr/>
      </w:pPr>
      <w:r>
        <w:rPr>
          <w:color w:val="000000"/>
        </w:rPr>
        <w:t>•</w:t>
      </w:r>
      <w:r>
        <w:rPr>
          <w:rFonts w:ascii="Calibri;sans-serif" w:hAnsi="Calibri;sans-serif"/>
          <w:b w:val="false"/>
          <w:color w:val="000000"/>
          <w:sz w:val="24"/>
        </w:rPr>
        <w:t>Significant financing developments.</w:t>
      </w:r>
    </w:p>
    <w:p>
      <w:pPr>
        <w:pStyle w:val="TextBody"/>
        <w:bidi w:val="0"/>
        <w:spacing w:before="8" w:after="283"/>
        <w:jc w:val="both"/>
        <w:rPr/>
      </w:pPr>
      <w:r>
        <w:rPr/>
      </w:r>
    </w:p>
    <w:p>
      <w:pPr>
        <w:pStyle w:val="TextBody"/>
        <w:bidi w:val="0"/>
        <w:spacing w:lineRule="auto" w:line="288" w:before="93" w:after="283"/>
        <w:jc w:val="both"/>
        <w:rPr>
          <w:rFonts w:ascii="Calibri;sans-serif" w:hAnsi="Calibri;sans-serif"/>
          <w:b/>
          <w:color w:val="000000"/>
          <w:sz w:val="24"/>
          <w:u w:val="single"/>
        </w:rPr>
      </w:pPr>
      <w:r>
        <w:rPr>
          <w:rFonts w:ascii="Calibri;sans-serif" w:hAnsi="Calibri;sans-serif"/>
          <w:b/>
          <w:color w:val="000000"/>
          <w:sz w:val="24"/>
          <w:u w:val="single"/>
        </w:rPr>
        <w:t>Nonpublic Information</w:t>
      </w:r>
    </w:p>
    <w:p>
      <w:pPr>
        <w:pStyle w:val="TextBody"/>
        <w:bidi w:val="0"/>
        <w:spacing w:before="10" w:after="283"/>
        <w:jc w:val="both"/>
        <w:rPr/>
      </w:pPr>
      <w:r>
        <w:rPr/>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Nonpublic information is information that has not yet been made public by Bloomin’ Brands. Information is only considered public when Bloomin’ Brands makes an official announcement and the investing public has had an adequate opportunity to see or hear it. As a result, information is not generally deemed public until after the second full trading day after the information has been released. For example, if the Company were to make an announcement before the market opens on a Monday, you are not permitted to trade in Bloomin’ Brands securities until Wednesday. If the Company were to make an announcement after the market opens on Monday (whether during the trading day or after the market closes), you are not permitted to trade in Bloomin’ Brands securities until Thursday.</w:t>
      </w:r>
    </w:p>
    <w:p>
      <w:pPr>
        <w:pStyle w:val="TextBody"/>
        <w:bidi w:val="0"/>
        <w:spacing w:before="11" w:after="283"/>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Trading Suspensions</w:t>
      </w:r>
    </w:p>
    <w:p>
      <w:pPr>
        <w:pStyle w:val="TextBody"/>
        <w:bidi w:val="0"/>
        <w:spacing w:before="0" w:after="0"/>
        <w:jc w:val="both"/>
        <w:rPr/>
      </w:pPr>
      <w:r>
        <w:rPr/>
      </w:r>
    </w:p>
    <w:p>
      <w:pPr>
        <w:pStyle w:val="TextBody"/>
        <w:bidi w:val="0"/>
        <w:spacing w:lineRule="auto" w:line="288" w:before="92" w:after="283"/>
        <w:jc w:val="both"/>
        <w:rPr>
          <w:rFonts w:ascii="Calibri;sans-serif" w:hAnsi="Calibri;sans-serif"/>
          <w:b w:val="false"/>
          <w:color w:val="000000"/>
          <w:sz w:val="24"/>
        </w:rPr>
      </w:pPr>
      <w:r>
        <w:rPr>
          <w:rFonts w:ascii="Calibri;sans-serif" w:hAnsi="Calibri;sans-serif"/>
          <w:b w:val="false"/>
          <w:color w:val="000000"/>
          <w:sz w:val="24"/>
        </w:rPr>
        <w:t>In addition to any other restrictions or procedures described in this Policy, the Company may suspend trading by specified persons (including persons not identified as Designated Employees) or at specified times because of developments known to Bloomin’ Brands and not yet disclosed to the public or may require pre-clearance during a trading window for persons other than directors and Section 16 Officers. If you are advised that you may not trade in Bloomin’ Brands securities, you may not engage in any trade of any type under any circumstances, nor may you inform anyone that you have been advised that you may not trade. You should not expect to be told of the reason why you may not trade.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Additional Restrictions Applicable to Directors, Section 16 Officers and Designated Employees</w:t>
      </w:r>
    </w:p>
    <w:p>
      <w:pPr>
        <w:pStyle w:val="TextBody"/>
        <w:bidi w:val="0"/>
        <w:spacing w:before="0" w:after="0"/>
        <w:jc w:val="both"/>
        <w:rPr/>
      </w:pPr>
      <w:r>
        <w:rPr/>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To help prevent inadvertent violations of the federal securities laws and avoid the appearance of improper transactions which could result, for example, if a director, Section 16 Officer or Designated Employee engages in a trade while unaware of a pending major development, Bloomin’ Brands has implemented the following restrictions and procedures for all trades by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33120"/>
                <wp:effectExtent l="0" t="0" r="0" b="0"/>
                <wp:wrapNone/>
                <wp:docPr id="125" name="Frame120"/>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3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3 of 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Section 16 Officers and Designated Employees.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If you are subject to these additional restrictions and procedures, your immediate family members are also subject to them. For purposes of this Policy, immediate family members include your family members who reside with you, anyone else who lives in your household and any family members who do not live in your household but whose transactions in Bloomin’ Brands securities are directed by you or are subject to your influence or control (such as parents or children who consult with you before they trade in Bloomin’ Brands securities). In addition, partnerships in which you are the general partner, trusts of which you are a trustee, and estates of which you are an executor must also comply with this Policy.</w:t>
      </w:r>
    </w:p>
    <w:p>
      <w:pPr>
        <w:pStyle w:val="TextBody"/>
        <w:bidi w:val="0"/>
        <w:spacing w:before="11" w:after="283"/>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These additional restrictions and procedures also apply to gifts, stock option exercises and sales of stock acquired on exercise of options, as indicated below.</w:t>
      </w:r>
    </w:p>
    <w:p>
      <w:pPr>
        <w:pStyle w:val="TextBody"/>
        <w:bidi w:val="0"/>
        <w:spacing w:before="0" w:after="0"/>
        <w:jc w:val="both"/>
        <w:rPr/>
      </w:pPr>
      <w:r>
        <w:rPr/>
      </w:r>
    </w:p>
    <w:p>
      <w:pPr>
        <w:pStyle w:val="TextBody"/>
        <w:bidi w:val="0"/>
        <w:spacing w:lineRule="auto" w:line="288" w:before="1" w:after="283"/>
        <w:jc w:val="both"/>
        <w:rPr>
          <w:rFonts w:ascii="Calibri;sans-serif" w:hAnsi="Calibri;sans-serif"/>
          <w:b/>
          <w:color w:val="000000"/>
          <w:sz w:val="24"/>
          <w:u w:val="single"/>
        </w:rPr>
      </w:pPr>
      <w:r>
        <w:rPr>
          <w:rFonts w:ascii="Calibri;sans-serif" w:hAnsi="Calibri;sans-serif"/>
          <w:b/>
          <w:color w:val="000000"/>
          <w:sz w:val="24"/>
          <w:u w:val="single"/>
        </w:rPr>
        <w:t>Trading Windows</w:t>
      </w:r>
    </w:p>
    <w:p>
      <w:pPr>
        <w:pStyle w:val="TextBody"/>
        <w:bidi w:val="0"/>
        <w:spacing w:before="10" w:after="283"/>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Except pursuant to a pre-approved Rule 10b5-1 trading plan (described below), directors, Section 16 Officers and Designated Employees may not trade (which includes sales of stock acquired upon exercise of options but does not include stock option exercises) in Bloomin’ Brands securities except during a “trading window.” Pre-clearances described below will not be granted for trades except during a trading window. A trading window generally commences after two full trading days (days that the primary exchange on which the Company’s shares are traded is open) have elapsed following Bloomin’ Brands release of quarterly or annual earnings but could be delayed. The Company will advise you of the date that a trading window will open. Trading windows following the release of the Company’s earnings for the first, second and third quarters of each year end on the last day of the first week of the third period of the quarter in which the earnings release occurs. The trading window following the release of the Company’s earnings for the fourth quarter of each year ends on the last day of the first week of the third period of the quarter in which the earnings release occurs or, if later, five trading days after the trading window commences. The safest period for trading in Bloomin’ Brands securities, assuming the absence of material nonpublic information, is generally the first five trading days of a trading window. The Company recommends that directors, Section 16 Officers and Designated Employees execute any trades in Bloomin’ Brands securities during the first five trading days of a trading window.</w:t>
      </w:r>
    </w:p>
    <w:p>
      <w:pPr>
        <w:pStyle w:val="TextBody"/>
        <w:bidi w:val="0"/>
        <w:spacing w:before="11" w:after="283"/>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Pre-clearance Policy</w:t>
      </w:r>
    </w:p>
    <w:p>
      <w:pPr>
        <w:pStyle w:val="TextBody"/>
        <w:bidi w:val="0"/>
        <w:spacing w:before="0" w:after="0"/>
        <w:jc w:val="both"/>
        <w:rPr/>
      </w:pPr>
      <w:r>
        <w:rPr/>
      </w:r>
    </w:p>
    <w:p>
      <w:pPr>
        <w:pStyle w:val="TextBody"/>
        <w:bidi w:val="0"/>
        <w:spacing w:lineRule="auto" w:line="288" w:before="92" w:after="283"/>
        <w:jc w:val="both"/>
        <w:rPr>
          <w:rFonts w:ascii="Calibri;sans-serif" w:hAnsi="Calibri;sans-serif"/>
          <w:b w:val="false"/>
          <w:color w:val="000000"/>
          <w:sz w:val="24"/>
        </w:rPr>
      </w:pPr>
      <w:r>
        <w:rPr>
          <w:rFonts w:ascii="Calibri;sans-serif" w:hAnsi="Calibri;sans-serif"/>
          <w:b w:val="false"/>
          <w:color w:val="000000"/>
          <w:sz w:val="24"/>
        </w:rPr>
        <w:t>Directors and Section 16 Officers must obtain pre-clearance from the Company’s Chief Legal Officer for all transactions (which includes gifts, stock option exercises and sales of stock acquired on exercise of options) in Bloomin’ Brands stock. A person in one of these categories contemplating a transaction should contact the Chief Legal Officer at least three (3) business days in advance to pre-clear a trade.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 xml:space="preserve">If you receive pre-clearance for a trade, you may buy or sell the security within five (5) business days after clearance is granted, but only if you are not aware of material nonpublic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33120"/>
                <wp:effectExtent l="0" t="0" r="0" b="0"/>
                <wp:wrapNone/>
                <wp:docPr id="126" name="Frame121"/>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4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4 of 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and only if it is during a trading window. If for any reason the trade is not completed within five (5) business days, pre-clearance must be obtained again before Bloomin’ Brands securities may be traded.</w:t>
      </w:r>
    </w:p>
    <w:p>
      <w:pPr>
        <w:pStyle w:val="TextBody"/>
        <w:bidi w:val="0"/>
        <w:spacing w:before="0" w:after="0"/>
        <w:jc w:val="both"/>
        <w:rPr/>
      </w:pPr>
      <w:r>
        <w:rPr/>
      </w:r>
    </w:p>
    <w:p>
      <w:pPr>
        <w:pStyle w:val="TextBody"/>
        <w:bidi w:val="0"/>
        <w:spacing w:lineRule="auto" w:line="288" w:before="1" w:after="283"/>
        <w:jc w:val="both"/>
        <w:rPr>
          <w:rFonts w:ascii="Calibri;sans-serif" w:hAnsi="Calibri;sans-serif"/>
          <w:b w:val="false"/>
          <w:color w:val="000000"/>
          <w:sz w:val="24"/>
        </w:rPr>
      </w:pPr>
      <w:r>
        <w:rPr>
          <w:rFonts w:ascii="Calibri;sans-serif" w:hAnsi="Calibri;sans-serif"/>
          <w:b w:val="false"/>
          <w:color w:val="000000"/>
          <w:sz w:val="24"/>
        </w:rPr>
        <w:t>If, after requesting pre-clearance, you are advised that you may not trade in Bloomin’ Brands securities, you may not engage in any trade of any type under any circumstances, nor may you inform anyone that you have been advised that you may not trade. You should not expect to be told of the reason why pre-clearance was not granted.</w:t>
      </w:r>
    </w:p>
    <w:p>
      <w:pPr>
        <w:pStyle w:val="TextBody"/>
        <w:bidi w:val="0"/>
        <w:spacing w:before="11" w:after="283"/>
        <w:jc w:val="both"/>
        <w:rPr/>
      </w:pPr>
      <w:r>
        <w:rPr/>
      </w:r>
    </w:p>
    <w:p>
      <w:pPr>
        <w:pStyle w:val="TextBody"/>
        <w:bidi w:val="0"/>
        <w:spacing w:lineRule="auto" w:line="288" w:before="0" w:after="0"/>
        <w:jc w:val="both"/>
        <w:rPr/>
      </w:pPr>
      <w:r>
        <w:rPr>
          <w:rFonts w:ascii="Calibri;sans-serif" w:hAnsi="Calibri;sans-serif"/>
          <w:b w:val="false"/>
          <w:color w:val="000000"/>
          <w:sz w:val="24"/>
        </w:rPr>
        <w:t xml:space="preserve">Designated Employees that are not directors or Section 16 Officers are not required to obtain pre-clearance for trades unless informed otherwise – see </w:t>
      </w:r>
      <w:r>
        <w:rPr>
          <w:rFonts w:ascii="Calibri;sans-serif" w:hAnsi="Calibri;sans-serif"/>
          <w:b/>
          <w:color w:val="000000"/>
          <w:sz w:val="24"/>
        </w:rPr>
        <w:t xml:space="preserve">Trading Suspensions </w:t>
      </w:r>
      <w:r>
        <w:rPr>
          <w:rFonts w:ascii="Calibri;sans-serif" w:hAnsi="Calibri;sans-serif"/>
          <w:b w:val="false"/>
          <w:color w:val="000000"/>
          <w:sz w:val="24"/>
        </w:rPr>
        <w:t>above. However, Designated Employees are limited to trading during the “trading window” described above.</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Rule 10b5-1 Trading Plans; Pre-Clearance Policy for Rule 10b5-1 Trading Plans</w:t>
      </w:r>
    </w:p>
    <w:p>
      <w:pPr>
        <w:pStyle w:val="TextBody"/>
        <w:bidi w:val="0"/>
        <w:spacing w:before="10" w:after="283"/>
        <w:jc w:val="both"/>
        <w:rPr/>
      </w:pPr>
      <w:r>
        <w:rPr/>
      </w:r>
    </w:p>
    <w:p>
      <w:pPr>
        <w:pStyle w:val="TextBody"/>
        <w:bidi w:val="0"/>
        <w:spacing w:lineRule="auto" w:line="288" w:before="93" w:after="283"/>
        <w:jc w:val="both"/>
        <w:rPr/>
      </w:pPr>
      <w:r>
        <w:rPr>
          <w:rFonts w:ascii="Calibri;sans-serif" w:hAnsi="Calibri;sans-serif"/>
          <w:b w:val="false"/>
          <w:color w:val="000000"/>
          <w:sz w:val="24"/>
        </w:rPr>
        <w:t>Notwithstanding the general prohibition against trading while aware of, or in possession of, material nonpublic information, directors and employees of Bloomin’ Brands may execute trades in Bloomin’ Brands securities at any time if such trades are pursuant to a prearranged written trading contract, instruction or program that: (a) complies with Rule 10b5-1 of the Securities Exchange Act of 1934; (b) is entered into at a time when such employee is not aware of, or in possession of, any material nonpublic information and signs a certification to that effect, (c) is approved by Bloomin’ Brands’ Chief Legal Officer or his/her designee, and (d) is entered into and operated in good faith (“</w:t>
      </w:r>
      <w:r>
        <w:rPr>
          <w:rFonts w:ascii="Calibri;sans-serif" w:hAnsi="Calibri;sans-serif"/>
          <w:b/>
          <w:color w:val="000000"/>
          <w:sz w:val="24"/>
        </w:rPr>
        <w:t>10b5-1 Plan</w:t>
      </w:r>
      <w:r>
        <w:rPr>
          <w:color w:val="000000"/>
        </w:rPr>
        <w:t>”</w:t>
      </w:r>
      <w:r>
        <w:rPr>
          <w:rFonts w:ascii="Calibri;sans-serif" w:hAnsi="Calibri;sans-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Calibri;sans-serif" w:hAnsi="Calibri;sans-serif"/>
          <w:b w:val="false"/>
          <w:color w:val="000000"/>
          <w:sz w:val="24"/>
        </w:rPr>
      </w:pPr>
      <w:r>
        <w:rPr>
          <w:rFonts w:ascii="Calibri;sans-serif" w:hAnsi="Calibri;sans-serif"/>
          <w:b w:val="false"/>
          <w:color w:val="000000"/>
          <w:sz w:val="24"/>
        </w:rPr>
        <w:t>Directors, Section 16 Officers and Designated Employees may not implement a 10b5-1 Plan without prior clearance from the Chief Legal Officer. You should seek pre-clearance of your plan from the Chief Legal Officer at least one (1) week in advance of the time you plan to enter into it. You may only enter into a 10b5-1 Plan when you are not aware of, or in possession of, material nonpublic information. Trades made pursuant to the plan will not require additional pre-clearance. For directors and Section 16 Officers, 10b5-1 Plans should provide that the broker will advise the Company of all transactions made under the plan, since such transactions need to be promptly reported on Form 4.</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Pledges and Margin Accounts</w:t>
      </w:r>
    </w:p>
    <w:p>
      <w:pPr>
        <w:pStyle w:val="TextBody"/>
        <w:bidi w:val="0"/>
        <w:spacing w:before="10" w:after="283"/>
        <w:jc w:val="both"/>
        <w:rPr/>
      </w:pPr>
      <w:r>
        <w:rPr/>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Directors, Section 16 Officers and Designated Employees may not hold Bloomin’ Brands securities in a margin account and may not pledge Bloomin’ Brands securities as collateral for a loan.</w: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4"/>
          <w:u w:val="single"/>
        </w:rPr>
      </w:pPr>
      <w:r>
        <w:rPr>
          <w:rFonts w:ascii="Calibri;sans-serif" w:hAnsi="Calibri;sans-serif"/>
          <w:b/>
          <w:color w:val="000000"/>
          <w:sz w:val="24"/>
          <w:u w:val="single"/>
        </w:rPr>
        <w:t>Trading in Derivatives and Other Hedging Transactions</w:t>
      </w:r>
    </w:p>
    <w:p>
      <w:pPr>
        <w:pStyle w:val="TextBody"/>
        <w:bidi w:val="0"/>
        <w:spacing w:before="11" w:after="283"/>
        <w:jc w:val="left"/>
        <w:rPr/>
      </w:pPr>
      <w:r>
        <w:rPr/>
      </w:r>
    </w:p>
    <w:p>
      <w:pPr>
        <w:pStyle w:val="TextBody"/>
        <w:bidi w:val="0"/>
        <w:spacing w:lineRule="auto" w:line="288" w:before="92" w:after="283"/>
        <w:jc w:val="both"/>
        <w:rPr>
          <w:rFonts w:ascii="Calibri;sans-serif" w:hAnsi="Calibri;sans-serif"/>
          <w:b w:val="false"/>
          <w:color w:val="000000"/>
          <w:sz w:val="24"/>
        </w:rPr>
      </w:pPr>
      <w:r>
        <w:rPr>
          <w:rFonts w:ascii="Calibri;sans-serif" w:hAnsi="Calibri;sans-serif"/>
          <w:b w:val="false"/>
          <w:color w:val="000000"/>
          <w:sz w:val="24"/>
        </w:rPr>
        <w:t xml:space="preserve">Directors, Section 16 Officers and Designated Employees may not engage in short sales or invest in other kinds of hedging transactions or financial instruments (including prepaid variable forward contracts, equity swaps, collars and exchange funds) that are designed to hedge or offset any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33120"/>
                <wp:effectExtent l="0" t="0" r="0" b="0"/>
                <wp:wrapNone/>
                <wp:docPr id="127" name="Frame122"/>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5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5 of 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92" w:after="283"/>
        <w:jc w:val="both"/>
        <w:rPr>
          <w:rFonts w:ascii="Calibri;sans-serif" w:hAnsi="Calibri;sans-serif"/>
          <w:b w:val="false"/>
          <w:color w:val="000000"/>
          <w:sz w:val="24"/>
        </w:rPr>
      </w:pPr>
      <w:r>
        <w:rPr>
          <w:rFonts w:ascii="Calibri;sans-serif" w:hAnsi="Calibri;sans-serif"/>
          <w:b w:val="false"/>
          <w:color w:val="000000"/>
          <w:sz w:val="24"/>
        </w:rPr>
        <w:t>decrease in the market value of Bloomin’ Brands securities.</w:t>
      </w:r>
    </w:p>
    <w:p>
      <w:pPr>
        <w:pStyle w:val="TextBody"/>
        <w:bidi w:val="0"/>
        <w:spacing w:before="0" w:after="0"/>
        <w:jc w:val="both"/>
        <w:rPr/>
      </w:pPr>
      <w:r>
        <w:rPr/>
      </w:r>
    </w:p>
    <w:p>
      <w:pPr>
        <w:pStyle w:val="TextBody"/>
        <w:bidi w:val="0"/>
        <w:spacing w:lineRule="auto" w:line="288" w:before="0" w:after="0"/>
        <w:jc w:val="both"/>
        <w:rPr>
          <w:rFonts w:ascii="Calibri;sans-serif" w:hAnsi="Calibri;sans-serif"/>
          <w:b/>
          <w:color w:val="000000"/>
          <w:sz w:val="24"/>
          <w:u w:val="single"/>
        </w:rPr>
      </w:pPr>
      <w:r>
        <w:rPr>
          <w:rFonts w:ascii="Calibri;sans-serif" w:hAnsi="Calibri;sans-serif"/>
          <w:b/>
          <w:color w:val="000000"/>
          <w:sz w:val="24"/>
          <w:u w:val="single"/>
        </w:rPr>
        <w:t>Company Assistance</w:t>
      </w:r>
    </w:p>
    <w:p>
      <w:pPr>
        <w:pStyle w:val="TextBody"/>
        <w:bidi w:val="0"/>
        <w:spacing w:before="0" w:after="0"/>
        <w:jc w:val="both"/>
        <w:rPr/>
      </w:pPr>
      <w:r>
        <w:rPr/>
      </w:r>
    </w:p>
    <w:p>
      <w:pPr>
        <w:pStyle w:val="TextBody"/>
        <w:bidi w:val="0"/>
        <w:spacing w:lineRule="auto" w:line="288" w:before="93" w:after="283"/>
        <w:jc w:val="both"/>
        <w:rPr>
          <w:rFonts w:ascii="Calibri;sans-serif" w:hAnsi="Calibri;sans-serif"/>
          <w:b w:val="false"/>
          <w:color w:val="000000"/>
          <w:sz w:val="24"/>
        </w:rPr>
      </w:pPr>
      <w:r>
        <w:rPr>
          <w:rFonts w:ascii="Calibri;sans-serif" w:hAnsi="Calibri;sans-serif"/>
          <w:b w:val="false"/>
          <w:color w:val="000000"/>
          <w:sz w:val="24"/>
        </w:rPr>
        <w:t>Any questions regarding this Policy in general or the application of this Policy to a particular case should be directed to Bloomin’ Brands’ Chief Legal Officer. All employees should remember that the ultimate responsibility for adhering to this Policy and avoiding improper transactions rests with the individual and will require the exercise of his or her best judgment.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33120"/>
                <wp:effectExtent l="0" t="0" r="0" b="0"/>
                <wp:wrapNone/>
                <wp:docPr id="128" name="Frame123"/>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r>
                                    <w:br w:type="page"/>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6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0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6 of 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center"/>
        <w:rPr>
          <w:rFonts w:ascii="Calibri;sans-serif" w:hAnsi="Calibri;sans-serif"/>
          <w:b/>
          <w:color w:val="000000"/>
          <w:sz w:val="24"/>
          <w:u w:val="single"/>
        </w:rPr>
      </w:pPr>
      <w:r>
        <w:rPr>
          <w:rFonts w:ascii="Calibri;sans-serif" w:hAnsi="Calibri;sans-serif"/>
          <w:b/>
          <w:color w:val="000000"/>
          <w:sz w:val="24"/>
          <w:u w:val="single"/>
        </w:rPr>
        <w:t>EXHIBIT A</w:t>
      </w:r>
    </w:p>
    <w:p>
      <w:pPr>
        <w:pStyle w:val="TextBody"/>
        <w:bidi w:val="0"/>
        <w:spacing w:lineRule="auto" w:line="288" w:before="194" w:after="283"/>
        <w:jc w:val="center"/>
        <w:rPr>
          <w:rFonts w:ascii="Calibri;sans-serif" w:hAnsi="Calibri;sans-serif"/>
          <w:b/>
          <w:color w:val="000000"/>
          <w:sz w:val="24"/>
          <w:u w:val="single"/>
        </w:rPr>
      </w:pPr>
      <w:r>
        <w:rPr>
          <w:rFonts w:ascii="Calibri;sans-serif" w:hAnsi="Calibri;sans-serif"/>
          <w:b/>
          <w:color w:val="000000"/>
          <w:sz w:val="24"/>
          <w:u w:val="single"/>
        </w:rPr>
        <w:t>Designated Employees</w:t>
      </w:r>
    </w:p>
    <w:p>
      <w:pPr>
        <w:pStyle w:val="TextBody"/>
        <w:bidi w:val="0"/>
        <w:spacing w:before="2" w:after="283"/>
        <w:jc w:val="left"/>
        <w:rPr/>
      </w:pPr>
      <w:r>
        <w:rPr/>
      </w:r>
    </w:p>
    <w:p>
      <w:pPr>
        <w:pStyle w:val="TextBody"/>
        <w:bidi w:val="0"/>
        <w:spacing w:lineRule="atLeast" w:line="261" w:before="0" w:after="0"/>
        <w:ind w:left="0" w:right="0" w:hanging="360"/>
        <w:jc w:val="left"/>
        <w:rPr/>
      </w:pPr>
      <w:r>
        <w:rPr>
          <w:color w:val="000000"/>
        </w:rPr>
        <w:t>•</w:t>
      </w:r>
      <w:r>
        <w:rPr>
          <w:rFonts w:ascii="Calibri;sans-serif" w:hAnsi="Calibri;sans-serif"/>
          <w:b w:val="false"/>
          <w:color w:val="000000"/>
          <w:sz w:val="24"/>
        </w:rPr>
        <w:t>All members of Executive Leadership Team (ELT)</w:t>
      </w:r>
    </w:p>
    <w:p>
      <w:pPr>
        <w:pStyle w:val="TextBody"/>
        <w:bidi w:val="0"/>
        <w:spacing w:lineRule="atLeast" w:line="253" w:before="0" w:after="0"/>
        <w:ind w:left="0" w:right="0" w:hanging="360"/>
        <w:jc w:val="left"/>
        <w:rPr/>
      </w:pPr>
      <w:r>
        <w:rPr>
          <w:color w:val="000000"/>
        </w:rPr>
        <w:t>•</w:t>
      </w:r>
      <w:r>
        <w:rPr>
          <w:rFonts w:ascii="Calibri;sans-serif" w:hAnsi="Calibri;sans-serif"/>
          <w:b w:val="false"/>
          <w:color w:val="000000"/>
          <w:sz w:val="24"/>
        </w:rPr>
        <w:t>All executive assistants to ELT members</w:t>
      </w:r>
    </w:p>
    <w:p>
      <w:pPr>
        <w:pStyle w:val="TextBody"/>
        <w:bidi w:val="0"/>
        <w:spacing w:lineRule="atLeast" w:line="253" w:before="0" w:after="0"/>
        <w:ind w:left="0" w:right="0" w:hanging="360"/>
        <w:jc w:val="left"/>
        <w:rPr/>
      </w:pPr>
      <w:r>
        <w:rPr>
          <w:color w:val="000000"/>
        </w:rPr>
        <w:t>•</w:t>
      </w:r>
      <w:r>
        <w:rPr>
          <w:rFonts w:ascii="Calibri;sans-serif" w:hAnsi="Calibri;sans-serif"/>
          <w:b w:val="false"/>
          <w:color w:val="000000"/>
          <w:sz w:val="24"/>
        </w:rPr>
        <w:t>All employees at level of Vice President or above</w:t>
      </w:r>
    </w:p>
    <w:p>
      <w:pPr>
        <w:pStyle w:val="TextBody"/>
        <w:bidi w:val="0"/>
        <w:spacing w:lineRule="auto" w:line="261" w:before="3" w:after="283"/>
        <w:ind w:left="0" w:right="0" w:hanging="360"/>
        <w:jc w:val="left"/>
        <w:rPr/>
      </w:pPr>
      <w:r>
        <w:rPr>
          <w:color w:val="000000"/>
        </w:rPr>
        <w:t>•</w:t>
      </w:r>
      <w:r>
        <w:rPr>
          <w:rFonts w:ascii="Calibri;sans-serif" w:hAnsi="Calibri;sans-serif"/>
          <w:b w:val="false"/>
          <w:color w:val="000000"/>
          <w:sz w:val="24"/>
        </w:rPr>
        <w:t>All members of Human Resources Department involved in the administration of the Company’s stock plans</w:t>
      </w:r>
    </w:p>
    <w:p>
      <w:pPr>
        <w:pStyle w:val="TextBody"/>
        <w:bidi w:val="0"/>
        <w:spacing w:lineRule="atLeast" w:line="261" w:before="3" w:after="283"/>
        <w:ind w:left="0" w:right="0" w:hanging="360"/>
        <w:jc w:val="left"/>
        <w:rPr/>
      </w:pPr>
      <w:r>
        <w:rPr>
          <w:color w:val="000000"/>
        </w:rPr>
        <w:t>•</w:t>
      </w:r>
      <w:r>
        <w:rPr>
          <w:rFonts w:ascii="Calibri;sans-serif" w:hAnsi="Calibri;sans-serif"/>
          <w:b w:val="false"/>
          <w:color w:val="000000"/>
          <w:sz w:val="24"/>
        </w:rPr>
        <w:t>All Directors and above in Human Resources Department</w:t>
      </w:r>
    </w:p>
    <w:p>
      <w:pPr>
        <w:pStyle w:val="TextBody"/>
        <w:bidi w:val="0"/>
        <w:spacing w:lineRule="atLeast" w:line="261" w:before="3" w:after="283"/>
        <w:ind w:left="0" w:right="0" w:hanging="360"/>
        <w:jc w:val="left"/>
        <w:rPr/>
      </w:pPr>
      <w:r>
        <w:rPr>
          <w:color w:val="000000"/>
        </w:rPr>
        <w:t>•</w:t>
      </w:r>
      <w:r>
        <w:rPr>
          <w:rFonts w:ascii="Calibri;sans-serif" w:hAnsi="Calibri;sans-serif"/>
          <w:b w:val="false"/>
          <w:color w:val="000000"/>
          <w:sz w:val="24"/>
        </w:rPr>
        <w:t>All Directors and above in Corporate Communications Department</w:t>
      </w:r>
    </w:p>
    <w:p>
      <w:pPr>
        <w:pStyle w:val="TextBody"/>
        <w:bidi w:val="0"/>
        <w:spacing w:lineRule="atLeast" w:line="261" w:before="3" w:after="283"/>
        <w:ind w:left="0" w:right="0" w:hanging="360"/>
        <w:jc w:val="left"/>
        <w:rPr/>
      </w:pPr>
      <w:r>
        <w:rPr>
          <w:color w:val="000000"/>
        </w:rPr>
        <w:t>•</w:t>
      </w:r>
      <w:r>
        <w:rPr>
          <w:rFonts w:ascii="Calibri;sans-serif" w:hAnsi="Calibri;sans-serif"/>
          <w:b w:val="false"/>
          <w:color w:val="000000"/>
          <w:sz w:val="24"/>
        </w:rPr>
        <w:t xml:space="preserve">All Directors and above in Supply Chain Department </w:t>
      </w:r>
    </w:p>
    <w:p>
      <w:pPr>
        <w:pStyle w:val="TextBody"/>
        <w:bidi w:val="0"/>
        <w:spacing w:lineRule="atLeast" w:line="253" w:before="0" w:after="0"/>
        <w:ind w:left="0" w:right="0" w:hanging="360"/>
        <w:jc w:val="left"/>
        <w:rPr/>
      </w:pPr>
      <w:r>
        <w:rPr>
          <w:color w:val="000000"/>
        </w:rPr>
        <w:t>•</w:t>
      </w:r>
      <w:r>
        <w:rPr>
          <w:rFonts w:ascii="Calibri;sans-serif" w:hAnsi="Calibri;sans-serif"/>
          <w:b w:val="false"/>
          <w:color w:val="000000"/>
          <w:sz w:val="24"/>
        </w:rPr>
        <w:t xml:space="preserve">All Managers and above in Finance &amp; Accounting Department </w:t>
      </w:r>
    </w:p>
    <w:p>
      <w:pPr>
        <w:pStyle w:val="TextBody"/>
        <w:bidi w:val="0"/>
        <w:spacing w:lineRule="atLeast" w:line="253" w:before="0" w:after="0"/>
        <w:ind w:left="0" w:right="0" w:hanging="360"/>
        <w:jc w:val="left"/>
        <w:rPr/>
      </w:pPr>
      <w:r>
        <w:rPr>
          <w:color w:val="000000"/>
        </w:rPr>
        <w:t>•</w:t>
      </w:r>
      <w:r>
        <w:rPr>
          <w:rFonts w:ascii="Calibri;sans-serif" w:hAnsi="Calibri;sans-serif"/>
          <w:b w:val="false"/>
          <w:color w:val="000000"/>
          <w:sz w:val="24"/>
        </w:rPr>
        <w:t xml:space="preserve">All Managers and above in IT Department </w:t>
      </w:r>
    </w:p>
    <w:p>
      <w:pPr>
        <w:pStyle w:val="TextBody"/>
        <w:bidi w:val="0"/>
        <w:spacing w:lineRule="auto" w:line="261" w:before="3" w:after="283"/>
        <w:ind w:left="0" w:right="0" w:hanging="360"/>
        <w:jc w:val="left"/>
        <w:rPr/>
      </w:pPr>
      <w:r>
        <w:rPr>
          <w:color w:val="000000"/>
        </w:rPr>
        <w:t>•</w:t>
      </w:r>
      <w:r>
        <w:rPr>
          <w:rFonts w:ascii="Calibri;sans-serif" w:hAnsi="Calibri;sans-serif"/>
          <w:b w:val="false"/>
          <w:color w:val="000000"/>
          <w:sz w:val="24"/>
        </w:rPr>
        <w:t>All employees receiving Bloomin’ Brands company-wide or Outback Steakhouse concept- wide sales reports</w:t>
      </w:r>
    </w:p>
    <w:p>
      <w:pPr>
        <w:pStyle w:val="TextBody"/>
        <w:bidi w:val="0"/>
        <w:spacing w:lineRule="auto" w:line="261" w:before="3" w:after="283"/>
        <w:ind w:left="0" w:right="0" w:hanging="360"/>
        <w:jc w:val="left"/>
        <w:rPr/>
      </w:pPr>
      <w:r>
        <w:rPr>
          <w:color w:val="000000"/>
        </w:rPr>
        <w:t>•</w:t>
      </w:r>
      <w:r>
        <w:rPr>
          <w:rFonts w:ascii="Calibri;sans-serif" w:hAnsi="Calibri;sans-serif"/>
          <w:b w:val="false"/>
          <w:color w:val="000000"/>
          <w:sz w:val="24"/>
        </w:rPr>
        <w:t xml:space="preserve">All Outback Steakhouse Management at level of RVP or above </w:t>
      </w:r>
    </w:p>
    <w:p>
      <w:pPr>
        <w:pStyle w:val="TextBody"/>
        <w:bidi w:val="0"/>
        <w:spacing w:lineRule="auto" w:line="288" w:before="3" w:after="283"/>
        <w:ind w:left="0" w:right="0" w:hanging="360"/>
        <w:jc w:val="left"/>
        <w:rPr/>
      </w:pPr>
      <w:r>
        <w:rPr>
          <w:color w:val="000000"/>
        </w:rPr>
        <w:t>•</w:t>
      </w:r>
      <w:r>
        <w:rPr>
          <w:rFonts w:ascii="Calibri;sans-serif" w:hAnsi="Calibri;sans-serif"/>
          <w:b w:val="false"/>
          <w:color w:val="000000"/>
          <w:sz w:val="24"/>
        </w:rPr>
        <w:t>All employees who attend or receive Disclosure Committee materials</w:t>
      </w:r>
    </w:p>
    <w:p>
      <w:pPr>
        <w:pStyle w:val="TextBody"/>
        <w:bidi w:val="0"/>
        <w:spacing w:before="0" w:after="0"/>
        <w:jc w:val="left"/>
        <w:rPr/>
      </w:pPr>
      <w:r>
        <w:rPr/>
      </w:r>
    </w:p>
    <w:p>
      <w:pPr>
        <w:pStyle w:val="TextBody"/>
        <w:bidi w:val="0"/>
        <w:spacing w:lineRule="auto" w:line="288" w:before="201" w:after="283"/>
        <w:jc w:val="left"/>
        <w:rPr>
          <w:rFonts w:ascii="Calibri;sans-serif" w:hAnsi="Calibri;sans-serif"/>
          <w:b w:val="false"/>
          <w:color w:val="000000"/>
          <w:sz w:val="24"/>
        </w:rPr>
      </w:pPr>
      <w:r>
        <w:rPr>
          <w:rFonts w:ascii="Calibri;sans-serif" w:hAnsi="Calibri;sans-serif"/>
          <w:b w:val="false"/>
          <w:color w:val="000000"/>
          <w:sz w:val="24"/>
        </w:rPr>
        <w:t>The Company’s Compliance and Culture Steering Committee, as successor to the Compliance Steering Committee, is authorized to add categories of employees to the list above, as necessary.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33120"/>
                <wp:effectExtent l="0" t="0" r="0" b="0"/>
                <wp:wrapNone/>
                <wp:docPr id="129" name="Frame124"/>
                <a:graphic xmlns:a="http://schemas.openxmlformats.org/drawingml/2006/main">
                  <a:graphicData uri="http://schemas.microsoft.com/office/word/2010/wordprocessingShape">
                    <wps:wsp>
                      <wps:cNvSpPr txBox="1"/>
                      <wps:spPr>
                        <a:xfrm>
                          <a:off x="0" y="0"/>
                          <a:ext cx="6480175" cy="833120"/>
                        </a:xfrm>
                        <a:prstGeom prst="rect"/>
                        <a:solidFill>
                          <a:srgbClr val="FFFFFF"/>
                        </a:solidFill>
                      </wps:spPr>
                      <wps:txb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7 of 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6pt;mso-wrap-distance-left:0pt;mso-wrap-distance-right:0pt;mso-wrap-distance-top:0pt;mso-wrap-distance-bottom:0pt;margin-top:0pt;mso-position-vertical:top;mso-position-vertical-relative:text;margin-left:-425.15pt;mso-position-horizontal:left;mso-position-horizontal-relative:text">
                <v:textbox>
                  <w:txbxContent>
                    <w:tbl>
                      <w:tblPr>
                        <w:tblW w:w="9074" w:type="dxa"/>
                        <w:jc w:val="left"/>
                        <w:tblInd w:w="0" w:type="dxa"/>
                        <w:tblLayout w:type="fixed"/>
                        <w:tblCellMar>
                          <w:top w:w="28" w:type="dxa"/>
                          <w:left w:w="28" w:type="dxa"/>
                          <w:bottom w:w="28" w:type="dxa"/>
                          <w:right w:w="28" w:type="dxa"/>
                        </w:tblCellMar>
                      </w:tblPr>
                      <w:tblGrid>
                        <w:gridCol w:w="2944"/>
                        <w:gridCol w:w="2583"/>
                        <w:gridCol w:w="2602"/>
                        <w:gridCol w:w="275"/>
                        <w:gridCol w:w="275"/>
                        <w:gridCol w:w="395"/>
                      </w:tblGrid>
                      <w:tr>
                        <w:trPr/>
                        <w:tc>
                          <w:tcPr>
                            <w:tcW w:w="2944"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Amended: April 12, 2017, February 12, 2019, April 17, 2020, Sept 09, 2021, February 7, 2023, October 9, 2023</w:t>
                              <w:br/>
                              <w:t>Initial Effective Date: July 29,2014</w:t>
                            </w:r>
                          </w:p>
                        </w:tc>
                        <w:tc>
                          <w:tcPr>
                            <w:tcW w:w="945" w:type="dxa"/>
                            <w:gridSpan w:val="3"/>
                            <w:tcBorders/>
                            <w:tcMar>
                              <w:top w:w="0" w:type="dxa"/>
                              <w:left w:w="0" w:type="dxa"/>
                              <w:bottom w:w="0" w:type="dxa"/>
                              <w:right w:w="0" w:type="dxa"/>
                            </w:tcMar>
                            <w:vAlign w:val="center"/>
                          </w:tcPr>
                          <w:p>
                            <w:pPr>
                              <w:pStyle w:val="TableContents"/>
                              <w:bidi w:val="0"/>
                              <w:spacing w:lineRule="auto" w:line="288" w:before="13" w:after="283"/>
                              <w:jc w:val="right"/>
                              <w:rPr>
                                <w:rFonts w:ascii="Times New Roman;sans-serif" w:hAnsi="Times New Roman;sans-serif"/>
                                <w:b w:val="false"/>
                                <w:color w:val="000000"/>
                                <w:sz w:val="16"/>
                              </w:rPr>
                            </w:pPr>
                            <w:r>
                              <w:rPr>
                                <w:rFonts w:ascii="Times New Roman;sans-serif" w:hAnsi="Times New Roman;sans-serif"/>
                                <w:b w:val="false"/>
                                <w:color w:val="000000"/>
                                <w:sz w:val="16"/>
                              </w:rPr>
                              <w:t>Page 7 of 6</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9"/>
        <w:gridCol w:w="1128"/>
        <w:gridCol w:w="1135"/>
        <w:gridCol w:w="109"/>
        <w:gridCol w:w="109"/>
        <w:gridCol w:w="109"/>
        <w:gridCol w:w="1850"/>
        <w:gridCol w:w="1850"/>
        <w:gridCol w:w="2626"/>
      </w:tblGrid>
      <w:tr>
        <w:trPr/>
        <w:tc>
          <w:tcPr>
            <w:tcW w:w="128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55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r>
      <w:tr>
        <w:trPr/>
        <w:tc>
          <w:tcPr>
            <w:tcW w:w="355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Annapolis Outback,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BBI International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BBI Ristorante Italiano,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 Air Outback,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 Nebraska,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 New Jersey Services,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 Oklahoma,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 Pennsylvania Services,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BFG/FPS of Marlton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 Brands Holdings I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 Brands Holdings II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 Group Holdings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 Group Restaurants,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 No.1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HK</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Bloomin’ Brands Gift Card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Bloomin’ Brands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Bloomin Puerto Rico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CI</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Baltimore County,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Beverages,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Bonefish Brandywine,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Designated Partner,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Grill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Grill,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Kansas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KS</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of Bel Air,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 of Gaithersburg,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Bonefish/Anne Arundel,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Bonefish/Asheville,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Bonefish/Carolinas,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Bonefish/Columbus-I,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Bonefish/Crescent Springs,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Bonefish/Fredericksburg,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Bonefish/Glen Burnie,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Bonefish/Greensboro,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Bonefish/Hyde Park,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Bonefish/Newport News,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Bonefish/Richmond,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Bonefish/Southern Virginia,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Bonefish/Virginia,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Designated Partner,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Italian Grill of Howard County,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Italian Grill of Overlea,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Italian Grill,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Kansas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KS</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of Bowie,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of Germantown,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of Ocean City,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of Pasadena,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 of Waldorf,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Carrabba’s/Birmingham 280,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Carrabba’s/DC-I,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CIG Omaha,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CIGI Beverages of Texas,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99"/>
        <w:gridCol w:w="1226"/>
        <w:gridCol w:w="1232"/>
        <w:gridCol w:w="109"/>
        <w:gridCol w:w="109"/>
        <w:gridCol w:w="109"/>
        <w:gridCol w:w="1761"/>
        <w:gridCol w:w="1761"/>
        <w:gridCol w:w="2499"/>
      </w:tblGrid>
      <w:tr>
        <w:trPr/>
        <w:tc>
          <w:tcPr>
            <w:tcW w:w="139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r>
      <w:tr>
        <w:trPr/>
        <w:tc>
          <w:tcPr>
            <w:tcW w:w="38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CIGI Florida Services,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CIGI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CIGI Oklahoma,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CIGI/BFG of East Brunswick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DoorSide,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Dutch Holdings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Fleming’s Beverages,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Fleming’s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Fleming’s of Baltimore,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Fleming’s/Outback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FPS NEBRASKA,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FPS Oklahoma,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Frederick Outback,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Hagerstown Outback,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Private Restaurant Properties,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OBTex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Ocean City Outback,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 Management,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 Niagara Falls,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 Prime,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 Realty,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 Restaurant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 Florida Services,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 Nebraska,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 New York Services,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 Oklahoma,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 Virginia Services,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OSF/BFG of Deptford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OSF/BFG of Lawrenceville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OSF/CIGI of Evesham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 HoldCo,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 HoldCo 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 HoldCo II,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 Restaurant Partners,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OSI/Fleming’s,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&amp; Carrabba’s of New Mexico,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Alabama,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AL</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Beverages of Texas,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TX</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Designated Partner,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Kansas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KS</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Aspen Hill,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Calvert County,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Outback of Carroll County,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Conway,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Germantown,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La Plata,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Laurel,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Outback of Silver Spring,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of Waldorf,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Outback Philippines Development Holdings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PI</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Puerto Rico Designated Partner,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3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International Investments,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CI</w:t>
            </w:r>
          </w:p>
        </w:tc>
      </w:tr>
      <w:tr>
        <w:trPr/>
        <w:tc>
          <w:tcPr>
            <w:tcW w:w="3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International,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92"/>
        <w:gridCol w:w="1342"/>
        <w:gridCol w:w="1351"/>
        <w:gridCol w:w="109"/>
        <w:gridCol w:w="109"/>
        <w:gridCol w:w="109"/>
        <w:gridCol w:w="1636"/>
        <w:gridCol w:w="1636"/>
        <w:gridCol w:w="2321"/>
      </w:tblGrid>
      <w:tr>
        <w:trPr/>
        <w:tc>
          <w:tcPr>
            <w:tcW w:w="159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SUBSIDIARY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Canton,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Florida,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Howard County,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Jonesboro,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Salisbury,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of St. Mary’s County,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Restaurantes Brasil, S.A. (f/k/a Bloom Holdco)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BR</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 Steakhouse West Virginia,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WV</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Outback/Carrabba’s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Outback/Fleming’s Designated Partner,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Outback/Stone-II,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FL</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Outback-Carrabba’s of Hunt Valley,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Owings Mills Incorporated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Perry Hall Outback,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Prince George’s County Outback,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MD</w:t>
            </w:r>
          </w:p>
        </w:tc>
      </w:tr>
      <w:tr>
        <w:trPr/>
        <w:tc>
          <w:tcPr>
            <w:tcW w:w="4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Private Restaurant Master Lessee,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w:t>
            </w:r>
          </w:p>
        </w:tc>
      </w:tr>
      <w:tr>
        <w:trPr/>
        <w:tc>
          <w:tcPr>
            <w:tcW w:w="4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Xuanmei Food and Beverage (Shanghai)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480" w:after="48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CONSENT OF INDEPENDENT REGISTERED PUBLIC ACCOUNTING FIRM</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hereby consent to the incorporation by reference in the Registration Statements on Form S-8 (Nos. 333-183270, 333-187035, 333-194261, 333-202259, 333-209691, 333-210868 and 333-238805) of Bloomin’ Brands, Inc. of our report dated February 26, 2025 relating to the financial statements and the effectiveness of internal control over financial reporting, which appears in this 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PricewaterhouseCoopers LLP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Tampa, Florida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Annual Report on Form 10-K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5294" w:type="dxa"/>
        <w:jc w:val="center"/>
        <w:tblInd w:w="0" w:type="dxa"/>
        <w:tblLayout w:type="fixed"/>
        <w:tblCellMar>
          <w:top w:w="28" w:type="dxa"/>
          <w:left w:w="28" w:type="dxa"/>
          <w:bottom w:w="28" w:type="dxa"/>
          <w:right w:w="28" w:type="dxa"/>
        </w:tblCellMar>
      </w:tblPr>
      <w:tblGrid>
        <w:gridCol w:w="222"/>
        <w:gridCol w:w="196"/>
        <w:gridCol w:w="197"/>
        <w:gridCol w:w="614"/>
        <w:gridCol w:w="614"/>
        <w:gridCol w:w="61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W. Michael Healy,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Annual Report on Form 10-K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559" w:type="dxa"/>
        <w:jc w:val="center"/>
        <w:tblInd w:w="0" w:type="dxa"/>
        <w:tblLayout w:type="fixed"/>
        <w:tblCellMar>
          <w:top w:w="28" w:type="dxa"/>
          <w:left w:w="28" w:type="dxa"/>
          <w:bottom w:w="28" w:type="dxa"/>
          <w:right w:w="28" w:type="dxa"/>
        </w:tblCellMar>
      </w:tblPr>
      <w:tblGrid>
        <w:gridCol w:w="222"/>
        <w:gridCol w:w="196"/>
        <w:gridCol w:w="197"/>
        <w:gridCol w:w="614"/>
        <w:gridCol w:w="614"/>
        <w:gridCol w:w="616"/>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Bloomin’ Brands, Inc. (the “Company”) on Form 10-K for the year ended December 29, 2024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5294" w:type="dxa"/>
        <w:jc w:val="center"/>
        <w:tblInd w:w="0" w:type="dxa"/>
        <w:tblLayout w:type="fixed"/>
        <w:tblCellMar>
          <w:top w:w="28" w:type="dxa"/>
          <w:left w:w="28" w:type="dxa"/>
          <w:bottom w:w="28" w:type="dxa"/>
          <w:right w:w="28" w:type="dxa"/>
        </w:tblCellMar>
      </w:tblPr>
      <w:tblGrid>
        <w:gridCol w:w="222"/>
        <w:gridCol w:w="196"/>
        <w:gridCol w:w="197"/>
        <w:gridCol w:w="614"/>
        <w:gridCol w:w="614"/>
        <w:gridCol w:w="61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Bloomin’ Brands, Inc. (the “Company”) on Form 10-K for the year ended December 29, 2024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559" w:type="dxa"/>
        <w:jc w:val="center"/>
        <w:tblInd w:w="0" w:type="dxa"/>
        <w:tblLayout w:type="fixed"/>
        <w:tblCellMar>
          <w:top w:w="28" w:type="dxa"/>
          <w:left w:w="28" w:type="dxa"/>
          <w:bottom w:w="28" w:type="dxa"/>
          <w:right w:w="28" w:type="dxa"/>
        </w:tblCellMar>
      </w:tblPr>
      <w:tblGrid>
        <w:gridCol w:w="222"/>
        <w:gridCol w:w="196"/>
        <w:gridCol w:w="197"/>
        <w:gridCol w:w="614"/>
        <w:gridCol w:w="614"/>
        <w:gridCol w:w="616"/>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February 26,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546417/000162828023012060/blmn-041923_ex31xfifthamen.htm" TargetMode="External"/><Relationship Id="rId6" Type="http://schemas.openxmlformats.org/officeDocument/2006/relationships/hyperlink" Target="https://www.sec.gov/Archives/edgar/data/1546417/000162828023012060/blmn-041923_ex32xfourthame.htm" TargetMode="External"/><Relationship Id="rId7" Type="http://schemas.openxmlformats.org/officeDocument/2006/relationships/hyperlink" Target="https://www.sec.gov/Archives/edgar/data/1546417/000119312512306157/d319863dex41.htm" TargetMode="External"/><Relationship Id="rId8" Type="http://schemas.openxmlformats.org/officeDocument/2006/relationships/hyperlink" Target="https://www.sec.gov/Archives/edgar/data/1546417/000154641723000086/blmn-032623_ex41.htm" TargetMode="External"/><Relationship Id="rId9" Type="http://schemas.openxmlformats.org/officeDocument/2006/relationships/hyperlink" Target="https://www.sec.gov/Archives/edgar/data/1546417/000119312520139247/d905014dex41.htm" TargetMode="External"/><Relationship Id="rId10" Type="http://schemas.openxmlformats.org/officeDocument/2006/relationships/hyperlink" Target="https://www.sec.gov/Archives/edgar/data/1546417/000119312520139247/d905014dex41.htm" TargetMode="External"/><Relationship Id="rId11" Type="http://schemas.openxmlformats.org/officeDocument/2006/relationships/hyperlink" Target="https://www.sec.gov/Archives/edgar/data/1546417/000119312521122784/d138233dex41.htm" TargetMode="External"/><Relationship Id="rId12" Type="http://schemas.openxmlformats.org/officeDocument/2006/relationships/hyperlink" Target="https://www.sec.gov/Archives/edgar/data/1546417/000154641724000147/ex101-amendedcreditagreeme.htm" TargetMode="External"/><Relationship Id="rId13" Type="http://schemas.openxmlformats.org/officeDocument/2006/relationships/hyperlink" Target="https://www.sec.gov/Archives/edgar/data/1546417/000154641724000170/ex102-shareholdersagreement.htm" TargetMode="External"/><Relationship Id="rId14" Type="http://schemas.openxmlformats.org/officeDocument/2006/relationships/hyperlink" Target="https://www.sec.gov/Archives/edgar/data/1546417/000119312512153440/d319863dex108.htm" TargetMode="External"/><Relationship Id="rId15" Type="http://schemas.openxmlformats.org/officeDocument/2006/relationships/hyperlink" Target="https://www.sec.gov/Archives/edgar/data/1546417/000119312524253707/d861629dex101.htm" TargetMode="External"/><Relationship Id="rId16" Type="http://schemas.openxmlformats.org/officeDocument/2006/relationships/hyperlink" Target="https://www.sec.gov/Archives/edgar/data/1546417/000154641724000037/blmn-123123_ex105.htm" TargetMode="External"/><Relationship Id="rId17" Type="http://schemas.openxmlformats.org/officeDocument/2006/relationships/hyperlink" Target="https://www.sec.gov/Archives/edgar/data/1546417/000119312512306157/d319863dex102.htm" TargetMode="External"/><Relationship Id="rId18" Type="http://schemas.openxmlformats.org/officeDocument/2006/relationships/hyperlink" Target="https://www.sec.gov/Archives/edgar/data/1546417/000154641712000034/exhibit102-formofnonqualif.htm" TargetMode="External"/><Relationship Id="rId19" Type="http://schemas.openxmlformats.org/officeDocument/2006/relationships/hyperlink" Target="https://www.sec.gov/Archives/edgar/data/1546417/000119312512306157/d319863dex1039.htm" TargetMode="External"/><Relationship Id="rId20" Type="http://schemas.openxmlformats.org/officeDocument/2006/relationships/hyperlink" Target="https://www.sec.gov/Archives/edgar/data/1546417/000119312516500868/d94759ddef14a.htm" TargetMode="External"/><Relationship Id="rId21" Type="http://schemas.openxmlformats.org/officeDocument/2006/relationships/hyperlink" Target="https://www.sec.gov/Archives/edgar/data/1546417/000154641716000179/blmn-62616_ex102.htm" TargetMode="External"/><Relationship Id="rId22" Type="http://schemas.openxmlformats.org/officeDocument/2006/relationships/hyperlink" Target="https://www.sec.gov/Archives/edgar/data/1546417/000154641720000056/blmn-122919_proxystatement.htm" TargetMode="External"/><Relationship Id="rId23" Type="http://schemas.openxmlformats.org/officeDocument/2006/relationships/hyperlink" Target="https://www.sec.gov/Archives/edgar/data/1546417/000154641720000070/blmn-52920ex102.htm" TargetMode="External"/><Relationship Id="rId24" Type="http://schemas.openxmlformats.org/officeDocument/2006/relationships/hyperlink" Target="https://www.sec.gov/Archives/edgar/data/1546417/000154641720000070/blmn-52920ex103.htm" TargetMode="External"/><Relationship Id="rId25" Type="http://schemas.openxmlformats.org/officeDocument/2006/relationships/hyperlink" Target="https://www.sec.gov/Archives/edgar/data/1546417/000154641720000070/blmn-52920ex104.htm" TargetMode="External"/><Relationship Id="rId26" Type="http://schemas.openxmlformats.org/officeDocument/2006/relationships/hyperlink" Target="https://www.sec.gov/Archives/edgar/data/1546417/000154641720000070/blmn-52920ex105.htm" TargetMode="External"/><Relationship Id="rId27" Type="http://schemas.openxmlformats.org/officeDocument/2006/relationships/hyperlink" Target="https://www.sec.gov/Archives/edgar/data/1546417/000154641720000070/blmn-52920ex106.htm" TargetMode="External"/><Relationship Id="rId28" Type="http://schemas.openxmlformats.org/officeDocument/2006/relationships/hyperlink" Target="https://www.sec.gov/Archives/edgar/data/1546417/000154641721000023/blmn-122720_ex1048.htm" TargetMode="External"/><Relationship Id="rId29" Type="http://schemas.openxmlformats.org/officeDocument/2006/relationships/hyperlink" Target="https://www.sec.gov/Archives/edgar/data/1546417/000154641721000023/blmn-122720_ex1049.htm" TargetMode="External"/><Relationship Id="rId30" Type="http://schemas.openxmlformats.org/officeDocument/2006/relationships/hyperlink" Target="https://www.sec.gov/Archives/edgar/data/1546417/000154641721000023/blmn-122720_ex1050.htm" TargetMode="External"/><Relationship Id="rId31" Type="http://schemas.openxmlformats.org/officeDocument/2006/relationships/hyperlink" Target="https://www.sec.gov/Archives/edgar/data/1546417/000154641724000125/blmn-063024_ex102.htm" TargetMode="External"/><Relationship Id="rId32" Type="http://schemas.openxmlformats.org/officeDocument/2006/relationships/hyperlink" Target="https://www.sec.gov/Archives/edgar/data/1546417/000154641712000034/exhibit101-executivechange.htm" TargetMode="External"/><Relationship Id="rId33" Type="http://schemas.openxmlformats.org/officeDocument/2006/relationships/hyperlink" Target="https://www.sec.gov/Archives/edgar/data/1546417/000154641724000153/ex101-amendedandrestatedse.htm" TargetMode="External"/><Relationship Id="rId34" Type="http://schemas.openxmlformats.org/officeDocument/2006/relationships/hyperlink" Target="https://www.sec.gov/Archives/edgar/data/1546417/000154641719000068/blmn-33119_ex103.htm" TargetMode="External"/><Relationship Id="rId35" Type="http://schemas.openxmlformats.org/officeDocument/2006/relationships/hyperlink" Target="https://www.sec.gov/Archives/edgar/data/1546417/000154641719000068/blmn-33119_ex104.htm" TargetMode="External"/><Relationship Id="rId36" Type="http://schemas.openxmlformats.org/officeDocument/2006/relationships/hyperlink" Target="https://www.sec.gov/Archives/edgar/data/1546417/000154641719000084/blmn-63019ex104.htm" TargetMode="External"/><Relationship Id="rId37" Type="http://schemas.openxmlformats.org/officeDocument/2006/relationships/hyperlink" Target="https://www.sec.gov/Archives/edgar/data/1546417/000154641720000067/blmn-32920ex104.htm" TargetMode="External"/><Relationship Id="rId38" Type="http://schemas.openxmlformats.org/officeDocument/2006/relationships/hyperlink" Target="https://www.sec.gov/Archives/edgar/data/1546417/000154641722000006/blmn-122621_ex1048.htm" TargetMode="External"/><Relationship Id="rId39" Type="http://schemas.openxmlformats.org/officeDocument/2006/relationships/hyperlink" Target="https://www.sec.gov/Archives/edgar/data/1546417/000154641724000113/blmn-033124_ex104.htm" TargetMode="External"/><Relationship Id="rId40" Type="http://schemas.openxmlformats.org/officeDocument/2006/relationships/hyperlink" Target="https://www.sec.gov/Archives/edgar/data/1546417/000154641724000160/blmn-092924_ex102.htm" TargetMode="External"/><Relationship Id="rId41" Type="http://schemas.openxmlformats.org/officeDocument/2006/relationships/hyperlink" Target="https://www.sec.gov/Archives/edgar/data/1546417/000154641724000037/blmn-123123_ex1036.htm" TargetMode="External"/><Relationship Id="rId42" Type="http://schemas.openxmlformats.org/officeDocument/2006/relationships/hyperlink" Target="https://www.sec.gov/Archives/edgar/data/1546417/000154641724000160/blmn-092924_ex103.htm" TargetMode="External"/><Relationship Id="rId43" Type="http://schemas.openxmlformats.org/officeDocument/2006/relationships/hyperlink" Target="https://www.sec.gov/Archives/edgar/data/1546417/000154641724000002/ex101-agreement.htm" TargetMode="External"/><Relationship Id="rId44" Type="http://schemas.openxmlformats.org/officeDocument/2006/relationships/hyperlink" Target="https://www.sec.gov/Archives/edgar/data/1546417/000119312520139247/d905014dex101.htm" TargetMode="External"/><Relationship Id="rId45" Type="http://schemas.openxmlformats.org/officeDocument/2006/relationships/hyperlink" Target="https://www.sec.gov/Archives/edgar/data/1546417/000119312520139247/d905014dex102.htm" TargetMode="External"/><Relationship Id="rId46" Type="http://schemas.openxmlformats.org/officeDocument/2006/relationships/hyperlink" Target="https://www.sec.gov/Archives/edgar/data/1546417/000154641724000113/blmn-033124_ex102.htm" TargetMode="External"/><Relationship Id="rId47" Type="http://schemas.openxmlformats.org/officeDocument/2006/relationships/hyperlink" Target="https://www.sec.gov/Archives/edgar/data/1546417/000154641724000113/blmn-033124_ex103.htm" TargetMode="External"/><Relationship Id="rId48" Type="http://schemas.openxmlformats.org/officeDocument/2006/relationships/hyperlink" Target="https://www.sec.gov/Archives/edgar/data/1546417/000154641724000037/blmn-123123_ex971.htm" TargetMode="External"/><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64349</Words>
  <Characters>367158</Characters>
  <CharactersWithSpaces>427347</CharactersWithSpaces>
  <Paragraphs>6901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