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75" w:lineRule="exact"/>
        <w:rPr>
          <w:sz w:val="24"/>
          <w:szCs w:val="24"/>
          <w:color w:val="auto"/>
        </w:rPr>
      </w:pPr>
    </w:p>
    <w:p>
      <w:pPr>
        <w:ind w:left="52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660" w:right="940" w:hanging="776"/>
        <w:spacing w:after="0" w:line="267" w:lineRule="auto"/>
        <w:tabs>
          <w:tab w:leader="none" w:pos="1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 w:lineRule="exact"/>
        <w:rPr>
          <w:rFonts w:ascii="Arial" w:cs="Arial" w:eastAsia="Arial" w:hAnsi="Arial"/>
          <w:sz w:val="20"/>
          <w:szCs w:val="20"/>
          <w:color w:val="auto"/>
        </w:rPr>
      </w:pPr>
    </w:p>
    <w:p>
      <w:pPr>
        <w:ind w:left="1660"/>
        <w:spacing w:after="0"/>
        <w:rPr>
          <w:rFonts w:ascii="Arial" w:cs="Arial" w:eastAsia="Arial" w:hAnsi="Arial"/>
          <w:sz w:val="20"/>
          <w:szCs w:val="20"/>
          <w:color w:val="auto"/>
        </w:rPr>
      </w:pPr>
      <w:r>
        <w:rPr>
          <w:rFonts w:ascii="Arial" w:cs="Arial" w:eastAsia="Arial" w:hAnsi="Arial"/>
          <w:sz w:val="20"/>
          <w:szCs w:val="20"/>
          <w:color w:val="auto"/>
        </w:rPr>
        <w:t>For the quarterly period ended September 24, 2017</w:t>
      </w:r>
    </w:p>
    <w:p>
      <w:pPr>
        <w:spacing w:after="0" w:line="54" w:lineRule="exact"/>
        <w:rPr>
          <w:sz w:val="24"/>
          <w:szCs w:val="24"/>
          <w:color w:val="auto"/>
        </w:rPr>
      </w:pPr>
    </w:p>
    <w:p>
      <w:pPr>
        <w:ind w:left="600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080" w:hanging="174"/>
        <w:spacing w:after="0"/>
        <w:tabs>
          <w:tab w:leader="none" w:pos="108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b w:val="1"/>
          <w:bCs w:val="1"/>
          <w:color w:val="auto"/>
        </w:rPr>
        <w:t>TRANSITION REPORT PURSUANT TO SECTION 13 OR 15(d) OF THE SECURITIES EXCHANGE</w:t>
      </w:r>
    </w:p>
    <w:p>
      <w:pPr>
        <w:spacing w:after="0" w:line="21" w:lineRule="exact"/>
        <w:rPr>
          <w:rFonts w:ascii="Arial" w:cs="Arial" w:eastAsia="Arial" w:hAnsi="Arial"/>
          <w:sz w:val="20"/>
          <w:szCs w:val="20"/>
          <w:color w:val="auto"/>
        </w:rPr>
      </w:pPr>
    </w:p>
    <w:p>
      <w:pPr>
        <w:ind w:left="1660"/>
        <w:spacing w:after="0"/>
        <w:rPr>
          <w:rFonts w:ascii="Arial" w:cs="Arial" w:eastAsia="Arial" w:hAnsi="Arial"/>
          <w:sz w:val="20"/>
          <w:szCs w:val="20"/>
          <w:color w:val="auto"/>
        </w:rPr>
      </w:pPr>
      <w:r>
        <w:rPr>
          <w:rFonts w:ascii="Arial" w:cs="Arial" w:eastAsia="Arial" w:hAnsi="Arial"/>
          <w:sz w:val="20"/>
          <w:szCs w:val="20"/>
          <w:b w:val="1"/>
          <w:bCs w:val="1"/>
          <w:color w:val="auto"/>
        </w:rPr>
        <w:t>ACT OF 1934</w:t>
      </w:r>
    </w:p>
    <w:p>
      <w:pPr>
        <w:spacing w:after="0" w:line="38" w:lineRule="exact"/>
        <w:rPr>
          <w:sz w:val="24"/>
          <w:szCs w:val="24"/>
          <w:color w:val="auto"/>
        </w:rPr>
      </w:pPr>
    </w:p>
    <w:p>
      <w:pPr>
        <w:ind w:left="1660"/>
        <w:spacing w:after="0"/>
        <w:rPr>
          <w:sz w:val="20"/>
          <w:szCs w:val="20"/>
          <w:color w:val="auto"/>
        </w:rPr>
      </w:pPr>
      <w:r>
        <w:rPr>
          <w:rFonts w:ascii="Arial" w:cs="Arial" w:eastAsia="Arial" w:hAnsi="Arial"/>
          <w:sz w:val="20"/>
          <w:szCs w:val="20"/>
          <w:color w:val="auto"/>
        </w:rPr>
        <w:t>For the transition period from ______ to 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156210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24" w:right="239" w:bottom="1440" w:gutter="0" w:footer="0" w:header="0"/>
        </w:sectPr>
      </w:pPr>
    </w:p>
    <w:p>
      <w:pPr>
        <w:spacing w:after="0" w:line="149" w:lineRule="exact"/>
        <w:rPr>
          <w:sz w:val="24"/>
          <w:szCs w:val="24"/>
          <w:color w:val="auto"/>
        </w:rPr>
      </w:pPr>
    </w:p>
    <w:p>
      <w:pPr>
        <w:ind w:left="2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113" w:lineRule="exact"/>
        <w:rPr>
          <w:sz w:val="24"/>
          <w:szCs w:val="24"/>
          <w:color w:val="auto"/>
        </w:rPr>
      </w:pPr>
    </w:p>
    <w:p>
      <w:pPr>
        <w:sectPr>
          <w:pgSz w:w="11900" w:h="16838" w:orient="portrait"/>
          <w:cols w:equalWidth="0" w:num="2">
            <w:col w:w="7340" w:space="720"/>
            <w:col w:w="3360"/>
          </w:cols>
          <w:pgMar w:left="240" w:top="724" w:right="239" w:bottom="1440" w:gutter="0" w:footer="0" w:header="0"/>
          <w:type w:val="continuous"/>
        </w:sectPr>
      </w:pPr>
    </w:p>
    <w:p>
      <w:pPr>
        <w:ind w:left="10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8" w:lineRule="exact"/>
        <w:rPr>
          <w:sz w:val="24"/>
          <w:szCs w:val="24"/>
          <w:color w:val="auto"/>
        </w:rPr>
      </w:pPr>
    </w:p>
    <w:p>
      <w:pPr>
        <w:sectPr>
          <w:pgSz w:w="11900" w:h="16838" w:orient="portrait"/>
          <w:cols w:equalWidth="0" w:num="2">
            <w:col w:w="6600" w:space="720"/>
            <w:col w:w="4100"/>
          </w:cols>
          <w:pgMar w:left="240" w:top="724" w:right="239" w:bottom="1440" w:gutter="0" w:footer="0" w:header="0"/>
          <w:type w:val="continuous"/>
        </w:sectPr>
      </w:pPr>
    </w:p>
    <w:p>
      <w:pPr>
        <w:jc w:val="center"/>
        <w:ind w:right="-19"/>
        <w:spacing w:after="0"/>
        <w:rPr>
          <w:sz w:val="20"/>
          <w:szCs w:val="20"/>
          <w:color w:val="auto"/>
        </w:rPr>
      </w:pPr>
      <w:r>
        <w:rPr>
          <w:rFonts w:ascii="Arial" w:cs="Arial" w:eastAsia="Arial" w:hAnsi="Arial"/>
          <w:sz w:val="20"/>
          <w:szCs w:val="20"/>
          <w:b w:val="1"/>
          <w:bCs w:val="1"/>
          <w:color w:val="auto"/>
        </w:rPr>
        <w:t>2202 North West Shore Boulevard, Suite 500, Tampa, Florida 33607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Large accelerated filer x Accelerated filer o Non-accelerated filer o (Do not check if a smaller reporting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Smaller reporting company o Emerging growth company o</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2017, 91,269,593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62"/>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5"/>
          </w:tcPr>
          <w:p>
            <w:pPr>
              <w:jc w:val="center"/>
              <w:ind w:right="1520"/>
              <w:spacing w:after="0"/>
              <w:rPr>
                <w:sz w:val="20"/>
                <w:szCs w:val="20"/>
                <w:color w:val="auto"/>
              </w:rPr>
            </w:pPr>
            <w:r>
              <w:rPr>
                <w:rFonts w:ascii="Arial" w:cs="Arial" w:eastAsia="Arial" w:hAnsi="Arial"/>
                <w:sz w:val="20"/>
                <w:szCs w:val="20"/>
                <w:color w:val="auto"/>
                <w:w w:val="94"/>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00" w:type="dxa"/>
            <w:vAlign w:val="bottom"/>
            <w:gridSpan w:val="15"/>
          </w:tcPr>
          <w:p>
            <w:pPr>
              <w:jc w:val="center"/>
              <w:ind w:right="1520"/>
              <w:spacing w:after="0"/>
              <w:rPr>
                <w:sz w:val="20"/>
                <w:szCs w:val="20"/>
                <w:color w:val="auto"/>
              </w:rPr>
            </w:pPr>
            <w:r>
              <w:rPr>
                <w:rFonts w:ascii="Arial" w:cs="Arial" w:eastAsia="Arial" w:hAnsi="Arial"/>
                <w:sz w:val="20"/>
                <w:szCs w:val="20"/>
                <w:color w:val="auto"/>
                <w:w w:val="89"/>
              </w:rPr>
              <w:t>For the Quarterly Period Ended September 24, 2017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20" w:type="dxa"/>
            <w:vAlign w:val="bottom"/>
            <w:gridSpan w:val="10"/>
          </w:tcPr>
          <w:p>
            <w:pPr>
              <w:jc w:val="center"/>
              <w:ind w:right="3380"/>
              <w:spacing w:after="0"/>
              <w:rPr>
                <w:sz w:val="20"/>
                <w:szCs w:val="20"/>
                <w:color w:val="auto"/>
              </w:rPr>
            </w:pPr>
            <w:r>
              <w:rPr>
                <w:rFonts w:ascii="Arial" w:cs="Arial" w:eastAsia="Arial" w:hAnsi="Arial"/>
                <w:sz w:val="20"/>
                <w:szCs w:val="20"/>
                <w:color w:val="auto"/>
                <w:w w:val="91"/>
              </w:rPr>
              <w:t>(Unaudited)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00"/>
              <w:spacing w:after="0"/>
              <w:rPr>
                <w:sz w:val="20"/>
                <w:szCs w:val="20"/>
                <w:color w:val="auto"/>
              </w:rPr>
            </w:pPr>
            <w:r>
              <w:rPr>
                <w:rFonts w:ascii="Arial" w:cs="Arial" w:eastAsia="Arial" w:hAnsi="Arial"/>
                <w:sz w:val="20"/>
                <w:szCs w:val="20"/>
                <w:color w:val="auto"/>
                <w:w w:val="94"/>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3"/>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5"/>
          </w:tcPr>
          <w:p>
            <w:pPr>
              <w:jc w:val="center"/>
              <w:ind w:right="1960"/>
              <w:spacing w:after="0"/>
              <w:rPr>
                <w:rFonts w:ascii="Arial" w:cs="Arial" w:eastAsia="Arial" w:hAnsi="Arial"/>
                <w:sz w:val="20"/>
                <w:szCs w:val="20"/>
                <w:color w:val="0000FF"/>
                <w:w w:val="97"/>
              </w:rPr>
            </w:pPr>
            <w:hyperlink w:anchor="page3">
              <w:r>
                <w:rPr>
                  <w:rFonts w:ascii="Arial" w:cs="Arial" w:eastAsia="Arial" w:hAnsi="Arial"/>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Arial" w:cs="Arial" w:eastAsia="Arial" w:hAnsi="Arial"/>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ind w:left="140"/>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16"/>
          </w:tcPr>
          <w:p>
            <w:pPr>
              <w:spacing w:after="0"/>
              <w:rPr>
                <w:rFonts w:ascii="Arial" w:cs="Arial" w:eastAsia="Arial" w:hAnsi="Arial"/>
                <w:sz w:val="20"/>
                <w:szCs w:val="20"/>
                <w:color w:val="0000EE"/>
                <w:w w:val="87"/>
              </w:rPr>
            </w:pPr>
            <w:hyperlink w:anchor="page3">
              <w:r>
                <w:rPr>
                  <w:rFonts w:ascii="Arial" w:cs="Arial" w:eastAsia="Arial" w:hAnsi="Arial"/>
                  <w:sz w:val="20"/>
                  <w:szCs w:val="20"/>
                  <w:color w:val="0000EE"/>
                  <w:w w:val="87"/>
                </w:rPr>
                <w:t>Consolidated Balance Sheets — September 24, 2017 and December 25, 2016</w:t>
              </w:r>
            </w:hyperlink>
          </w:p>
        </w:tc>
        <w:tc>
          <w:tcPr>
            <w:tcW w:w="2160" w:type="dxa"/>
            <w:vAlign w:val="bottom"/>
            <w:gridSpan w:val="4"/>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16"/>
          </w:tcPr>
          <w:p>
            <w:pPr>
              <w:spacing w:after="0"/>
              <w:rPr>
                <w:rFonts w:ascii="Arial" w:cs="Arial" w:eastAsia="Arial" w:hAnsi="Arial"/>
                <w:sz w:val="20"/>
                <w:szCs w:val="20"/>
                <w:color w:val="0000EE"/>
                <w:w w:val="96"/>
              </w:rPr>
            </w:pPr>
            <w:hyperlink w:anchor="page5">
              <w:r>
                <w:rPr>
                  <w:rFonts w:ascii="Arial" w:cs="Arial" w:eastAsia="Arial" w:hAnsi="Arial"/>
                  <w:sz w:val="20"/>
                  <w:szCs w:val="20"/>
                  <w:color w:val="0000EE"/>
                  <w:w w:val="96"/>
                </w:rPr>
                <w:t>Consolidated Statements of Operations and Comprehensive Income —</w:t>
              </w:r>
            </w:hyperlink>
          </w:p>
        </w:tc>
        <w:tc>
          <w:tcPr>
            <w:tcW w:w="2160" w:type="dxa"/>
            <w:vAlign w:val="bottom"/>
            <w:gridSpan w:val="4"/>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20"/>
          </w:tcPr>
          <w:p>
            <w:pPr>
              <w:spacing w:after="0" w:line="209" w:lineRule="exact"/>
              <w:rPr>
                <w:rFonts w:ascii="Arial" w:cs="Arial" w:eastAsia="Arial" w:hAnsi="Arial"/>
                <w:sz w:val="20"/>
                <w:szCs w:val="20"/>
                <w:color w:val="0000EE"/>
                <w:w w:val="99"/>
              </w:rPr>
            </w:pPr>
            <w:hyperlink w:anchor="page5">
              <w:r>
                <w:rPr>
                  <w:rFonts w:ascii="Arial" w:cs="Arial" w:eastAsia="Arial" w:hAnsi="Arial"/>
                  <w:sz w:val="20"/>
                  <w:szCs w:val="20"/>
                  <w:color w:val="0000EE"/>
                  <w:w w:val="99"/>
                </w:rPr>
                <w:t>For the Thirteen and Thirty-Nine Weeks Ended September 24, 2017 and September 25, 2016</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Consolidated Statements of Changes in Stockholders’ Equity —</w:t>
              </w:r>
            </w:hyperlink>
          </w:p>
        </w:tc>
        <w:tc>
          <w:tcPr>
            <w:tcW w:w="2260" w:type="dxa"/>
            <w:vAlign w:val="bottom"/>
            <w:tcBorders>
              <w:top w:val="single" w:sz="8" w:color="0000EE"/>
            </w:tcBorders>
            <w:gridSpan w:val="7"/>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6</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0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6">
              <w:r>
                <w:rPr>
                  <w:rFonts w:ascii="Arial" w:cs="Arial" w:eastAsia="Arial" w:hAnsi="Arial"/>
                  <w:sz w:val="20"/>
                  <w:szCs w:val="20"/>
                  <w:color w:val="0000EE"/>
                  <w:w w:val="88"/>
                </w:rPr>
                <w:t>For the Thirty-Nine Weeks Ended September 24, 2017 and September 25, 2016</w:t>
              </w:r>
            </w:hyperlink>
          </w:p>
        </w:tc>
        <w:tc>
          <w:tcPr>
            <w:tcW w:w="19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20"/>
                <w:szCs w:val="20"/>
                <w:color w:val="0000EE"/>
                <w:w w:val="88"/>
              </w:rPr>
            </w:pPr>
            <w:hyperlink w:anchor="page8">
              <w:r>
                <w:rPr>
                  <w:rFonts w:ascii="Arial" w:cs="Arial" w:eastAsia="Arial" w:hAnsi="Arial"/>
                  <w:sz w:val="20"/>
                  <w:szCs w:val="20"/>
                  <w:color w:val="0000EE"/>
                  <w:w w:val="88"/>
                </w:rPr>
                <w:t>Condensed Consolidated Statements of Cash Flows —</w:t>
              </w:r>
            </w:hyperlink>
          </w:p>
        </w:tc>
        <w:tc>
          <w:tcPr>
            <w:tcW w:w="3900" w:type="dxa"/>
            <w:vAlign w:val="bottom"/>
            <w:gridSpan w:val="9"/>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8">
              <w:r>
                <w:rPr>
                  <w:rFonts w:ascii="Arial" w:cs="Arial" w:eastAsia="Arial" w:hAnsi="Arial"/>
                  <w:sz w:val="20"/>
                  <w:szCs w:val="20"/>
                  <w:color w:val="0000EE"/>
                  <w:w w:val="89"/>
                </w:rPr>
                <w:t>8</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0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8">
              <w:r>
                <w:rPr>
                  <w:rFonts w:ascii="Arial" w:cs="Arial" w:eastAsia="Arial" w:hAnsi="Arial"/>
                  <w:sz w:val="20"/>
                  <w:szCs w:val="20"/>
                  <w:color w:val="0000EE"/>
                  <w:w w:val="88"/>
                </w:rPr>
                <w:t>For the Thirty-Nine Weeks Ended September 24, 2017 and September 25, 2016</w:t>
              </w:r>
            </w:hyperlink>
          </w:p>
        </w:tc>
        <w:tc>
          <w:tcPr>
            <w:tcW w:w="19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10"/>
          </w:tcPr>
          <w:p>
            <w:pPr>
              <w:spacing w:after="0"/>
              <w:rPr>
                <w:rFonts w:ascii="Arial" w:cs="Arial" w:eastAsia="Arial" w:hAnsi="Arial"/>
                <w:sz w:val="20"/>
                <w:szCs w:val="20"/>
                <w:color w:val="0000EE"/>
                <w:w w:val="88"/>
              </w:rPr>
            </w:pPr>
            <w:hyperlink w:anchor="page10">
              <w:r>
                <w:rPr>
                  <w:rFonts w:ascii="Arial" w:cs="Arial" w:eastAsia="Arial" w:hAnsi="Arial"/>
                  <w:sz w:val="20"/>
                  <w:szCs w:val="20"/>
                  <w:color w:val="0000EE"/>
                  <w:w w:val="88"/>
                </w:rPr>
                <w:t>Notes to Consolidated Financial Statements</w:t>
              </w:r>
            </w:hyperlink>
          </w:p>
        </w:tc>
        <w:tc>
          <w:tcPr>
            <w:tcW w:w="482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10">
              <w:r>
                <w:rPr>
                  <w:rFonts w:ascii="Arial" w:cs="Arial" w:eastAsia="Arial" w:hAnsi="Arial"/>
                  <w:sz w:val="16"/>
                  <w:szCs w:val="16"/>
                  <w:color w:val="0000EE"/>
                  <w:w w:val="78"/>
                </w:rPr>
                <w:t>10</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28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EE"/>
                <w:w w:val="89"/>
              </w:rPr>
            </w:pPr>
            <w:hyperlink w:anchor="page53">
              <w:r>
                <w:rPr>
                  <w:rFonts w:ascii="Arial" w:cs="Arial" w:eastAsia="Arial" w:hAnsi="Arial"/>
                  <w:sz w:val="20"/>
                  <w:szCs w:val="20"/>
                  <w:color w:val="0000EE"/>
                  <w:w w:val="89"/>
                </w:rPr>
                <w:t>Quantitative and Qualitative Disclosures About Market Risk</w:t>
              </w:r>
            </w:hyperlink>
          </w:p>
        </w:tc>
        <w:tc>
          <w:tcPr>
            <w:tcW w:w="2360" w:type="dxa"/>
            <w:vAlign w:val="bottom"/>
            <w:gridSpan w:val="7"/>
          </w:tcPr>
          <w:p>
            <w:pPr>
              <w:spacing w:after="0"/>
              <w:rPr>
                <w:sz w:val="24"/>
                <w:szCs w:val="24"/>
                <w:color w:val="auto"/>
              </w:rPr>
            </w:pPr>
          </w:p>
        </w:tc>
        <w:tc>
          <w:tcPr>
            <w:tcW w:w="15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3">
              <w:r>
                <w:rPr>
                  <w:rFonts w:ascii="Arial" w:cs="Arial" w:eastAsia="Arial" w:hAnsi="Arial"/>
                  <w:sz w:val="16"/>
                  <w:szCs w:val="16"/>
                  <w:color w:val="0000EE"/>
                  <w:w w:val="78"/>
                </w:rPr>
                <w:t>53</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53">
              <w:r>
                <w:rPr>
                  <w:rFonts w:ascii="Arial" w:cs="Arial" w:eastAsia="Arial" w:hAnsi="Arial"/>
                  <w:sz w:val="20"/>
                  <w:szCs w:val="20"/>
                  <w:color w:val="0000FF"/>
                </w:rPr>
                <w:t>Controls and Procedures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3">
              <w:r>
                <w:rPr>
                  <w:rFonts w:ascii="Arial" w:cs="Arial" w:eastAsia="Arial" w:hAnsi="Arial"/>
                  <w:sz w:val="16"/>
                  <w:szCs w:val="16"/>
                  <w:color w:val="0000EE"/>
                  <w:w w:val="78"/>
                </w:rPr>
                <w:t>53</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2"/>
          </w:tcPr>
          <w:p>
            <w:pPr>
              <w:jc w:val="center"/>
              <w:ind w:right="2820"/>
              <w:spacing w:after="0"/>
              <w:rPr>
                <w:rFonts w:ascii="Arial" w:cs="Arial" w:eastAsia="Arial" w:hAnsi="Arial"/>
                <w:sz w:val="20"/>
                <w:szCs w:val="20"/>
                <w:color w:val="0000FF"/>
                <w:w w:val="95"/>
              </w:rPr>
            </w:pPr>
            <w:hyperlink w:anchor="page54">
              <w:r>
                <w:rPr>
                  <w:rFonts w:ascii="Arial" w:cs="Arial" w:eastAsia="Arial" w:hAnsi="Arial"/>
                  <w:sz w:val="20"/>
                  <w:szCs w:val="20"/>
                  <w:color w:val="0000FF"/>
                  <w:w w:val="95"/>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2"/>
                <w:szCs w:val="22"/>
                <w:color w:val="auto"/>
              </w:rPr>
            </w:pPr>
          </w:p>
        </w:tc>
        <w:tc>
          <w:tcPr>
            <w:tcW w:w="1480" w:type="dxa"/>
            <w:vAlign w:val="bottom"/>
            <w:gridSpan w:val="6"/>
          </w:tcPr>
          <w:p>
            <w:pPr>
              <w:spacing w:after="0"/>
              <w:rPr>
                <w:rFonts w:ascii="Arial" w:cs="Arial" w:eastAsia="Arial" w:hAnsi="Arial"/>
                <w:sz w:val="20"/>
                <w:szCs w:val="20"/>
                <w:color w:val="0000FF"/>
                <w:w w:val="88"/>
              </w:rPr>
            </w:pPr>
            <w:hyperlink w:anchor="page54">
              <w:r>
                <w:rPr>
                  <w:rFonts w:ascii="Arial" w:cs="Arial" w:eastAsia="Arial" w:hAnsi="Arial"/>
                  <w:sz w:val="20"/>
                  <w:szCs w:val="20"/>
                  <w:color w:val="0000FF"/>
                  <w:w w:val="88"/>
                </w:rPr>
                <w:t>Legal Proceedings</w:t>
              </w:r>
            </w:hyperlink>
          </w:p>
        </w:tc>
        <w:tc>
          <w:tcPr>
            <w:tcW w:w="1320" w:type="dxa"/>
            <w:vAlign w:val="bottom"/>
            <w:gridSpan w:val="4"/>
          </w:tcPr>
          <w:p>
            <w:pPr>
              <w:spacing w:after="0"/>
              <w:rPr>
                <w:sz w:val="22"/>
                <w:szCs w:val="22"/>
                <w:color w:val="auto"/>
              </w:rPr>
            </w:pPr>
          </w:p>
        </w:tc>
        <w:tc>
          <w:tcPr>
            <w:tcW w:w="3020" w:type="dxa"/>
            <w:vAlign w:val="bottom"/>
            <w:tcBorders>
              <w:top w:val="single" w:sz="8" w:color="0000FF"/>
            </w:tcBorders>
            <w:gridSpan w:val="5"/>
          </w:tcPr>
          <w:p>
            <w:pPr>
              <w:spacing w:after="0"/>
              <w:rPr>
                <w:sz w:val="22"/>
                <w:szCs w:val="22"/>
                <w:color w:val="auto"/>
              </w:rPr>
            </w:pPr>
          </w:p>
        </w:tc>
        <w:tc>
          <w:tcPr>
            <w:tcW w:w="2820" w:type="dxa"/>
            <w:vAlign w:val="bottom"/>
            <w:gridSpan w:val="7"/>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4">
              <w:r>
                <w:rPr>
                  <w:rFonts w:ascii="Arial" w:cs="Arial" w:eastAsia="Arial" w:hAnsi="Arial"/>
                  <w:sz w:val="16"/>
                  <w:szCs w:val="16"/>
                  <w:color w:val="0000EE"/>
                  <w:w w:val="78"/>
                </w:rPr>
                <w:t>54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20"/>
                <w:szCs w:val="20"/>
                <w:color w:val="0000FF"/>
                <w:w w:val="88"/>
              </w:rPr>
            </w:pPr>
            <w:hyperlink w:anchor="page54">
              <w:r>
                <w:rPr>
                  <w:rFonts w:ascii="Arial" w:cs="Arial" w:eastAsia="Arial" w:hAnsi="Arial"/>
                  <w:sz w:val="20"/>
                  <w:szCs w:val="20"/>
                  <w:color w:val="0000FF"/>
                  <w:w w:val="88"/>
                </w:rPr>
                <w:t>Risk Factors</w:t>
              </w:r>
            </w:hyperlink>
          </w:p>
        </w:tc>
        <w:tc>
          <w:tcPr>
            <w:tcW w:w="4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4">
              <w:r>
                <w:rPr>
                  <w:rFonts w:ascii="Arial" w:cs="Arial" w:eastAsia="Arial" w:hAnsi="Arial"/>
                  <w:sz w:val="16"/>
                  <w:szCs w:val="16"/>
                  <w:color w:val="0000EE"/>
                  <w:w w:val="78"/>
                </w:rPr>
                <w:t>54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FF"/>
              </w:rPr>
            </w:pPr>
            <w:hyperlink w:anchor="page54">
              <w:r>
                <w:rPr>
                  <w:rFonts w:ascii="Arial" w:cs="Arial" w:eastAsia="Arial" w:hAnsi="Arial"/>
                  <w:sz w:val="20"/>
                  <w:szCs w:val="20"/>
                  <w:color w:val="0000FF"/>
                </w:rPr>
                <w:t>Unregistered Sales of Equity Securities and Use of Proceeds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4">
              <w:r>
                <w:rPr>
                  <w:rFonts w:ascii="Arial" w:cs="Arial" w:eastAsia="Arial" w:hAnsi="Arial"/>
                  <w:sz w:val="20"/>
                  <w:szCs w:val="20"/>
                  <w:color w:val="0000EE"/>
                  <w:w w:val="89"/>
                </w:rPr>
                <w:t>54</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6.</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55">
              <w:r>
                <w:rPr>
                  <w:rFonts w:ascii="Arial" w:cs="Arial" w:eastAsia="Arial" w:hAnsi="Arial"/>
                  <w:sz w:val="20"/>
                  <w:szCs w:val="20"/>
                  <w:color w:val="0000FF"/>
                </w:rPr>
                <w:t>Exhibits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55</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FF"/>
              </w:rPr>
            </w:pPr>
            <w:hyperlink w:anchor="page56">
              <w:r>
                <w:rPr>
                  <w:rFonts w:ascii="Arial" w:cs="Arial" w:eastAsia="Arial" w:hAnsi="Arial"/>
                  <w:sz w:val="20"/>
                  <w:szCs w:val="20"/>
                  <w:color w:val="0000FF"/>
                </w:rPr>
                <w:t>Signature</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6">
              <w:r>
                <w:rPr>
                  <w:rFonts w:ascii="Arial" w:cs="Arial" w:eastAsia="Arial" w:hAnsi="Arial"/>
                  <w:sz w:val="20"/>
                  <w:szCs w:val="20"/>
                  <w:color w:val="0000EE"/>
                  <w:w w:val="89"/>
                </w:rPr>
                <w:t>56</w:t>
              </w:r>
            </w:hyperlink>
          </w:p>
        </w:tc>
      </w:tr>
      <w:tr>
        <w:trPr>
          <w:trHeight w:val="50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980" w:type="dxa"/>
            <w:vAlign w:val="bottom"/>
            <w:gridSpan w:val="9"/>
          </w:tcPr>
          <w:p>
            <w:pPr>
              <w:jc w:val="center"/>
              <w:ind w:left="3470"/>
              <w:spacing w:after="0"/>
              <w:rPr>
                <w:sz w:val="20"/>
                <w:szCs w:val="20"/>
                <w:color w:val="auto"/>
              </w:rPr>
            </w:pPr>
            <w:r>
              <w:rPr>
                <w:rFonts w:ascii="Arial" w:cs="Arial" w:eastAsia="Arial" w:hAnsi="Arial"/>
                <w:sz w:val="18"/>
                <w:szCs w:val="18"/>
                <w:color w:val="auto"/>
                <w:w w:val="99"/>
              </w:rPr>
              <w:t>2</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25, 2016</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127,176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Current portion of restricted cash and cash equivalents</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7,886</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65,231</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 net</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105,261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190,226</w:t>
            </w: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258,710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390,519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1,124</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fixtures and equipment, net</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1,237,148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315,264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310,055</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527,743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535,523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assets</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59,801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38,764</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 net</w:t>
            </w:r>
          </w:p>
        </w:tc>
        <w:tc>
          <w:tcPr>
            <w:tcW w:w="4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127,185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129,146</w:t>
            </w:r>
          </w:p>
        </w:tc>
      </w:tr>
      <w:tr>
        <w:trPr>
          <w:trHeight w:val="250"/>
        </w:trPr>
        <w:tc>
          <w:tcPr>
            <w:tcW w:w="8120" w:type="dxa"/>
            <w:vAlign w:val="bottom"/>
          </w:tcPr>
          <w:p>
            <w:pPr>
              <w:ind w:left="82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2,472,954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2,642,279</w:t>
            </w:r>
          </w:p>
        </w:tc>
      </w:tr>
      <w:tr>
        <w:trPr>
          <w:trHeight w:val="20"/>
        </w:trPr>
        <w:tc>
          <w:tcPr>
            <w:tcW w:w="8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5"/>
                <w:szCs w:val="15"/>
                <w:b w:val="1"/>
                <w:bCs w:val="1"/>
                <w:color w:val="auto"/>
              </w:rPr>
              <w:t>DECEMBER 25, 2016</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MEZZANINE EQUITY AND STOCKHOLDERS’ EQUITY</w:t>
            </w: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195,371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225,870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204,415</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248,627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388,543</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long-term debt</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58,826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35,079</w:t>
            </w: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716,762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823,408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156,962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151,130</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1,141,866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1,054,406</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 on sale-leaseback transactions, net</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188,363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181,696</w:t>
            </w: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 net</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214,026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219,030</w:t>
            </w:r>
          </w:p>
        </w:tc>
      </w:tr>
      <w:tr>
        <w:trPr>
          <w:trHeight w:val="264"/>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2,435,743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2,446,379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Commitments and contingencies (Note 15)</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Mezzanine Equity</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Redeemable noncontrolling interests</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Bloomin’ Brands Stockholders’ Equity</w:t>
            </w: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Preferred stock, $0.01 par value, 25,000,000 shares authorized; no shares issued and outstanding as of September 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2017 and December 25, 2016</w:t>
            </w:r>
          </w:p>
        </w:tc>
        <w:tc>
          <w:tcPr>
            <w:tcW w:w="4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120" w:type="dxa"/>
            <w:vAlign w:val="bottom"/>
          </w:tcPr>
          <w:p>
            <w:pPr>
              <w:ind w:left="380"/>
              <w:spacing w:after="0"/>
              <w:rPr>
                <w:sz w:val="20"/>
                <w:szCs w:val="20"/>
                <w:color w:val="auto"/>
              </w:rPr>
            </w:pPr>
            <w:r>
              <w:rPr>
                <w:rFonts w:ascii="Arial" w:cs="Arial" w:eastAsia="Arial" w:hAnsi="Arial"/>
                <w:sz w:val="16"/>
                <w:szCs w:val="16"/>
                <w:color w:val="auto"/>
                <w:w w:val="96"/>
              </w:rPr>
              <w:t>Common stock, $0.01 par value, 475,000,000 shares authorized; 91,164,470 and 103,922,110 shares issued and</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8120" w:type="dxa"/>
            <w:vAlign w:val="bottom"/>
          </w:tcPr>
          <w:p>
            <w:pPr>
              <w:ind w:left="380"/>
              <w:spacing w:after="0"/>
              <w:rPr>
                <w:sz w:val="20"/>
                <w:szCs w:val="20"/>
                <w:color w:val="auto"/>
              </w:rPr>
            </w:pPr>
            <w:r>
              <w:rPr>
                <w:rFonts w:ascii="Arial" w:cs="Arial" w:eastAsia="Arial" w:hAnsi="Arial"/>
                <w:sz w:val="16"/>
                <w:szCs w:val="16"/>
                <w:color w:val="auto"/>
              </w:rPr>
              <w:t>outstanding as of September 24, 2017 and December 25, 2016, respectively</w:t>
            </w: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1,039</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1,077,607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1,079,583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(961,318)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(786,780)</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r>
      <w:tr>
        <w:trPr>
          <w:trHeight w:val="224"/>
        </w:trPr>
        <w:tc>
          <w:tcPr>
            <w:tcW w:w="8120" w:type="dxa"/>
            <w:vAlign w:val="bottom"/>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4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25,654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182,699</w:t>
            </w: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4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12,654</w:t>
            </w:r>
          </w:p>
        </w:tc>
      </w:tr>
      <w:tr>
        <w:trPr>
          <w:trHeight w:val="270"/>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36,634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195,353</w:t>
            </w:r>
          </w:p>
        </w:tc>
      </w:tr>
      <w:tr>
        <w:trPr>
          <w:trHeight w:val="244"/>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mezzanine equity and stockholders’ equity</w:t>
            </w: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2,472,954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2,642,279</w:t>
            </w:r>
          </w:p>
        </w:tc>
      </w:tr>
      <w:tr>
        <w:trPr>
          <w:trHeight w:val="20"/>
        </w:trPr>
        <w:tc>
          <w:tcPr>
            <w:tcW w:w="8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Pr>
          <w:p>
            <w:pPr>
              <w:spacing w:after="0"/>
              <w:rPr>
                <w:sz w:val="13"/>
                <w:szCs w:val="13"/>
                <w:color w:val="auto"/>
              </w:rPr>
            </w:pPr>
          </w:p>
        </w:tc>
        <w:tc>
          <w:tcPr>
            <w:tcW w:w="1320" w:type="dxa"/>
            <w:vAlign w:val="bottom"/>
          </w:tcPr>
          <w:p>
            <w:pPr>
              <w:jc w:val="right"/>
              <w:ind w:right="100"/>
              <w:spacing w:after="0" w:line="153"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937,852</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998,806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3,093,297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3,229,377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18,786</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948,899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1,005,387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3,125,704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3,248,163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296,632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322,080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984,510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1,044,179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285,325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907,580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921,992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231,293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243,175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723,357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747,189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145,206</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66,063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215,059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208,663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18,578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38,253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49,183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945,717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973,653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3,011,238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3,116,412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114,466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131,751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Loss on defeasance, extinguishment and modification of debt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73,418</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14,280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24,372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49,046</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(loss) income attributable to noncontrolling interests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46,031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49,046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58,151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Unrealized gain (loss) on derivatives, net of tax</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 of adjustment for loss on derivatives included in Net</w:t>
            </w:r>
          </w:p>
        </w:tc>
        <w:tc>
          <w:tcPr>
            <w:tcW w:w="3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2,902</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net of tax</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68,318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104,848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105,849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Less: comprehensive (loss) income attributable to noncontrolling interests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7,435</w:t>
            </w: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Comprehensive income attributable to Bloomin’ Brands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11,613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65,809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103,472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98,414</w:t>
            </w: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92,485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109,399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98,137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113,553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95,655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112,430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116,516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dividends declared per common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13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PAID-IN</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Balance, December 25, 2016</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195,353</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85,470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19,520</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$0.24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(23,677)</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(272,736)</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17,969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17,969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$45</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 from</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Cumulative-effect from a</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change in accounting</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principle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0"/>
        </w:trPr>
        <w:tc>
          <w:tcPr>
            <w:tcW w:w="19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September 24,</w:t>
            </w:r>
          </w:p>
        </w:tc>
        <w:tc>
          <w:tcPr>
            <w:tcW w:w="10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91,164</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912</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1,077,607</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(961,318)</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(91,547)</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10,980</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36,634</w:t>
            </w:r>
          </w:p>
        </w:tc>
        <w:tc>
          <w:tcPr>
            <w:tcW w:w="0" w:type="dxa"/>
            <w:vAlign w:val="bottom"/>
          </w:tcPr>
          <w:p>
            <w:pPr>
              <w:spacing w:after="0"/>
              <w:rPr>
                <w:sz w:val="1"/>
                <w:szCs w:val="1"/>
                <w:color w:val="auto"/>
              </w:rPr>
            </w:pPr>
          </w:p>
        </w:tc>
      </w:tr>
      <w:tr>
        <w:trPr>
          <w:trHeight w:val="224"/>
        </w:trPr>
        <w:tc>
          <w:tcPr>
            <w:tcW w:w="1960" w:type="dxa"/>
            <w:vAlign w:val="bottom"/>
          </w:tcPr>
          <w:p>
            <w:pPr>
              <w:ind w:left="40"/>
              <w:spacing w:after="0"/>
              <w:rPr>
                <w:sz w:val="20"/>
                <w:szCs w:val="20"/>
                <w:color w:val="auto"/>
              </w:rPr>
            </w:pPr>
            <w:r>
              <w:rPr>
                <w:rFonts w:ascii="Arial" w:cs="Arial" w:eastAsia="Arial" w:hAnsi="Arial"/>
                <w:sz w:val="16"/>
                <w:szCs w:val="16"/>
                <w:color w:val="auto"/>
              </w:rPr>
              <w:t>2017</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line="211" w:lineRule="auto"/>
        <w:framePr w:w="1100" w:h="122" w:wrap="auto" w:vAnchor="page" w:hAnchor="page" w:x="200" w:y="14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9" w:lineRule="exact"/>
        <w:rPr>
          <w:rFonts w:ascii="Arial" w:cs="Arial" w:eastAsia="Arial" w:hAnsi="Arial"/>
          <w:sz w:val="12"/>
          <w:szCs w:val="12"/>
          <w:u w:val="single" w:color="auto"/>
          <w:color w:val="0000FF"/>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rFonts w:ascii="Arial" w:cs="Arial" w:eastAsia="Arial" w:hAnsi="Arial"/>
          <w:sz w:val="12"/>
          <w:szCs w:val="12"/>
          <w:u w:val="single" w:color="auto"/>
          <w:color w:val="0000FF"/>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rFonts w:ascii="Arial" w:cs="Arial" w:eastAsia="Arial" w:hAnsi="Arial"/>
          <w:sz w:val="12"/>
          <w:szCs w:val="12"/>
          <w:u w:val="single" w:color="auto"/>
          <w:color w:val="0000FF"/>
        </w:rPr>
      </w:pPr>
    </w:p>
    <w:p>
      <w:pPr>
        <w:spacing w:after="0" w:line="238" w:lineRule="exact"/>
        <w:rPr>
          <w:rFonts w:ascii="Arial" w:cs="Arial" w:eastAsia="Arial" w:hAnsi="Arial"/>
          <w:sz w:val="12"/>
          <w:szCs w:val="12"/>
          <w:u w:val="single" w:color="auto"/>
          <w:color w:val="0000FF"/>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13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PAID-IN</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Balance, December 27, 2015</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119,215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1,072,861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421,900</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46,031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48,451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52,383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52,294</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$0.21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(23,981)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(274,744)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(274,892)</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18,390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18,390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shortfall from stock-</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3,654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Purchase of noncontrolling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interests, net of tax of</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$1,504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Contributions from</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25,</w:t>
            </w:r>
          </w:p>
        </w:tc>
        <w:tc>
          <w:tcPr>
            <w:tcW w:w="104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105,195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1,052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1,068,165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(747,472)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(94,984)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12,797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239,558</w:t>
            </w: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w:t>
      </w:r>
    </w:p>
    <w:p>
      <w:pPr>
        <w:spacing w:after="0" w:line="9" w:lineRule="exact"/>
        <w:rPr>
          <w:rFonts w:ascii="Arial" w:cs="Arial" w:eastAsia="Arial" w:hAnsi="Arial"/>
          <w:sz w:val="12"/>
          <w:szCs w:val="12"/>
          <w:u w:val="single" w:color="auto"/>
          <w:color w:val="0000FF"/>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14" w:lineRule="exact"/>
        <w:rPr>
          <w:rFonts w:ascii="Arial" w:cs="Arial" w:eastAsia="Arial" w:hAnsi="Arial"/>
          <w:sz w:val="12"/>
          <w:szCs w:val="12"/>
          <w:u w:val="single" w:color="auto"/>
          <w:color w:val="0000FF"/>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rFonts w:ascii="Arial" w:cs="Arial" w:eastAsia="Arial" w:hAnsi="Arial"/>
          <w:sz w:val="12"/>
          <w:szCs w:val="12"/>
          <w:u w:val="single" w:color="auto"/>
          <w:color w:val="0000FF"/>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9"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120" w:type="dxa"/>
            <w:vAlign w:val="bottom"/>
          </w:tcPr>
          <w:p>
            <w:pPr>
              <w:spacing w:after="0"/>
              <w:rPr>
                <w:sz w:val="22"/>
                <w:szCs w:val="22"/>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85,298</w:t>
            </w:r>
          </w:p>
        </w:tc>
        <w:tc>
          <w:tcPr>
            <w:tcW w:w="100" w:type="dxa"/>
            <w:vAlign w:val="bottom"/>
          </w:tcPr>
          <w:p>
            <w:pPr>
              <w:spacing w:after="0"/>
              <w:rPr>
                <w:sz w:val="20"/>
                <w:szCs w:val="20"/>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49,046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142,479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145,206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18,530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21,146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49,183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17,646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 (benefit)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Gain on sale of a business or subsidiary</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(2,084)</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defeasance,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26,998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(8,836)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(3,353)</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non-cash items,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(83,124)</w:t>
            </w:r>
          </w:p>
        </w:tc>
      </w:tr>
      <w:tr>
        <w:trPr>
          <w:trHeight w:val="270"/>
        </w:trPr>
        <w:tc>
          <w:tcPr>
            <w:tcW w:w="812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223,015</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223,560</w:t>
            </w: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flows (used in) provided by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83,866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320,287</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 business, net of cash divested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(183,820)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(185,581)</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investments, net</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w:t>
            </w:r>
          </w:p>
        </w:tc>
      </w:tr>
      <w:tr>
        <w:trPr>
          <w:trHeight w:val="264"/>
        </w:trPr>
        <w:tc>
          <w:tcPr>
            <w:tcW w:w="8120" w:type="dxa"/>
            <w:vAlign w:val="bottom"/>
          </w:tcPr>
          <w:p>
            <w:pPr>
              <w:ind w:left="104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(62,535)</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153,902</w:t>
            </w: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net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124,443</w:t>
            </w:r>
          </w:p>
        </w:tc>
        <w:tc>
          <w:tcPr>
            <w:tcW w:w="100" w:type="dxa"/>
            <w:vAlign w:val="bottom"/>
          </w:tcPr>
          <w:p>
            <w:pPr>
              <w:spacing w:after="0"/>
              <w:rPr>
                <w:sz w:val="20"/>
                <w:szCs w:val="20"/>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364,211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Defeasance,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(478,906)</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(64,578)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(221,266)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467,500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591,500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(417,000)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(377,500)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failed sale-leaseback transactions, net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the exercise of share-based compensation</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Repayments of partner deposits and accrued partner obligations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(14,985)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(272,916)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(275,291)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 on common stock</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(23,981)</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(196,206)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(445,809)</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5,250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(63,097)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136,186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155,374</w:t>
            </w:r>
          </w:p>
        </w:tc>
        <w:tc>
          <w:tcPr>
            <w:tcW w:w="0" w:type="dxa"/>
            <w:vAlign w:val="bottom"/>
          </w:tcPr>
          <w:p>
            <w:pPr>
              <w:spacing w:after="0"/>
              <w:rPr>
                <w:sz w:val="1"/>
                <w:szCs w:val="1"/>
                <w:color w:val="auto"/>
              </w:rPr>
            </w:pPr>
          </w:p>
        </w:tc>
      </w:tr>
      <w:tr>
        <w:trPr>
          <w:trHeight w:val="29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102,432</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92,277</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27,897</w:t>
            </w:r>
          </w:p>
        </w:tc>
        <w:tc>
          <w:tcPr>
            <w:tcW w:w="100" w:type="dxa"/>
            <w:vAlign w:val="bottom"/>
          </w:tcPr>
          <w:p>
            <w:pPr>
              <w:spacing w:after="0"/>
              <w:rPr>
                <w:sz w:val="20"/>
                <w:szCs w:val="20"/>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32,726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51,833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7"/>
              </w:rPr>
              <w:t>Change in acquisition of property, fixtures and equipment included in accounts payable or capital lease liabilities</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17,174</w:t>
            </w:r>
          </w:p>
        </w:tc>
        <w:tc>
          <w:tcPr>
            <w:tcW w:w="0" w:type="dxa"/>
            <w:vAlign w:val="bottom"/>
          </w:tcPr>
          <w:p>
            <w:pPr>
              <w:spacing w:after="0"/>
              <w:rPr>
                <w:sz w:val="1"/>
                <w:szCs w:val="1"/>
                <w:color w:val="auto"/>
              </w:rPr>
            </w:pPr>
          </w:p>
        </w:tc>
      </w:tr>
      <w:tr>
        <w:trPr>
          <w:trHeight w:val="305"/>
        </w:trPr>
        <w:tc>
          <w:tcPr>
            <w:tcW w:w="8120" w:type="dxa"/>
            <w:vAlign w:val="bottom"/>
          </w:tcPr>
          <w:p>
            <w:pPr>
              <w:ind w:left="380"/>
              <w:spacing w:after="0"/>
              <w:rPr>
                <w:sz w:val="20"/>
                <w:szCs w:val="20"/>
                <w:color w:val="auto"/>
              </w:rPr>
            </w:pPr>
            <w:r>
              <w:rPr>
                <w:rFonts w:ascii="Arial" w:cs="Arial" w:eastAsia="Arial" w:hAnsi="Arial"/>
                <w:sz w:val="16"/>
                <w:szCs w:val="16"/>
                <w:color w:val="auto"/>
              </w:rPr>
              <w:t>Purchase of noncontrolling interest included in accrued and other current liabilities</w:t>
            </w:r>
          </w:p>
        </w:tc>
        <w:tc>
          <w:tcPr>
            <w:tcW w:w="360" w:type="dxa"/>
            <w:vAlign w:val="bottom"/>
          </w:tcPr>
          <w:p>
            <w:pPr>
              <w:spacing w:after="0"/>
              <w:rPr>
                <w:sz w:val="24"/>
                <w:szCs w:val="24"/>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81"/>
        </w:trPr>
        <w:tc>
          <w:tcPr>
            <w:tcW w:w="8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Inc., through its subsidiaries (“Bloomin’ Brands” or the “Company”), owns and operates</w:t>
      </w:r>
      <w:r>
        <w:rPr>
          <w:rFonts w:ascii="Arial" w:cs="Arial" w:eastAsia="Arial" w:hAnsi="Arial"/>
          <w:sz w:val="20"/>
          <w:szCs w:val="20"/>
          <w:i w:val="1"/>
          <w:iCs w:val="1"/>
          <w:color w:val="auto"/>
        </w:rPr>
        <w:t xml:space="preserve"> </w:t>
      </w:r>
      <w:r>
        <w:rPr>
          <w:rFonts w:ascii="Arial" w:cs="Arial" w:eastAsia="Arial" w:hAnsi="Arial"/>
          <w:sz w:val="20"/>
          <w:szCs w:val="20"/>
          <w:color w:val="auto"/>
        </w:rPr>
        <w:t>casual, upscale casual and fine dining restaurants. The Company’s restaurant portfolio has four concepts: Outback Steakhouse, Carrabba’s Italian Grill, Bonefish Grill and Fleming’s Prime Steakhouse &amp; Wine Bar. Each of the Company’s concepts has additional restaurants in which it has no direct investment and are operated under franchise agreements.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Basis of Presentation - </w:t>
      </w:r>
      <w:r>
        <w:rPr>
          <w:rFonts w:ascii="Arial" w:cs="Arial" w:eastAsia="Arial" w:hAnsi="Arial"/>
          <w:sz w:val="19"/>
          <w:szCs w:val="19"/>
          <w:color w:val="auto"/>
        </w:rPr>
        <w:t>The accompanying interim unaudited consolidated financial statements have been prepared by the Company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25, 2016.</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Effective December 26, 2016, the Company adopted Accounting Standards Update</w:t>
      </w:r>
      <w:r>
        <w:rPr>
          <w:rFonts w:ascii="Arial" w:cs="Arial" w:eastAsia="Arial" w:hAnsi="Arial"/>
          <w:sz w:val="19"/>
          <w:szCs w:val="19"/>
          <w:i w:val="1"/>
          <w:iCs w:val="1"/>
          <w:color w:val="auto"/>
        </w:rPr>
        <w:t xml:space="preserve"> </w:t>
      </w:r>
      <w:r>
        <w:rPr>
          <w:rFonts w:ascii="Arial" w:cs="Arial" w:eastAsia="Arial" w:hAnsi="Arial"/>
          <w:sz w:val="19"/>
          <w:szCs w:val="19"/>
          <w:color w:val="auto"/>
        </w:rPr>
        <w:t>(“ASU”) 2016-09: “Compensation - Stock Compensation (Topic 718): Improvements to Employee Share-Based Payment Accounting” (“ASU No. 2016-09”). ASU No. 2016-09 simplifies several aspects related to the accounting for share-based payment transactions, including the accounting for income taxes, statutory tax withholding requirements and classification on the statement of cash flows. Upon adoption, the Company made an accounting policy election to recognize forfeitures as they occur. Using the modified retrospective transition method required under the standard, the Company recorded a cumulative-effect adjustment for the adoption of ASU No. 2016-09 of $14.4 million for previously unrecognized excess tax benefits, which increased Deferred tax assets and reduced Accumulated deficit. The recognition of excess tax benefits and tax shortfalls in the income statement and presentation of excess tax benefits on the statement of cash flows were adopted prospectively, with no adjustments made to prior periods. The remaining provisions of ASU No. 2016-09 did not have a material impact on the Company’s Consolidated Financial Statements.</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June 26, 2017, the Company adopted ASU No. 2016-18, “Statement of Cash Flows (Topic 230), Restricted Cash” (“ASU No. 2016-18”). ASU No. 2016-18 provides guidance on the presentation of restricted cash and restricted cash equivalents, which are now included with cash and cash equivalents when reconciling the beginning and ending cash amounts shown on the statements of cash flows. Using the retrospective transition method required under the standard, the Company has adjusted the presentation of its Condensed Consolidated Statements of Cash Flows for all periods presented. The adoption of ASU No. 2016-18 did not have any other impact on the Company’s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additional details by financial statement line item of the adjusted presentation in the Company’s Condensed Consolidated Statement of Cash Flows for the thirty-nine weeks ended September 25,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6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THIRTY-NINE WEEKS ENDED SEPTEMBER 25, 2016</w:t>
            </w:r>
          </w:p>
        </w:tc>
      </w:tr>
      <w:tr>
        <w:trPr>
          <w:trHeight w:val="153"/>
        </w:trPr>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3"/>
              </w:rPr>
              <w:t>2016-18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5"/>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4"/>
                <w:szCs w:val="14"/>
                <w:b w:val="1"/>
                <w:bCs w:val="1"/>
                <w:color w:val="auto"/>
              </w:rPr>
              <w:t>ADJUSTED</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Cash flows provided by investing activities:</w:t>
            </w:r>
          </w:p>
        </w:tc>
        <w:tc>
          <w:tcPr>
            <w:tcW w:w="49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6"/>
                <w:szCs w:val="16"/>
                <w:color w:val="auto"/>
              </w:rPr>
              <w:t>Decrease in restricted cash</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40,977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(40,977)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Increase in restricted cash</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18,739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90"/>
        </w:trPr>
        <w:tc>
          <w:tcPr>
            <w:tcW w:w="40" w:type="dxa"/>
            <w:vAlign w:val="bottom"/>
            <w:tcBorders>
              <w:bottom w:val="single" w:sz="8" w:color="CCEEFF"/>
            </w:tcBorders>
          </w:tcPr>
          <w:p>
            <w:pPr>
              <w:spacing w:after="0"/>
              <w:rPr>
                <w:sz w:val="24"/>
                <w:szCs w:val="24"/>
                <w:color w:val="auto"/>
              </w:rPr>
            </w:pPr>
          </w:p>
        </w:tc>
        <w:tc>
          <w:tcPr>
            <w:tcW w:w="77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176,140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153,902</w:t>
            </w:r>
          </w:p>
        </w:tc>
      </w:tr>
      <w:tr>
        <w:trPr>
          <w:trHeight w:val="311"/>
        </w:trPr>
        <w:tc>
          <w:tcPr>
            <w:tcW w:w="4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(40,863)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(63,097)</w:t>
            </w:r>
          </w:p>
        </w:tc>
      </w:tr>
      <w:tr>
        <w:trPr>
          <w:trHeight w:val="3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132,337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23,037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155,374</w:t>
            </w:r>
          </w:p>
        </w:tc>
      </w:tr>
      <w:tr>
        <w:trPr>
          <w:trHeight w:val="250"/>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91,474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92,277</w:t>
            </w: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May 2014, the Financial Accounting Standards Board (“the FASB”)</w:t>
      </w:r>
      <w:r>
        <w:rPr>
          <w:rFonts w:ascii="Arial" w:cs="Arial" w:eastAsia="Arial" w:hAnsi="Arial"/>
          <w:sz w:val="19"/>
          <w:szCs w:val="19"/>
          <w:i w:val="1"/>
          <w:iCs w:val="1"/>
          <w:color w:val="auto"/>
        </w:rPr>
        <w:t xml:space="preserve"> </w:t>
      </w:r>
      <w:r>
        <w:rPr>
          <w:rFonts w:ascii="Arial" w:cs="Arial" w:eastAsia="Arial" w:hAnsi="Arial"/>
          <w:sz w:val="19"/>
          <w:szCs w:val="19"/>
          <w:color w:val="auto"/>
        </w:rPr>
        <w:t>issued ASU No. 2014-09 “Revenue Recognition (Topic 606), Revenue from Contracts with Customers” (“ASU No. 2014-09”). ASU No. 2014-09 provides a single source of guidance for revenue arising from contracts with customers and supersedes current revenue recognition standards. Under ASU No. 2014-09, revenue is recognized in an amount that reflects the consideration an entity expects to receive for the transfer of goods and services. The standard also requires additional disclosures about the nature, timing and uncertainty of revenue and cash flows arising from contracts with customers. The Company continues to assess the overall impact of the adoption of ASU No. 2014-09 on its Consolidated Financial Statements and related disclosures, and anticipates testing new controls and processes designed to comply with ASU No. 2014-09 throughout the remainder of 2017 to permit adoption on January 1, 2018.</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While the Company continues to assess all potential impacts of the standard, it currently believes the most significant impact relates to accounting for gift card breakage and advertising fees charged to franchisees. Under the new standard, the Company expects to recognize gift card breakage proportional to actual gift card redemptions. Advertising fees charged to franchisees, which are currently recorded as a reduction to Other restaurant operating expenses, will be recognized as revenue. In addition, initial franchise fees will be recognized over the term of the franchise agreement, which is not expected to have a material impact on the Company’s Consolidated Financial Statements.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intends to adopt ASU No. 2014-09 using the full retrospective transition method, which will result in restating each prior reporting period presented in the year of adoption. Additionally, a cumulative effect adjustment will be recorded to the opening balance of accumulated deficit as of the first day of fiscal year 2016, the earliest period presented. Adoption of ASU No. 2014-09 will also have a significant impact on the Company’s disclosures.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February 2016, the FASB issued ASU No. 2016-02: “Leases (Topic 842)” (“ASU No. 2016-02”). ASU No. 2016-02 requires the lease rights and obligations arising from lease contracts, including existing and new arrangements, to be recognized as assets and liabilities on the balance sheet. ASU No. 2016-02 is effective for the Company in fiscal year 2019 and must be adopted using a modified retrospective approach. The Company is currently evaluating the impact that the adoption of ASU No. 2016-02 will have on its Consolidated Financial Statements.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52525"/>
        </w:rPr>
        <w:t xml:space="preserve">In August 2016, </w:t>
      </w:r>
      <w:r>
        <w:rPr>
          <w:rFonts w:ascii="Arial" w:cs="Arial" w:eastAsia="Arial" w:hAnsi="Arial"/>
          <w:sz w:val="19"/>
          <w:szCs w:val="19"/>
          <w:color w:val="000000"/>
        </w:rPr>
        <w:t>the FASB issued</w:t>
      </w:r>
      <w:r>
        <w:rPr>
          <w:rFonts w:ascii="Arial" w:cs="Arial" w:eastAsia="Arial" w:hAnsi="Arial"/>
          <w:sz w:val="19"/>
          <w:szCs w:val="19"/>
          <w:color w:val="252525"/>
        </w:rPr>
        <w:t xml:space="preserve"> ASU No. 2016-15, Statement of Cash Flows (Topic 230): Classification of Certain Cash Receipts and Cash Payments (“ASU No. 2016-15”) which provides guidance on the statement of cash flows presentation of certain transactions where diversity in practice exists. ASU No. 2016-15 will be effect</w:t>
      </w:r>
      <w:r>
        <w:rPr>
          <w:rFonts w:ascii="Arial" w:cs="Arial" w:eastAsia="Arial" w:hAnsi="Arial"/>
          <w:sz w:val="19"/>
          <w:szCs w:val="19"/>
          <w:color w:val="000000"/>
        </w:rPr>
        <w:t>ive for the Company in fiscal year 2018</w:t>
      </w:r>
      <w:r>
        <w:rPr>
          <w:rFonts w:ascii="Arial" w:cs="Arial" w:eastAsia="Arial" w:hAnsi="Arial"/>
          <w:sz w:val="19"/>
          <w:szCs w:val="19"/>
          <w:color w:val="252525"/>
        </w:rPr>
        <w:t xml:space="preserve">, and early adoption is permitted. The Company does not expect ASU No. 2016-15 to have a material impact on its </w:t>
      </w:r>
      <w:r>
        <w:rPr>
          <w:rFonts w:ascii="Arial" w:cs="Arial" w:eastAsia="Arial" w:hAnsi="Arial"/>
          <w:sz w:val="19"/>
          <w:szCs w:val="19"/>
          <w:color w:val="000000"/>
        </w:rPr>
        <w:t>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January 2017, the FASB issued ASU No. 2017-04, “Intangibles - Goodwill and Other (Topic 350): Simplifying the Test for Goodwill Impairment,” (“ASU No. 2017-04”). ASU No. 2017-04 eliminates the second step of goodwill impairment, which requires a hypothetical purchase price allocation. Under ASU No. 2017-04, goodwill impairment will be calculated as the amount a reporting unit’s carrying value exceeds its calculated fair value. ASU No. 2017-04 will be applied prospectively and is effective for the Company in fiscal year 2020, with early adoption permitted. The Company does not expect the adoption of ASU No. 2017-04 to have a material impact on its Consolidated Financial Statements.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(“ASU No. 2017-12”) which provides guidance for reporting the economic results of hedging activities and to simplify the disclosures of risk exposures and hedging strategies. ASU No. 2017-12 will be effective for the Company in fiscal year 2019, with early adoption permitted. The Company is currently evaluating the impact of ASU No. 2017-12 on its Consolidated Financial Statements.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Disposals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252525"/>
        </w:rPr>
        <w:t xml:space="preserve">Refranchising </w:t>
      </w:r>
      <w:r>
        <w:rPr>
          <w:rFonts w:ascii="Arial" w:cs="Arial" w:eastAsia="Arial" w:hAnsi="Arial"/>
          <w:sz w:val="18"/>
          <w:szCs w:val="18"/>
          <w:color w:val="252525"/>
        </w:rPr>
        <w:t>- During the thirteen weeks ended June 25, 2017, the Company completed the sale of</w:t>
      </w:r>
      <w:r>
        <w:rPr>
          <w:rFonts w:ascii="Arial" w:cs="Arial" w:eastAsia="Arial" w:hAnsi="Arial"/>
          <w:sz w:val="18"/>
          <w:szCs w:val="18"/>
          <w:i w:val="1"/>
          <w:iCs w:val="1"/>
          <w:color w:val="252525"/>
        </w:rPr>
        <w:t xml:space="preserve"> </w:t>
      </w:r>
      <w:r>
        <w:rPr>
          <w:rFonts w:ascii="Arial" w:cs="Arial" w:eastAsia="Arial" w:hAnsi="Arial"/>
          <w:sz w:val="18"/>
          <w:szCs w:val="18"/>
          <w:color w:val="000000"/>
        </w:rPr>
        <w:t>54</w:t>
      </w:r>
      <w:r>
        <w:rPr>
          <w:rFonts w:ascii="Arial" w:cs="Arial" w:eastAsia="Arial" w:hAnsi="Arial"/>
          <w:sz w:val="18"/>
          <w:szCs w:val="18"/>
          <w:i w:val="1"/>
          <w:iCs w:val="1"/>
          <w:color w:val="252525"/>
        </w:rPr>
        <w:t xml:space="preserve"> </w:t>
      </w:r>
      <w:r>
        <w:rPr>
          <w:rFonts w:ascii="Arial" w:cs="Arial" w:eastAsia="Arial" w:hAnsi="Arial"/>
          <w:sz w:val="18"/>
          <w:szCs w:val="18"/>
          <w:color w:val="252525"/>
        </w:rPr>
        <w:t>of its existing U.S. Company-owned</w:t>
      </w:r>
      <w:r>
        <w:rPr>
          <w:rFonts w:ascii="Arial" w:cs="Arial" w:eastAsia="Arial" w:hAnsi="Arial"/>
          <w:sz w:val="18"/>
          <w:szCs w:val="18"/>
          <w:i w:val="1"/>
          <w:iCs w:val="1"/>
          <w:color w:val="252525"/>
        </w:rPr>
        <w:t xml:space="preserve"> </w:t>
      </w:r>
      <w:r>
        <w:rPr>
          <w:rFonts w:ascii="Arial" w:cs="Arial" w:eastAsia="Arial" w:hAnsi="Arial"/>
          <w:sz w:val="18"/>
          <w:szCs w:val="18"/>
          <w:color w:val="252525"/>
        </w:rPr>
        <w:t xml:space="preserve">Outback Steakhouse and Carrabba’s Italian Grill locations to </w:t>
      </w:r>
      <w:r>
        <w:rPr>
          <w:rFonts w:ascii="Arial" w:cs="Arial" w:eastAsia="Arial" w:hAnsi="Arial"/>
          <w:sz w:val="16"/>
          <w:szCs w:val="16"/>
          <w:color w:val="000000"/>
        </w:rPr>
        <w:t>two</w:t>
      </w:r>
      <w:r>
        <w:rPr>
          <w:rFonts w:ascii="Arial" w:cs="Arial" w:eastAsia="Arial" w:hAnsi="Arial"/>
          <w:sz w:val="18"/>
          <w:szCs w:val="18"/>
          <w:color w:val="252525"/>
        </w:rPr>
        <w:t xml:space="preserve"> of its existing franchisees (the “Buyers”) for aggregate cash proceeds of </w:t>
      </w:r>
      <w:r>
        <w:rPr>
          <w:rFonts w:ascii="Arial" w:cs="Arial" w:eastAsia="Arial" w:hAnsi="Arial"/>
          <w:sz w:val="18"/>
          <w:szCs w:val="18"/>
          <w:color w:val="000000"/>
        </w:rPr>
        <w:t>$36.2</w:t>
      </w:r>
      <w:r>
        <w:rPr>
          <w:rFonts w:ascii="Arial" w:cs="Arial" w:eastAsia="Arial" w:hAnsi="Arial"/>
          <w:sz w:val="18"/>
          <w:szCs w:val="18"/>
          <w:color w:val="252525"/>
        </w:rPr>
        <w:t xml:space="preserve"> </w:t>
      </w:r>
      <w:r>
        <w:rPr>
          <w:rFonts w:ascii="Arial" w:cs="Arial" w:eastAsia="Arial" w:hAnsi="Arial"/>
          <w:sz w:val="18"/>
          <w:szCs w:val="18"/>
          <w:color w:val="000000"/>
        </w:rPr>
        <w:t>million</w:t>
      </w:r>
      <w:r>
        <w:rPr>
          <w:rFonts w:ascii="Arial" w:cs="Arial" w:eastAsia="Arial" w:hAnsi="Arial"/>
          <w:sz w:val="18"/>
          <w:szCs w:val="18"/>
          <w:color w:val="252525"/>
        </w:rPr>
        <w:t>, net of certain closing adjustments. The transactions resulted in an aggregate net gain of $7.4 million, recorded within Other income,</w:t>
      </w:r>
      <w:r>
        <w:rPr>
          <w:rFonts w:ascii="Arial" w:cs="Arial" w:eastAsia="Arial" w:hAnsi="Arial"/>
          <w:sz w:val="18"/>
          <w:szCs w:val="18"/>
          <w:color w:val="000000"/>
        </w:rPr>
        <w:t xml:space="preserve"> </w:t>
      </w:r>
      <w:r>
        <w:rPr>
          <w:rFonts w:ascii="Arial" w:cs="Arial" w:eastAsia="Arial" w:hAnsi="Arial"/>
          <w:sz w:val="18"/>
          <w:szCs w:val="18"/>
          <w:color w:val="252525"/>
        </w:rPr>
        <w:t>net, in the Consolidated Statements of Operations and Other Comprehensive Income, and is net of an impairment of $1.7 million related to certain Company-owned assets leased to the Buyers. Included in the cash proceeds are initial franchise fees of $2.2 million that are recorded within Franchise and other revenues in the Consolidated Statements of Operations and Other Comprehensive Income.</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252525"/>
        </w:rPr>
        <w:t xml:space="preserve">These restaurants are now operated as franchises by the Buyers and the Company remains contingently liable on certain real estate lease agreements assigned to the Buyers. See Note </w:t>
      </w:r>
      <w:r>
        <w:rPr>
          <w:rFonts w:ascii="Arial" w:cs="Arial" w:eastAsia="Arial" w:hAnsi="Arial"/>
          <w:sz w:val="18"/>
          <w:szCs w:val="18"/>
          <w:color w:val="000000"/>
        </w:rPr>
        <w:t>15 -</w:t>
      </w:r>
      <w:r>
        <w:rPr>
          <w:rFonts w:ascii="Arial" w:cs="Arial" w:eastAsia="Arial" w:hAnsi="Arial"/>
          <w:sz w:val="18"/>
          <w:szCs w:val="18"/>
          <w:color w:val="252525"/>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252525"/>
        </w:rPr>
        <w:t xml:space="preserve"> </w:t>
      </w:r>
      <w:r>
        <w:rPr>
          <w:rFonts w:ascii="Arial" w:cs="Arial" w:eastAsia="Arial" w:hAnsi="Arial"/>
          <w:sz w:val="18"/>
          <w:szCs w:val="18"/>
          <w:color w:val="000000"/>
        </w:rPr>
        <w:t>for additional details regarding lease guarantees.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252525"/>
        </w:rPr>
        <w:t xml:space="preserve">Other </w:t>
      </w:r>
      <w:r>
        <w:rPr>
          <w:rFonts w:ascii="Arial" w:cs="Arial" w:eastAsia="Arial" w:hAnsi="Arial"/>
          <w:sz w:val="19"/>
          <w:szCs w:val="19"/>
          <w:color w:val="252525"/>
        </w:rPr>
        <w:t>- During the thirteen weeks ended September 24, 2017, the Company closed and completed the sale of one U.S. Company-owned</w:t>
      </w:r>
      <w:r>
        <w:rPr>
          <w:rFonts w:ascii="Arial" w:cs="Arial" w:eastAsia="Arial" w:hAnsi="Arial"/>
          <w:sz w:val="19"/>
          <w:szCs w:val="19"/>
          <w:i w:val="1"/>
          <w:iCs w:val="1"/>
          <w:color w:val="252525"/>
        </w:rPr>
        <w:t xml:space="preserve"> </w:t>
      </w:r>
      <w:r>
        <w:rPr>
          <w:rFonts w:ascii="Arial" w:cs="Arial" w:eastAsia="Arial" w:hAnsi="Arial"/>
          <w:sz w:val="19"/>
          <w:szCs w:val="19"/>
          <w:color w:val="252525"/>
        </w:rPr>
        <w:t>Carrabba’s Italian Grill location for a purchase price of $9.9 million</w:t>
      </w:r>
      <w:r>
        <w:rPr>
          <w:rFonts w:ascii="Arial" w:cs="Arial" w:eastAsia="Arial" w:hAnsi="Arial"/>
          <w:sz w:val="19"/>
          <w:szCs w:val="19"/>
          <w:color w:val="000000"/>
        </w:rPr>
        <w:t>,</w:t>
      </w:r>
      <w:r>
        <w:rPr>
          <w:rFonts w:ascii="Arial" w:cs="Arial" w:eastAsia="Arial" w:hAnsi="Arial"/>
          <w:sz w:val="19"/>
          <w:szCs w:val="19"/>
          <w:color w:val="252525"/>
        </w:rPr>
        <w:t xml:space="preserve"> net of closing costs. The sale resulted in a net gain of $8.4 million, recorded within Other income, net, in the Consolidated Statements of Operations and Other Comprehensive Income.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Outback Steakhouse South Korea </w:t>
      </w:r>
      <w:r>
        <w:rPr>
          <w:rFonts w:ascii="Arial" w:cs="Arial" w:eastAsia="Arial" w:hAnsi="Arial"/>
          <w:sz w:val="20"/>
          <w:szCs w:val="20"/>
          <w:color w:val="auto"/>
        </w:rPr>
        <w:t>- In 2016, the Company completed the sale of its Outback Steakhouse subsidiary in South Korea (“Outback</w:t>
      </w:r>
      <w:r>
        <w:rPr>
          <w:rFonts w:ascii="Arial" w:cs="Arial" w:eastAsia="Arial" w:hAnsi="Arial"/>
          <w:sz w:val="20"/>
          <w:szCs w:val="20"/>
          <w:i w:val="1"/>
          <w:iCs w:val="1"/>
          <w:color w:val="auto"/>
        </w:rPr>
        <w:t xml:space="preserve"> </w:t>
      </w:r>
      <w:r>
        <w:rPr>
          <w:rFonts w:ascii="Arial" w:cs="Arial" w:eastAsia="Arial" w:hAnsi="Arial"/>
          <w:sz w:val="20"/>
          <w:szCs w:val="20"/>
          <w:color w:val="auto"/>
        </w:rPr>
        <w:t>Steakhouse South Korea”). Following is the Income (loss) before income taxes of Outback Steakhouse South Korea included in the Consolidated Statements of Operations and Comprehensive Income for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THIRTY-NINE WEEKS</w:t>
            </w:r>
          </w:p>
        </w:tc>
      </w:tr>
      <w:tr>
        <w:trPr>
          <w:trHeight w:val="186"/>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6"/>
                <w:szCs w:val="16"/>
                <w:color w:val="auto"/>
              </w:rPr>
            </w:pPr>
          </w:p>
        </w:tc>
        <w:tc>
          <w:tcPr>
            <w:tcW w:w="1260" w:type="dxa"/>
            <w:vAlign w:val="bottom"/>
          </w:tcPr>
          <w:p>
            <w:pPr>
              <w:jc w:val="center"/>
              <w:ind w:right="243"/>
              <w:spacing w:after="0"/>
              <w:rPr>
                <w:sz w:val="20"/>
                <w:szCs w:val="20"/>
                <w:color w:val="auto"/>
              </w:rPr>
            </w:pPr>
            <w:r>
              <w:rPr>
                <w:rFonts w:ascii="Arial" w:cs="Arial" w:eastAsia="Arial" w:hAnsi="Arial"/>
                <w:sz w:val="14"/>
                <w:szCs w:val="14"/>
                <w:b w:val="1"/>
                <w:bCs w:val="1"/>
                <w:color w:val="auto"/>
              </w:rPr>
              <w:t>ENDED</w:t>
            </w:r>
          </w:p>
        </w:tc>
      </w:tr>
      <w:tr>
        <w:trPr>
          <w:trHeight w:val="276"/>
        </w:trPr>
        <w:tc>
          <w:tcPr>
            <w:tcW w:w="20" w:type="dxa"/>
            <w:vAlign w:val="bottom"/>
          </w:tcPr>
          <w:p>
            <w:pPr>
              <w:spacing w:after="0"/>
              <w:rPr>
                <w:sz w:val="23"/>
                <w:szCs w:val="23"/>
                <w:color w:val="auto"/>
              </w:rPr>
            </w:pPr>
          </w:p>
        </w:tc>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SEPTEMBER 25, 2016</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SEPTEMBER 25, 2016</w:t>
            </w:r>
          </w:p>
        </w:tc>
      </w:tr>
      <w:tr>
        <w:trPr>
          <w:trHeight w:val="237"/>
        </w:trPr>
        <w:tc>
          <w:tcPr>
            <w:tcW w:w="20" w:type="dxa"/>
            <w:vAlign w:val="bottom"/>
          </w:tcPr>
          <w:p>
            <w:pPr>
              <w:spacing w:after="0"/>
              <w:rPr>
                <w:sz w:val="20"/>
                <w:szCs w:val="20"/>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 (1)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5"/>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(32,348)</w:t>
            </w:r>
          </w:p>
        </w:tc>
      </w:tr>
      <w:tr>
        <w:trPr>
          <w:trHeight w:val="193"/>
        </w:trPr>
        <w:tc>
          <w:tcPr>
            <w:tcW w:w="20" w:type="dxa"/>
            <w:vAlign w:val="bottom"/>
          </w:tcPr>
          <w:p>
            <w:pPr>
              <w:spacing w:after="0"/>
              <w:rPr>
                <w:sz w:val="16"/>
                <w:szCs w:val="16"/>
                <w:color w:val="auto"/>
              </w:rPr>
            </w:pPr>
          </w:p>
        </w:tc>
        <w:tc>
          <w:tcPr>
            <w:tcW w:w="8100" w:type="dxa"/>
            <w:vAlign w:val="bottom"/>
          </w:tcPr>
          <w:p>
            <w:pPr>
              <w:jc w:val="right"/>
              <w:ind w:right="6742"/>
              <w:spacing w:after="0"/>
              <w:rPr>
                <w:sz w:val="20"/>
                <w:szCs w:val="20"/>
                <w:color w:val="auto"/>
              </w:rPr>
            </w:pPr>
            <w:r>
              <w:rPr>
                <w:rFonts w:ascii="Arial" w:cs="Arial" w:eastAsia="Arial" w:hAnsi="Arial"/>
                <w:sz w:val="16"/>
                <w:szCs w:val="16"/>
                <w:color w:val="auto"/>
                <w:w w:val="88"/>
              </w:rPr>
              <w:t>________________</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ind w:left="660" w:right="20" w:hanging="652"/>
        <w:spacing w:after="0" w:line="25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impairment charges of $39.6 million for Assets held for sale during the thirty-nine weeks ended September 25, 2016. Includes a gain of $2.1 million on the sale of Outback Steakhouse South Korea for the thirteen and thirty-nine weeks ended September 25, 2016.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Borders>
              <w:bottom w:val="single" w:sz="8" w:color="auto"/>
            </w:tcBorders>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U.S.</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12,339</w:t>
            </w:r>
          </w:p>
        </w:tc>
        <w:tc>
          <w:tcPr>
            <w:tcW w:w="12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5,267</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13,272</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5,348</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4"/>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1,903</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39,636</w:t>
            </w:r>
          </w:p>
        </w:tc>
      </w:tr>
      <w:tr>
        <w:trPr>
          <w:trHeight w:val="270"/>
        </w:trPr>
        <w:tc>
          <w:tcPr>
            <w:tcW w:w="470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impairment losses</w:t>
            </w: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14,242</w:t>
            </w:r>
          </w:p>
        </w:tc>
        <w:tc>
          <w:tcPr>
            <w:tcW w:w="120" w:type="dxa"/>
            <w:vAlign w:val="bottom"/>
            <w:tcBorders>
              <w:top w:val="single" w:sz="8" w:color="CCEEFF"/>
              <w:bottom w:val="single" w:sz="8" w:color="CCEEFF"/>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5,267</w:t>
            </w:r>
          </w:p>
        </w:tc>
        <w:tc>
          <w:tcPr>
            <w:tcW w:w="120" w:type="dxa"/>
            <w:vAlign w:val="bottom"/>
            <w:tcBorders>
              <w:top w:val="single" w:sz="8" w:color="CCEEFF"/>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15,175</w:t>
            </w:r>
          </w:p>
        </w:tc>
        <w:tc>
          <w:tcPr>
            <w:tcW w:w="100" w:type="dxa"/>
            <w:vAlign w:val="bottom"/>
            <w:tcBorders>
              <w:top w:val="single" w:sz="8" w:color="CCEEFF"/>
              <w:bottom w:val="single" w:sz="8" w:color="CCEEFF"/>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44,984</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closure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U.S.</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4,336</w:t>
            </w:r>
          </w:p>
        </w:tc>
        <w:tc>
          <w:tcPr>
            <w:tcW w:w="12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23,078</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4,325</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4"/>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70"/>
        </w:trPr>
        <w:tc>
          <w:tcPr>
            <w:tcW w:w="470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restaurant closure expenses</w:t>
            </w: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4,336</w:t>
            </w:r>
          </w:p>
        </w:tc>
        <w:tc>
          <w:tcPr>
            <w:tcW w:w="120" w:type="dxa"/>
            <w:vAlign w:val="bottom"/>
            <w:tcBorders>
              <w:top w:val="single" w:sz="8" w:color="CCEEFF"/>
              <w:bottom w:val="single" w:sz="8" w:color="CCEEFF"/>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top w:val="single" w:sz="8" w:color="CCEEFF"/>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23,078</w:t>
            </w:r>
          </w:p>
        </w:tc>
        <w:tc>
          <w:tcPr>
            <w:tcW w:w="100" w:type="dxa"/>
            <w:vAlign w:val="bottom"/>
            <w:tcBorders>
              <w:top w:val="single" w:sz="8" w:color="CCEEFF"/>
              <w:bottom w:val="single" w:sz="8" w:color="CCEEFF"/>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4,199</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18,578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38,253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49,183</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Closure Initiative and Restructuring Costs </w:t>
      </w:r>
      <w:r>
        <w:rPr>
          <w:rFonts w:ascii="Arial" w:cs="Arial" w:eastAsia="Arial" w:hAnsi="Arial"/>
          <w:sz w:val="20"/>
          <w:szCs w:val="20"/>
          <w:color w:val="auto"/>
        </w:rPr>
        <w:t>- Following is a summary of expenses related to the 2017 Closure Initiative and Bonefish</w:t>
      </w:r>
      <w:r>
        <w:rPr>
          <w:rFonts w:ascii="Arial" w:cs="Arial" w:eastAsia="Arial" w:hAnsi="Arial"/>
          <w:sz w:val="20"/>
          <w:szCs w:val="20"/>
          <w:i w:val="1"/>
          <w:iCs w:val="1"/>
          <w:color w:val="auto"/>
        </w:rPr>
        <w:t xml:space="preserve"> </w:t>
      </w:r>
      <w:r>
        <w:rPr>
          <w:rFonts w:ascii="Arial" w:cs="Arial" w:eastAsia="Arial" w:hAnsi="Arial"/>
          <w:sz w:val="20"/>
          <w:szCs w:val="20"/>
          <w:color w:val="auto"/>
        </w:rPr>
        <w:t>Restructuring (the “Closure Initiatives”) recognized in the Company’s Consolidated Statements of Operations and Comprehensive Income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ind w:right="2340"/>
              <w:spacing w:after="0"/>
              <w:rPr>
                <w:sz w:val="20"/>
                <w:szCs w:val="20"/>
                <w:color w:val="auto"/>
              </w:rPr>
            </w:pPr>
            <w:r>
              <w:rPr>
                <w:rFonts w:ascii="Arial" w:cs="Arial" w:eastAsia="Arial" w:hAnsi="Arial"/>
                <w:sz w:val="16"/>
                <w:szCs w:val="16"/>
                <w:color w:val="auto"/>
                <w:w w:val="94"/>
              </w:rPr>
              <w:t>2017 Closure Initiative (1)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0"/>
                <w:szCs w:val="20"/>
                <w:color w:val="auto"/>
              </w:rPr>
            </w:pP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19,051</w:t>
            </w:r>
          </w:p>
        </w:tc>
        <w:tc>
          <w:tcPr>
            <w:tcW w:w="100" w:type="dxa"/>
            <w:vAlign w:val="bottom"/>
          </w:tcPr>
          <w:p>
            <w:pPr>
              <w:spacing w:after="0"/>
              <w:rPr>
                <w:sz w:val="20"/>
                <w:szCs w:val="20"/>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jc w:val="center"/>
              <w:ind w:right="2320"/>
              <w:spacing w:after="0"/>
              <w:rPr>
                <w:sz w:val="20"/>
                <w:szCs w:val="20"/>
                <w:color w:val="auto"/>
              </w:rPr>
            </w:pPr>
            <w:r>
              <w:rPr>
                <w:rFonts w:ascii="Arial" w:cs="Arial" w:eastAsia="Arial" w:hAnsi="Arial"/>
                <w:sz w:val="16"/>
                <w:szCs w:val="16"/>
                <w:color w:val="auto"/>
                <w:w w:val="93"/>
              </w:rPr>
              <w:t>Bonefish Restructuring (2)</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1,924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Provision for impaired assets and restaurant closings</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3,772</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21,784</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Severance and other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ind w:right="2340"/>
              <w:spacing w:after="0"/>
              <w:rPr>
                <w:sz w:val="20"/>
                <w:szCs w:val="20"/>
                <w:color w:val="auto"/>
              </w:rPr>
            </w:pPr>
            <w:r>
              <w:rPr>
                <w:rFonts w:ascii="Arial" w:cs="Arial" w:eastAsia="Arial" w:hAnsi="Arial"/>
                <w:sz w:val="16"/>
                <w:szCs w:val="16"/>
                <w:color w:val="auto"/>
                <w:w w:val="94"/>
              </w:rPr>
              <w:t>2017 Closure Initiative (1)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0"/>
                <w:szCs w:val="20"/>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jc w:val="center"/>
              <w:ind w:right="2320"/>
              <w:spacing w:after="0"/>
              <w:rPr>
                <w:sz w:val="20"/>
                <w:szCs w:val="20"/>
                <w:color w:val="auto"/>
              </w:rPr>
            </w:pPr>
            <w:r>
              <w:rPr>
                <w:rFonts w:ascii="Arial" w:cs="Arial" w:eastAsia="Arial" w:hAnsi="Arial"/>
                <w:sz w:val="16"/>
                <w:szCs w:val="16"/>
                <w:color w:val="auto"/>
                <w:w w:val="93"/>
              </w:rPr>
              <w:t>Bonefish Restructuring (2)</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70"/>
        </w:trPr>
        <w:tc>
          <w:tcPr>
            <w:tcW w:w="4700" w:type="dxa"/>
            <w:vAlign w:val="bottom"/>
          </w:tcPr>
          <w:p>
            <w:pPr>
              <w:jc w:val="center"/>
              <w:ind w:right="2360"/>
              <w:spacing w:after="0"/>
              <w:rPr>
                <w:sz w:val="20"/>
                <w:szCs w:val="20"/>
                <w:color w:val="auto"/>
              </w:rPr>
            </w:pPr>
            <w:r>
              <w:rPr>
                <w:rFonts w:ascii="Arial" w:cs="Arial" w:eastAsia="Arial" w:hAnsi="Arial"/>
                <w:sz w:val="16"/>
                <w:szCs w:val="16"/>
                <w:b w:val="1"/>
                <w:bCs w:val="1"/>
                <w:color w:val="auto"/>
                <w:w w:val="92"/>
              </w:rPr>
              <w:t>General and administrative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3"/>
                <w:szCs w:val="23"/>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44"/>
        </w:trPr>
        <w:tc>
          <w:tcPr>
            <w:tcW w:w="4700" w:type="dxa"/>
            <w:vAlign w:val="bottom"/>
            <w:tcBorders>
              <w:top w:val="single" w:sz="8" w:color="CCEEFF"/>
              <w:bottom w:val="single" w:sz="8" w:color="CCEEFF"/>
            </w:tcBorders>
            <w:shd w:val="clear" w:color="auto" w:fill="CCEEFF"/>
          </w:tcPr>
          <w:p>
            <w:pPr>
              <w:jc w:val="center"/>
              <w:ind w:right="2340"/>
              <w:spacing w:after="0"/>
              <w:rPr>
                <w:sz w:val="20"/>
                <w:szCs w:val="20"/>
                <w:color w:val="auto"/>
              </w:rPr>
            </w:pPr>
            <w:r>
              <w:rPr>
                <w:rFonts w:ascii="Arial" w:cs="Arial" w:eastAsia="Arial" w:hAnsi="Arial"/>
                <w:sz w:val="16"/>
                <w:szCs w:val="16"/>
                <w:b w:val="1"/>
                <w:bCs w:val="1"/>
                <w:i w:val="1"/>
                <w:iCs w:val="1"/>
                <w:color w:val="auto"/>
                <w:w w:val="88"/>
              </w:rPr>
              <w:t>Reversal of deferred rent liability</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ind w:right="2340"/>
              <w:spacing w:after="0"/>
              <w:rPr>
                <w:sz w:val="20"/>
                <w:szCs w:val="20"/>
                <w:color w:val="auto"/>
              </w:rPr>
            </w:pPr>
            <w:r>
              <w:rPr>
                <w:rFonts w:ascii="Arial" w:cs="Arial" w:eastAsia="Arial" w:hAnsi="Arial"/>
                <w:sz w:val="16"/>
                <w:szCs w:val="16"/>
                <w:color w:val="auto"/>
                <w:w w:val="94"/>
              </w:rPr>
              <w:t>2017 Closure Initiative (1)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0"/>
                <w:szCs w:val="20"/>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jc w:val="center"/>
              <w:ind w:right="2320"/>
              <w:spacing w:after="0"/>
              <w:rPr>
                <w:sz w:val="20"/>
                <w:szCs w:val="20"/>
                <w:color w:val="auto"/>
              </w:rPr>
            </w:pPr>
            <w:r>
              <w:rPr>
                <w:rFonts w:ascii="Arial" w:cs="Arial" w:eastAsia="Arial" w:hAnsi="Arial"/>
                <w:sz w:val="16"/>
                <w:szCs w:val="16"/>
                <w:color w:val="auto"/>
                <w:w w:val="93"/>
              </w:rPr>
              <w:t>Bonefish Restructuring (2)</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(3,410)</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b w:val="1"/>
                <w:bCs w:val="1"/>
                <w:color w:val="auto"/>
              </w:rPr>
              <w:t>Other restaurant operating</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3"/>
                <w:szCs w:val="23"/>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3"/>
                <w:szCs w:val="23"/>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(3,410)</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80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8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February 15, 2017 and August 28, 2017, the Company decided to close 43 underperforming restaurants in the U.S. and two Abbraccio restaurants outside of the core markets of São Paulo and Rio de Janeiro in Brazil (the “2017 Closure Initiative”). Most of these restaurants were closed in 2017 to date, with the balance mostly closing as leases and certain operating covenants expire or are amended or waived. Expenses of $1.9 million related to the 2017 Closure Initiative for the thirteen and thirty-nine weeks ended September 24, 2017 were recognized within the International segment, with all other expenses recognized within the U.S. segment.</w:t>
      </w:r>
    </w:p>
    <w:p>
      <w:pPr>
        <w:spacing w:after="0" w:line="2" w:lineRule="exact"/>
        <w:rPr>
          <w:rFonts w:ascii="Arial" w:cs="Arial" w:eastAsia="Arial" w:hAnsi="Arial"/>
          <w:sz w:val="14"/>
          <w:szCs w:val="14"/>
          <w:color w:val="auto"/>
        </w:rPr>
      </w:pPr>
    </w:p>
    <w:p>
      <w:pPr>
        <w:ind w:left="660" w:hanging="652"/>
        <w:spacing w:after="0" w:line="29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February 12, 2016, the Company decided to close 14 Bonefish Grill restaurants (the “Bonefish Restructuring”). The Company expects to substantially complete these restaurant closings through the first quarter of 2019. Expenses related to the Bonefish Restructuring are recognized within the U.S. segment.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The Company owns certain U.S. restaurant properties and assets that are no longer utilized to operate its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concepts (“surplus properties”). Surplus properties primarily consist of closed properties which include land and a building, and liquor licenses not needed for operations. Surplus properties may be classified in the Consolidated Balance Sheets as assets held for sale or as assets held and used when the Company does not expect to sell these assets within the next 12 months. Following is a summary of the carrying value and number of surplus properties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CONSOLIDATED BALANCE SHEET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5"/>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SEPTEMBER 24, 2017</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25, 2016</w:t>
            </w: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properties - assets held for sale</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58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w:t>
            </w:r>
          </w:p>
        </w:tc>
      </w:tr>
      <w:tr>
        <w:trPr>
          <w:trHeight w:val="27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Surplus properties - assets held and used</w:t>
            </w: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23,599</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34,501</w:t>
            </w: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surplus properties</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35,177</w:t>
            </w:r>
          </w:p>
        </w:tc>
      </w:tr>
      <w:tr>
        <w:trPr>
          <w:trHeight w:val="20"/>
        </w:trPr>
        <w:tc>
          <w:tcPr>
            <w:tcW w:w="4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surplus properties owned</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bl>
    <w:p>
      <w:pPr>
        <w:spacing w:after="0" w:line="21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During the thirteen and thirty-nine weeks ended September 24, 2017, the Company recognized impairment charges of $9.5 million in connection with the remeasurement of certain held and used surplus properties currently leased to the owners of its former restaurant concepts.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Impairments - </w:t>
      </w:r>
      <w:r>
        <w:rPr>
          <w:rFonts w:ascii="Arial" w:cs="Arial" w:eastAsia="Arial" w:hAnsi="Arial"/>
          <w:sz w:val="20"/>
          <w:szCs w:val="20"/>
          <w:color w:val="auto"/>
        </w:rPr>
        <w:t>During the thirteen and thirty-nine weeks ended September 25, 2016, the Company recognized impairment charges of $3.2</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for its Puerto Rico subsidiary, within the U.S. segment.</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the carrying value of a restaurant’s assets exceeding its estimated fair market value, primarily due to locations identified for relocation.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Projected Future Expenses and Cash Expenditures </w:t>
      </w:r>
      <w:r>
        <w:rPr>
          <w:rFonts w:ascii="Arial" w:cs="Arial" w:eastAsia="Arial" w:hAnsi="Arial"/>
          <w:sz w:val="20"/>
          <w:szCs w:val="20"/>
          <w:color w:val="auto"/>
        </w:rPr>
        <w:t>- The Company currently expects to incur additional charges for the Closure Initiatives over</w:t>
      </w:r>
      <w:r>
        <w:rPr>
          <w:rFonts w:ascii="Arial" w:cs="Arial" w:eastAsia="Arial" w:hAnsi="Arial"/>
          <w:sz w:val="20"/>
          <w:szCs w:val="20"/>
          <w:i w:val="1"/>
          <w:iCs w:val="1"/>
          <w:color w:val="auto"/>
        </w:rPr>
        <w:t xml:space="preserve"> </w:t>
      </w:r>
      <w:r>
        <w:rPr>
          <w:rFonts w:ascii="Arial" w:cs="Arial" w:eastAsia="Arial" w:hAnsi="Arial"/>
          <w:sz w:val="20"/>
          <w:szCs w:val="20"/>
          <w:color w:val="auto"/>
        </w:rPr>
        <w:t>the next two years, including costs associated with lease obligations, employee terminations and other closure-related obligations. Following is a summary of remaining estimated pre-tax expense by type as of September 24,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xml:space="preserve">Estimated future expense </w:t>
            </w:r>
            <w:r>
              <w:rPr>
                <w:rFonts w:ascii="Arial" w:cs="Arial" w:eastAsia="Arial" w:hAnsi="Arial"/>
                <w:sz w:val="16"/>
                <w:szCs w:val="16"/>
                <w:b w:val="1"/>
                <w:bCs w:val="1"/>
                <w:color w:val="auto"/>
              </w:rPr>
              <w:t>(dollars in millions)</w:t>
            </w:r>
          </w:p>
        </w:tc>
        <w:tc>
          <w:tcPr>
            <w:tcW w:w="140" w:type="dxa"/>
            <w:vAlign w:val="bottom"/>
          </w:tcPr>
          <w:p>
            <w:pPr>
              <w:spacing w:after="0"/>
              <w:rPr>
                <w:sz w:val="20"/>
                <w:szCs w:val="20"/>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2017 CLOSURE INITIATIVE</w:t>
            </w: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rPr>
              <w:t>BONEFISH RESTRUCTURING</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related liabilities, net of subleases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7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severance and other obligations</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estimated future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estimated future cash expenditures (dollars in millions)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25.3</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Total future undiscounted cash expenditures for the 2017 Closure Initiative and Bonefish Restructuring, primarily related to lease liabilities, are expected to occur over the remaining lease terms with the final term ending in January 2029 and October 2024,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Accrued Facility Closure and Other Costs Rollforward </w:t>
      </w:r>
      <w:r>
        <w:rPr>
          <w:rFonts w:ascii="Arial" w:cs="Arial" w:eastAsia="Arial" w:hAnsi="Arial"/>
          <w:sz w:val="19"/>
          <w:szCs w:val="19"/>
          <w:color w:val="auto"/>
        </w:rPr>
        <w:t>- The following table summarizes the Company’s accrual activity related to facility</w:t>
      </w:r>
      <w:r>
        <w:rPr>
          <w:rFonts w:ascii="Arial" w:cs="Arial" w:eastAsia="Arial" w:hAnsi="Arial"/>
          <w:sz w:val="19"/>
          <w:szCs w:val="19"/>
          <w:i w:val="1"/>
          <w:iCs w:val="1"/>
          <w:color w:val="auto"/>
        </w:rPr>
        <w:t xml:space="preserve"> </w:t>
      </w:r>
      <w:r>
        <w:rPr>
          <w:rFonts w:ascii="Arial" w:cs="Arial" w:eastAsia="Arial" w:hAnsi="Arial"/>
          <w:sz w:val="19"/>
          <w:szCs w:val="19"/>
          <w:color w:val="auto"/>
        </w:rPr>
        <w:t>closure and other costs, primarily associated with the Closure Initiatives, during the thirty-nine weeks ended September 24, 2017: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THIRTY-NINE WEEKS</w:t>
            </w:r>
          </w:p>
        </w:tc>
        <w:tc>
          <w:tcPr>
            <w:tcW w:w="0" w:type="dxa"/>
            <w:vAlign w:val="bottom"/>
          </w:tcPr>
          <w:p>
            <w:pPr>
              <w:spacing w:after="0"/>
              <w:rPr>
                <w:sz w:val="1"/>
                <w:szCs w:val="1"/>
                <w:color w:val="auto"/>
              </w:rPr>
            </w:pPr>
          </w:p>
        </w:tc>
      </w:tr>
      <w:tr>
        <w:trPr>
          <w:trHeight w:val="186"/>
        </w:trPr>
        <w:tc>
          <w:tcPr>
            <w:tcW w:w="9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2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the period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Charges</w:t>
            </w:r>
          </w:p>
        </w:tc>
        <w:tc>
          <w:tcPr>
            <w:tcW w:w="34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24,426</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the period (1)</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21,672</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82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September 24, 2017, the Company had exit-related accruals of $6.4 million recorded in Accrued and other current liabilities and $15.3 million recorded in Other long-term liabilities, net in the Consolidated Balance Sheet.</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62"/>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income attributable to Bloomin’ Brands</w:t>
            </w:r>
          </w:p>
        </w:tc>
        <w:tc>
          <w:tcPr>
            <w:tcW w:w="420" w:type="dxa"/>
            <w:vAlign w:val="bottom"/>
            <w:tcBorders>
              <w:top w:val="single" w:sz="8" w:color="auto"/>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83,876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46,031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Basic weighted average common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92,485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109,399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113,553</w:t>
            </w:r>
          </w:p>
        </w:tc>
      </w:tr>
      <w:tr>
        <w:trPr>
          <w:trHeight w:val="284"/>
        </w:trPr>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2,781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2,719</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Nonvested restricted stock and restricted stock units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42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5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Diluted weighted average common shares outstanding</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112,430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Basic earnings per share</w:t>
            </w: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0.40</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Dilutive securities outstanding not included in the computation of earnings per share because their effect was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326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24, 2017</w:t>
            </w: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tcPr>
          <w:p>
            <w:pPr>
              <w:jc w:val="right"/>
              <w:ind w:right="1"/>
              <w:spacing w:after="0"/>
              <w:rPr>
                <w:sz w:val="20"/>
                <w:szCs w:val="20"/>
                <w:color w:val="auto"/>
              </w:rPr>
            </w:pPr>
            <w:r>
              <w:rPr>
                <w:rFonts w:ascii="Arial" w:cs="Arial" w:eastAsia="Arial" w:hAnsi="Arial"/>
                <w:sz w:val="14"/>
                <w:szCs w:val="14"/>
                <w:b w:val="1"/>
                <w:bCs w:val="1"/>
                <w:color w:val="auto"/>
              </w:rPr>
              <w:t>SEPTEMBER 25, 2016</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 options</w:t>
            </w:r>
          </w:p>
        </w:tc>
        <w:tc>
          <w:tcPr>
            <w:tcW w:w="16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5,079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620" w:type="dxa"/>
            <w:vAlign w:val="bottom"/>
          </w:tcPr>
          <w:p>
            <w:pPr>
              <w:jc w:val="right"/>
              <w:ind w:right="6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580" w:type="dxa"/>
            <w:vAlign w:val="bottom"/>
          </w:tcPr>
          <w:p>
            <w:pPr>
              <w:jc w:val="right"/>
              <w:ind w:right="43"/>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285</w:t>
            </w: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Nonvested performance-based share units</w:t>
            </w: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r>
      <w:tr>
        <w:trPr>
          <w:trHeight w:val="41"/>
        </w:trPr>
        <w:tc>
          <w:tcPr>
            <w:tcW w:w="47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Borders>
              <w:bottom w:val="single" w:sz="8" w:color="auto"/>
            </w:tcBorders>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20" w:type="dxa"/>
            <w:vAlign w:val="bottom"/>
            <w:tcBorders>
              <w:top w:val="single" w:sz="8" w:color="auto"/>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42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2,527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7,769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6,901</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1,001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1,773</w:t>
            </w:r>
          </w:p>
        </w:tc>
      </w:tr>
      <w:tr>
        <w:trPr>
          <w:trHeight w:val="224"/>
        </w:trPr>
        <w:tc>
          <w:tcPr>
            <w:tcW w:w="4700" w:type="dxa"/>
            <w:vAlign w:val="bottom"/>
          </w:tcPr>
          <w:p>
            <w:pPr>
              <w:spacing w:after="0"/>
              <w:rPr>
                <w:sz w:val="19"/>
                <w:szCs w:val="19"/>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4,997</w:t>
            </w:r>
          </w:p>
        </w:tc>
        <w:tc>
          <w:tcPr>
            <w:tcW w:w="12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5,272</w:t>
            </w:r>
          </w:p>
        </w:tc>
        <w:tc>
          <w:tcPr>
            <w:tcW w:w="12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17,174</w:t>
            </w:r>
          </w:p>
        </w:tc>
        <w:tc>
          <w:tcPr>
            <w:tcW w:w="10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17,645</w:t>
            </w:r>
          </w:p>
        </w:tc>
      </w:tr>
      <w:tr>
        <w:trPr>
          <w:trHeight w:val="33"/>
        </w:trPr>
        <w:tc>
          <w:tcPr>
            <w:tcW w:w="4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thirty-nine weeks ended September 24, 2017, the Company made grants to its employees of 1.3 million stock options, 0.6 million time-based restricted stock units and 0.4 million performance-based share units.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Black-Scholes option pricing model and the weighted-average fair value of option awards granted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20" w:type="dxa"/>
            <w:vAlign w:val="bottom"/>
          </w:tcPr>
          <w:p>
            <w:pPr>
              <w:spacing w:after="0"/>
              <w:rPr>
                <w:sz w:val="22"/>
                <w:szCs w:val="22"/>
                <w:color w:val="auto"/>
              </w:rPr>
            </w:pPr>
          </w:p>
        </w:tc>
        <w:tc>
          <w:tcPr>
            <w:tcW w:w="802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6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SEPTEMBER 25, 2016</w:t>
            </w:r>
          </w:p>
        </w:tc>
      </w:tr>
      <w:tr>
        <w:trPr>
          <w:trHeight w:val="250"/>
        </w:trPr>
        <w:tc>
          <w:tcPr>
            <w:tcW w:w="20" w:type="dxa"/>
            <w:vAlign w:val="bottom"/>
          </w:tcPr>
          <w:p>
            <w:pPr>
              <w:spacing w:after="0"/>
              <w:rPr>
                <w:sz w:val="21"/>
                <w:szCs w:val="21"/>
                <w:color w:val="auto"/>
              </w:rPr>
            </w:pPr>
          </w:p>
        </w:tc>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3"/>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7"/>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400" w:type="dxa"/>
            <w:vAlign w:val="bottom"/>
          </w:tcPr>
          <w:p>
            <w:pPr>
              <w:spacing w:after="0"/>
              <w:rPr>
                <w:sz w:val="20"/>
                <w:szCs w:val="20"/>
                <w:color w:val="auto"/>
              </w:rPr>
            </w:pPr>
          </w:p>
        </w:tc>
        <w:tc>
          <w:tcPr>
            <w:tcW w:w="1340" w:type="dxa"/>
            <w:vAlign w:val="bottom"/>
            <w:gridSpan w:val="2"/>
          </w:tcPr>
          <w:p>
            <w:pPr>
              <w:ind w:left="500"/>
              <w:spacing w:after="0"/>
              <w:rPr>
                <w:sz w:val="20"/>
                <w:szCs w:val="20"/>
                <w:color w:val="auto"/>
              </w:rPr>
            </w:pPr>
            <w:r>
              <w:rPr>
                <w:rFonts w:ascii="Arial" w:cs="Arial" w:eastAsia="Arial" w:hAnsi="Arial"/>
                <w:sz w:val="16"/>
                <w:szCs w:val="16"/>
                <w:color w:val="auto"/>
              </w:rPr>
              <w:t>6.3 years</w:t>
            </w:r>
          </w:p>
        </w:tc>
        <w:tc>
          <w:tcPr>
            <w:tcW w:w="5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6.1 years</w:t>
            </w:r>
          </w:p>
        </w:tc>
      </w:tr>
      <w:tr>
        <w:trPr>
          <w:trHeight w:val="33"/>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35.18%</w:t>
            </w:r>
          </w:p>
        </w:tc>
      </w:tr>
      <w:tr>
        <w:trPr>
          <w:trHeight w:val="297"/>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40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5.28</w:t>
            </w:r>
          </w:p>
        </w:tc>
      </w:tr>
      <w:tr>
        <w:trPr>
          <w:trHeight w:val="193"/>
        </w:trPr>
        <w:tc>
          <w:tcPr>
            <w:tcW w:w="2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________________</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simplified method of estimating the expected term is used since the Company does not have significant historical exercise experience for its stock options.</w:t>
      </w: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is based on the historical volatilities of the Company’s stock.</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represents unrecognized stock compensation expense and the remaining weighted-average vesting period as of September 24,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UNRECOGNIZED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WEIGHTED-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5"/>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22,588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1,733</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24, 2017, the maximum number of shares of common stock available for issuance pursuant to the Bloomin’ Brands, Inc. 2016 Omnibus Incentive Compensation Plan was 3,991,216.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 2016</w:t>
            </w:r>
          </w:p>
        </w:tc>
        <w:tc>
          <w:tcPr>
            <w:tcW w:w="0" w:type="dxa"/>
            <w:vAlign w:val="bottom"/>
          </w:tcPr>
          <w:p>
            <w:pPr>
              <w:spacing w:after="0"/>
              <w:rPr>
                <w:sz w:val="1"/>
                <w:szCs w:val="1"/>
                <w:color w:val="auto"/>
              </w:rPr>
            </w:pPr>
          </w:p>
        </w:tc>
      </w:tr>
      <w:tr>
        <w:trPr>
          <w:trHeight w:val="237"/>
        </w:trPr>
        <w:tc>
          <w:tcPr>
            <w:tcW w:w="8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Accounts receivable - gift cards, net</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11,588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102,664</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receivable - vendors, net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Accounts receivable - franchisees, net</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receivable - other, net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Assets held for sale</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assets, net</w:t>
            </w: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18,652</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105,261</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190,226</w:t>
            </w:r>
          </w:p>
        </w:tc>
        <w:tc>
          <w:tcPr>
            <w:tcW w:w="0" w:type="dxa"/>
            <w:vAlign w:val="bottom"/>
          </w:tcPr>
          <w:p>
            <w:pPr>
              <w:spacing w:after="0"/>
              <w:rPr>
                <w:sz w:val="1"/>
                <w:szCs w:val="1"/>
                <w:color w:val="auto"/>
              </w:rPr>
            </w:pPr>
          </w:p>
        </w:tc>
      </w:tr>
      <w:tr>
        <w:trPr>
          <w:trHeight w:val="33"/>
        </w:trPr>
        <w:tc>
          <w:tcPr>
            <w:tcW w:w="280" w:type="dxa"/>
            <w:vAlign w:val="bottom"/>
            <w:vMerge w:val="restart"/>
          </w:tcPr>
          <w:p>
            <w:pPr>
              <w:spacing w:after="0"/>
              <w:rPr>
                <w:sz w:val="20"/>
                <w:szCs w:val="20"/>
                <w:color w:val="auto"/>
              </w:rPr>
            </w:pPr>
            <w:r>
              <w:rPr>
                <w:rFonts w:ascii="Arial" w:cs="Arial" w:eastAsia="Arial" w:hAnsi="Arial"/>
                <w:sz w:val="20"/>
                <w:szCs w:val="20"/>
                <w:color w:val="auto"/>
              </w:rPr>
              <w:t>7.</w:t>
            </w:r>
          </w:p>
        </w:tc>
        <w:tc>
          <w:tcPr>
            <w:tcW w:w="8060" w:type="dxa"/>
            <w:vAlign w:val="bottom"/>
            <w:vMerge w:val="restart"/>
          </w:tcPr>
          <w:p>
            <w:pPr>
              <w:ind w:left="120"/>
              <w:spacing w:after="0"/>
              <w:rPr>
                <w:sz w:val="20"/>
                <w:szCs w:val="20"/>
                <w:color w:val="auto"/>
              </w:rPr>
            </w:pPr>
            <w:r>
              <w:rPr>
                <w:rFonts w:ascii="Arial" w:cs="Arial" w:eastAsia="Arial" w:hAnsi="Arial"/>
                <w:sz w:val="20"/>
                <w:szCs w:val="20"/>
                <w:color w:val="auto"/>
              </w:rPr>
              <w:t>Property, Fixtures and Equipment, Net</w:t>
            </w: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806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80" w:type="dxa"/>
            <w:vAlign w:val="bottom"/>
            <w:vMerge w:val="continue"/>
          </w:tcPr>
          <w:p>
            <w:pPr>
              <w:spacing w:after="0"/>
              <w:rPr>
                <w:sz w:val="24"/>
                <w:szCs w:val="24"/>
                <w:color w:val="auto"/>
              </w:rPr>
            </w:pPr>
          </w:p>
        </w:tc>
        <w:tc>
          <w:tcPr>
            <w:tcW w:w="80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thirty-nine weeks ended September 24, 2017, the Company entered into sale-leaseback transactions with third-parties in which it sold 26 restaurant properties at fair market value for gross proceeds of $92.5 million. In connection with the sale-leaseback transactions, the Company recorded deferred gains of $19.4 million, which are amortized to Other restaurant operating expense in the Consolidated Statements of Operations and Comprehensive Income over the initial term of each lease, ranging from 10 to 20 years.</w:t>
      </w:r>
    </w:p>
    <w:p>
      <w:pPr>
        <w:spacing w:after="0" w:line="19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8.</w:t>
        <w:tab/>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goodwill: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7"/>
                <w:szCs w:val="17"/>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25, 2016</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137,631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310,055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6,866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6,866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Divestitures (1)</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as of September 24, 2017</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170,767</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144,497</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315,264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4681"/>
              <w:spacing w:after="0"/>
              <w:rPr>
                <w:sz w:val="20"/>
                <w:szCs w:val="20"/>
                <w:color w:val="auto"/>
              </w:rPr>
            </w:pPr>
            <w:r>
              <w:rPr>
                <w:rFonts w:ascii="Arial" w:cs="Arial" w:eastAsia="Arial" w:hAnsi="Arial"/>
                <w:sz w:val="16"/>
                <w:szCs w:val="16"/>
                <w:color w:val="auto"/>
                <w:w w:val="89"/>
              </w:rPr>
              <w:t>________________</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thirty-nine weeks ended September 24, 2017, the Company disposed of Goodwill in connection with the sale of 54 of its U.S. Company-owned Outback Steakhouse and Carrabba’s Italian Grill locations to existing franchisees.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performed its annual assessment for impairment of goodwill and other indefinite-lived intangible assets during the fiscal second quarters of 2017 and 2016. In connection with these assessments, the Company did not record any goodwill or indefinite-lived intangible impairment charges.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4"/>
          </w:tcPr>
          <w:p>
            <w:pPr>
              <w:ind w:left="760"/>
              <w:spacing w:after="0"/>
              <w:rPr>
                <w:sz w:val="20"/>
                <w:szCs w:val="20"/>
                <w:color w:val="auto"/>
              </w:rPr>
            </w:pPr>
            <w:r>
              <w:rPr>
                <w:rFonts w:ascii="Arial" w:cs="Arial" w:eastAsia="Arial" w:hAnsi="Arial"/>
                <w:sz w:val="14"/>
                <w:szCs w:val="14"/>
                <w:b w:val="1"/>
                <w:bCs w:val="1"/>
                <w:color w:val="auto"/>
              </w:rPr>
              <w:t>SEPTEMBER 24, 2017</w:t>
            </w:r>
          </w:p>
        </w:tc>
        <w:tc>
          <w:tcPr>
            <w:tcW w:w="180" w:type="dxa"/>
            <w:vAlign w:val="bottom"/>
          </w:tcPr>
          <w:p>
            <w:pPr>
              <w:spacing w:after="0"/>
              <w:rPr>
                <w:sz w:val="17"/>
                <w:szCs w:val="17"/>
                <w:color w:val="auto"/>
              </w:rPr>
            </w:pPr>
          </w:p>
        </w:tc>
        <w:tc>
          <w:tcPr>
            <w:tcW w:w="3140" w:type="dxa"/>
            <w:vAlign w:val="bottom"/>
            <w:gridSpan w:val="3"/>
          </w:tcPr>
          <w:p>
            <w:pPr>
              <w:jc w:val="right"/>
              <w:ind w:right="881"/>
              <w:spacing w:after="0"/>
              <w:rPr>
                <w:sz w:val="20"/>
                <w:szCs w:val="20"/>
                <w:color w:val="auto"/>
              </w:rPr>
            </w:pPr>
            <w:r>
              <w:rPr>
                <w:rFonts w:ascii="Arial" w:cs="Arial" w:eastAsia="Arial" w:hAnsi="Arial"/>
                <w:sz w:val="14"/>
                <w:szCs w:val="14"/>
                <w:b w:val="1"/>
                <w:bCs w:val="1"/>
                <w:color w:val="auto"/>
              </w:rPr>
              <w:t>DECEMBER 25, 2016</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247,500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258,750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Term loan A-1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140,625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A-2</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622,000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1,180,000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1,021,375</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PRP Mortgage Loan</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47,202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19,583</w:t>
            </w:r>
          </w:p>
        </w:tc>
        <w:tc>
          <w:tcPr>
            <w:tcW w:w="120" w:type="dxa"/>
            <w:vAlign w:val="bottom"/>
          </w:tcPr>
          <w:p>
            <w:pPr>
              <w:spacing w:after="0"/>
              <w:rPr>
                <w:sz w:val="20"/>
                <w:szCs w:val="20"/>
                <w:color w:val="auto"/>
              </w:rPr>
            </w:pPr>
          </w:p>
        </w:tc>
        <w:tc>
          <w:tcPr>
            <w:tcW w:w="1740" w:type="dxa"/>
            <w:vAlign w:val="bottom"/>
            <w:gridSpan w:val="2"/>
          </w:tcPr>
          <w:p>
            <w:pPr>
              <w:ind w:left="420"/>
              <w:spacing w:after="0"/>
              <w:rPr>
                <w:sz w:val="20"/>
                <w:szCs w:val="20"/>
                <w:color w:val="auto"/>
              </w:rPr>
            </w:pPr>
            <w:r>
              <w:rPr>
                <w:rFonts w:ascii="Arial" w:cs="Arial" w:eastAsia="Arial" w:hAnsi="Arial"/>
                <w:sz w:val="16"/>
                <w:szCs w:val="16"/>
                <w:color w:val="auto"/>
              </w:rPr>
              <w:t>7.45% to 7.60%</w:t>
            </w: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19,595</w:t>
            </w:r>
          </w:p>
        </w:tc>
        <w:tc>
          <w:tcPr>
            <w:tcW w:w="100" w:type="dxa"/>
            <w:vAlign w:val="bottom"/>
          </w:tcPr>
          <w:p>
            <w:pPr>
              <w:spacing w:after="0"/>
              <w:rPr>
                <w:sz w:val="20"/>
                <w:szCs w:val="20"/>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7.45% to 7.60%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Other notes payable</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0"/>
                <w:szCs w:val="20"/>
                <w:color w:val="auto"/>
              </w:rPr>
            </w:pPr>
          </w:p>
        </w:tc>
        <w:tc>
          <w:tcPr>
            <w:tcW w:w="1740" w:type="dxa"/>
            <w:vAlign w:val="bottom"/>
            <w:gridSpan w:val="2"/>
          </w:tcPr>
          <w:p>
            <w:pPr>
              <w:ind w:left="420"/>
              <w:spacing w:after="0"/>
              <w:rPr>
                <w:sz w:val="20"/>
                <w:szCs w:val="20"/>
                <w:color w:val="auto"/>
              </w:rPr>
            </w:pPr>
            <w:r>
              <w:rPr>
                <w:rFonts w:ascii="Arial" w:cs="Arial" w:eastAsia="Arial" w:hAnsi="Arial"/>
                <w:sz w:val="16"/>
                <w:szCs w:val="16"/>
                <w:color w:val="auto"/>
              </w:rPr>
              <w:t>0.00% to 2.18%</w:t>
            </w: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20"/>
                <w:szCs w:val="20"/>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0.00% to 7.00%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1,200,692</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1,089,485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(58,826)</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(35,079)</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1,141,866</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1,054,406</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respective period.</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Agreement Amendment </w:t>
      </w:r>
      <w:r>
        <w:rPr>
          <w:rFonts w:ascii="Arial" w:cs="Arial" w:eastAsia="Arial" w:hAnsi="Arial"/>
          <w:sz w:val="20"/>
          <w:szCs w:val="20"/>
          <w:color w:val="auto"/>
        </w:rPr>
        <w:t>- On May 22, 2017, OSI Restaurant Partners, LLC (“OSI”), a wholly-owned subsidiary of the Company, entered</w:t>
      </w:r>
      <w:r>
        <w:rPr>
          <w:rFonts w:ascii="Arial" w:cs="Arial" w:eastAsia="Arial" w:hAnsi="Arial"/>
          <w:sz w:val="20"/>
          <w:szCs w:val="20"/>
          <w:i w:val="1"/>
          <w:iCs w:val="1"/>
          <w:color w:val="auto"/>
        </w:rPr>
        <w:t xml:space="preserve"> </w:t>
      </w:r>
      <w:r>
        <w:rPr>
          <w:rFonts w:ascii="Arial" w:cs="Arial" w:eastAsia="Arial" w:hAnsi="Arial"/>
          <w:sz w:val="20"/>
          <w:szCs w:val="20"/>
          <w:color w:val="auto"/>
        </w:rPr>
        <w:t>into an amendment (the “Amendment”) to its existing credit agreement, dated October 26, 2012 (as previously amended, the “Credit Agreement”). The Amendment provided an incremental Term loan A-2 in an aggregate principal amount of $125.0 million. No other material changes were made to the terms of OSI’s Credit Agreement as a result of the Amendment.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principal payments for the Amendment (dollars in thousands):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9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SCHEDULED QUARTERLY PAYMENT DATES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TERM LOAN A-2</w:t>
            </w:r>
          </w:p>
        </w:tc>
      </w:tr>
      <w:tr>
        <w:trPr>
          <w:trHeight w:val="237"/>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September 30,</w:t>
            </w:r>
          </w:p>
        </w:tc>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2017 through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2,344</w:t>
            </w:r>
          </w:p>
        </w:tc>
      </w:tr>
      <w:tr>
        <w:trPr>
          <w:trHeight w:val="237"/>
        </w:trPr>
        <w:tc>
          <w:tcPr>
            <w:tcW w:w="980" w:type="dxa"/>
            <w:vAlign w:val="bottom"/>
          </w:tcPr>
          <w:p>
            <w:pPr>
              <w:ind w:left="20"/>
              <w:spacing w:after="0"/>
              <w:rPr>
                <w:sz w:val="20"/>
                <w:szCs w:val="20"/>
                <w:color w:val="auto"/>
              </w:rPr>
            </w:pPr>
            <w:r>
              <w:rPr>
                <w:rFonts w:ascii="Arial" w:cs="Arial" w:eastAsia="Arial" w:hAnsi="Arial"/>
                <w:sz w:val="16"/>
                <w:szCs w:val="16"/>
                <w:color w:val="auto"/>
                <w:w w:val="89"/>
              </w:rPr>
              <w:t>September 30,</w:t>
            </w:r>
          </w:p>
        </w:tc>
        <w:tc>
          <w:tcPr>
            <w:tcW w:w="8800" w:type="dxa"/>
            <w:vAlign w:val="bottom"/>
            <w:gridSpan w:val="2"/>
          </w:tcPr>
          <w:p>
            <w:pPr>
              <w:ind w:left="20"/>
              <w:spacing w:after="0"/>
              <w:rPr>
                <w:sz w:val="20"/>
                <w:szCs w:val="20"/>
                <w:color w:val="auto"/>
              </w:rPr>
            </w:pPr>
            <w:r>
              <w:rPr>
                <w:rFonts w:ascii="Arial" w:cs="Arial" w:eastAsia="Arial" w:hAnsi="Arial"/>
                <w:sz w:val="16"/>
                <w:szCs w:val="16"/>
                <w:color w:val="auto"/>
              </w:rPr>
              <w:t>2018 through March 31,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3,125</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Maturities - </w:t>
      </w:r>
      <w:r>
        <w:rPr>
          <w:rFonts w:ascii="Arial" w:cs="Arial" w:eastAsia="Arial" w:hAnsi="Arial"/>
          <w:sz w:val="18"/>
          <w:szCs w:val="18"/>
          <w:color w:val="auto"/>
        </w:rPr>
        <w:t>Following is a summary of principal payments of the Company’s total consolidated debt outstanding as of September 24, 2017:</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24, 2017</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58,826</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Year 2</w:t>
            </w:r>
          </w:p>
        </w:tc>
        <w:tc>
          <w:tcPr>
            <w:tcW w:w="4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1,121,102</w:t>
            </w:r>
          </w:p>
        </w:tc>
      </w:tr>
      <w:tr>
        <w:trPr>
          <w:trHeight w:val="3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Year 4</w:t>
            </w:r>
          </w:p>
        </w:tc>
        <w:tc>
          <w:tcPr>
            <w:tcW w:w="4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458</w:t>
            </w:r>
          </w:p>
        </w:tc>
      </w:tr>
      <w:tr>
        <w:trPr>
          <w:trHeight w:val="3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19,477</w:t>
            </w: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1,200,692</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Debt Covenants - </w:t>
      </w:r>
      <w:r>
        <w:rPr>
          <w:rFonts w:ascii="Arial" w:cs="Arial" w:eastAsia="Arial" w:hAnsi="Arial"/>
          <w:sz w:val="20"/>
          <w:szCs w:val="20"/>
          <w:color w:val="auto"/>
        </w:rPr>
        <w:t>As of September 24, 2017 and December 25, 2016, the Company was in compliance with its debt covenants.</w:t>
      </w:r>
    </w:p>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Redeemable Noncontrolling Interests</w:t>
      </w:r>
    </w:p>
    <w:p>
      <w:pPr>
        <w:spacing w:after="0" w:line="22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Company consolidates subsidiaries in which it has noncontrolling interests that are permitted to deliver subsidiary shares in exchange for cash at a future date. The following table presents a rollforward of Redeemable noncontrolling interests during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8340" w:type="dxa"/>
            <w:vAlign w:val="bottom"/>
          </w:tcPr>
          <w:p>
            <w:pPr>
              <w:spacing w:after="0"/>
              <w:rPr>
                <w:sz w:val="13"/>
                <w:szCs w:val="13"/>
                <w:color w:val="auto"/>
              </w:rPr>
            </w:pPr>
          </w:p>
        </w:tc>
        <w:tc>
          <w:tcPr>
            <w:tcW w:w="16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24, 2017</w:t>
            </w:r>
          </w:p>
        </w:tc>
        <w:tc>
          <w:tcPr>
            <w:tcW w:w="140" w:type="dxa"/>
            <w:vAlign w:val="bottom"/>
          </w:tcPr>
          <w:p>
            <w:pPr>
              <w:spacing w:after="0"/>
              <w:rPr>
                <w:sz w:val="13"/>
                <w:szCs w:val="13"/>
                <w:color w:val="auto"/>
              </w:rPr>
            </w:pPr>
          </w:p>
        </w:tc>
        <w:tc>
          <w:tcPr>
            <w:tcW w:w="13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25,</w:t>
            </w:r>
          </w:p>
        </w:tc>
      </w:tr>
      <w:tr>
        <w:trPr>
          <w:trHeight w:val="20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Change in redemption value of Redeemable noncontrolling interests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1,349</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attributable to Redeemable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4,509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 income attributable to Redeemable noncontrolling interests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595</w:t>
            </w:r>
          </w:p>
        </w:tc>
      </w:tr>
      <w:tr>
        <w:trPr>
          <w:trHeight w:val="33"/>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Redeemable noncontrolling interests</w:t>
            </w:r>
          </w:p>
        </w:tc>
        <w:tc>
          <w:tcPr>
            <w:tcW w:w="3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r>
      <w:tr>
        <w:trPr>
          <w:trHeight w:val="250"/>
        </w:trPr>
        <w:tc>
          <w:tcPr>
            <w:tcW w:w="83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end of period</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577</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26,092</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July 26, 2016, the Company’s Board of Directors (“the Board”) approved a $300.0 million authorization (the “July</w:t>
      </w:r>
      <w:r>
        <w:rPr>
          <w:rFonts w:ascii="Arial" w:cs="Arial" w:eastAsia="Arial" w:hAnsi="Arial"/>
          <w:sz w:val="20"/>
          <w:szCs w:val="20"/>
          <w:i w:val="1"/>
          <w:iCs w:val="1"/>
          <w:color w:val="auto"/>
        </w:rPr>
        <w:t xml:space="preserve"> </w:t>
      </w:r>
      <w:r>
        <w:rPr>
          <w:rFonts w:ascii="Arial" w:cs="Arial" w:eastAsia="Arial" w:hAnsi="Arial"/>
          <w:sz w:val="20"/>
          <w:szCs w:val="20"/>
          <w:color w:val="auto"/>
        </w:rPr>
        <w:t>2016 Share Repurchase Program”). On April 21, 2017, the Board canceled the remaining $52.3 million of authorization under the July 2016 Share Repurchase Program and approved a new $250.0 million authorization (the “2017 Share Repurchase Program”). The 2017 Share Repurchase Program will expire on October 21, 2018. As of September 24, 2017, $55.0 million remained available for repurchase under the 2017 Share Repurchase Program. Following is a summary of the shares repurchased under the Company’s share repurchase programs during fiscal year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7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4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REPURCHASE PRICE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2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2,887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53,053</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1740" w:type="dxa"/>
            <w:vAlign w:val="bottom"/>
          </w:tcPr>
          <w:p>
            <w:pPr>
              <w:jc w:val="right"/>
              <w:ind w:right="42"/>
              <w:spacing w:after="0"/>
              <w:rPr>
                <w:sz w:val="20"/>
                <w:szCs w:val="20"/>
                <w:color w:val="auto"/>
              </w:rPr>
            </w:pPr>
            <w:r>
              <w:rPr>
                <w:rFonts w:ascii="Arial" w:cs="Arial" w:eastAsia="Arial" w:hAnsi="Arial"/>
                <w:sz w:val="16"/>
                <w:szCs w:val="16"/>
                <w:color w:val="auto"/>
              </w:rPr>
              <w:t>7,030</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145,675</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fiscal quarter</w:t>
            </w:r>
          </w:p>
        </w:tc>
        <w:tc>
          <w:tcPr>
            <w:tcW w:w="17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3,890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74,008</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Total common stock repurchases</w:t>
            </w:r>
          </w:p>
        </w:tc>
        <w:tc>
          <w:tcPr>
            <w:tcW w:w="17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13,807</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272,736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2017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DIVIDENDS PER</w:t>
            </w:r>
          </w:p>
        </w:tc>
        <w:tc>
          <w:tcPr>
            <w:tcW w:w="160" w:type="dxa"/>
            <w:vAlign w:val="bottom"/>
          </w:tcPr>
          <w:p>
            <w:pPr>
              <w:spacing w:after="0"/>
              <w:rPr>
                <w:sz w:val="14"/>
                <w:szCs w:val="14"/>
                <w:color w:val="auto"/>
              </w:rPr>
            </w:pPr>
          </w:p>
        </w:tc>
        <w:tc>
          <w:tcPr>
            <w:tcW w:w="1640" w:type="dxa"/>
            <w:vAlign w:val="bottom"/>
          </w:tcPr>
          <w:p>
            <w:pPr>
              <w:jc w:val="right"/>
              <w:ind w:right="502"/>
              <w:spacing w:after="0"/>
              <w:rPr>
                <w:sz w:val="20"/>
                <w:szCs w:val="20"/>
                <w:color w:val="auto"/>
              </w:rPr>
            </w:pPr>
            <w:r>
              <w:rPr>
                <w:rFonts w:ascii="Arial" w:cs="Arial" w:eastAsia="Arial" w:hAnsi="Arial"/>
                <w:sz w:val="14"/>
                <w:szCs w:val="14"/>
                <w:b w:val="1"/>
                <w:bCs w:val="1"/>
                <w:color w:val="auto"/>
              </w:rPr>
              <w:t>AMOUNT</w:t>
            </w:r>
          </w:p>
        </w:tc>
      </w:tr>
      <w:tr>
        <w:trPr>
          <w:trHeight w:val="205"/>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w w:val="94"/>
              </w:rPr>
              <w:t>(dollars in thousands)</w:t>
            </w:r>
          </w:p>
        </w:tc>
      </w:tr>
      <w:tr>
        <w:trPr>
          <w:trHeight w:val="237"/>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8,254</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8,054</w:t>
            </w: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Third fiscal quarter</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7,369</w:t>
            </w:r>
          </w:p>
        </w:tc>
      </w:tr>
      <w:tr>
        <w:trPr>
          <w:trHeight w:val="250"/>
        </w:trPr>
        <w:tc>
          <w:tcPr>
            <w:tcW w:w="80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cash dividends declared and paid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0.24</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23,677</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October 2017, the Board declared a quarterly cash dividend of $0.08 per share, payable on November 22, 2017, to shareholders of record at the close of business on November 13,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 </w:t>
      </w:r>
      <w:r>
        <w:rPr>
          <w:rFonts w:ascii="Arial" w:cs="Arial" w:eastAsia="Arial" w:hAnsi="Arial"/>
          <w:sz w:val="20"/>
          <w:szCs w:val="20"/>
          <w:color w:val="auto"/>
        </w:rPr>
        <w:t>Following are the components of Accumulated other comprehensive loss (“AOCL”):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 2016</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(107,509)</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losses on derivatives, net of tax</w:t>
            </w: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w:t>
            </w: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income (loss) during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Bloomin’ Brands: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6,415</w:t>
            </w:r>
          </w:p>
        </w:tc>
        <w:tc>
          <w:tcPr>
            <w:tcW w:w="120" w:type="dxa"/>
            <w:vAlign w:val="bottom"/>
          </w:tcPr>
          <w:p>
            <w:pPr>
              <w:spacing w:after="0"/>
              <w:rPr>
                <w:sz w:val="20"/>
                <w:szCs w:val="20"/>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43,457</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17,816</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53,731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Unrealized gain (loss) on derivatives, net of tax (1)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(4,250)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Reclassification of adjustment for loss on derivatives included in Net</w:t>
            </w:r>
          </w:p>
        </w:tc>
        <w:tc>
          <w:tcPr>
            <w:tcW w:w="42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2,902</w:t>
            </w: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 (2)</w:t>
            </w: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unrealized gain (loss) on derivatives, net of tax</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1,780</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(1,348)</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attributable to Bloomin’ Brands</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7,277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19,596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52,383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Other comprehensive loss attributable to Non-controlling interests</w:t>
            </w: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Redeemable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attributable to Redeemable non-</w:t>
            </w:r>
          </w:p>
        </w:tc>
        <w:tc>
          <w:tcPr>
            <w:tcW w:w="420" w:type="dxa"/>
            <w:vAlign w:val="bottom"/>
            <w:vMerge w:val="restart"/>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2,079</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controlling interests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w:t>
      </w:r>
    </w:p>
    <w:p>
      <w:pPr>
        <w:spacing w:after="0" w:line="9" w:lineRule="exact"/>
        <w:rPr>
          <w:sz w:val="20"/>
          <w:szCs w:val="20"/>
          <w:color w:val="auto"/>
        </w:rPr>
      </w:pPr>
    </w:p>
    <w:p>
      <w:pPr>
        <w:ind w:left="660" w:hanging="652"/>
        <w:spacing w:after="0" w:line="263"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Unrealized gain (loss) on derivatives is net of tax (benefit) of $0.2 million and $0.4 million for the thirteen weeks ended September 24, 2017 and September 25, 2016, respectively, and ($0.1) million and ($2.7) million for the thirty-nine weeks ended September 24, 2017 and September 25, 2016, respectively.</w:t>
      </w:r>
    </w:p>
    <w:p>
      <w:pPr>
        <w:ind w:left="660" w:right="20" w:hanging="652"/>
        <w:spacing w:after="0" w:line="290"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Reclassifications of adjustments for losses on derivatives are net of tax of $0.3 million and $0.6 million for the thirteen weeks ended September 24, 2017 and September 25, 2016, respectively, and $1.2 million and $1.9 million for the thirty-nine weeks ended September 24, 2017 and September 25, 2016, respectively.</w:t>
      </w:r>
    </w:p>
    <w:p>
      <w:pPr>
        <w:spacing w:after="0" w:line="1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Derivative Instruments and Hedging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Interest Rate Risk </w:t>
      </w:r>
      <w:r>
        <w:rPr>
          <w:rFonts w:ascii="Arial" w:cs="Arial" w:eastAsia="Arial" w:hAnsi="Arial"/>
          <w:sz w:val="19"/>
          <w:szCs w:val="19"/>
          <w:color w:val="auto"/>
        </w:rPr>
        <w:t>- The Company is exposed to certain risks arising from both its business operations and economic conditions.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manages economic risks, including interest rate risk, primarily by managing the amount, sources and duration of its debt funding and through the use of derivative financial instruments. The Company’s objectives in using interest rate derivatives, primarily interest rate swaps, are to add stability to interest expense and to manage its exposure to interest rate movements.</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Currency Exchange Rate Risk </w:t>
      </w:r>
      <w:r>
        <w:rPr>
          <w:rFonts w:ascii="Arial" w:cs="Arial" w:eastAsia="Arial" w:hAnsi="Arial"/>
          <w:sz w:val="20"/>
          <w:szCs w:val="20"/>
          <w:color w:val="auto"/>
        </w:rPr>
        <w:t>- The Company is exposed to foreign currency exchange rate risk arising from transactions and balances</w:t>
      </w:r>
      <w:r>
        <w:rPr>
          <w:rFonts w:ascii="Arial" w:cs="Arial" w:eastAsia="Arial" w:hAnsi="Arial"/>
          <w:sz w:val="20"/>
          <w:szCs w:val="20"/>
          <w:i w:val="1"/>
          <w:iCs w:val="1"/>
          <w:color w:val="auto"/>
        </w:rPr>
        <w:t xml:space="preserve"> </w:t>
      </w:r>
      <w:r>
        <w:rPr>
          <w:rFonts w:ascii="Arial" w:cs="Arial" w:eastAsia="Arial" w:hAnsi="Arial"/>
          <w:sz w:val="20"/>
          <w:szCs w:val="20"/>
          <w:color w:val="auto"/>
        </w:rPr>
        <w:t>denominated in currencies other than the U.S. dollar. The Company may use foreign currency forward contracts to manage certain foreign currency exposures.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DESIGNATED HEDGES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September 9, 2014, the Company entered into variable-to-fixed interest rate swap agreements</w:t>
      </w:r>
      <w:r>
        <w:rPr>
          <w:rFonts w:ascii="Arial" w:cs="Arial" w:eastAsia="Arial" w:hAnsi="Arial"/>
          <w:sz w:val="20"/>
          <w:szCs w:val="20"/>
          <w:i w:val="1"/>
          <w:iCs w:val="1"/>
          <w:color w:val="auto"/>
        </w:rPr>
        <w:t xml:space="preserve"> </w:t>
      </w:r>
      <w:r>
        <w:rPr>
          <w:rFonts w:ascii="Arial" w:cs="Arial" w:eastAsia="Arial" w:hAnsi="Arial"/>
          <w:sz w:val="20"/>
          <w:szCs w:val="20"/>
          <w:color w:val="252525"/>
        </w:rPr>
        <w:t>with eight counterparties to hedge a portion of the cash flows of the Company’s variable rate debt. The swap agreements have an aggregate notional amount of $400.0 million, a start date of June 30, 2015, and mature on May 16, 2019. Under the terms of the swap agreements, the Company pays a weighted-average fixed rate of 2.02% on the $400.0 million notional amount and receives payments from the counterparty based on the 30-day LIBOR rate.</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52525"/>
        </w:rPr>
        <w:t>The interest rate swaps, which have been designated and qualify as a cash flow hedge, are recognized on the Company’s Consolidated Balance Sheets at fair value and are classified based on the instruments’ maturity dates. Fair value changes in the interest rate swaps are recognized in AOCL for all effective portions. Balances in AOCL are subsequently reclassified to earnings in the same period that the hedged interest payments affect earnings. The Company estimates $2.3 million will be reclassified to interest expense over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presents the fair value, accrued interest and classification of the Company’s interest rate swaps: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 2016</w:t>
            </w:r>
          </w:p>
        </w:tc>
        <w:tc>
          <w:tcPr>
            <w:tcW w:w="12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liability</w:t>
            </w:r>
          </w:p>
        </w:tc>
        <w:tc>
          <w:tcPr>
            <w:tcW w:w="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7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 - liability</w:t>
            </w:r>
          </w:p>
        </w:tc>
        <w:tc>
          <w:tcPr>
            <w:tcW w:w="5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CCEEFF"/>
            </w:tcBorders>
          </w:tcPr>
          <w:p>
            <w:pPr>
              <w:spacing w:after="0"/>
              <w:rPr>
                <w:sz w:val="23"/>
                <w:szCs w:val="23"/>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fair value of derivative instruments (1)</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187"/>
        </w:trPr>
        <w:tc>
          <w:tcPr>
            <w:tcW w:w="5040" w:type="dxa"/>
            <w:vAlign w:val="bottom"/>
          </w:tcPr>
          <w:p>
            <w:pPr>
              <w:spacing w:after="0"/>
              <w:rPr>
                <w:sz w:val="20"/>
                <w:szCs w:val="20"/>
                <w:color w:val="auto"/>
              </w:rPr>
            </w:pPr>
            <w:r>
              <w:rPr>
                <w:rFonts w:ascii="Arial" w:cs="Arial" w:eastAsia="Arial" w:hAnsi="Arial"/>
                <w:sz w:val="16"/>
                <w:szCs w:val="16"/>
                <w:color w:val="auto"/>
              </w:rPr>
              <w:t>____________________</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13</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interest rate swaps on Net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Pr>
          <w:p>
            <w:pPr>
              <w:spacing w:after="0"/>
              <w:rPr>
                <w:sz w:val="13"/>
                <w:szCs w:val="13"/>
                <w:color w:val="auto"/>
              </w:rPr>
            </w:pPr>
          </w:p>
        </w:tc>
        <w:tc>
          <w:tcPr>
            <w:tcW w:w="1320" w:type="dxa"/>
            <w:vAlign w:val="bottom"/>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recognized in Interest expense, net (1)</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(4,756)</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recognized in (Benefit) provision for income taxes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income</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252525"/>
        </w:rPr>
        <w:t>During the thirteen and thirty-nine weeks ended September 24, 2017 and September 25, 2016, the Company did not recognize any gain or loss as a result of hedge ineffectiveness.</w:t>
      </w:r>
    </w:p>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252525"/>
        </w:rPr>
        <w:t>The Company records its derivatives on the Consolidated Balance Sheets on a gross balance basis. The Company’s derivatives are subject to master netting arrangements. As of September 24, 2017, the Company did not have more than one derivative between the same counterparties and as such, there was no netting.</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252525"/>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September 24, 2017, all counterparties to the interest rate swaps had performed in accordance with their contractual obligations.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52525"/>
        </w:rPr>
        <w:t>As of September 24, 2017 and December 25, 2016, the fair value of the Company’s interest rate swaps in a net liability position, including accrued interest but excluding any adjustment for nonperformance risk, was $3.3 million and $6.4 million, respectively. As of September 24, 2017 and December 25, 2016, the Company has not posted any collateral related to these agreements. If the Company had breached any of these provisions as of September 24, 2017 and December 25, 2016, it could have been required to settle its obligations under the agreements at their termination value of $3.3 million and $6.4 million, respectively.</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Fair Value Measurements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20" w:type="dxa"/>
            <w:vAlign w:val="bottom"/>
          </w:tcPr>
          <w:p>
            <w:pPr>
              <w:ind w:left="36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SEPTEMBER 24, 2017</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25, 2016</w:t>
            </w:r>
          </w:p>
        </w:tc>
        <w:tc>
          <w:tcPr>
            <w:tcW w:w="9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20,751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20,751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18,607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3,735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90"/>
        </w:trPr>
        <w:tc>
          <w:tcPr>
            <w:tcW w:w="4000" w:type="dxa"/>
            <w:vAlign w:val="bottom"/>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24,528</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24,528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21,767</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21,767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4"/>
        </w:trPr>
        <w:tc>
          <w:tcPr>
            <w:tcW w:w="40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2,127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3,968</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3,968</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commodities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1,999</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3,130</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6,124</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6,124</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3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98" w:lineRule="exact"/>
        <w:rPr>
          <w:sz w:val="20"/>
          <w:szCs w:val="20"/>
          <w:color w:val="auto"/>
        </w:rPr>
      </w:pPr>
    </w:p>
    <w:p>
      <w:pPr>
        <w:sectPr>
          <w:pgSz w:w="11900" w:h="16838" w:orient="portrait"/>
          <w:cols w:equalWidth="0" w:num="2">
            <w:col w:w="2100" w:space="44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5"/>
          <w:szCs w:val="15"/>
          <w:color w:val="auto"/>
        </w:rPr>
        <w:t>The Company’s derivative instruments include interest rate swaps and commodities. Fair value measurements are based on the</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contractual terms of the derivatives and use observable market-based inputs. The interest rate swaps are valued using a discounted cash</w:t>
      </w:r>
    </w:p>
    <w:p>
      <w:pPr>
        <w:spacing w:after="0" w:line="4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flow analysis on the expected cash flows of each derivative using observable inputs including interest rate curves and credit spreads.</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The Company also considers its own nonperformance risk and the respective counterparty’s nonperformance risk when performing fair</w:t>
      </w:r>
    </w:p>
    <w:p>
      <w:pPr>
        <w:spacing w:after="0" w:line="4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value measurements. As of September 24, 2017 and December 25, 2016, the Company has determined that the credit valuation</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adjustments are not significant to the overall valuation of its derivatives.</w:t>
      </w: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goodwill and other intangible assets, which are remeasured when carrying value exceeds fair value. The following table summarizes the Company’s assets measured at fair value by hierarchy level on a nonrecurring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6"/>
                <w:szCs w:val="16"/>
                <w:color w:val="auto"/>
              </w:rPr>
            </w:pPr>
          </w:p>
        </w:tc>
        <w:tc>
          <w:tcPr>
            <w:tcW w:w="2620" w:type="dxa"/>
            <w:vAlign w:val="bottom"/>
            <w:gridSpan w:val="4"/>
          </w:tcPr>
          <w:p>
            <w:pPr>
              <w:jc w:val="center"/>
              <w:ind w:right="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7"/>
              </w:rPr>
              <w:t>SEPTEMBER 24, 2017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SEPTEMBER 24, 2017</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060" w:type="dxa"/>
            <w:vAlign w:val="bottom"/>
          </w:tcPr>
          <w:p>
            <w:pPr>
              <w:jc w:val="right"/>
              <w:ind w:right="52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(1)</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13,935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13,993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15,002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14,855</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15,175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620" w:type="dxa"/>
            <w:vAlign w:val="bottom"/>
            <w:gridSpan w:val="4"/>
          </w:tcPr>
          <w:p>
            <w:pPr>
              <w:jc w:val="center"/>
              <w:ind w:right="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7"/>
              </w:rPr>
              <w:t>SEPTEMBER 25, 2016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7"/>
              </w:rPr>
              <w:t>SEPTEMBER 25, 2016</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060" w:type="dxa"/>
            <w:vAlign w:val="bottom"/>
          </w:tcPr>
          <w:p>
            <w:pPr>
              <w:jc w:val="right"/>
              <w:ind w:right="523"/>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(2)</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45,351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42,926</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12,064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2,058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12,064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57,415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44,984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Carrying value approximates fair value with all assets measured using third-party market appraisals or executed sales contracts (Level 2).</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Carrying value approximates fair value with all assets measured using executed sales contracts (Level 2).</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Interim Disclosures about Fair Value of Financial Instruments - </w:t>
      </w:r>
      <w:r>
        <w:rPr>
          <w:rFonts w:ascii="Arial" w:cs="Arial" w:eastAsia="Arial" w:hAnsi="Arial"/>
          <w:sz w:val="20"/>
          <w:szCs w:val="20"/>
          <w:color w:val="auto"/>
        </w:rPr>
        <w:t>The Company’s non-derivative financial instruments consist of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restricted cash, accounts receivable, accounts payable and current and long-term debt. The fair values of cash equivalents, restricted cash, accounts receivable and accounts payable approximate their carrying amounts reported in the Consolidated Balance Sheets due to their short duration.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8"/>
              </w:rPr>
              <w:t>SEPTEMBER 24, 2017</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25, 2016</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gridSpan w:val="6"/>
          </w:tcPr>
          <w:p>
            <w:pPr>
              <w:ind w:left="680"/>
              <w:spacing w:after="0"/>
              <w:rPr>
                <w:sz w:val="20"/>
                <w:szCs w:val="20"/>
                <w:color w:val="auto"/>
              </w:rPr>
            </w:pPr>
            <w:r>
              <w:rPr>
                <w:rFonts w:ascii="Arial" w:cs="Arial" w:eastAsia="Arial" w:hAnsi="Arial"/>
                <w:sz w:val="14"/>
                <w:szCs w:val="14"/>
                <w:b w:val="1"/>
                <w:bCs w:val="1"/>
                <w:color w:val="auto"/>
              </w:rPr>
              <w:t>FAIR VALUE</w:t>
            </w: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3</w:t>
            </w:r>
          </w:p>
        </w:tc>
        <w:tc>
          <w:tcPr>
            <w:tcW w:w="1080" w:type="dxa"/>
            <w:vAlign w:val="bottom"/>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247,500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246,881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3"/>
          </w:tcPr>
          <w:p>
            <w:pPr>
              <w:ind w:left="760"/>
              <w:spacing w:after="0"/>
              <w:rPr>
                <w:sz w:val="20"/>
                <w:szCs w:val="20"/>
                <w:color w:val="auto"/>
              </w:rPr>
            </w:pPr>
            <w:r>
              <w:rPr>
                <w:rFonts w:ascii="Arial" w:cs="Arial" w:eastAsia="Arial" w:hAnsi="Arial"/>
                <w:sz w:val="16"/>
                <w:szCs w:val="16"/>
                <w:color w:val="auto"/>
              </w:rPr>
              <w:t>—   $</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258,750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257,780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A-1</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Term loan A-2</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124,688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668,297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617,335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PRP Mortgage Loan</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47,202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47,202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33"/>
        </w:trPr>
        <w:tc>
          <w:tcPr>
            <w:tcW w:w="3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Fair value of debt is determined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DEBT FACILITY</w:t>
            </w:r>
          </w:p>
        </w:tc>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73"/>
        </w:trPr>
        <w:tc>
          <w:tcPr>
            <w:tcW w:w="2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Quoted market prices in inactive markets.</w:t>
            </w:r>
          </w:p>
        </w:tc>
      </w:tr>
      <w:tr>
        <w:trPr>
          <w:trHeight w:val="22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PRP Mortgage Loan</w:t>
            </w:r>
          </w:p>
        </w:tc>
        <w:tc>
          <w:tcPr>
            <w:tcW w:w="8420" w:type="dxa"/>
            <w:vAlign w:val="bottom"/>
          </w:tcPr>
          <w:p>
            <w:pPr>
              <w:ind w:left="20"/>
              <w:spacing w:after="0"/>
              <w:rPr>
                <w:sz w:val="20"/>
                <w:szCs w:val="20"/>
                <w:color w:val="auto"/>
              </w:rPr>
            </w:pPr>
            <w:r>
              <w:rPr>
                <w:rFonts w:ascii="Arial" w:cs="Arial" w:eastAsia="Arial" w:hAnsi="Arial"/>
                <w:sz w:val="16"/>
                <w:szCs w:val="16"/>
                <w:color w:val="auto"/>
                <w:w w:val="96"/>
              </w:rPr>
              <w:t>Assumptions derived from current conditions in the real estate and credit markets, changes in the underlying collateral and</w:t>
            </w:r>
          </w:p>
        </w:tc>
      </w:tr>
      <w:tr>
        <w:trPr>
          <w:trHeight w:val="20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20" w:type="dxa"/>
            <w:vAlign w:val="bottom"/>
          </w:tcPr>
          <w:p>
            <w:pPr>
              <w:ind w:left="20"/>
              <w:spacing w:after="0"/>
              <w:rPr>
                <w:sz w:val="20"/>
                <w:szCs w:val="20"/>
                <w:color w:val="auto"/>
              </w:rPr>
            </w:pPr>
            <w:r>
              <w:rPr>
                <w:rFonts w:ascii="Arial" w:cs="Arial" w:eastAsia="Arial" w:hAnsi="Arial"/>
                <w:sz w:val="16"/>
                <w:szCs w:val="16"/>
                <w:color w:val="auto"/>
              </w:rPr>
              <w:t>expectations of management.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20" w:type="dxa"/>
            <w:vAlign w:val="bottom"/>
          </w:tcPr>
          <w:p>
            <w:pPr>
              <w:spacing w:after="0"/>
              <w:rPr>
                <w:sz w:val="2"/>
                <w:szCs w:val="2"/>
                <w:color w:val="auto"/>
              </w:rPr>
            </w:pPr>
          </w:p>
        </w:tc>
      </w:tr>
      <w:tr>
        <w:trPr>
          <w:trHeight w:val="22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Discounted cash flow approach. Discounted cash flow inputs primarily include cost of debt rates, which are used to derive the</w:t>
            </w:r>
          </w:p>
        </w:tc>
      </w:tr>
      <w:tr>
        <w:trPr>
          <w:trHeight w:val="206"/>
        </w:trPr>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factors for the determination of fair value.</w:t>
            </w:r>
          </w:p>
        </w:tc>
      </w:tr>
      <w:tr>
        <w:trPr>
          <w:trHeight w:val="33"/>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2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24,</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25, 2016</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24, 2017</w:t>
            </w: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SEPTEMBER 25, 2016</w:t>
            </w:r>
          </w:p>
        </w:tc>
        <w:tc>
          <w:tcPr>
            <w:tcW w:w="0" w:type="dxa"/>
            <w:vAlign w:val="bottom"/>
          </w:tcPr>
          <w:p>
            <w:pPr>
              <w:spacing w:after="0"/>
              <w:rPr>
                <w:sz w:val="1"/>
                <w:szCs w:val="1"/>
                <w:color w:val="auto"/>
              </w:rPr>
            </w:pPr>
          </w:p>
        </w:tc>
      </w:tr>
      <w:tr>
        <w:trPr>
          <w:trHeight w:val="205"/>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1,950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14,280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24,372</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40" w:type="dxa"/>
            <w:vAlign w:val="bottom"/>
          </w:tcPr>
          <w:p>
            <w:pPr>
              <w:spacing w:after="0"/>
              <w:rPr>
                <w:sz w:val="20"/>
                <w:szCs w:val="20"/>
                <w:color w:val="auto"/>
              </w:rPr>
            </w:pPr>
          </w:p>
        </w:tc>
        <w:tc>
          <w:tcPr>
            <w:tcW w:w="1420" w:type="dxa"/>
            <w:vAlign w:val="bottom"/>
            <w:gridSpan w:val="2"/>
          </w:tcPr>
          <w:p>
            <w:pPr>
              <w:jc w:val="center"/>
              <w:ind w:left="564"/>
              <w:spacing w:after="0"/>
              <w:rPr>
                <w:sz w:val="20"/>
                <w:szCs w:val="20"/>
                <w:color w:val="auto"/>
              </w:rPr>
            </w:pPr>
            <w:r>
              <w:rPr>
                <w:rFonts w:ascii="Arial" w:cs="Arial" w:eastAsia="Arial" w:hAnsi="Arial"/>
                <w:sz w:val="16"/>
                <w:szCs w:val="16"/>
                <w:color w:val="auto"/>
              </w:rPr>
              <w:t>(NM)</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2"/>
        </w:trPr>
        <w:tc>
          <w:tcPr>
            <w:tcW w:w="510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00" w:type="dxa"/>
            <w:vAlign w:val="bottom"/>
          </w:tcPr>
          <w:p>
            <w:pPr>
              <w:spacing w:after="0"/>
              <w:rPr>
                <w:sz w:val="20"/>
                <w:szCs w:val="20"/>
                <w:color w:val="auto"/>
              </w:rPr>
            </w:pPr>
            <w:r>
              <w:rPr>
                <w:rFonts w:ascii="Arial" w:cs="Arial" w:eastAsia="Arial" w:hAnsi="Arial"/>
                <w:sz w:val="16"/>
                <w:szCs w:val="16"/>
                <w:color w:val="auto"/>
              </w:rPr>
              <w:t>NM  Not meaningful.</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the effective tax rate for the thirteen weeks ended September 24, 2017 was primarily due to the benefit of employment-related credits relative to lower forecasted pre-tax income for the 2017 tax year. The benefit for income taxes recorded for the thirteen weeks ended September 24, 2017 includes the impact of changes to the estimate of the forecasted full-year effective tax rate relative to prior quarters in 2017.</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effective income tax rate for the thirty-nine weeks ended September 24, 2017 decreased 18.9% as compared to the thirty-nine weeks ended September 25, 2016. Approximately 13.5% of this net decrease was due to impairment and additional tax liabilities recorded in connection with the sale of Outback Steakhouse South Korea in 2016. The remaining decrease was primarily due to the impact of certain favorable discrete tax items recorded in 2017 and lower forecasted pre-tax book income for the 2017 tax year.</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 blended federal and state statutory rate of approximately 39%. The effective income tax rate for the thirteen weeks ended September 24, 2017 was lower than the statutory rate primarily due to the benefit of changes to the estimate of the forecasted full-year effective tax rate relative to prior quarters in 2017 and employment-related tax credits. The effective income tax rate for the thirty-nine weeks ended September 24, 2017 was lower than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statutory rate primarily due to the benefit of employment-related tax credits and certain favorable discrete tax items recorded in 2017.</w:t>
      </w: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Commitments and Contingencies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$3.7 million and $3.5 million of liabilities recorded for various legal matters as of</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24, 2017 and December 25, 2016, respectively.</w:t>
      </w:r>
    </w:p>
    <w:p>
      <w:pPr>
        <w:spacing w:after="0" w:line="19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In November 2015, David Sears and Elizabeth Thomas, two former Outback Steakhouse managers (“Manager Plaintiffs”), sent a demand letter seeking unpaid overtime compensation on behalf of all managers and kitchen managers employed at Outback Steakhouse restaurants from November 2012 to present. The Manager Plaintiffs claim that managers were not assigned sufficient management duties to qualify as exempt from overtime. In December 2016, the Company agreed to a tentative class settlement for eligible kitchen managers and during the second quarter of 2017, the class period closed and the Company made final payment to the class of $2.3 million.</w:t>
      </w:r>
    </w:p>
    <w:p>
      <w:pPr>
        <w:spacing w:after="0" w:line="17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with the exception of wage-and-hour cases which are not covered by insurance. In the opinion of management, the amount of ultimate liability with respect to those actions will not have a material adverse impact on the Company’s financial position or results of operations and cash flows.</w:t>
      </w:r>
    </w:p>
    <w:p>
      <w:pPr>
        <w:spacing w:after="0" w:line="208"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As a result of the Company assigning its interest in obligations under real estate leases in connection with the sale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restaurants, the Company is contingently liable on certain lease agreements. These leases have varying terms, the latest of which expires in 2032. As of September 24, 2017, the undiscounted payments the Company could be required to make in the event of non-payment by the primary lessees was approximately $26.9 million. The present value of these potential payments discounted at the Company’s incremental borrowing rate as of September 24, 2017 was approximately $17.2 million. In the event of default, the indemnity clauses in the Company’s purchase and sale agreements govern its ability to pursue and recover damages incurred. The Company believes the financial strength and operating history of the buyers significantly reduces the risk that it will be required to make payments under these leases. Accordingly, no liability has been recorded.</w:t>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 has two reportable segments, U.S. and International, which reflects how the Company manages its business, reviews operating performance and allocates resources. The U.S. segment includes all brands operating in the U.S. while brands operating outside the U.S. are included in the International segment. Resources are allocated and performance is assessed by the Company’s Chief Executive Officer (“CEO”), whom the Company has determined to be its Chief Operating Decision Maker (“CODM”). Following is a summary of reporting segments: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64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in the Company’s Annual Report on Form 10-K for the year ended December 25, 2016. Revenues for all segments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121" w:right="2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include only transactions with customers and include no intersegment revenues. Excluded from net income from operations for U.S. and International are certain legal and corporate costs not directly related to the performance of the segments, stock-based compensation expenses and certain bonus expenses.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8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25,</w:t>
            </w:r>
          </w:p>
        </w:tc>
      </w:tr>
      <w:tr>
        <w:trPr>
          <w:trHeight w:val="205"/>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Total revenues</w:t>
            </w:r>
          </w:p>
        </w:tc>
        <w:tc>
          <w:tcPr>
            <w:tcW w:w="41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832,073</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893,906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2,782,060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2,896,666</w:t>
            </w: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116,826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111,481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343,644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351,497</w:t>
            </w:r>
          </w:p>
        </w:tc>
      </w:tr>
      <w:tr>
        <w:trPr>
          <w:trHeight w:val="250"/>
        </w:trPr>
        <w:tc>
          <w:tcPr>
            <w:tcW w:w="40" w:type="dxa"/>
            <w:vAlign w:val="bottom"/>
          </w:tcPr>
          <w:p>
            <w:pPr>
              <w:spacing w:after="0"/>
              <w:rPr>
                <w:sz w:val="21"/>
                <w:szCs w:val="21"/>
                <w:color w:val="auto"/>
              </w:rPr>
            </w:pPr>
          </w:p>
        </w:tc>
        <w:tc>
          <w:tcPr>
            <w:tcW w:w="512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948,899</w:t>
            </w:r>
          </w:p>
        </w:tc>
        <w:tc>
          <w:tcPr>
            <w:tcW w:w="120" w:type="dxa"/>
            <w:vAlign w:val="bottom"/>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1,005,387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3,125,704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3,248,163</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reconciliation of Segment income (loss) from operations to Income before (benefit) 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8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25,</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28,139</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61,905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204,153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268,754</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8,442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26,923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(14,947)</w:t>
            </w:r>
          </w:p>
        </w:tc>
      </w:tr>
      <w:tr>
        <w:trPr>
          <w:trHeight w:val="224"/>
        </w:trPr>
        <w:tc>
          <w:tcPr>
            <w:tcW w:w="516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36,581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231,076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253,807</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(122,056)</w:t>
            </w:r>
          </w:p>
        </w:tc>
      </w:tr>
      <w:tr>
        <w:trPr>
          <w:trHeight w:val="224"/>
        </w:trPr>
        <w:tc>
          <w:tcPr>
            <w:tcW w:w="516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114,466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131,751</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defeasance,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14,761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2,059</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(33,394)</w:t>
            </w:r>
          </w:p>
        </w:tc>
      </w:tr>
      <w:tr>
        <w:trPr>
          <w:trHeight w:val="250"/>
        </w:trPr>
        <w:tc>
          <w:tcPr>
            <w:tcW w:w="5160" w:type="dxa"/>
            <w:vAlign w:val="bottom"/>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23,178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99,578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73,418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25,</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37,186</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39,346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111,192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116,508</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19,479</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3,604</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10,737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9,219</w:t>
            </w: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47,826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48,551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142,479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145,206</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Geographic areas </w:t>
      </w:r>
      <w:r>
        <w:rPr>
          <w:rFonts w:ascii="Arial" w:cs="Arial" w:eastAsia="Arial" w:hAnsi="Arial"/>
          <w:sz w:val="16"/>
          <w:szCs w:val="16"/>
          <w:color w:val="auto"/>
        </w:rPr>
        <w:t>— International revenues are defined as revenues generated from restaurant sales originating in a country other than the U.S.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details Total revenues by major geographic area: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8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832,073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893,906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2,782,060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2,896,666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Brazil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108,503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308,384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228,197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8,323</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35,260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123,300</w:t>
            </w: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948,899</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1,005,387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3,125,704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3,248,163</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ability to implement our expansion, remodeling and relocation plans due to uncertainty in locating and acquiring attractive sites on acceptable terms, obtaining required permits and approvals, recruiting and training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40" w:lineRule="exact"/>
        <w:rPr>
          <w:sz w:val="20"/>
          <w:szCs w:val="20"/>
          <w:color w:val="auto"/>
        </w:rPr>
      </w:pPr>
    </w:p>
    <w:p>
      <w:pPr>
        <w:ind w:left="660"/>
        <w:spacing w:after="0" w:line="289" w:lineRule="auto"/>
        <w:rPr>
          <w:sz w:val="20"/>
          <w:szCs w:val="20"/>
          <w:color w:val="auto"/>
        </w:rPr>
      </w:pPr>
      <w:r>
        <w:rPr>
          <w:rFonts w:ascii="Arial" w:cs="Arial" w:eastAsia="Arial" w:hAnsi="Arial"/>
          <w:sz w:val="20"/>
          <w:szCs w:val="20"/>
          <w:color w:val="auto"/>
        </w:rPr>
        <w:t>necessary personnel, obtaining adequate financing and estimating the performance of newly opened, remodeled or relocated restaurants;</w:t>
      </w:r>
    </w:p>
    <w:p>
      <w:pPr>
        <w:spacing w:after="0" w:line="175" w:lineRule="exact"/>
        <w:rPr>
          <w:sz w:val="20"/>
          <w:szCs w:val="20"/>
          <w:color w:val="auto"/>
        </w:rPr>
      </w:pPr>
    </w:p>
    <w:p>
      <w:pPr>
        <w:ind w:left="660" w:hanging="652"/>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and to protect consumer data and personal employee information;</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Strategic actions, including acquisitions and dispositions, and our success in integrating any newly acquired or newly created businesses;</w:t>
      </w:r>
    </w:p>
    <w:p>
      <w:pPr>
        <w:spacing w:after="0" w:line="190"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 and</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25, 2016.</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September 24, 2017, we owned and operated 1,197 restaurants and franchised 294 restaurants across 48 states, Puerto Rico, Guam and 19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September 24, 2017 (“third quarter of 2017”) include the following:</w:t>
      </w:r>
    </w:p>
    <w:p>
      <w:pPr>
        <w:spacing w:after="0" w:line="229" w:lineRule="exact"/>
        <w:rPr>
          <w:sz w:val="20"/>
          <w:szCs w:val="20"/>
          <w:color w:val="auto"/>
        </w:rPr>
      </w:pPr>
    </w:p>
    <w:p>
      <w:pPr>
        <w:jc w:val="both"/>
        <w:ind w:left="660" w:hanging="652"/>
        <w:spacing w:after="0" w:line="25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decrease in Total revenues of 5.6% to $948.9 million in the third quarter of 2017, as compared to the third quarter of 2016, primarily due to refranchising internationally and domestically and the net impact of restaurant closings and new restaurant openings, partially offset by an increase in franchise and other revenues.</w:t>
      </w:r>
    </w:p>
    <w:p>
      <w:pPr>
        <w:spacing w:after="0" w:line="19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Income from operations of $3.2 million in the third quarter of 2017, as compared to $31.7 million in the third quarter of 2016, decreased primarily due to lower operating margin at the restaurant-level and certain impairment charges and restaurant closing costs, partially offset by increases primarily in franchise and other revenues.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significant actions we have taken and other factors that impacted our operating results and liquidity to date in 2017:</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252525"/>
        </w:rPr>
        <w:t xml:space="preserve">Surplus Properties </w:t>
      </w:r>
      <w:r>
        <w:rPr>
          <w:rFonts w:ascii="Arial" w:cs="Arial" w:eastAsia="Arial" w:hAnsi="Arial"/>
          <w:sz w:val="16"/>
          <w:szCs w:val="16"/>
          <w:color w:val="252525"/>
        </w:rPr>
        <w:t>-</w:t>
      </w:r>
      <w:r>
        <w:rPr>
          <w:rFonts w:ascii="Arial" w:cs="Arial" w:eastAsia="Arial" w:hAnsi="Arial"/>
          <w:sz w:val="16"/>
          <w:szCs w:val="16"/>
          <w:i w:val="1"/>
          <w:iCs w:val="1"/>
          <w:color w:val="252525"/>
        </w:rPr>
        <w:t xml:space="preserve"> </w:t>
      </w:r>
      <w:r>
        <w:rPr>
          <w:rFonts w:ascii="Arial" w:cs="Arial" w:eastAsia="Arial" w:hAnsi="Arial"/>
          <w:sz w:val="16"/>
          <w:szCs w:val="16"/>
          <w:color w:val="000000"/>
        </w:rPr>
        <w:t>During the thirteen and thirty-nine weeks ended September 24, 2017,</w:t>
      </w:r>
      <w:r>
        <w:rPr>
          <w:rFonts w:ascii="Arial" w:cs="Arial" w:eastAsia="Arial" w:hAnsi="Arial"/>
          <w:sz w:val="16"/>
          <w:szCs w:val="16"/>
          <w:i w:val="1"/>
          <w:iCs w:val="1"/>
          <w:color w:val="252525"/>
        </w:rPr>
        <w:t xml:space="preserve"> </w:t>
      </w:r>
      <w:r>
        <w:rPr>
          <w:rFonts w:ascii="Arial" w:cs="Arial" w:eastAsia="Arial" w:hAnsi="Arial"/>
          <w:sz w:val="16"/>
          <w:szCs w:val="16"/>
          <w:color w:val="252525"/>
        </w:rPr>
        <w:t>we</w:t>
      </w:r>
      <w:r>
        <w:rPr>
          <w:rFonts w:ascii="Arial" w:cs="Arial" w:eastAsia="Arial" w:hAnsi="Arial"/>
          <w:sz w:val="16"/>
          <w:szCs w:val="16"/>
          <w:i w:val="1"/>
          <w:iCs w:val="1"/>
          <w:color w:val="252525"/>
        </w:rPr>
        <w:t xml:space="preserve"> </w:t>
      </w:r>
      <w:r>
        <w:rPr>
          <w:rFonts w:ascii="Arial" w:cs="Arial" w:eastAsia="Arial" w:hAnsi="Arial"/>
          <w:sz w:val="16"/>
          <w:szCs w:val="16"/>
          <w:color w:val="000000"/>
        </w:rPr>
        <w:t>recognized impairment charges of $9.5 million in</w:t>
      </w:r>
      <w:r>
        <w:rPr>
          <w:rFonts w:ascii="Arial" w:cs="Arial" w:eastAsia="Arial" w:hAnsi="Arial"/>
          <w:sz w:val="16"/>
          <w:szCs w:val="16"/>
          <w:i w:val="1"/>
          <w:iCs w:val="1"/>
          <w:color w:val="252525"/>
        </w:rPr>
        <w:t xml:space="preserve"> </w:t>
      </w:r>
      <w:r>
        <w:rPr>
          <w:rFonts w:ascii="Arial" w:cs="Arial" w:eastAsia="Arial" w:hAnsi="Arial"/>
          <w:sz w:val="16"/>
          <w:szCs w:val="16"/>
          <w:color w:val="000000"/>
        </w:rPr>
        <w:t xml:space="preserve">connection with the remeasurement of certain held and used surplus properties currently leased to the owners of our former restaurant concepts. See Note 3 - </w:t>
      </w:r>
      <w:r>
        <w:rPr>
          <w:rFonts w:ascii="Arial" w:cs="Arial" w:eastAsia="Arial" w:hAnsi="Arial"/>
          <w:sz w:val="16"/>
          <w:szCs w:val="16"/>
          <w:i w:val="1"/>
          <w:iCs w:val="1"/>
          <w:color w:val="000000"/>
        </w:rPr>
        <w:t>Impairments and Exit Costs</w:t>
      </w:r>
      <w:r>
        <w:rPr>
          <w:rFonts w:ascii="Arial" w:cs="Arial" w:eastAsia="Arial" w:hAnsi="Arial"/>
          <w:sz w:val="16"/>
          <w:szCs w:val="16"/>
          <w:color w:val="000000"/>
        </w:rPr>
        <w:t xml:space="preserve"> of our Notes to Consolidated Financial Statements for additional details regarding surplus properties.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252525"/>
        </w:rPr>
        <w:t xml:space="preserve">Sale of Carrabba’s Italian Grill Restaurant </w:t>
      </w:r>
      <w:r>
        <w:rPr>
          <w:rFonts w:ascii="Arial" w:cs="Arial" w:eastAsia="Arial" w:hAnsi="Arial"/>
          <w:sz w:val="18"/>
          <w:szCs w:val="18"/>
          <w:color w:val="252525"/>
        </w:rPr>
        <w:t>- During the thirteen weeks ended September 24, 2017, we closed and completed the sale of one</w:t>
      </w:r>
      <w:r>
        <w:rPr>
          <w:rFonts w:ascii="Arial" w:cs="Arial" w:eastAsia="Arial" w:hAnsi="Arial"/>
          <w:sz w:val="18"/>
          <w:szCs w:val="18"/>
          <w:i w:val="1"/>
          <w:iCs w:val="1"/>
          <w:color w:val="252525"/>
        </w:rPr>
        <w:t xml:space="preserve"> </w:t>
      </w:r>
      <w:r>
        <w:rPr>
          <w:rFonts w:ascii="Arial" w:cs="Arial" w:eastAsia="Arial" w:hAnsi="Arial"/>
          <w:sz w:val="18"/>
          <w:szCs w:val="18"/>
          <w:color w:val="252525"/>
        </w:rPr>
        <w:t>U.S. Company-owned Carrabba’s Italian Grill location for a purchase price of $9.9 million</w:t>
      </w:r>
      <w:r>
        <w:rPr>
          <w:rFonts w:ascii="Arial" w:cs="Arial" w:eastAsia="Arial" w:hAnsi="Arial"/>
          <w:sz w:val="18"/>
          <w:szCs w:val="18"/>
          <w:color w:val="000000"/>
        </w:rPr>
        <w:t>,</w:t>
      </w:r>
      <w:r>
        <w:rPr>
          <w:rFonts w:ascii="Arial" w:cs="Arial" w:eastAsia="Arial" w:hAnsi="Arial"/>
          <w:sz w:val="18"/>
          <w:szCs w:val="18"/>
          <w:color w:val="252525"/>
        </w:rPr>
        <w:t xml:space="preserve"> net of closing costs. The sale resulted in a net gain of $8.4 million, recorded within Other income, net, in the Consolidated Statements of Operations and Other Comprehensive Income.</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Sale-leaseback Transactions </w:t>
      </w:r>
      <w:r>
        <w:rPr>
          <w:rFonts w:ascii="Arial" w:cs="Arial" w:eastAsia="Arial" w:hAnsi="Arial"/>
          <w:sz w:val="20"/>
          <w:szCs w:val="20"/>
          <w:color w:val="auto"/>
        </w:rPr>
        <w:t>- During the thirty-nine weeks ended September 24, 2017, we entered into sale-leaseback transactions with third-parties in which we sold 26 restaurant properties at fair market value for gross proceeds of $92.5 million.</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252525"/>
        </w:rPr>
        <w:t xml:space="preserve">Refranchising </w:t>
      </w:r>
      <w:r>
        <w:rPr>
          <w:rFonts w:ascii="Arial" w:cs="Arial" w:eastAsia="Arial" w:hAnsi="Arial"/>
          <w:sz w:val="18"/>
          <w:szCs w:val="18"/>
          <w:color w:val="252525"/>
        </w:rPr>
        <w:t>- During the thirteen weeks ended June 25, 2017, we completed the sale of</w:t>
      </w:r>
      <w:r>
        <w:rPr>
          <w:rFonts w:ascii="Arial" w:cs="Arial" w:eastAsia="Arial" w:hAnsi="Arial"/>
          <w:sz w:val="18"/>
          <w:szCs w:val="18"/>
          <w:i w:val="1"/>
          <w:iCs w:val="1"/>
          <w:color w:val="252525"/>
        </w:rPr>
        <w:t xml:space="preserve"> </w:t>
      </w:r>
      <w:r>
        <w:rPr>
          <w:rFonts w:ascii="Arial" w:cs="Arial" w:eastAsia="Arial" w:hAnsi="Arial"/>
          <w:sz w:val="18"/>
          <w:szCs w:val="18"/>
          <w:color w:val="000000"/>
        </w:rPr>
        <w:t>54</w:t>
      </w:r>
      <w:r>
        <w:rPr>
          <w:rFonts w:ascii="Arial" w:cs="Arial" w:eastAsia="Arial" w:hAnsi="Arial"/>
          <w:sz w:val="18"/>
          <w:szCs w:val="18"/>
          <w:i w:val="1"/>
          <w:iCs w:val="1"/>
          <w:color w:val="252525"/>
        </w:rPr>
        <w:t xml:space="preserve"> </w:t>
      </w:r>
      <w:r>
        <w:rPr>
          <w:rFonts w:ascii="Arial" w:cs="Arial" w:eastAsia="Arial" w:hAnsi="Arial"/>
          <w:sz w:val="18"/>
          <w:szCs w:val="18"/>
          <w:color w:val="252525"/>
        </w:rPr>
        <w:t>of our existing U.S. Company-owned Outback</w:t>
      </w:r>
      <w:r>
        <w:rPr>
          <w:rFonts w:ascii="Arial" w:cs="Arial" w:eastAsia="Arial" w:hAnsi="Arial"/>
          <w:sz w:val="18"/>
          <w:szCs w:val="18"/>
          <w:i w:val="1"/>
          <w:iCs w:val="1"/>
          <w:color w:val="252525"/>
        </w:rPr>
        <w:t xml:space="preserve"> </w:t>
      </w:r>
      <w:r>
        <w:rPr>
          <w:rFonts w:ascii="Arial" w:cs="Arial" w:eastAsia="Arial" w:hAnsi="Arial"/>
          <w:sz w:val="18"/>
          <w:szCs w:val="18"/>
          <w:color w:val="252525"/>
        </w:rPr>
        <w:t xml:space="preserve">Steakhouse and Carrabba’s Italian Grill locations for aggregate cash proceeds of </w:t>
      </w:r>
      <w:r>
        <w:rPr>
          <w:rFonts w:ascii="Arial" w:cs="Arial" w:eastAsia="Arial" w:hAnsi="Arial"/>
          <w:sz w:val="18"/>
          <w:szCs w:val="18"/>
          <w:color w:val="000000"/>
        </w:rPr>
        <w:t>$36.2 million</w:t>
      </w:r>
      <w:r>
        <w:rPr>
          <w:rFonts w:ascii="Arial" w:cs="Arial" w:eastAsia="Arial" w:hAnsi="Arial"/>
          <w:sz w:val="18"/>
          <w:szCs w:val="18"/>
          <w:color w:val="252525"/>
        </w:rPr>
        <w:t xml:space="preserve">, net of certain closing adjustments. The transactions resulted in an aggregate net gain of $7.4 million within Other income, net, in the Consolidated Statements of Operations and Other Comprehensive Income. </w:t>
      </w:r>
      <w:r>
        <w:rPr>
          <w:rFonts w:ascii="Arial" w:cs="Arial" w:eastAsia="Arial" w:hAnsi="Arial"/>
          <w:sz w:val="18"/>
          <w:szCs w:val="18"/>
          <w:color w:val="000000"/>
        </w:rPr>
        <w:t>See Note 2 -</w:t>
      </w:r>
      <w:r>
        <w:rPr>
          <w:rFonts w:ascii="Arial" w:cs="Arial" w:eastAsia="Arial" w:hAnsi="Arial"/>
          <w:sz w:val="18"/>
          <w:szCs w:val="18"/>
          <w:color w:val="252525"/>
        </w:rPr>
        <w:t xml:space="preserve"> </w:t>
      </w:r>
      <w:r>
        <w:rPr>
          <w:rFonts w:ascii="Arial" w:cs="Arial" w:eastAsia="Arial" w:hAnsi="Arial"/>
          <w:sz w:val="18"/>
          <w:szCs w:val="18"/>
          <w:i w:val="1"/>
          <w:iCs w:val="1"/>
          <w:color w:val="000000"/>
        </w:rPr>
        <w:t>Disposals</w:t>
      </w:r>
      <w:r>
        <w:rPr>
          <w:rFonts w:ascii="Arial" w:cs="Arial" w:eastAsia="Arial" w:hAnsi="Arial"/>
          <w:sz w:val="18"/>
          <w:szCs w:val="18"/>
          <w:color w:val="252525"/>
        </w:rPr>
        <w:t xml:space="preserve"> </w:t>
      </w:r>
      <w:r>
        <w:rPr>
          <w:rFonts w:ascii="Arial" w:cs="Arial" w:eastAsia="Arial" w:hAnsi="Arial"/>
          <w:sz w:val="18"/>
          <w:szCs w:val="18"/>
          <w:color w:val="000000"/>
        </w:rPr>
        <w:t>of our Notes to Consolidated Financial Statements for additional details.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2017 Closure Initiative </w:t>
      </w:r>
      <w:r>
        <w:rPr>
          <w:rFonts w:ascii="Arial" w:cs="Arial" w:eastAsia="Arial" w:hAnsi="Arial"/>
          <w:sz w:val="18"/>
          <w:szCs w:val="18"/>
          <w:color w:val="auto"/>
        </w:rPr>
        <w:t>- On February 15, 2017, we decided to close 43 underperforming restaurants. Most of these restaurants were closed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 to date, with the balance closing as leases and certain operating covenants expire or are amended or waived. See Note 3 - </w:t>
      </w:r>
      <w:r>
        <w:rPr>
          <w:rFonts w:ascii="Arial" w:cs="Arial" w:eastAsia="Arial" w:hAnsi="Arial"/>
          <w:sz w:val="18"/>
          <w:szCs w:val="18"/>
          <w:i w:val="1"/>
          <w:iCs w:val="1"/>
          <w:color w:val="auto"/>
        </w:rPr>
        <w:t>Impairments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Exit Costs </w:t>
      </w:r>
      <w:r>
        <w:rPr>
          <w:rFonts w:ascii="Arial" w:cs="Arial" w:eastAsia="Arial" w:hAnsi="Arial"/>
          <w:sz w:val="18"/>
          <w:szCs w:val="18"/>
          <w:color w:val="auto"/>
        </w:rPr>
        <w:t>of our Notes to Consolidated Financial Statements for additional details regarding the 2017 Closure Initiative.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Credit Agreement Amendment </w:t>
      </w:r>
      <w:r>
        <w:rPr>
          <w:rFonts w:ascii="Arial" w:cs="Arial" w:eastAsia="Arial" w:hAnsi="Arial"/>
          <w:sz w:val="20"/>
          <w:szCs w:val="20"/>
          <w:color w:val="auto"/>
        </w:rPr>
        <w:t>- On May 22, 2017, OSI entered into an Amendment to its existing Credit Agreement, dated October 26, 2012.</w:t>
      </w:r>
      <w:r>
        <w:rPr>
          <w:rFonts w:ascii="Arial" w:cs="Arial" w:eastAsia="Arial" w:hAnsi="Arial"/>
          <w:sz w:val="20"/>
          <w:szCs w:val="20"/>
          <w:i w:val="1"/>
          <w:iCs w:val="1"/>
          <w:color w:val="auto"/>
        </w:rPr>
        <w:t xml:space="preserve"> </w:t>
      </w:r>
      <w:r>
        <w:rPr>
          <w:rFonts w:ascii="Arial" w:cs="Arial" w:eastAsia="Arial" w:hAnsi="Arial"/>
          <w:sz w:val="20"/>
          <w:szCs w:val="20"/>
          <w:color w:val="auto"/>
        </w:rPr>
        <w:t>The Amendment provided an incremental Term loan A-2 in an aggregate principal amount of $125.0 million, a portion of which was used to repay outstanding borrowings under our revolving credit facility. See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Note 9 -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of our Notes to Consolidated Financial Statements for additional details regarding the Amendment to the Credit Agreement.</w:t>
      </w:r>
    </w:p>
    <w:p>
      <w:pPr>
        <w:spacing w:after="0" w:line="190"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Share Repurchase Programs - </w:t>
      </w:r>
      <w:r>
        <w:rPr>
          <w:rFonts w:ascii="Arial" w:cs="Arial" w:eastAsia="Arial" w:hAnsi="Arial"/>
          <w:sz w:val="19"/>
          <w:szCs w:val="19"/>
          <w:color w:val="auto"/>
        </w:rPr>
        <w:t>We repurchased 13.8 million shares of common stock year-to-date for a total of $272.7 million and had $55.0</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remaining available for repurchase under the 2017 Share Repurchase Program, through the date of this filing.</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right="2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per restaurant to measure changes in customer traffic, pricing and development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brand;</w:t>
      </w:r>
    </w:p>
    <w:p>
      <w:pPr>
        <w:spacing w:after="0" w:line="190" w:lineRule="exact"/>
        <w:rPr>
          <w:rFonts w:ascii="Arial" w:cs="Arial" w:eastAsia="Arial" w:hAnsi="Arial"/>
          <w:sz w:val="20"/>
          <w:szCs w:val="20"/>
          <w:color w:val="auto"/>
        </w:rPr>
      </w:pPr>
    </w:p>
    <w:p>
      <w:pPr>
        <w:ind w:left="660" w:hanging="328"/>
        <w:spacing w:after="0" w:line="287" w:lineRule="auto"/>
        <w:tabs>
          <w:tab w:leader="none" w:pos="660" w:val="left"/>
        </w:tabs>
        <w:numPr>
          <w:ilvl w:val="0"/>
          <w:numId w:val="20"/>
        </w:numPr>
        <w:rPr>
          <w:rFonts w:ascii="Arial" w:cs="Arial" w:eastAsia="Arial" w:hAnsi="Arial"/>
          <w:sz w:val="19"/>
          <w:szCs w:val="19"/>
          <w:i w:val="1"/>
          <w:iCs w:val="1"/>
          <w:color w:val="auto"/>
        </w:rPr>
      </w:pPr>
      <w:r>
        <w:rPr>
          <w:rFonts w:ascii="Arial" w:cs="Arial" w:eastAsia="Arial" w:hAnsi="Arial"/>
          <w:sz w:val="19"/>
          <w:szCs w:val="19"/>
          <w:i w:val="1"/>
          <w:iCs w:val="1"/>
          <w:color w:val="auto"/>
        </w:rPr>
        <w:t>Comparable restaurant sales</w:t>
      </w:r>
      <w:r>
        <w:rPr>
          <w:rFonts w:ascii="Arial" w:cs="Arial" w:eastAsia="Arial" w:hAnsi="Arial"/>
          <w:sz w:val="19"/>
          <w:szCs w:val="19"/>
          <w:color w:val="auto"/>
        </w:rPr>
        <w:t>—year-over-year comparison of sales for Company-owned restaurants that are open 18 months or more in</w:t>
      </w:r>
      <w:r>
        <w:rPr>
          <w:rFonts w:ascii="Arial" w:cs="Arial" w:eastAsia="Arial" w:hAnsi="Arial"/>
          <w:sz w:val="19"/>
          <w:szCs w:val="19"/>
          <w:i w:val="1"/>
          <w:iCs w:val="1"/>
          <w:color w:val="auto"/>
        </w:rPr>
        <w:t xml:space="preserve"> </w:t>
      </w:r>
      <w:r>
        <w:rPr>
          <w:rFonts w:ascii="Arial" w:cs="Arial" w:eastAsia="Arial" w:hAnsi="Arial"/>
          <w:sz w:val="19"/>
          <w:szCs w:val="19"/>
          <w:color w:val="auto"/>
        </w:rPr>
        <w:t>order to remove the impact of new restaurant openings in comparing the operations of existing restaurants;</w:t>
      </w:r>
    </w:p>
    <w:p>
      <w:pPr>
        <w:spacing w:after="0" w:line="166" w:lineRule="exact"/>
        <w:rPr>
          <w:rFonts w:ascii="Arial" w:cs="Arial" w:eastAsia="Arial" w:hAnsi="Arial"/>
          <w:sz w:val="19"/>
          <w:szCs w:val="19"/>
          <w:i w:val="1"/>
          <w:iCs w:val="1"/>
          <w:color w:val="auto"/>
        </w:rPr>
      </w:pPr>
    </w:p>
    <w:p>
      <w:pPr>
        <w:ind w:left="660" w:right="2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 utilized</w:t>
      </w:r>
      <w:r>
        <w:rPr>
          <w:rFonts w:ascii="Arial" w:cs="Arial" w:eastAsia="Arial" w:hAnsi="Arial"/>
          <w:sz w:val="20"/>
          <w:szCs w:val="20"/>
          <w:i w:val="1"/>
          <w:iCs w:val="1"/>
          <w:color w:val="auto"/>
        </w:rPr>
        <w:t xml:space="preserve"> </w:t>
      </w:r>
      <w:r>
        <w:rPr>
          <w:rFonts w:ascii="Arial" w:cs="Arial" w:eastAsia="Arial" w:hAnsi="Arial"/>
          <w:sz w:val="20"/>
          <w:szCs w:val="20"/>
          <w:color w:val="auto"/>
        </w:rPr>
        <w:t>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316" w:lineRule="auto"/>
        <w:rPr>
          <w:rFonts w:ascii="Arial" w:cs="Arial" w:eastAsia="Arial" w:hAnsi="Arial"/>
          <w:sz w:val="20"/>
          <w:szCs w:val="20"/>
          <w:i w:val="1"/>
          <w:iCs w:val="1"/>
          <w:color w:val="auto"/>
        </w:rPr>
      </w:pPr>
      <w:r>
        <w:rPr>
          <w:rFonts w:ascii="Arial" w:cs="Arial" w:eastAsia="Arial" w:hAnsi="Arial"/>
          <w:sz w:val="16"/>
          <w:szCs w:val="16"/>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153" w:lineRule="exact"/>
        <w:rPr>
          <w:rFonts w:ascii="Arial" w:cs="Arial" w:eastAsia="Arial" w:hAnsi="Arial"/>
          <w:sz w:val="20"/>
          <w:szCs w:val="20"/>
          <w:i w:val="1"/>
          <w:iCs w:val="1"/>
          <w:color w:val="auto"/>
        </w:rPr>
      </w:pPr>
    </w:p>
    <w:p>
      <w:pPr>
        <w:ind w:left="1300" w:hanging="644"/>
        <w:spacing w:after="0" w:line="247"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644"/>
        <w:spacing w:after="0" w:line="239"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300" w:right="20" w:hanging="644"/>
        <w:spacing w:after="0" w:line="239"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left="660" w:hanging="328"/>
        <w:spacing w:after="0" w:line="269" w:lineRule="auto"/>
        <w:tabs>
          <w:tab w:leader="none" w:pos="660" w:val="left"/>
        </w:tabs>
        <w:numPr>
          <w:ilvl w:val="0"/>
          <w:numId w:val="21"/>
        </w:numPr>
        <w:rPr>
          <w:rFonts w:ascii="Arial" w:cs="Arial" w:eastAsia="Arial" w:hAnsi="Arial"/>
          <w:sz w:val="19"/>
          <w:szCs w:val="19"/>
          <w:i w:val="1"/>
          <w:iCs w:val="1"/>
          <w:color w:val="auto"/>
        </w:rPr>
      </w:pPr>
      <w:r>
        <w:rPr>
          <w:rFonts w:ascii="Arial" w:cs="Arial" w:eastAsia="Arial" w:hAnsi="Arial"/>
          <w:sz w:val="19"/>
          <w:szCs w:val="19"/>
          <w:i w:val="1"/>
          <w:iCs w:val="1"/>
          <w:color w:val="auto"/>
        </w:rPr>
        <w:t>Adjusted restaurant-level operating margin, Adjusted income from operations, Adjusted net income and Adjusted diluted earnings per share</w:t>
      </w:r>
      <w:r>
        <w:rPr>
          <w:rFonts w:ascii="Arial" w:cs="Arial" w:eastAsia="Arial" w:hAnsi="Arial"/>
          <w:sz w:val="19"/>
          <w:szCs w:val="19"/>
          <w:color w:val="auto"/>
        </w:rPr>
        <w:t>—non-GAAP financial measures utilized to evaluate our operating performance, and for which definitions, usefulness and</w:t>
      </w:r>
      <w:r>
        <w:rPr>
          <w:rFonts w:ascii="Arial" w:cs="Arial" w:eastAsia="Arial" w:hAnsi="Arial"/>
          <w:sz w:val="19"/>
          <w:szCs w:val="19"/>
          <w:i w:val="1"/>
          <w:iCs w:val="1"/>
          <w:color w:val="auto"/>
        </w:rPr>
        <w:t xml:space="preserve"> </w:t>
      </w:r>
      <w:r>
        <w:rPr>
          <w:rFonts w:ascii="Arial" w:cs="Arial" w:eastAsia="Arial" w:hAnsi="Arial"/>
          <w:sz w:val="19"/>
          <w:szCs w:val="19"/>
          <w:color w:val="auto"/>
        </w:rPr>
        <w:t>reconciliations are described in more detail in the “Non-GAAP Financial Measures” section below; and</w:t>
      </w:r>
    </w:p>
    <w:p>
      <w:pPr>
        <w:spacing w:after="0" w:line="183" w:lineRule="exact"/>
        <w:rPr>
          <w:rFonts w:ascii="Arial" w:cs="Arial" w:eastAsia="Arial" w:hAnsi="Arial"/>
          <w:sz w:val="19"/>
          <w:szCs w:val="19"/>
          <w:i w:val="1"/>
          <w:iCs w:val="1"/>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at the end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Number of restaurants (at end of the period):</w:t>
            </w: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 (1)</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 (1)</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31"/>
        </w:trPr>
        <w:tc>
          <w:tcPr>
            <w:tcW w:w="8120" w:type="dxa"/>
            <w:vAlign w:val="bottom"/>
          </w:tcPr>
          <w:p>
            <w:pPr>
              <w:ind w:left="180"/>
              <w:spacing w:after="0"/>
              <w:rPr>
                <w:sz w:val="20"/>
                <w:szCs w:val="20"/>
                <w:color w:val="auto"/>
              </w:rPr>
            </w:pPr>
            <w:r>
              <w:rPr>
                <w:rFonts w:ascii="Arial" w:cs="Arial" w:eastAsia="Arial" w:hAnsi="Arial"/>
                <w:sz w:val="16"/>
                <w:szCs w:val="16"/>
                <w:color w:val="auto"/>
              </w:rPr>
              <w:t>Carrabba’s Italian Grill</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 (1)</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 (1)</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31"/>
        </w:trPr>
        <w:tc>
          <w:tcPr>
            <w:tcW w:w="81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1"/>
        </w:trPr>
        <w:tc>
          <w:tcPr>
            <w:tcW w:w="8120" w:type="dxa"/>
            <w:vAlign w:val="bottom"/>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4"/>
        </w:trPr>
        <w:tc>
          <w:tcPr>
            <w:tcW w:w="8120" w:type="dxa"/>
            <w:vAlign w:val="bottom"/>
          </w:tcPr>
          <w:p>
            <w:pPr>
              <w:ind w:left="180"/>
              <w:spacing w:after="0"/>
              <w:rPr>
                <w:sz w:val="20"/>
                <w:szCs w:val="20"/>
                <w:color w:val="auto"/>
              </w:rPr>
            </w:pPr>
            <w:r>
              <w:rPr>
                <w:rFonts w:ascii="Arial" w:cs="Arial" w:eastAsia="Arial" w:hAnsi="Arial"/>
                <w:sz w:val="16"/>
                <w:szCs w:val="16"/>
                <w:color w:val="auto"/>
              </w:rPr>
              <w:t>Express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Outback Steakhouse - Brazil (2)</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Franchised</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 - South Korea</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4"/>
        </w:trPr>
        <w:tc>
          <w:tcPr>
            <w:tcW w:w="8120" w:type="dxa"/>
            <w:vAlign w:val="bottom"/>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System-wide total</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1,491</w:t>
            </w:r>
          </w:p>
        </w:tc>
        <w:tc>
          <w:tcPr>
            <w:tcW w:w="120" w:type="dxa"/>
            <w:vAlign w:val="bottom"/>
            <w:tcBorders>
              <w:top w:val="single" w:sz="8" w:color="CCEEFF"/>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April 2017, we sold 53 Outback Steakhouse restaurants and one Carrabba’s Italian Grill restaurant which are now operated as franchises under agreements with the Buyers.</w:t>
      </w:r>
    </w:p>
    <w:p>
      <w:pPr>
        <w:ind w:left="660" w:hanging="652"/>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August 31, 2017 and 2016, respectively, to correspond with the balance sheet dates of this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percentages of certain items in our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in relation to Total revenues or Restaurant sales, as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25, 2016</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560" w:type="dxa"/>
            <w:vAlign w:val="bottom"/>
          </w:tcPr>
          <w:p>
            <w:pPr>
              <w:jc w:val="right"/>
              <w:spacing w:after="0"/>
              <w:rPr>
                <w:sz w:val="20"/>
                <w:szCs w:val="20"/>
                <w:color w:val="auto"/>
              </w:rPr>
            </w:pPr>
            <w:r>
              <w:rPr>
                <w:rFonts w:ascii="Arial" w:cs="Arial" w:eastAsia="Arial" w:hAnsi="Arial"/>
                <w:sz w:val="16"/>
                <w:szCs w:val="16"/>
                <w:color w:val="auto"/>
              </w:rPr>
              <w:t>98.8 %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99.3 %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99.4 %</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4"/>
        </w:trPr>
        <w:tc>
          <w:tcPr>
            <w:tcW w:w="488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Cost of sales (1)</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 (1)</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Other restaurant operating (1)</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6"/>
                <w:szCs w:val="16"/>
                <w:color w:val="auto"/>
              </w:rPr>
              <w:t>Loss on defeasance, extinguishment and modification of debt</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(loss) income attributable to noncontrolling interests</w:t>
            </w: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20"/>
                <w:szCs w:val="20"/>
                <w:color w:val="auto"/>
              </w:rPr>
              <w:t>________________</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3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one percent of Total revenues.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thirteen and thirty-nine weeks ended September 24,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THIRTEEN WEEKS</w:t>
            </w:r>
          </w:p>
        </w:tc>
        <w:tc>
          <w:tcPr>
            <w:tcW w:w="160" w:type="dxa"/>
            <w:vAlign w:val="bottom"/>
          </w:tcPr>
          <w:p>
            <w:pPr>
              <w:spacing w:after="0"/>
              <w:rPr>
                <w:sz w:val="14"/>
                <w:szCs w:val="14"/>
                <w:color w:val="auto"/>
              </w:rPr>
            </w:pPr>
          </w:p>
        </w:tc>
        <w:tc>
          <w:tcPr>
            <w:tcW w:w="1300" w:type="dxa"/>
            <w:vAlign w:val="bottom"/>
          </w:tcPr>
          <w:p>
            <w:pPr>
              <w:jc w:val="right"/>
              <w:ind w:right="181"/>
              <w:spacing w:after="0"/>
              <w:rPr>
                <w:sz w:val="20"/>
                <w:szCs w:val="20"/>
                <w:color w:val="auto"/>
              </w:rPr>
            </w:pPr>
            <w:r>
              <w:rPr>
                <w:rFonts w:ascii="Arial" w:cs="Arial" w:eastAsia="Arial" w:hAnsi="Arial"/>
                <w:sz w:val="14"/>
                <w:szCs w:val="14"/>
                <w:b w:val="1"/>
                <w:bCs w:val="1"/>
                <w:color w:val="auto"/>
              </w:rPr>
              <w:t>THIRTY-NINE</w:t>
            </w:r>
          </w:p>
        </w:tc>
      </w:tr>
      <w:tr>
        <w:trPr>
          <w:trHeight w:val="205"/>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7"/>
                <w:szCs w:val="17"/>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rPr>
              <w:t>WEEKS ENDED</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September 25, 2016</w:t>
            </w:r>
          </w:p>
        </w:tc>
        <w:tc>
          <w:tcPr>
            <w:tcW w:w="30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3,229.4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Restaurant openings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58.7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33.0</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For the period ended September 24, 2017</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937.9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3,093.3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decrease in Restaurant sales in the thirteen weeks ended September 24, 2017 was primarily attributable to: (i) refranchising internationally and domestically </w:t>
      </w:r>
      <w:r>
        <w:rPr>
          <w:rFonts w:ascii="Arial" w:cs="Arial" w:eastAsia="Arial" w:hAnsi="Arial"/>
          <w:sz w:val="20"/>
          <w:szCs w:val="20"/>
          <w:color w:val="252525"/>
        </w:rPr>
        <w:t>and</w:t>
      </w:r>
      <w:r>
        <w:rPr>
          <w:rFonts w:ascii="Arial" w:cs="Arial" w:eastAsia="Arial" w:hAnsi="Arial"/>
          <w:sz w:val="20"/>
          <w:szCs w:val="20"/>
          <w:color w:val="auto"/>
        </w:rPr>
        <w:t xml:space="preserve"> (ii) the closing of 46 restaurants since June 26, 2016, partially offset by the opening of 46 new restaurants not included in our comparable restaurant sales base.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decrease in Restaurant sales in the thirty-nine weeks ended September 24, 2017 was primarily attributable to: (i) refranchising internationally and domestically </w:t>
      </w:r>
      <w:r>
        <w:rPr>
          <w:rFonts w:ascii="Arial" w:cs="Arial" w:eastAsia="Arial" w:hAnsi="Arial"/>
          <w:sz w:val="20"/>
          <w:szCs w:val="20"/>
          <w:color w:val="252525"/>
        </w:rPr>
        <w:t>and</w:t>
      </w:r>
      <w:r>
        <w:rPr>
          <w:rFonts w:ascii="Arial" w:cs="Arial" w:eastAsia="Arial" w:hAnsi="Arial"/>
          <w:sz w:val="20"/>
          <w:szCs w:val="20"/>
          <w:color w:val="auto"/>
        </w:rPr>
        <w:t xml:space="preserve"> (ii) the closing of 55 restaurants since December 27, 2015. The decrease in restaurant sales was partially offset by: (i) the opening of 65 new restaurants not included in our comparable restaurant sales base and (ii) the effect of foreign currency translation, due to appreciation of the Brazil Real.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Borders>
              <w:bottom w:val="single" w:sz="8" w:color="auto"/>
            </w:tcBorders>
          </w:tcPr>
          <w:p>
            <w:pPr>
              <w:spacing w:after="0"/>
              <w:rPr>
                <w:sz w:val="17"/>
                <w:szCs w:val="17"/>
                <w:color w:val="auto"/>
              </w:rPr>
            </w:pPr>
          </w:p>
        </w:tc>
      </w:tr>
      <w:tr>
        <w:trPr>
          <w:trHeight w:val="264"/>
        </w:trPr>
        <w:tc>
          <w:tcPr>
            <w:tcW w:w="4700" w:type="dxa"/>
            <w:vAlign w:val="bottom"/>
          </w:tcPr>
          <w:p>
            <w:pPr>
              <w:spacing w:after="0"/>
              <w:rPr>
                <w:sz w:val="22"/>
                <w:szCs w:val="22"/>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restaurant unit volumes: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U.S.</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67,112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65,845</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51,226</w:t>
            </w:r>
          </w:p>
        </w:tc>
        <w:tc>
          <w:tcPr>
            <w:tcW w:w="120" w:type="dxa"/>
            <w:vAlign w:val="bottom"/>
          </w:tcPr>
          <w:p>
            <w:pPr>
              <w:spacing w:after="0"/>
              <w:rPr>
                <w:sz w:val="20"/>
                <w:szCs w:val="20"/>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51,374</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56,016</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55,974</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4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53,666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58,727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59,365</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68,761</w:t>
            </w:r>
          </w:p>
        </w:tc>
        <w:tc>
          <w:tcPr>
            <w:tcW w:w="120" w:type="dxa"/>
            <w:vAlign w:val="bottom"/>
          </w:tcPr>
          <w:p>
            <w:pPr>
              <w:spacing w:after="0"/>
              <w:rPr>
                <w:sz w:val="20"/>
                <w:szCs w:val="20"/>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68,510</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79,300</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79,561</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Outback Steakhouse - Brazil (1)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83,856</w:t>
            </w:r>
          </w:p>
        </w:tc>
        <w:tc>
          <w:tcPr>
            <w:tcW w:w="120" w:type="dxa"/>
            <w:vAlign w:val="bottom"/>
          </w:tcPr>
          <w:p>
            <w:pPr>
              <w:spacing w:after="0"/>
              <w:rPr>
                <w:sz w:val="20"/>
                <w:szCs w:val="20"/>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79,133</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85,214</w:t>
            </w:r>
          </w:p>
        </w:tc>
        <w:tc>
          <w:tcPr>
            <w:tcW w:w="10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72,022</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weeks: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U.S.</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7,592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23,785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25,347</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2,950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8,974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9,507</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8,014</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2,624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2,587</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Outback Steakhouse - Brazil</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3,026</w:t>
            </w:r>
          </w:p>
        </w:tc>
      </w:tr>
      <w:tr>
        <w:trPr>
          <w:trHeight w:val="226"/>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ind w:left="660" w:hanging="652"/>
        <w:spacing w:after="0" w:line="25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Translated at an average exchange rate of 3.22 and 3.30 for the thirteen weeks ended September 24, 2017 and September 25, 2016, respectively and 3.20 and 3.59 for the thirty-nine weeks ended September 24, 2017 and September 25, 2016,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comparable restaurant sales, traffic and average check per person increases (decreases):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32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82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over year percentage change:</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6"/>
                <w:szCs w:val="16"/>
                <w:color w:val="auto"/>
                <w:w w:val="98"/>
              </w:rPr>
              <w:t>Comparable restaurant sales (stores open 18 months or more) (1):</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8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Combined U.S. (2)</w:t>
            </w: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 - Brazil (3)</w:t>
            </w:r>
          </w:p>
        </w:tc>
        <w:tc>
          <w:tcPr>
            <w:tcW w:w="158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6"/>
                <w:szCs w:val="16"/>
                <w:color w:val="auto"/>
              </w:rPr>
              <w:t>Traffic:</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8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6"/>
                <w:szCs w:val="16"/>
                <w:color w:val="auto"/>
              </w:rPr>
              <w:t>Average check per person increases (decreases) (4):</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8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58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26"/>
        </w:trPr>
        <w:tc>
          <w:tcPr>
            <w:tcW w:w="4820" w:type="dxa"/>
            <w:vAlign w:val="bottom"/>
          </w:tcPr>
          <w:p>
            <w:pPr>
              <w:spacing w:after="0"/>
              <w:rPr>
                <w:sz w:val="20"/>
                <w:szCs w:val="20"/>
                <w:color w:val="auto"/>
              </w:rPr>
            </w:pPr>
            <w:r>
              <w:rPr>
                <w:rFonts w:ascii="Arial" w:cs="Arial" w:eastAsia="Arial" w:hAnsi="Arial"/>
                <w:sz w:val="16"/>
                <w:szCs w:val="16"/>
                <w:color w:val="auto"/>
              </w:rPr>
              <w:t>____________________</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ind w:left="660" w:hanging="652"/>
        <w:spacing w:after="0" w:line="24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right="20" w:hanging="652"/>
        <w:spacing w:after="0" w:line="24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Combined U.S. comparable restaurant sales for the thirteen weeks ended September 24, 2017 includes an estimated (1.0%) impact related to hurricanes that occurred during the quarter.</w:t>
      </w: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Increases (decreases) in average check per person includes the impact of menu pricing changes, product mix and discounts.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(1)</w:t>
            </w:r>
          </w:p>
        </w:tc>
        <w:tc>
          <w:tcPr>
            <w:tcW w:w="420" w:type="dxa"/>
            <w:vAlign w:val="bottom"/>
            <w:tcBorders>
              <w:top w:val="single" w:sz="8" w:color="auto"/>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00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440" w:type="dxa"/>
            <w:vAlign w:val="bottom"/>
            <w:tcBorders>
              <w:top w:val="single" w:sz="8" w:color="auto"/>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46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2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Cost of sales, consisting of food and beverage costs, decreased as a percentage of Restaurant sales in the thirteen weeks ended September 24, 2017 as compared to the thirteen weeks ended September 25, 2016. The decrease as a percentage of Restaurant sales was primarily due to 0.7% from the impact of certain cost saving initiatives and 0.5% in lower beef costs, partially offset by an increase primarily attributable to 0.6% for other commodity costs.</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Cost of sales decreased as a percentage of Restaurant sales in the thirty-nine weeks ended September 24, 2017 as compared to the thirty-nine weeks ended September 25, 2016. The decrease as a percentage of Restaurant sales was primarily due to: (i) 0.5% from increases in average check per person, (ii) 0.4% lower beef costs and (iii) 0.3% from the impact of certain cost saving initiatives. These decreases were partially offset by increases as a percentage of Restaurant sales primarily attributable to: (i) 0.5% for other commodity costs and (ii) 0.2% for product investments at Outback Steakhouse.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fiscal year 2018, we expect low single digit commodity cost inflation.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440" w:type="dxa"/>
            <w:vAlign w:val="bottom"/>
            <w:tcBorders>
              <w:top w:val="single" w:sz="8" w:color="auto"/>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922.0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24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Labor and other related expenses increased as a percentage of Restaurant sales in the thirteen weeks ended September 24, 2017 as compared to the thirteen weeks ended September 25, 2016. The increase as a percentage of Restaurant sales was primarily due to 1.4% of higher kitchen and service labor costs due to wage rate increases and 0.2% of costs related to hurricanes that occurred during the quarter. The increase was offset by a decrease as a percentage of Restaurant sales primarily due to 0.2% from increases in average check per person.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Labor and other related expenses increased as a percentage of Restaurant sales in the thirty-nine weeks ended September 24, 2017 as compared to the thirty-nine weeks ended September 25, 2016. The increase as a percentage of Restaurant sales was primarily due to 1.5% of higher kitchen and service labor costs due to wage rate increases and investments in our service model. The increase was partially offset by decreases as a percentage of Restaurant sales primarily due to: (i) 0.5% from increases in average check per person and (ii) 0.2% impact from the sale of Outback Steakhouse South Korea in 2016.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fiscal year 2018, we anticipate approximately 4.0% of labor cost inflation.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440" w:type="dxa"/>
            <w:vAlign w:val="bottom"/>
            <w:tcBorders>
              <w:top w:val="single" w:sz="8" w:color="auto"/>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747.2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Other restaurant operating expenses increased as a percentage of Restaurant sales in the thirteen weeks ended September 24, 2017 as compared to the thirteen weeks ended September 25, 2016. The increase as a percentage of Restaurant sales was primarily due to: (i) 0.9% from operating expense inflation and (ii) 0.6% from higher rent expense due to the sale-leaseback of certain properties. These increases were partially offset by decreases as a percentage of Restaurant sales primarily due to: (i) 0.7% from higher advertising expense in 2016, (ii) 0.3% from the impact of certain cost saving initiatives and (iii) 0.2% from increases in average check per person.</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Other restaurant operating expenses increased as a percentage of Restaurant sales in the thirty-nine weeks ended September 24, 2017 as compared to the thirty-nine weeks ended September 25, 2016. The increase as a percentage of Restaurant sales was primarily due to: (i) 0.5% from higher rent expense due to the sale-leaseback of certain properties and (ii) 0.4% from operating expense inflation. These increases were partially offset by decreases as a percentage of Restaurant sales primarily due to: (i) 0.6% from higher advertising expense in 2016 and (ii) 0.2% from the impact of certain cost saving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47.8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142.5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2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Depreciation and amortization expense decreased in the thirteen and thirty-nine weeks ended September 24, 2017 as compared to the thirteen and thirty-nine weeks ended September 25, 2016. The decrease was primarily due to: (i) disposal of assets related to the sale-leaseback of certain properties, (ii) refranchising internationally and domestically and (iii) assets impaired in connection with the 2017 Closure Initiative, partially offset by additional depreciation expense related to the opening of new restaurants and the relocation or remodel of existing restaurants.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thirteen and thirty-nine weeks ended September 24, 2017: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THIRTY-NINE WEEKS</w:t>
            </w:r>
          </w:p>
        </w:tc>
      </w:t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7"/>
                <w:szCs w:val="17"/>
                <w:color w:val="auto"/>
              </w:rPr>
            </w:pPr>
          </w:p>
        </w:tc>
        <w:tc>
          <w:tcPr>
            <w:tcW w:w="1260" w:type="dxa"/>
            <w:vAlign w:val="bottom"/>
          </w:tcPr>
          <w:p>
            <w:pPr>
              <w:jc w:val="right"/>
              <w:ind w:right="460"/>
              <w:spacing w:after="0"/>
              <w:rPr>
                <w:sz w:val="20"/>
                <w:szCs w:val="20"/>
                <w:color w:val="auto"/>
              </w:rPr>
            </w:pPr>
            <w:r>
              <w:rPr>
                <w:rFonts w:ascii="Arial" w:cs="Arial" w:eastAsia="Arial" w:hAnsi="Arial"/>
                <w:sz w:val="14"/>
                <w:szCs w:val="14"/>
                <w:b w:val="1"/>
                <w:bCs w:val="1"/>
                <w:color w:val="auto"/>
              </w:rPr>
              <w:t>ENDED</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September 25,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Life insurance and 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Computer expense</w:t>
            </w:r>
          </w:p>
        </w:tc>
        <w:tc>
          <w:tcPr>
            <w:tcW w:w="120" w:type="dxa"/>
            <w:vAlign w:val="bottom"/>
          </w:tcPr>
          <w:p>
            <w:pPr>
              <w:spacing w:after="0"/>
              <w:rPr>
                <w:sz w:val="20"/>
                <w:szCs w:val="20"/>
                <w:color w:val="auto"/>
              </w:rPr>
            </w:pP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Legal and professional fees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Incentive compensation</w:t>
            </w:r>
          </w:p>
        </w:tc>
        <w:tc>
          <w:tcPr>
            <w:tcW w:w="12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Compensation, benefits and payroll tax</w:t>
            </w: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For the period ended September 24,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215.1</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0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w:t>
            </w:r>
          </w:p>
        </w:tc>
        <w:tc>
          <w:tcPr>
            <w:tcW w:w="4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6"/>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restaurant closings</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2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Sale of Outback Steakhouse South Korea </w:t>
      </w:r>
      <w:r>
        <w:rPr>
          <w:rFonts w:ascii="Arial" w:cs="Arial" w:eastAsia="Arial" w:hAnsi="Arial"/>
          <w:sz w:val="20"/>
          <w:szCs w:val="20"/>
          <w:color w:val="auto"/>
        </w:rPr>
        <w:t>- On July 25, 2016, we completed the sale of Outback Steakhouse South Korea.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the decision to sell Outback Steakhouse South Korea, we recognized an impairment charge of $39.6 million during thirty-nine weeks ended September 25, 2016.</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Following is a summary of expenses related to the Closure Initiatives recognized in Provision for impaired assets and</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 closings in our Consolidated Statements of Operations and Comprehensive Income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Arial" w:cs="Arial" w:eastAsia="Arial" w:hAnsi="Arial"/>
                <w:sz w:val="16"/>
                <w:szCs w:val="16"/>
                <w:color w:val="auto"/>
              </w:rPr>
              <w:t>2017 Closure Initiative (1)</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Bonefish Restructuring (1)</w:t>
            </w: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20"/>
                <w:szCs w:val="20"/>
                <w:color w:val="auto"/>
              </w:rPr>
              <w:t>________________</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ind w:left="660" w:hanging="652"/>
        <w:spacing w:after="0" w:line="25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expect to incur additional charges of approximately $3.2 million to $4.1 million for the 2017 Closure Initiative and $2.2 million to $5.1 million for the Bonefish Restructuring, respectively, over the next two years, including costs associated with lease obligations.</w:t>
      </w:r>
    </w:p>
    <w:p>
      <w:pPr>
        <w:spacing w:after="0" w:line="193"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i w:val="1"/>
          <w:iCs w:val="1"/>
          <w:color w:val="auto"/>
        </w:rPr>
        <w:t xml:space="preserve">Surplus Properties </w:t>
      </w:r>
      <w:r>
        <w:rPr>
          <w:rFonts w:ascii="Arial" w:cs="Arial" w:eastAsia="Arial" w:hAnsi="Arial"/>
          <w:sz w:val="16"/>
          <w:szCs w:val="16"/>
          <w:color w:val="auto"/>
        </w:rPr>
        <w:t>- During the thirteen and thirty-nine weeks ended September 24, 2017,</w:t>
      </w:r>
      <w:r>
        <w:rPr>
          <w:rFonts w:ascii="Arial" w:cs="Arial" w:eastAsia="Arial" w:hAnsi="Arial"/>
          <w:sz w:val="16"/>
          <w:szCs w:val="16"/>
          <w:i w:val="1"/>
          <w:iCs w:val="1"/>
          <w:color w:val="auto"/>
        </w:rPr>
        <w:t xml:space="preserve"> </w:t>
      </w:r>
      <w:r>
        <w:rPr>
          <w:rFonts w:ascii="Arial" w:cs="Arial" w:eastAsia="Arial" w:hAnsi="Arial"/>
          <w:sz w:val="16"/>
          <w:szCs w:val="16"/>
          <w:color w:val="252525"/>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impairment charges of $9.5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remeasurement of certain held and used surplus properties currently leased to the owners of our former restaurant concepts.</w:t>
      </w:r>
    </w:p>
    <w:p>
      <w:pPr>
        <w:spacing w:after="0" w:line="9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Other Impairments </w:t>
      </w:r>
      <w:r>
        <w:rPr>
          <w:rFonts w:ascii="Arial" w:cs="Arial" w:eastAsia="Arial" w:hAnsi="Arial"/>
          <w:sz w:val="20"/>
          <w:szCs w:val="20"/>
          <w:color w:val="auto"/>
        </w:rPr>
        <w:t>- During the thirteen and thirty-nine weeks ended September 25, 2016, we recognized impairment charges of $3.2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for our Puerto Rico subsidiary.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the carrying value of a restaurant’s assets exceeding its estimated fair market value, primarily due to locations identified for relocation.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Impairments and Exit Costs</w:t>
      </w:r>
      <w:r>
        <w:rPr>
          <w:rFonts w:ascii="Arial" w:cs="Arial" w:eastAsia="Arial" w:hAnsi="Arial"/>
          <w:sz w:val="20"/>
          <w:szCs w:val="20"/>
          <w:color w:val="auto"/>
        </w:rPr>
        <w:t xml:space="preserve"> of the Notes to Consolidated Financial Statements for further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64"/>
        </w:trPr>
        <w:tc>
          <w:tcPr>
            <w:tcW w:w="24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7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20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80" w:type="dxa"/>
            <w:vAlign w:val="bottom"/>
          </w:tcPr>
          <w:p>
            <w:pPr>
              <w:spacing w:after="0"/>
              <w:rPr>
                <w:sz w:val="22"/>
                <w:szCs w:val="22"/>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r>
      <w:tr>
        <w:trPr>
          <w:trHeight w:val="237"/>
        </w:trPr>
        <w:tc>
          <w:tcPr>
            <w:tcW w:w="2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20" w:type="dxa"/>
            <w:vAlign w:val="bottom"/>
            <w:tcBorders>
              <w:top w:val="single" w:sz="8" w:color="auto"/>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131.8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(17.3)</w:t>
            </w:r>
          </w:p>
        </w:tc>
      </w:tr>
      <w:tr>
        <w:trPr>
          <w:trHeight w:val="237"/>
        </w:trPr>
        <w:tc>
          <w:tcPr>
            <w:tcW w:w="2480" w:type="dxa"/>
            <w:vAlign w:val="bottom"/>
          </w:tcPr>
          <w:p>
            <w:pPr>
              <w:ind w:left="180"/>
              <w:spacing w:after="0"/>
              <w:rPr>
                <w:sz w:val="20"/>
                <w:szCs w:val="20"/>
                <w:color w:val="auto"/>
              </w:rPr>
            </w:pPr>
            <w:r>
              <w:rPr>
                <w:rFonts w:ascii="Arial" w:cs="Arial" w:eastAsia="Arial" w:hAnsi="Arial"/>
                <w:sz w:val="16"/>
                <w:szCs w:val="16"/>
                <w:color w:val="auto"/>
              </w:rPr>
              <w:t>% of Total revenues</w:t>
            </w:r>
          </w:p>
        </w:tc>
        <w:tc>
          <w:tcPr>
            <w:tcW w:w="420" w:type="dxa"/>
            <w:vAlign w:val="bottom"/>
          </w:tcPr>
          <w:p>
            <w:pPr>
              <w:spacing w:after="0"/>
              <w:rPr>
                <w:sz w:val="20"/>
                <w:szCs w:val="20"/>
                <w:color w:val="auto"/>
              </w:rPr>
            </w:pPr>
          </w:p>
        </w:tc>
        <w:tc>
          <w:tcPr>
            <w:tcW w:w="1180" w:type="dxa"/>
            <w:vAlign w:val="bottom"/>
          </w:tcPr>
          <w:p>
            <w:pPr>
              <w:ind w:left="820"/>
              <w:spacing w:after="0"/>
              <w:rPr>
                <w:sz w:val="20"/>
                <w:szCs w:val="20"/>
                <w:color w:val="auto"/>
              </w:rPr>
            </w:pPr>
            <w:r>
              <w:rPr>
                <w:rFonts w:ascii="Arial" w:cs="Arial" w:eastAsia="Arial" w:hAnsi="Arial"/>
                <w:sz w:val="16"/>
                <w:szCs w:val="16"/>
                <w:color w:val="auto"/>
                <w:w w:val="93"/>
              </w:rPr>
              <w:t>0.3%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decrease in income from operations generated in the thirteen weeks ended September 24, 2017 as compared to the thirteen weeks ended September 25, 2016 was primarily due to: (i) a decrease in restaurant-level operating margin and (ii) certain impairment charges and restaurant closing costs. These decreases were partially offset by increases primarily in franchise and other revenues.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income from operations generated in the thirty-nine weeks ended September 24, 2017 as compared to the thirty-nine weeks ended September 25, 2016 was primarily due to: (i) a decrease in restaurant-level operating margin, (ii) certain impairment charges and restaurant closing costs and (iii) higher general and administrative expense. These decreases were partially offset by increases primarily due to: (i) increases in franchise and other revenues and (ii) impairment related to the sale of Outback Steakhouse South Korea in 2016.</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defeasance, extinguishment and modification of debt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PRP Mortgage Loan Amendment in July 2016 and the defeasance of our 2012 CMBS loan in February 2016, we recognized a loss on defeasance, extinguishment and modification of debt of $0.4 million and $27.0 million for the thirteen and thirty-nine weeks ended September 25, 2016,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 net</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25, 2016</w:t>
            </w: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12.7</w:t>
            </w:r>
          </w:p>
        </w:tc>
      </w:tr>
      <w:tr>
        <w:trPr>
          <w:trHeight w:val="33"/>
        </w:trPr>
        <w:tc>
          <w:tcPr>
            <w:tcW w:w="2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Other income, net, includes items deemed to be non-operating based on management’s assessment of the nature of the item in relation to our core operations. Other income, net, for the thirteen weeks ended September 24, 2017 includes a net gain of $8.4 million from the sale </w:t>
      </w:r>
      <w:r>
        <w:rPr>
          <w:rFonts w:ascii="Arial" w:cs="Arial" w:eastAsia="Arial" w:hAnsi="Arial"/>
          <w:sz w:val="19"/>
          <w:szCs w:val="19"/>
          <w:color w:val="252525"/>
        </w:rPr>
        <w:t>of one</w:t>
      </w:r>
      <w:r>
        <w:rPr>
          <w:rFonts w:ascii="Arial" w:cs="Arial" w:eastAsia="Arial" w:hAnsi="Arial"/>
          <w:sz w:val="19"/>
          <w:szCs w:val="19"/>
          <w:color w:val="auto"/>
        </w:rPr>
        <w:t xml:space="preserve"> </w:t>
      </w:r>
      <w:r>
        <w:rPr>
          <w:rFonts w:ascii="Arial" w:cs="Arial" w:eastAsia="Arial" w:hAnsi="Arial"/>
          <w:sz w:val="19"/>
          <w:szCs w:val="19"/>
          <w:color w:val="252525"/>
        </w:rPr>
        <w:t xml:space="preserve">U.S. Company-owned Carrabba’s Italian Grill location, and for the </w:t>
      </w:r>
      <w:r>
        <w:rPr>
          <w:rFonts w:ascii="Arial" w:cs="Arial" w:eastAsia="Arial" w:hAnsi="Arial"/>
          <w:sz w:val="19"/>
          <w:szCs w:val="19"/>
          <w:color w:val="000000"/>
        </w:rPr>
        <w:t>thirty-nine weeks ended September 24, 2017 an aggregate net gain</w:t>
      </w:r>
      <w:r>
        <w:rPr>
          <w:rFonts w:ascii="Arial" w:cs="Arial" w:eastAsia="Arial" w:hAnsi="Arial"/>
          <w:sz w:val="19"/>
          <w:szCs w:val="19"/>
          <w:color w:val="252525"/>
        </w:rPr>
        <w:t xml:space="preserve"> of $7.4 million </w:t>
      </w:r>
      <w:r>
        <w:rPr>
          <w:rFonts w:ascii="Arial" w:cs="Arial" w:eastAsia="Arial" w:hAnsi="Arial"/>
          <w:sz w:val="19"/>
          <w:szCs w:val="19"/>
          <w:color w:val="000000"/>
        </w:rPr>
        <w:t>in connection with</w:t>
      </w:r>
      <w:r>
        <w:rPr>
          <w:rFonts w:ascii="Arial" w:cs="Arial" w:eastAsia="Arial" w:hAnsi="Arial"/>
          <w:sz w:val="19"/>
          <w:szCs w:val="19"/>
          <w:color w:val="252525"/>
        </w:rPr>
        <w:t xml:space="preserve"> the sale of </w:t>
      </w:r>
      <w:r>
        <w:rPr>
          <w:rFonts w:ascii="Arial" w:cs="Arial" w:eastAsia="Arial" w:hAnsi="Arial"/>
          <w:sz w:val="19"/>
          <w:szCs w:val="19"/>
          <w:color w:val="000000"/>
        </w:rPr>
        <w:t>54</w:t>
      </w:r>
      <w:r>
        <w:rPr>
          <w:rFonts w:ascii="Arial" w:cs="Arial" w:eastAsia="Arial" w:hAnsi="Arial"/>
          <w:sz w:val="19"/>
          <w:szCs w:val="19"/>
          <w:color w:val="252525"/>
        </w:rPr>
        <w:t xml:space="preserve"> of our U.S. Company-owned locations to two of our existing franchisees during the second quarter of 2017. </w:t>
      </w:r>
      <w:r>
        <w:rPr>
          <w:rFonts w:ascii="Arial" w:cs="Arial" w:eastAsia="Arial" w:hAnsi="Arial"/>
          <w:sz w:val="19"/>
          <w:szCs w:val="19"/>
          <w:color w:val="000000"/>
        </w:rPr>
        <w:t>We recorded a gain of $2.1 million from the sale of Outback Steakhouse South Korea within Other income, net,</w:t>
      </w:r>
      <w:r>
        <w:rPr>
          <w:rFonts w:ascii="Arial" w:cs="Arial" w:eastAsia="Arial" w:hAnsi="Arial"/>
          <w:sz w:val="19"/>
          <w:szCs w:val="19"/>
          <w:color w:val="252525"/>
        </w:rPr>
        <w:t xml:space="preserve"> during the </w:t>
      </w:r>
      <w:r>
        <w:rPr>
          <w:rFonts w:ascii="Arial" w:cs="Arial" w:eastAsia="Arial" w:hAnsi="Arial"/>
          <w:sz w:val="19"/>
          <w:szCs w:val="19"/>
          <w:color w:val="000000"/>
        </w:rPr>
        <w:t>thirteen and</w:t>
      </w:r>
      <w:r>
        <w:rPr>
          <w:rFonts w:ascii="Arial" w:cs="Arial" w:eastAsia="Arial" w:hAnsi="Arial"/>
          <w:sz w:val="19"/>
          <w:szCs w:val="19"/>
          <w:color w:val="252525"/>
        </w:rPr>
        <w:t xml:space="preserve"> </w:t>
      </w:r>
      <w:r>
        <w:rPr>
          <w:rFonts w:ascii="Arial" w:cs="Arial" w:eastAsia="Arial" w:hAnsi="Arial"/>
          <w:sz w:val="19"/>
          <w:szCs w:val="19"/>
          <w:color w:val="000000"/>
        </w:rPr>
        <w:t>thirty-nine weeks ended September 25, 2016.</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THIRTY-NINE WEEKS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8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2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change in Interest expense, net was primarily due to decreases related to the February 2016 refinancing and subsequent repayment of the PRP Mortgage loan in April 2017 and increases related to additional draws on our revolving credit facility and our May 2017 incremental Term loan A-2.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2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25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SEPTEMBER 25, 2016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SEPTEMBER 25, 2016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37"/>
        </w:trPr>
        <w:tc>
          <w:tcPr>
            <w:tcW w:w="20" w:type="dxa"/>
            <w:vAlign w:val="bottom"/>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7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(NM)</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(NM)</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179"/>
        </w:trPr>
        <w:tc>
          <w:tcPr>
            <w:tcW w:w="20" w:type="dxa"/>
            <w:vAlign w:val="bottom"/>
          </w:tcPr>
          <w:p>
            <w:pPr>
              <w:spacing w:after="0"/>
              <w:rPr>
                <w:sz w:val="15"/>
                <w:szCs w:val="15"/>
                <w:color w:val="auto"/>
              </w:rPr>
            </w:pPr>
          </w:p>
        </w:tc>
        <w:tc>
          <w:tcPr>
            <w:tcW w:w="2520" w:type="dxa"/>
            <w:vAlign w:val="bottom"/>
          </w:tcPr>
          <w:p>
            <w:pPr>
              <w:spacing w:after="0" w:line="179" w:lineRule="exact"/>
              <w:rPr>
                <w:sz w:val="20"/>
                <w:szCs w:val="20"/>
                <w:color w:val="auto"/>
              </w:rPr>
            </w:pPr>
            <w:r>
              <w:rPr>
                <w:rFonts w:ascii="Arial" w:cs="Arial" w:eastAsia="Arial" w:hAnsi="Arial"/>
                <w:sz w:val="16"/>
                <w:szCs w:val="16"/>
                <w:color w:val="auto"/>
              </w:rPr>
              <w:t>____________________</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6"/>
        </w:trPr>
        <w:tc>
          <w:tcPr>
            <w:tcW w:w="2540" w:type="dxa"/>
            <w:vAlign w:val="bottom"/>
            <w:gridSpan w:val="2"/>
          </w:tcPr>
          <w:p>
            <w:pPr>
              <w:spacing w:after="0"/>
              <w:rPr>
                <w:sz w:val="20"/>
                <w:szCs w:val="20"/>
                <w:color w:val="auto"/>
              </w:rPr>
            </w:pPr>
            <w:r>
              <w:rPr>
                <w:rFonts w:ascii="Arial" w:cs="Arial" w:eastAsia="Arial" w:hAnsi="Arial"/>
                <w:sz w:val="16"/>
                <w:szCs w:val="16"/>
                <w:color w:val="auto"/>
              </w:rPr>
              <w:t>NM  Not meaningful.</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decrease in the effective tax rate for the thirteen weeks ended September 24, 2017 was primarily due to the benefit of employment-related credits relative to lower forecasted pre-tax income for the 2017 tax year. The benefit for income taxes recorded for the thirteen weeks ended September 24, 2017 includes the impact of changes to the estimate of the forecasted full-year effective tax rate relative to prior quarters in 2017.</w:t>
      </w:r>
    </w:p>
    <w:p>
      <w:pPr>
        <w:spacing w:after="0" w:line="205"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The effective income tax rate for the thirty-nine weeks ended September 24, 2017 decreased 18.9% as compared to the thirty-nine weeks ended September 25, 2016. Approximately 13.5% of this net decrease was due to impairment and additional tax liabilities recorded in connection with the sale of Outback Steakhouse South Korea in 2016. The remaining decrease was primarily due to the impact of certain favorable discrete tax items recorded in 2017 and lower forecasted pre-tax book income for the 2017 tax year.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We have two reportable segments, U.S. and International, which reflects how we manage our business, review operating performance and allocate resources. The U.S. segment includes all brands operating in the U.S. while brands operating outside the U.S. are included in the International segment. Resources are allocated and performance is assessed by our CEO, whom we have determined to be our CODM. Following is a summary of reporting segments: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264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include no intersegment revenues. Excluded from net income from operations for U.S. and International are legal and certain corporate costs not directly related to the performance of the segments, certain stock-based compensation expenses and certain bonus expenses.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122" w:right="2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reconciliation of segment income (loss) from operations to the consolidated operating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8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24,</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25,</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28,139</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61,905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204,153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268,754</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8,442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26,923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(14,947)</w:t>
            </w:r>
          </w:p>
        </w:tc>
      </w:tr>
      <w:tr>
        <w:trPr>
          <w:trHeight w:val="224"/>
        </w:trPr>
        <w:tc>
          <w:tcPr>
            <w:tcW w:w="516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36,581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231,076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253,807</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(122,056)</w:t>
            </w:r>
          </w:p>
        </w:tc>
      </w:tr>
      <w:tr>
        <w:trPr>
          <w:trHeight w:val="224"/>
        </w:trPr>
        <w:tc>
          <w:tcPr>
            <w:tcW w:w="516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114,466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131,751</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defeasance,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14,761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2,059</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(33,394)</w:t>
            </w:r>
          </w:p>
        </w:tc>
      </w:tr>
      <w:tr>
        <w:trPr>
          <w:trHeight w:val="250"/>
        </w:trPr>
        <w:tc>
          <w:tcPr>
            <w:tcW w:w="5160" w:type="dxa"/>
            <w:vAlign w:val="bottom"/>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23,178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99,578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73,418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 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 xml:space="preserve">Overview-Key Performance Indicators </w:t>
      </w:r>
      <w:r>
        <w:rPr>
          <w:rFonts w:ascii="Arial" w:cs="Arial" w:eastAsia="Arial" w:hAnsi="Arial"/>
          <w:sz w:val="20"/>
          <w:szCs w:val="20"/>
          <w:color w:val="auto"/>
        </w:rPr>
        <w:t>section of Management’s Discussion and Analysis for additional details regarding the calculation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restaurant-level operating margin.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25, 2016</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823,916</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889,350</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2,758,165</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2,882,091</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8,157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23,895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14,575</w:t>
            </w:r>
          </w:p>
        </w:tc>
      </w:tr>
      <w:tr>
        <w:trPr>
          <w:trHeight w:val="224"/>
        </w:trPr>
        <w:tc>
          <w:tcPr>
            <w:tcW w:w="50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832,073</w:t>
            </w:r>
          </w:p>
        </w:tc>
        <w:tc>
          <w:tcPr>
            <w:tcW w:w="10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893,906</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2,782,060</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2,896,666</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28,139</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61,905</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204,153</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268,754</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change in U.S. segment Restaurant sales for the thirteen and thirty-nine weeks ended September 24,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THIRTY-NINE WEEKS</w:t>
            </w:r>
          </w:p>
        </w:tc>
      </w:t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7"/>
                <w:szCs w:val="17"/>
                <w:color w:val="auto"/>
              </w:rPr>
            </w:pPr>
          </w:p>
        </w:tc>
        <w:tc>
          <w:tcPr>
            <w:tcW w:w="1260" w:type="dxa"/>
            <w:vAlign w:val="bottom"/>
          </w:tcPr>
          <w:p>
            <w:pPr>
              <w:jc w:val="right"/>
              <w:ind w:right="460"/>
              <w:spacing w:after="0"/>
              <w:rPr>
                <w:sz w:val="20"/>
                <w:szCs w:val="20"/>
                <w:color w:val="auto"/>
              </w:rPr>
            </w:pPr>
            <w:r>
              <w:rPr>
                <w:rFonts w:ascii="Arial" w:cs="Arial" w:eastAsia="Arial" w:hAnsi="Arial"/>
                <w:sz w:val="14"/>
                <w:szCs w:val="14"/>
                <w:b w:val="1"/>
                <w:bCs w:val="1"/>
                <w:color w:val="auto"/>
              </w:rPr>
              <w:t>ENDED</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September 25,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2,882.1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12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7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w:t>
            </w: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w:t>
            </w: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September 24,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2,758.2</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The decrease in U.S. Restaurant sales in the thirteen weeks ended September 24, 2017 was primarily attributable to: (i) </w:t>
      </w:r>
      <w:r>
        <w:rPr>
          <w:rFonts w:ascii="Arial" w:cs="Arial" w:eastAsia="Arial" w:hAnsi="Arial"/>
          <w:sz w:val="18"/>
          <w:szCs w:val="18"/>
          <w:color w:val="252525"/>
        </w:rPr>
        <w:t>the refranchising of</w:t>
      </w:r>
      <w:r>
        <w:rPr>
          <w:rFonts w:ascii="Arial" w:cs="Arial" w:eastAsia="Arial" w:hAnsi="Arial"/>
          <w:sz w:val="18"/>
          <w:szCs w:val="18"/>
          <w:color w:val="auto"/>
        </w:rPr>
        <w:t xml:space="preserve"> </w:t>
      </w:r>
      <w:r>
        <w:rPr>
          <w:rFonts w:ascii="Arial" w:cs="Arial" w:eastAsia="Arial" w:hAnsi="Arial"/>
          <w:sz w:val="18"/>
          <w:szCs w:val="18"/>
          <w:color w:val="252525"/>
        </w:rPr>
        <w:t xml:space="preserve">certain U.S. Company-owned </w:t>
      </w:r>
      <w:r>
        <w:rPr>
          <w:rFonts w:ascii="Arial" w:cs="Arial" w:eastAsia="Arial" w:hAnsi="Arial"/>
          <w:sz w:val="18"/>
          <w:szCs w:val="18"/>
          <w:color w:val="000000"/>
        </w:rPr>
        <w:t>restaurants</w:t>
      </w:r>
      <w:r>
        <w:rPr>
          <w:rFonts w:ascii="Arial" w:cs="Arial" w:eastAsia="Arial" w:hAnsi="Arial"/>
          <w:sz w:val="18"/>
          <w:szCs w:val="18"/>
          <w:color w:val="252525"/>
        </w:rPr>
        <w:t xml:space="preserve"> in </w:t>
      </w:r>
      <w:r>
        <w:rPr>
          <w:rFonts w:ascii="Arial" w:cs="Arial" w:eastAsia="Arial" w:hAnsi="Arial"/>
          <w:sz w:val="18"/>
          <w:szCs w:val="18"/>
          <w:color w:val="000000"/>
        </w:rPr>
        <w:t>April 2017, (ii) the closing of 44 restaurants since June 26, 2016 and (iii) lower comparable</w:t>
      </w:r>
      <w:r>
        <w:rPr>
          <w:rFonts w:ascii="Arial" w:cs="Arial" w:eastAsia="Arial" w:hAnsi="Arial"/>
          <w:sz w:val="18"/>
          <w:szCs w:val="18"/>
          <w:color w:val="252525"/>
        </w:rPr>
        <w:t xml:space="preserve"> </w:t>
      </w:r>
      <w:r>
        <w:rPr>
          <w:rFonts w:ascii="Arial" w:cs="Arial" w:eastAsia="Arial" w:hAnsi="Arial"/>
          <w:sz w:val="18"/>
          <w:szCs w:val="18"/>
          <w:color w:val="000000"/>
        </w:rPr>
        <w:t>restaurant sales, partially offset by the opening of 12 new restaurants not included in our comparable restaurant sales base.</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The decrease in U.S. Restaurant sales in the thirty-nine weeks ended September 24, 2017 was primarily attributable to: (i) </w:t>
      </w:r>
      <w:r>
        <w:rPr>
          <w:rFonts w:ascii="Arial" w:cs="Arial" w:eastAsia="Arial" w:hAnsi="Arial"/>
          <w:sz w:val="18"/>
          <w:szCs w:val="18"/>
          <w:color w:val="252525"/>
        </w:rPr>
        <w:t>the refranchising of</w:t>
      </w:r>
      <w:r>
        <w:rPr>
          <w:rFonts w:ascii="Arial" w:cs="Arial" w:eastAsia="Arial" w:hAnsi="Arial"/>
          <w:sz w:val="18"/>
          <w:szCs w:val="18"/>
          <w:color w:val="auto"/>
        </w:rPr>
        <w:t xml:space="preserve"> </w:t>
      </w:r>
      <w:r>
        <w:rPr>
          <w:rFonts w:ascii="Arial" w:cs="Arial" w:eastAsia="Arial" w:hAnsi="Arial"/>
          <w:sz w:val="18"/>
          <w:szCs w:val="18"/>
          <w:color w:val="252525"/>
        </w:rPr>
        <w:t xml:space="preserve">certain U.S. Company-owned </w:t>
      </w:r>
      <w:r>
        <w:rPr>
          <w:rFonts w:ascii="Arial" w:cs="Arial" w:eastAsia="Arial" w:hAnsi="Arial"/>
          <w:sz w:val="18"/>
          <w:szCs w:val="18"/>
          <w:color w:val="000000"/>
        </w:rPr>
        <w:t>restaurants</w:t>
      </w:r>
      <w:r>
        <w:rPr>
          <w:rFonts w:ascii="Arial" w:cs="Arial" w:eastAsia="Arial" w:hAnsi="Arial"/>
          <w:sz w:val="18"/>
          <w:szCs w:val="18"/>
          <w:color w:val="252525"/>
        </w:rPr>
        <w:t xml:space="preserve"> in April 2017, (ii) </w:t>
      </w:r>
      <w:r>
        <w:rPr>
          <w:rFonts w:ascii="Arial" w:cs="Arial" w:eastAsia="Arial" w:hAnsi="Arial"/>
          <w:sz w:val="18"/>
          <w:szCs w:val="18"/>
          <w:color w:val="000000"/>
        </w:rPr>
        <w:t>the closing of 52 restaurants since December 27, 2015 and (iii) lower comparable</w:t>
      </w:r>
      <w:r>
        <w:rPr>
          <w:rFonts w:ascii="Arial" w:cs="Arial" w:eastAsia="Arial" w:hAnsi="Arial"/>
          <w:sz w:val="18"/>
          <w:szCs w:val="18"/>
          <w:color w:val="252525"/>
        </w:rPr>
        <w:t xml:space="preserve"> </w:t>
      </w:r>
      <w:r>
        <w:rPr>
          <w:rFonts w:ascii="Arial" w:cs="Arial" w:eastAsia="Arial" w:hAnsi="Arial"/>
          <w:sz w:val="18"/>
          <w:szCs w:val="18"/>
          <w:color w:val="000000"/>
        </w:rPr>
        <w:t>restaurant sales, partially offset by the opening of 18 new restaurants not included in our comparable restaurant sales base.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Restaurant-level operating margin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restaurant-level operating margin in the thirteen weeks ended September 24, 2017 as compared to the thirteen weeks ended September 25, 2016, was primarily due to: (i) higher labor costs, (ii) operating expense inflation and (iii) higher net rent expense due to the sale-leaseback of certain properties. These decreases were partially offset by the impact of certain cost saving initiatives and lower advertising expense.</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restaurant-level operating margin in the thirty-nine weeks ended September 24, 2017 as compared to the thirty-nine weeks ended September 25, 2016, was primarily due to: (i) higher labor costs, (ii) operating expense inflation and (iii) higher net rent expense due to the sale-leaseback of certain properties. These decreases were partially offset by: (i) increases in average check per person, (ii) lower advertising expense and (iii) the impact of certain cost saving initiatives.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decreases in U.S. income from operations generated in the thirteen and thirty-nine weeks ended September 24, 2017 as compared to the thirteen and thirty-nine weeks ended September 25, 2016, was primarily due to: (i) lower operating margin at the restaurant-level and (ii) certain impairment charges and restaurant closing costs. These decreases were partially offset by increases primarily in franchise and other revenues.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5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25, 2016</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Pr>
          <w:p>
            <w:pPr>
              <w:spacing w:after="0"/>
              <w:rPr>
                <w:sz w:val="22"/>
                <w:szCs w:val="22"/>
                <w:color w:val="auto"/>
              </w:rPr>
            </w:pPr>
          </w:p>
        </w:tc>
        <w:tc>
          <w:tcPr>
            <w:tcW w:w="1560" w:type="dxa"/>
            <w:vAlign w:val="bottom"/>
          </w:tcPr>
          <w:p>
            <w:pPr>
              <w:jc w:val="right"/>
              <w:ind w:right="60"/>
              <w:spacing w:after="0"/>
              <w:rPr>
                <w:sz w:val="20"/>
                <w:szCs w:val="20"/>
                <w:color w:val="auto"/>
              </w:rPr>
            </w:pPr>
            <w:r>
              <w:rPr>
                <w:rFonts w:ascii="Arial" w:cs="Arial" w:eastAsia="Arial" w:hAnsi="Arial"/>
                <w:sz w:val="14"/>
                <w:szCs w:val="14"/>
                <w:b w:val="1"/>
                <w:bCs w:val="1"/>
                <w:color w:val="auto"/>
                <w:w w:val="96"/>
              </w:rPr>
              <w:t>SEPTEMBER 25, 2016</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113,936</w:t>
            </w:r>
          </w:p>
        </w:tc>
        <w:tc>
          <w:tcPr>
            <w:tcW w:w="120" w:type="dxa"/>
            <w:vAlign w:val="bottom"/>
          </w:tcPr>
          <w:p>
            <w:pPr>
              <w:spacing w:after="0"/>
              <w:rPr>
                <w:sz w:val="20"/>
                <w:szCs w:val="20"/>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w w:val="93"/>
              </w:rPr>
              <w:t>109,456</w:t>
            </w:r>
          </w:p>
        </w:tc>
        <w:tc>
          <w:tcPr>
            <w:tcW w:w="100" w:type="dxa"/>
            <w:vAlign w:val="bottom"/>
          </w:tcPr>
          <w:p>
            <w:pPr>
              <w:spacing w:after="0"/>
              <w:rPr>
                <w:sz w:val="20"/>
                <w:szCs w:val="20"/>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335,132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347,286</w:t>
            </w:r>
          </w:p>
        </w:tc>
      </w:tr>
      <w:tr>
        <w:trPr>
          <w:trHeight w:val="33"/>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2,890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8,512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4,211</w:t>
            </w:r>
          </w:p>
        </w:tc>
      </w:tr>
      <w:tr>
        <w:trPr>
          <w:trHeight w:val="224"/>
        </w:trPr>
        <w:tc>
          <w:tcPr>
            <w:tcW w:w="4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116,826</w:t>
            </w:r>
          </w:p>
        </w:tc>
        <w:tc>
          <w:tcPr>
            <w:tcW w:w="120" w:type="dxa"/>
            <w:vAlign w:val="bottom"/>
          </w:tcPr>
          <w:p>
            <w:pPr>
              <w:spacing w:after="0"/>
              <w:rPr>
                <w:sz w:val="19"/>
                <w:szCs w:val="19"/>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w w:val="93"/>
              </w:rPr>
              <w:t>111,481</w:t>
            </w:r>
          </w:p>
        </w:tc>
        <w:tc>
          <w:tcPr>
            <w:tcW w:w="100" w:type="dxa"/>
            <w:vAlign w:val="bottom"/>
          </w:tcPr>
          <w:p>
            <w:pPr>
              <w:spacing w:after="0"/>
              <w:rPr>
                <w:sz w:val="19"/>
                <w:szCs w:val="19"/>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343,644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351,497</w:t>
            </w:r>
          </w:p>
        </w:tc>
      </w:tr>
      <w:tr>
        <w:trPr>
          <w:trHeight w:val="33"/>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Income (loss) from operations</w:t>
            </w: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20"/>
                <w:szCs w:val="20"/>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8,277</w:t>
            </w:r>
          </w:p>
        </w:tc>
        <w:tc>
          <w:tcPr>
            <w:tcW w:w="100" w:type="dxa"/>
            <w:vAlign w:val="bottom"/>
          </w:tcPr>
          <w:p>
            <w:pPr>
              <w:spacing w:after="0"/>
              <w:rPr>
                <w:sz w:val="20"/>
                <w:szCs w:val="20"/>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26,923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(14,947)</w:t>
            </w:r>
          </w:p>
        </w:tc>
      </w:tr>
      <w:tr>
        <w:trPr>
          <w:trHeight w:val="33"/>
        </w:trPr>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(loss) margin</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4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is a summary of the change in International segment Restaurant sales for the thirteen and thirty-nine weeks ended September 24,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THIRTY-NINE WEEKS</w:t>
            </w:r>
          </w:p>
        </w:tc>
      </w:t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7"/>
                <w:szCs w:val="17"/>
                <w:color w:val="auto"/>
              </w:rPr>
            </w:pPr>
          </w:p>
        </w:tc>
        <w:tc>
          <w:tcPr>
            <w:tcW w:w="1260" w:type="dxa"/>
            <w:vAlign w:val="bottom"/>
          </w:tcPr>
          <w:p>
            <w:pPr>
              <w:jc w:val="right"/>
              <w:ind w:right="460"/>
              <w:spacing w:after="0"/>
              <w:rPr>
                <w:sz w:val="20"/>
                <w:szCs w:val="20"/>
                <w:color w:val="auto"/>
              </w:rPr>
            </w:pPr>
            <w:r>
              <w:rPr>
                <w:rFonts w:ascii="Arial" w:cs="Arial" w:eastAsia="Arial" w:hAnsi="Arial"/>
                <w:sz w:val="14"/>
                <w:szCs w:val="14"/>
                <w:b w:val="1"/>
                <w:bCs w:val="1"/>
                <w:color w:val="auto"/>
              </w:rPr>
              <w:t>ENDED</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 ended September 25,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Comparable restaurant sales</w:t>
            </w:r>
          </w:p>
        </w:tc>
        <w:tc>
          <w:tcPr>
            <w:tcW w:w="120" w:type="dxa"/>
            <w:vAlign w:val="bottom"/>
          </w:tcPr>
          <w:p>
            <w:pPr>
              <w:spacing w:after="0"/>
              <w:rPr>
                <w:sz w:val="20"/>
                <w:szCs w:val="20"/>
                <w:color w:val="auto"/>
              </w:rPr>
            </w:pP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13.4</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Refranchising of Outback Steakhouse South Korea</w:t>
            </w:r>
          </w:p>
        </w:tc>
        <w:tc>
          <w:tcPr>
            <w:tcW w:w="12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(90.5)</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For the period ended September 24,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335.1</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Restaurant sales in the thirteen weeks ended September 24, 2017 was primarily attributable to (i) the opening of 34 new restaurants not included in our comparable restaurant sales base, (ii) an increase in comparable restaurant sales and (iii) the effect of foreign currency translation of the Brazil Real relative to the U.S. dollar, partially offset by the refranchising of Outback Steakhouse South Korea in 2016.</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Restaurant sales in the thirty-nine weeks ended September 24, 2017 was primarily attributable to the refranchising of Outback Steakhouse South Korea in 2016, partially offset by: (i) the opening of 47 new restaurants not included in our comparable restaurant sales base, (ii) the effect of foreign currency translation of the Brazil Real relative to the U.S. dollar and (iii) an increase in comparable restaurant sales.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Restaurant-level operating margin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International restaurant-level operating margin in the thirteen weeks ended September 24, 2017 as compared to the thirteen weeks ended September 25, 2016 was primarily due to: (i) increases in average check per person and (ii) the impact of the sale of Outback Steakhouse South Korea in 2016. These increases were partially offset by: (i) higher labor and commodity inflation and (ii) operating expense inflation.</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International restaurant-level operating margin in the thirty-nine weeks ended September 24, 2017 as compared to the thirty-nine weeks ended September 25, 2016 was primarily due to: (i) increases in average check per person, (ii) the impact of the sale of Outback Steakhouse South Korea in 2016 and (iii) the impact of certain cost saving initiatives. These increases were partially offset by higher labor and commodity inflation.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increase in International income from operations in the thirteen weeks ended September 24, 2017 as compared to the thirteen weeks ended September 25, 2016 was primarily due to higher operating margin at the restaurant-level, partially offset by certain impairment charges.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International income from operations in the thirty-nine weeks ended September 24, 2017 as compared to the thirty-nine weeks ended September 25, 2016 was primarily due to: (i) impairment related to the sale of Outback Steakhouse South Korea in 2016, (ii) higher operating margin at the restaurant-level and (iii) an increase in franchise and other revenues, partially offset by higher General and administrative expense. General and administrative expense for the International segment increased primarily from the effects of foreign currency exchange.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to the results provided in accordance with U.S. GAAP, we provide certain non-GAAP measures, which present operating results on an adjusted basis. These are supplemental measures of performance that are not required by or presented in accordance with U.S. GAAP and include the following: (i) system-wide sales, (ii) Adjusted restaurant-level operating margins, (iii) Adjusted income from operations and the corresponding margins, (iv) Adjusted net income and (v) Adjusted diluted earnings per share.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periods and the corresponding prior periods.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previously announced, based on a review of our non-GAAP presentations, we determined that, commencing with our results for the first fiscal quarter of 2017, when presenting the non-GAAP measures Adjusted income from operations and the corresponding margins, Adjusted net income and Adjusted diluted earnings per share, we will no longer adjust for expenses incurred in connection with our remodel program or intangible amortization recorded as a result of the acquisition of our Brazil operations. We recast historical comparable periods to conform to the revised presentation.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System-Wide Sales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Following is a summary of sales of Company-owned restaurants: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6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COMPANY-OWNED RESTAURANT SALES</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24,</w:t>
            </w:r>
          </w:p>
        </w:tc>
        <w:tc>
          <w:tcPr>
            <w:tcW w:w="140" w:type="dxa"/>
            <w:vAlign w:val="bottom"/>
          </w:tcPr>
          <w:p>
            <w:pPr>
              <w:spacing w:after="0"/>
              <w:rPr>
                <w:sz w:val="14"/>
                <w:szCs w:val="14"/>
                <w:color w:val="auto"/>
              </w:rPr>
            </w:pPr>
          </w:p>
        </w:tc>
        <w:tc>
          <w:tcPr>
            <w:tcW w:w="1320" w:type="dxa"/>
            <w:vAlign w:val="bottom"/>
          </w:tcPr>
          <w:p>
            <w:pPr>
              <w:jc w:val="right"/>
              <w:ind w:right="100"/>
              <w:spacing w:after="0"/>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196"/>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2,758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Outback Steakhouse-Brazil</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 (2)</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Total Company-owned restaurant sales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April 2017, we sold 53 Outback Steakhouse restaurants and one Carrabba’s Italian Grill restaurant which are now operated as franchises under agreements with the Buyers.</w:t>
      </w: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July 25, 2016, we sold our restaurant locations in South Korea, converting all restaurants in that market to franchised locations.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provides a summary of sales of franchised restaurants, which are not included in our consolidated financial results, and our income from the royalties and/or service fees that franchisees pay us based generally on a percentage of sales. The following table does not represent our sales and is presented only as an indicator of changes in the restaurant system, which management believes is important information regarding the health of our restaurant concepts and in determining our royalties and/or service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THIRTY-NINE WEEKS ENDED</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FRANCHISE SALES (dollars in millions) (1)</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 2016</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Bonefish Grill</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 (3)</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9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franchise sales (1)</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franchise sales (4)</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April 2017, we sold 53 Outback Steakhouse restaurants and one Carrabba’s Italian Grill restaurant which are now operated as franchises under agreements with the Buyers.</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July 25, 2016, we sold our restaurant locations in South Korea, converting all restaurants in that market to franchised locations.</w:t>
      </w:r>
    </w:p>
    <w:p>
      <w:pPr>
        <w:spacing w:after="0" w:line="19"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 included in the Consolidated Statements of Operations and Comprehensive Income in Franchise and other revenues.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restaurant-level operating margin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percentages of certain operating cost financial statement line items in relation to Restaurant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THIRTEEN WEEKS ENDED</w:t>
            </w:r>
          </w:p>
        </w:tc>
        <w:tc>
          <w:tcPr>
            <w:tcW w:w="16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SEPTEMBER 25, 2016</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ADJUSTED</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54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THIRTY-NINE WEEKS ENDED</w:t>
            </w:r>
          </w:p>
        </w:tc>
        <w:tc>
          <w:tcPr>
            <w:tcW w:w="16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SEPTEMBER 24, 2017</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SEPTEMBER 25, 2016</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ADJUSTED (2)</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(3)</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Includes adjustments for the write-off of $0.2 million of deferred rent liabilities associated with our relocation program, recorded in Other restaurant operating.</w:t>
      </w:r>
    </w:p>
    <w:p>
      <w:pPr>
        <w:spacing w:after="0" w:line="16" w:lineRule="exact"/>
        <w:rPr>
          <w:rFonts w:ascii="Arial" w:cs="Arial" w:eastAsia="Arial" w:hAnsi="Arial"/>
          <w:sz w:val="15"/>
          <w:szCs w:val="15"/>
          <w:color w:val="auto"/>
        </w:rPr>
      </w:pPr>
    </w:p>
    <w:p>
      <w:pPr>
        <w:ind w:left="660" w:right="20" w:hanging="652"/>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adjustments for the write-off of $5.5 million of deferred rent liabilities associated with the 2017 Closure Initiative and our relocation program, recorded in Other restaurant operating.</w:t>
      </w:r>
    </w:p>
    <w:p>
      <w:pPr>
        <w:ind w:left="660" w:hanging="652"/>
        <w:spacing w:after="0" w:line="25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adjustments for the write-off of $1.9 million of deferred rent liabilities, primarily associated with the Bonefish Restructuring, recorded in Other restaurant operating.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2016</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24, 2017</w:t>
            </w:r>
          </w:p>
        </w:tc>
        <w:tc>
          <w:tcPr>
            <w:tcW w:w="16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SEPTEMBER 25, 2016</w:t>
            </w: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131,751</w:t>
            </w: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color w:val="auto"/>
              </w:rPr>
              <w:t>Asset impairments and related costs (1)</w:t>
            </w:r>
          </w:p>
        </w:tc>
        <w:tc>
          <w:tcPr>
            <w:tcW w:w="3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10,566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10,566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43,231</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Restaurant impairments and closing costs (2)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3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8,101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 (4)</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70"/>
        </w:trPr>
        <w:tc>
          <w:tcPr>
            <w:tcW w:w="4800" w:type="dxa"/>
            <w:vAlign w:val="bottom"/>
          </w:tcPr>
          <w:p>
            <w:pPr>
              <w:ind w:left="180"/>
              <w:spacing w:after="0"/>
              <w:rPr>
                <w:sz w:val="20"/>
                <w:szCs w:val="20"/>
                <w:color w:val="auto"/>
              </w:rPr>
            </w:pPr>
            <w:r>
              <w:rPr>
                <w:rFonts w:ascii="Arial" w:cs="Arial" w:eastAsia="Arial" w:hAnsi="Arial"/>
                <w:sz w:val="16"/>
                <w:szCs w:val="16"/>
                <w:color w:val="auto"/>
              </w:rPr>
              <w:t>Transaction-related expenses (5)</w:t>
            </w:r>
          </w:p>
        </w:tc>
        <w:tc>
          <w:tcPr>
            <w:tcW w:w="38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57"/>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20,050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42,054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50,098</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23,232</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36,445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156,520</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181,849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97"/>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83,876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46,031</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42,054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50,098</w:t>
            </w:r>
          </w:p>
        </w:tc>
        <w:tc>
          <w:tcPr>
            <w:tcW w:w="0" w:type="dxa"/>
            <w:vAlign w:val="bottom"/>
          </w:tcPr>
          <w:p>
            <w:pPr>
              <w:spacing w:after="0"/>
              <w:rPr>
                <w:sz w:val="1"/>
                <w:szCs w:val="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6"/>
                <w:szCs w:val="16"/>
                <w:color w:val="auto"/>
              </w:rPr>
              <w:t>Gain on disposal of business and other costs (6)</w:t>
            </w:r>
          </w:p>
        </w:tc>
        <w:tc>
          <w:tcPr>
            <w:tcW w:w="3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(14,854)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defeasance, extinguishment and modification of debt (7)</w:t>
            </w:r>
          </w:p>
        </w:tc>
        <w:tc>
          <w:tcPr>
            <w:tcW w:w="3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adjustments, before income taxes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12,480</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27,460</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75,012</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 to provision for income taxes (8)</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(9,382)</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adjustments</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7,406</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13,442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65,630</w:t>
            </w: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21,440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97,318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111,661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diluted earnings per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8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95,655</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112,430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101,497</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116,516</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asset impairment charges and related costs primarily associated with: (i) the remeasurement of certain surplus properties in 2017, (ii) our Puerto Rico subsidiary in 2016 and (iii) the decision to sell Outback Steakhouse South Korea in 2016.</w:t>
      </w: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expenses incurred for approved closure and restructuring initiatives.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right="140" w:hanging="652"/>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Relates to severance expense incurred primarily as a result of: (i) restructuring of certain functions in 2017 and (ii) the relocation of our Fleming’s operations center to the corporate home office in 2016.</w:t>
      </w:r>
    </w:p>
    <w:p>
      <w:pPr>
        <w:ind w:left="660" w:right="20" w:hanging="652"/>
        <w:spacing w:after="0" w:line="28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Relates primarily to the following: (i) professional fees related to certain income tax items in which the associated tax benefit is adjusted in Adjustments to provision for income taxes in 2017, as described in footnote 8 to this table, and (ii) costs incurred in connection with our sale-leaseback initiative in 2017 and 2016.</w:t>
      </w:r>
    </w:p>
    <w:p>
      <w:pPr>
        <w:spacing w:after="0" w:line="1" w:lineRule="exact"/>
        <w:rPr>
          <w:rFonts w:ascii="Arial" w:cs="Arial" w:eastAsia="Arial" w:hAnsi="Arial"/>
          <w:sz w:val="14"/>
          <w:szCs w:val="14"/>
          <w:color w:val="auto"/>
        </w:rPr>
      </w:pPr>
    </w:p>
    <w:p>
      <w:pPr>
        <w:jc w:val="both"/>
        <w:ind w:left="660" w:hanging="652"/>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(i) the sale of 54 U.S. Company-owned restaurants to existing franchisees in the second quarter of 2017, (ii) a gain of the sale of one Carrabba's Italian Grill restaurant during the third quarter of 2017, (iii) expenses related to certain surplus properties during the third quarter of 2017 and (iv) the sale of Outback Steakhouse South Korea during the third quarter of 2016.</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Relates to modification of our Credit Agreement in 2017 and amendments of the PRP Mortgage loan and the defeasance of the 2012 CMBS loan in 2016.</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thirteen and thirty-nine weeks ended September 24, 2017 and September 25, 2016. Adjustments include the impact of excluding $4.6 million of discrete income tax items for the thirty-nine weeks ended September 24,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remodeling or relocating older restaurants, development of new restaurants and new markets, principal and interest payments on our debt, obligations related to our deferred compensation plans and investments in technology.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operating lease obligations, capital expenditures and working capital obligations for at least the next 12 months.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As of September 24, 2017, we had $98.7 million in cash and cash equivalents, of which $36.8 million was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foreign affiliates, a portion of which would be subject to additional taxes if repatriated to the United States. The international jurisdictions in which we have significant cash do not have any known restrictions that would prohibit the repatriation of cash and cash equivalents.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 In April 2017, we completed the sale of 54 of our existing Outback Steakhouse and Carrabba’s Italian Grill locations for</w:t>
      </w:r>
      <w:r>
        <w:rPr>
          <w:rFonts w:ascii="Arial" w:cs="Arial" w:eastAsia="Arial" w:hAnsi="Arial"/>
          <w:sz w:val="20"/>
          <w:szCs w:val="20"/>
          <w:i w:val="1"/>
          <w:iCs w:val="1"/>
          <w:color w:val="auto"/>
        </w:rPr>
        <w:t xml:space="preserve"> </w:t>
      </w:r>
      <w:r>
        <w:rPr>
          <w:rFonts w:ascii="Arial" w:cs="Arial" w:eastAsia="Arial" w:hAnsi="Arial"/>
          <w:sz w:val="20"/>
          <w:szCs w:val="20"/>
          <w:color w:val="auto"/>
        </w:rPr>
        <w:t>aggregate cash proceeds of $36.2 million</w:t>
      </w:r>
      <w:r>
        <w:rPr>
          <w:rFonts w:ascii="Arial" w:cs="Arial" w:eastAsia="Arial" w:hAnsi="Arial"/>
          <w:sz w:val="20"/>
          <w:szCs w:val="20"/>
          <w:color w:val="252525"/>
        </w:rPr>
        <w:t>, net of certain closing adjustments</w:t>
      </w:r>
      <w:r>
        <w:rPr>
          <w:rFonts w:ascii="Arial" w:cs="Arial" w:eastAsia="Arial" w:hAnsi="Arial"/>
          <w:sz w:val="20"/>
          <w:szCs w:val="20"/>
          <w:color w:val="auto"/>
        </w:rPr>
        <w:t>. After completion of the sale, these restaurant locations are operated as franchises under an agreement with the Buyers.</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Sale-Leaseback Transactions - </w:t>
      </w:r>
      <w:r>
        <w:rPr>
          <w:rFonts w:ascii="Arial" w:cs="Arial" w:eastAsia="Arial" w:hAnsi="Arial"/>
          <w:sz w:val="19"/>
          <w:szCs w:val="19"/>
          <w:color w:val="auto"/>
        </w:rPr>
        <w:t>During the thirty-nine weeks ended September 24, 2017, we entered into sale-leaseback transactions with third-parties in which we sold 26 restaurant properties at fair market value for gross proceeds of $92.5 million. With a portion of the proceeds from these transactions, we repaid the remaining balance of our PRP Mortgage Loan in April 2017.</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$35.4 million to $41.8 million for the Closure Initiatives,</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related to lease liabilities,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between $260.0 million and $280.0 million in 2017. The amount of</w:t>
      </w:r>
      <w:r>
        <w:rPr>
          <w:rFonts w:ascii="Arial" w:cs="Arial" w:eastAsia="Arial" w:hAnsi="Arial"/>
          <w:sz w:val="20"/>
          <w:szCs w:val="20"/>
          <w:i w:val="1"/>
          <w:iCs w:val="1"/>
          <w:color w:val="auto"/>
        </w:rPr>
        <w:t xml:space="preserve"> </w:t>
      </w:r>
      <w:r>
        <w:rPr>
          <w:rFonts w:ascii="Arial" w:cs="Arial" w:eastAsia="Arial" w:hAnsi="Arial"/>
          <w:sz w:val="20"/>
          <w:szCs w:val="20"/>
          <w:color w:val="auto"/>
        </w:rPr>
        <w:t>actual capital 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Credit Facilities </w:t>
      </w:r>
      <w:r>
        <w:rPr>
          <w:rFonts w:ascii="Arial" w:cs="Arial" w:eastAsia="Arial" w:hAnsi="Arial"/>
          <w:sz w:val="19"/>
          <w:szCs w:val="19"/>
          <w:color w:val="auto"/>
        </w:rPr>
        <w:t>- As of September 24, 2017, we had $1.2 billion of outstanding borrowings under our Senior Secured Credit Facility.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principal payments and debt issuance from December 25, 2016 to September 24, 2017: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SENIOR SECURED CREDIT FACILITY</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TERM LOANS</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REVOLVING</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PRP MORTGAGE</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A-2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LOAN</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25, 2016</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258,750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140,625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622,000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47,202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1,068,577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2017 new debt (1)</w:t>
            </w:r>
          </w:p>
        </w:tc>
        <w:tc>
          <w:tcPr>
            <w:tcW w:w="3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467,500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592,500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payments</w:t>
            </w: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(481,077)</w:t>
            </w: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6"/>
                <w:szCs w:val="16"/>
                <w:color w:val="auto"/>
              </w:rPr>
              <w:t>Balance as of September 24, 2017</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247,500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135,000</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672,500</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1,180,000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May 22, 2017, OSI entered into an Amendment to its Credit Agreement which provided an incremental Term loan A-2 in an aggregate principal amount of $125.0 million. A portion of the proceeds from Term loan A-2 were used to repay $25.0 million of our outstanding revolving credit facility.</w:t>
      </w:r>
    </w:p>
    <w:p>
      <w:pPr>
        <w:spacing w:after="0" w:line="15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continue to evaluate whether we will make further payments of our outstanding debt ahead of scheduled maturities. Following is a summary of our outstanding credit facilities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7"/>
                <w:szCs w:val="17"/>
                <w:color w:val="auto"/>
              </w:rPr>
            </w:pPr>
          </w:p>
        </w:tc>
        <w:tc>
          <w:tcPr>
            <w:tcW w:w="122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ORIGINAL</w:t>
            </w:r>
          </w:p>
        </w:tc>
        <w:tc>
          <w:tcPr>
            <w:tcW w:w="120" w:type="dxa"/>
            <w:vAlign w:val="bottom"/>
          </w:tcPr>
          <w:p>
            <w:pPr>
              <w:spacing w:after="0"/>
              <w:rPr>
                <w:sz w:val="17"/>
                <w:szCs w:val="17"/>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PRINCIPAL</w:t>
            </w: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OUTSTANDING</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1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SEPTEMBER 24, 2017</w:t>
            </w:r>
          </w:p>
        </w:tc>
        <w:tc>
          <w:tcPr>
            <w:tcW w:w="240" w:type="dxa"/>
            <w:vAlign w:val="bottom"/>
          </w:tcPr>
          <w:p>
            <w:pPr>
              <w:spacing w:after="0"/>
              <w:rPr>
                <w:sz w:val="17"/>
                <w:szCs w:val="17"/>
                <w:color w:val="auto"/>
              </w:rPr>
            </w:pPr>
          </w:p>
        </w:tc>
        <w:tc>
          <w:tcPr>
            <w:tcW w:w="1220" w:type="dxa"/>
            <w:vAlign w:val="bottom"/>
          </w:tcPr>
          <w:p>
            <w:pPr>
              <w:jc w:val="right"/>
              <w:ind w:right="301"/>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25, 2016</w:t>
            </w:r>
          </w:p>
        </w:tc>
        <w:tc>
          <w:tcPr>
            <w:tcW w:w="0" w:type="dxa"/>
            <w:vAlign w:val="bottom"/>
          </w:tcPr>
          <w:p>
            <w:pPr>
              <w:spacing w:after="0"/>
              <w:rPr>
                <w:sz w:val="1"/>
                <w:szCs w:val="1"/>
                <w:color w:val="auto"/>
              </w:rPr>
            </w:pPr>
          </w:p>
        </w:tc>
      </w:tr>
      <w:tr>
        <w:trPr>
          <w:trHeight w:val="206"/>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 net of discount of $0.8 million</w:t>
            </w: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2019</w:t>
            </w:r>
          </w:p>
        </w:tc>
        <w:tc>
          <w:tcPr>
            <w:tcW w:w="4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247,500</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258,750</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Term loan A-1</w:t>
            </w:r>
          </w:p>
        </w:tc>
        <w:tc>
          <w:tcPr>
            <w:tcW w:w="166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2019</w:t>
            </w: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135,000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140,625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2019</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Revolving credit facility (1)</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825,000</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3"/>
              </w:rPr>
              <w:t>May 2019</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672,500</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622,000</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Senior Secured Credit Facility</w:t>
            </w: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1,400,000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1,180,000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1,021,375</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color w:val="auto"/>
              </w:rPr>
              <w:t>PRP Mortgage Loan</w:t>
            </w: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369,512</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47,202</w:t>
            </w:r>
          </w:p>
        </w:tc>
        <w:tc>
          <w:tcPr>
            <w:tcW w:w="0" w:type="dxa"/>
            <w:vAlign w:val="bottom"/>
          </w:tcPr>
          <w:p>
            <w:pPr>
              <w:spacing w:after="0"/>
              <w:rPr>
                <w:sz w:val="1"/>
                <w:szCs w:val="1"/>
                <w:color w:val="auto"/>
              </w:rPr>
            </w:pPr>
          </w:p>
        </w:tc>
      </w:tr>
      <w:tr>
        <w:trPr>
          <w:trHeight w:val="244"/>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credit facilities</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1,769,512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1,068,577</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weighted-average interest rate.</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Agreement </w:t>
      </w:r>
      <w:r>
        <w:rPr>
          <w:rFonts w:ascii="Arial" w:cs="Arial" w:eastAsia="Arial" w:hAnsi="Arial"/>
          <w:sz w:val="20"/>
          <w:szCs w:val="20"/>
          <w:color w:val="auto"/>
        </w:rPr>
        <w:t>- On May 22, 2017, OSI entered into an Amendment to its Credit Agreement which provided an incremental Term loan A-2</w:t>
      </w:r>
      <w:r>
        <w:rPr>
          <w:rFonts w:ascii="Arial" w:cs="Arial" w:eastAsia="Arial" w:hAnsi="Arial"/>
          <w:sz w:val="20"/>
          <w:szCs w:val="20"/>
          <w:i w:val="1"/>
          <w:iCs w:val="1"/>
          <w:color w:val="auto"/>
        </w:rPr>
        <w:t xml:space="preserve"> </w:t>
      </w:r>
      <w:r>
        <w:rPr>
          <w:rFonts w:ascii="Arial" w:cs="Arial" w:eastAsia="Arial" w:hAnsi="Arial"/>
          <w:sz w:val="20"/>
          <w:szCs w:val="20"/>
          <w:color w:val="auto"/>
        </w:rPr>
        <w:t>in an aggregate principal amount of $125.0 million. Proceeds from Term loan A-2 were used for general business purposes and to repay a portion of our outstanding revolving credit facility. As of September 24, 2017, we had $128.3 million in available unused borrowing capacity under our revolving credit facility, net of letters of credit of $24.2 million.</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Credit Agreement contains term loan mandatory prepayment requirements of 50% of our annual excess cash flow, as defined in the Credit Agreement. The amount outstanding required to be prepaid may vary based on our leverage ratio and year end results. Other than the required minimum amortization premiums of $57.5 million, we do not anticipate any other payments will be required through September 30, 2018.</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We are currently exploring options to address the 2019 maturity of our Senior Secured Credit Facility.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11 -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in our Annual Report on Form 10-K for the year ended December 25, 2016 for further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24, 2017 and December 25, 2016, we were in compliance with our debt covenants. We believe that we will remain in compliance with our debt covenants during the next 12 months.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Cash Flow Hedges of Interest Rate Risk - </w:t>
      </w:r>
      <w:r>
        <w:rPr>
          <w:rFonts w:ascii="Arial" w:cs="Arial" w:eastAsia="Arial" w:hAnsi="Arial"/>
          <w:sz w:val="19"/>
          <w:szCs w:val="19"/>
          <w:color w:val="252525"/>
        </w:rPr>
        <w:t>In September 2014, we entered into variable-to-fixed interest rate swap agreements with eight</w:t>
      </w:r>
      <w:r>
        <w:rPr>
          <w:rFonts w:ascii="Arial" w:cs="Arial" w:eastAsia="Arial" w:hAnsi="Arial"/>
          <w:sz w:val="19"/>
          <w:szCs w:val="19"/>
          <w:i w:val="1"/>
          <w:iCs w:val="1"/>
          <w:color w:val="auto"/>
        </w:rPr>
        <w:t xml:space="preserve"> </w:t>
      </w:r>
      <w:r>
        <w:rPr>
          <w:rFonts w:ascii="Arial" w:cs="Arial" w:eastAsia="Arial" w:hAnsi="Arial"/>
          <w:sz w:val="19"/>
          <w:szCs w:val="19"/>
          <w:color w:val="252525"/>
        </w:rPr>
        <w:t xml:space="preserve">counterparties to hedge a portion of the cash flows of our variable rate debt. The swap agreements have an aggregate notional amount of $400.0 million, a start date of June 30, 2015, and mature on May 16, 2019. Under the terms of the swap agreements, we pay a weighted-average fixed rate of 2.02% on the $400.0 million notional amount and receive payments from the counterparty based on the 30-day LIBOR rate. We estimate $2.3 million will be reclassified to interest expense over the next twelve months. </w:t>
      </w:r>
      <w:r>
        <w:rPr>
          <w:rFonts w:ascii="Arial" w:cs="Arial" w:eastAsia="Arial" w:hAnsi="Arial"/>
          <w:sz w:val="19"/>
          <w:szCs w:val="19"/>
          <w:color w:val="000000"/>
        </w:rPr>
        <w:t>See Note 12 -</w:t>
      </w:r>
      <w:r>
        <w:rPr>
          <w:rFonts w:ascii="Arial" w:cs="Arial" w:eastAsia="Arial" w:hAnsi="Arial"/>
          <w:sz w:val="19"/>
          <w:szCs w:val="19"/>
          <w:color w:val="252525"/>
        </w:rPr>
        <w:t xml:space="preserve"> </w:t>
      </w:r>
      <w:r>
        <w:rPr>
          <w:rFonts w:ascii="Arial" w:cs="Arial" w:eastAsia="Arial" w:hAnsi="Arial"/>
          <w:sz w:val="19"/>
          <w:szCs w:val="19"/>
          <w:i w:val="1"/>
          <w:iCs w:val="1"/>
          <w:color w:val="000000"/>
        </w:rPr>
        <w:t>Derivative Instruments and Hedging Activities</w:t>
      </w:r>
      <w:r>
        <w:rPr>
          <w:rFonts w:ascii="Arial" w:cs="Arial" w:eastAsia="Arial" w:hAnsi="Arial"/>
          <w:sz w:val="19"/>
          <w:szCs w:val="19"/>
          <w:color w:val="252525"/>
        </w:rPr>
        <w:t xml:space="preserve"> </w:t>
      </w:r>
      <w:r>
        <w:rPr>
          <w:rFonts w:ascii="Arial" w:cs="Arial" w:eastAsia="Arial" w:hAnsi="Arial"/>
          <w:sz w:val="19"/>
          <w:szCs w:val="19"/>
          <w:color w:val="000000"/>
        </w:rPr>
        <w:t>of the Notes to Consolidated Financial Statements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24, 2017</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25, 2016</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223,560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(62,535)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153,902</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(445,809)</w:t>
            </w: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5,250</w:t>
            </w: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(63,097)</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 Net cash provided by operating activities was flat during the thirty-nine weeks ended September 24, 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thirty-nine weeks ended September 25, 2016 primarily due to decreases from: (i) the timing of collections of receivables and (ii) the timing of payments. These decreases were offset by: (i) lower income tax payments and (ii) lower cash interest payments.</w:t>
      </w:r>
    </w:p>
    <w:p>
      <w:pPr>
        <w:spacing w:after="0" w:line="16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Net cash used in investing activities for the thirty-nine weeks ended September 24, 2017 consisted primarily of capital</w:t>
      </w:r>
      <w:r>
        <w:rPr>
          <w:rFonts w:ascii="Arial" w:cs="Arial" w:eastAsia="Arial" w:hAnsi="Arial"/>
          <w:sz w:val="19"/>
          <w:szCs w:val="19"/>
          <w:i w:val="1"/>
          <w:iCs w:val="1"/>
          <w:color w:val="auto"/>
        </w:rPr>
        <w:t xml:space="preserve"> </w:t>
      </w:r>
      <w:r>
        <w:rPr>
          <w:rFonts w:ascii="Arial" w:cs="Arial" w:eastAsia="Arial" w:hAnsi="Arial"/>
          <w:sz w:val="19"/>
          <w:szCs w:val="19"/>
          <w:color w:val="auto"/>
        </w:rPr>
        <w:t>expenditures, partially offset by: (i) proceeds from sale-leaseback transactions and (ii) proceeds from refranchising transactions.</w:t>
      </w:r>
    </w:p>
    <w:p>
      <w:pPr>
        <w:spacing w:after="0" w:line="16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Net cash provided by investing activities for the thirty-nine weeks ended September 25, 2016 consisted primarily of: (i) proceeds from sale-leaseback transactions and (ii) proceeds from the sale of Outback Steakhouse South Korea, partially offset by capital expenditures.</w:t>
      </w:r>
    </w:p>
    <w:p>
      <w:pPr>
        <w:spacing w:after="0" w:line="14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Financing activities - </w:t>
      </w:r>
      <w:r>
        <w:rPr>
          <w:rFonts w:ascii="Arial" w:cs="Arial" w:eastAsia="Arial" w:hAnsi="Arial"/>
          <w:sz w:val="20"/>
          <w:szCs w:val="20"/>
          <w:color w:val="auto"/>
        </w:rPr>
        <w:t>Net cash used in financing activities for the thirty-nine weeks ended September 24, 2017 was primarily attributable to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(i) the repurchase of common stock, (ii) repayments on our PRP Mortgage Loan, (iii) payment of cash dividends on our common stock, (iv) repayments of partner deposits and accrued partner obligations and (v) the purchase of outstanding limited partnership interests in certain restaurants. Net cash used in financing activities was partially offset by proceeds from: (i) net proceeds from the incremental Term loan A-2, (ii) drawdowns on our revolving credit facility, net of repayments, and (iii) the sale of a property that did not qualify for sale-leaseback accounting.</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cash used in financing activities for the thirty-nine weeks ended September 25, 2016 was primarily attributable to the following: (i) the defeasance of the 2012 CMBS loan and payments on our revolving credit facility and PRP Mortgage Loan, (ii) the repurchase of common stock, (iii) payment of cash dividends on our common stock, (iv) repayments of partner deposits and accrued partner obligations and (v) the purchase of outstanding limited partnership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interests in certain restaurants. Net cash used in financing activities was partially offset by proceeds from the PRP Mortgage loan.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24, 2017</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 2016</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390,519</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716,762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823,408</w:t>
            </w: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(deficit)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(432,889)</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(deficit) included Unearned revenue from unredeemed gift cards of $248.6 million and $388.5 million as of September 24, 2017 and December 25, 2016, respectively.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$98.2 million and $113.0</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September 24, 2017 and December 25, 2016,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$36.0 million as of September 24, 2017.</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annual cash funding of $16.0 million to $18.0 million.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October 2017, the Board declared a quarterly cash dividend of $0.08 per share, payable on November 22, 2017. Future dividend</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are dependent on our earnings, financial condition, capital expenditure requirements, surplus and other factors that the Board considers relevant.</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April 21, 2017, the Board approved the 2017 Share Repurchase Program, a new $250.0 million authorization which</w:t>
      </w:r>
      <w:r>
        <w:rPr>
          <w:rFonts w:ascii="Arial" w:cs="Arial" w:eastAsia="Arial" w:hAnsi="Arial"/>
          <w:sz w:val="20"/>
          <w:szCs w:val="20"/>
          <w:i w:val="1"/>
          <w:iCs w:val="1"/>
          <w:color w:val="auto"/>
        </w:rPr>
        <w:t xml:space="preserve"> </w:t>
      </w:r>
      <w:r>
        <w:rPr>
          <w:rFonts w:ascii="Arial" w:cs="Arial" w:eastAsia="Arial" w:hAnsi="Arial"/>
          <w:sz w:val="20"/>
          <w:szCs w:val="20"/>
          <w:color w:val="auto"/>
        </w:rPr>
        <w:t>will expire on October 21, 2018. We had $55.0 million remaining available for repurchase under the 2017 Share Repurchase Program, as of the date of this filing.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December 29, 2014 through September 24,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TAXES RELATED TO</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SETTLEMENT OF EQUITY</w:t>
            </w: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0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12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SHARE REPURCHASES</w:t>
            </w:r>
          </w:p>
        </w:tc>
        <w:tc>
          <w:tcPr>
            <w:tcW w:w="20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AWARDS</w:t>
            </w: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200,101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309,887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21"/>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341,713</w:t>
            </w: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61,450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Second fiscal quarter 2017</w:t>
            </w:r>
          </w:p>
        </w:tc>
        <w:tc>
          <w:tcPr>
            <w:tcW w:w="2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8,054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145,675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153,729</w:t>
            </w: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fiscal quarter 2017</w:t>
            </w:r>
          </w:p>
        </w:tc>
        <w:tc>
          <w:tcPr>
            <w:tcW w:w="2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74,008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81,414</w:t>
            </w: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84,388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752,622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838,407</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recently issued Financial Accounting Standards, see Note 1 - </w:t>
      </w:r>
      <w:r>
        <w:rPr>
          <w:rFonts w:ascii="Arial" w:cs="Arial" w:eastAsia="Arial" w:hAnsi="Arial"/>
          <w:sz w:val="20"/>
          <w:szCs w:val="20"/>
          <w:i w:val="1"/>
          <w:iCs w:val="1"/>
          <w:color w:val="auto"/>
        </w:rPr>
        <w:t>Description of the Business and Basis of Presentation</w:t>
      </w:r>
      <w:r>
        <w:rPr>
          <w:rFonts w:ascii="Arial" w:cs="Arial" w:eastAsia="Arial" w:hAnsi="Arial"/>
          <w:sz w:val="20"/>
          <w:szCs w:val="20"/>
          <w:color w:val="auto"/>
        </w:rPr>
        <w:t xml:space="preserve"> of the Notes to the Consolidated Financial Statements of this Quarterly Report on Form 10-Q.</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25, 2016. See Part II, Item 7A., “Quantitative and Qualitative Disclosures about Market Risk,” in our Annual Report on Form 10-K for the year ended December 25, 2016 for further information regarding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and Administrative Officer, as appropriate to allow timely decisions regarding required disclosure. We carried out an evaluation, under the supervision and with the participation of our management, including our Chief Executive Officer and Chief Financial and Administrative Officer, of the effectiveness of our disclosure controls and procedures as of the end of the period covered by this report. Based on that evaluation, the Chief Executive Officer and Chief Financial and Administrative Officer concluded that our disclosure controls and procedures were effective as of September 24, 2017.</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September 24,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15 -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of the Notes to the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2016 Form 10-K which could materially affect our business, financial condition or future results. There have not been any material changes to the risk factors described in our 2016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There were no sales of equity securities during the third quarter of 2017 that were not registered under the Securities Act of 1933.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purchases of common stock during the thirteen weeks ended September 24,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REPORTING 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26, 2017 through July 23, 2017</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1,614,740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1,614,740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95,000,099</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July 24, 2017 through August 20, 2017</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1,584,850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20"/>
                <w:szCs w:val="20"/>
                <w:color w:val="auto"/>
              </w:rPr>
            </w:pPr>
          </w:p>
        </w:tc>
        <w:tc>
          <w:tcPr>
            <w:tcW w:w="1820" w:type="dxa"/>
            <w:vAlign w:val="bottom"/>
          </w:tcPr>
          <w:p>
            <w:pPr>
              <w:jc w:val="right"/>
              <w:ind w:right="44"/>
              <w:spacing w:after="0"/>
              <w:rPr>
                <w:sz w:val="20"/>
                <w:szCs w:val="20"/>
                <w:color w:val="auto"/>
              </w:rPr>
            </w:pPr>
            <w:r>
              <w:rPr>
                <w:rFonts w:ascii="Arial" w:cs="Arial" w:eastAsia="Arial" w:hAnsi="Arial"/>
                <w:sz w:val="16"/>
                <w:szCs w:val="16"/>
                <w:color w:val="auto"/>
              </w:rPr>
              <w:t>1,584,754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67,300,395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August 21, 2017 through September 24, 2017</w:t>
            </w:r>
          </w:p>
        </w:tc>
        <w:tc>
          <w:tcPr>
            <w:tcW w:w="1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692,124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690,010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55,000,223</w:t>
            </w:r>
          </w:p>
        </w:tc>
        <w:tc>
          <w:tcPr>
            <w:tcW w:w="0" w:type="dxa"/>
            <w:vAlign w:val="bottom"/>
          </w:tcPr>
          <w:p>
            <w:pPr>
              <w:spacing w:after="0"/>
              <w:rPr>
                <w:sz w:val="1"/>
                <w:szCs w:val="1"/>
                <w:color w:val="auto"/>
              </w:rPr>
            </w:pPr>
          </w:p>
        </w:tc>
      </w:tr>
      <w:tr>
        <w:trPr>
          <w:trHeight w:val="244"/>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 (2)</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3,891,714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3,889,504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60" w:right="20" w:hanging="652"/>
        <w:spacing w:after="0" w:line="25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April 21, 2017, the Board of Directors authorized the repurchase of $250.0 million of our outstanding common stock as announced in our press release issued on April 26, 2017 (the “2017 Share Repurchase Program”). The 2017 Share Repurchase Program will expire on October 21, 2018.</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Common stock repurchased during the thirteen weeks ended September 24, 2017 represent shares repurchased under the 2017 Share Repurchase Program and 2,210 shares withheld for tax payments due upon vesting of employee restricted stock awards.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580" w:type="dxa"/>
            <w:vAlign w:val="bottom"/>
            <w:gridSpan w:val="7"/>
          </w:tcPr>
          <w:p>
            <w:pPr>
              <w:ind w:left="240"/>
              <w:spacing w:after="0"/>
              <w:rPr>
                <w:sz w:val="20"/>
                <w:szCs w:val="20"/>
                <w:color w:val="auto"/>
              </w:rPr>
            </w:pPr>
            <w:r>
              <w:rPr>
                <w:rFonts w:ascii="Arial" w:cs="Arial" w:eastAsia="Arial" w:hAnsi="Arial"/>
                <w:sz w:val="16"/>
                <w:szCs w:val="16"/>
                <w:b w:val="1"/>
                <w:bCs w:val="1"/>
                <w:color w:val="auto"/>
              </w:rPr>
              <w:t>DESCRIPTION OF EXHIBITS</w:t>
            </w:r>
          </w:p>
        </w:tc>
        <w:tc>
          <w:tcPr>
            <w:tcW w:w="3760" w:type="dxa"/>
            <w:vAlign w:val="bottom"/>
          </w:tcPr>
          <w:p>
            <w:pPr>
              <w:ind w:left="5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5"/>
          </w:tcPr>
          <w:p>
            <w:pPr>
              <w:spacing w:after="0"/>
              <w:rPr>
                <w:rFonts w:ascii="Arial" w:cs="Arial" w:eastAsia="Arial" w:hAnsi="Arial"/>
                <w:sz w:val="20"/>
                <w:szCs w:val="20"/>
                <w:color w:val="0000FF"/>
              </w:rPr>
            </w:pPr>
            <w:hyperlink w:anchor="page57">
              <w:r>
                <w:rPr>
                  <w:rFonts w:ascii="Arial" w:cs="Arial" w:eastAsia="Arial" w:hAnsi="Arial"/>
                  <w:sz w:val="20"/>
                  <w:szCs w:val="20"/>
                  <w:color w:val="0000FF"/>
                </w:rPr>
                <w:t>Certification of Chief Executive Officer pursuant to Section 302 of the</w:t>
              </w:r>
            </w:hyperlink>
          </w:p>
        </w:tc>
        <w:tc>
          <w:tcPr>
            <w:tcW w:w="14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gridSpan w:val="2"/>
          </w:tcPr>
          <w:p>
            <w:pPr>
              <w:spacing w:after="0" w:line="209" w:lineRule="exact"/>
              <w:rPr>
                <w:rFonts w:ascii="Arial" w:cs="Arial" w:eastAsia="Arial" w:hAnsi="Arial"/>
                <w:sz w:val="20"/>
                <w:szCs w:val="20"/>
                <w:color w:val="0000FF"/>
                <w:w w:val="89"/>
              </w:rPr>
            </w:pPr>
            <w:hyperlink w:anchor="page57">
              <w:r>
                <w:rPr>
                  <w:rFonts w:ascii="Arial" w:cs="Arial" w:eastAsia="Arial" w:hAnsi="Arial"/>
                  <w:sz w:val="20"/>
                  <w:szCs w:val="20"/>
                  <w:color w:val="0000FF"/>
                  <w:w w:val="89"/>
                </w:rPr>
                <w:t>Sarbanes-Oxley Act of 2002</w:t>
              </w:r>
            </w:hyperlink>
          </w:p>
        </w:tc>
        <w:tc>
          <w:tcPr>
            <w:tcW w:w="4080" w:type="dxa"/>
            <w:vAlign w:val="bottom"/>
            <w:gridSpan w:val="6"/>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rPr>
            </w:pPr>
            <w:hyperlink w:anchor="page58">
              <w:r>
                <w:rPr>
                  <w:rFonts w:ascii="Arial" w:cs="Arial" w:eastAsia="Arial" w:hAnsi="Arial"/>
                  <w:sz w:val="20"/>
                  <w:szCs w:val="20"/>
                  <w:color w:val="0000FF"/>
                </w:rPr>
                <w:t>Certification of Chief Financial and Administrative Officer pursuant to</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8">
              <w:r>
                <w:rPr>
                  <w:rFonts w:ascii="Arial" w:cs="Arial" w:eastAsia="Arial" w:hAnsi="Arial"/>
                  <w:sz w:val="20"/>
                  <w:szCs w:val="20"/>
                  <w:color w:val="0000FF"/>
                </w:rPr>
                <w:t>Section 302 of the Sarbanes-Oxley Act of 2002</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3"/>
              </w:rPr>
            </w:pPr>
            <w:hyperlink w:anchor="page59">
              <w:r>
                <w:rPr>
                  <w:rFonts w:ascii="Arial" w:cs="Arial" w:eastAsia="Arial" w:hAnsi="Arial"/>
                  <w:sz w:val="20"/>
                  <w:szCs w:val="20"/>
                  <w:color w:val="0000FF"/>
                  <w:w w:val="93"/>
                </w:rPr>
                <w:t>Certification of Chief Executive Officer pursuant to 18 U.S.C. Section 1350,</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w w:val="96"/>
              </w:rPr>
            </w:pPr>
            <w:hyperlink w:anchor="page59">
              <w:r>
                <w:rPr>
                  <w:rFonts w:ascii="Arial" w:cs="Arial" w:eastAsia="Arial" w:hAnsi="Arial"/>
                  <w:sz w:val="20"/>
                  <w:szCs w:val="20"/>
                  <w:color w:val="0000FF"/>
                  <w:w w:val="96"/>
                </w:rPr>
                <w:t>as adopted pursuant to Section 906 of the Sarbanes-Oxley Act of 2002 (1)</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7"/>
              </w:rPr>
            </w:pPr>
            <w:hyperlink w:anchor="page60">
              <w:r>
                <w:rPr>
                  <w:rFonts w:ascii="Arial" w:cs="Arial" w:eastAsia="Arial" w:hAnsi="Arial"/>
                  <w:sz w:val="20"/>
                  <w:szCs w:val="20"/>
                  <w:color w:val="0000FF"/>
                  <w:w w:val="97"/>
                </w:rPr>
                <w:t>Certification of Chief Financial and Administrative Officer pursuant to 18</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tcBorders>
              <w:bottom w:val="single" w:sz="8" w:color="0000FF"/>
            </w:tcBorders>
            <w:gridSpan w:val="5"/>
          </w:tcPr>
          <w:p>
            <w:pPr>
              <w:spacing w:after="0" w:line="209" w:lineRule="exact"/>
              <w:rPr>
                <w:rFonts w:ascii="Arial" w:cs="Arial" w:eastAsia="Arial" w:hAnsi="Arial"/>
                <w:sz w:val="20"/>
                <w:szCs w:val="20"/>
                <w:color w:val="0000FF"/>
                <w:w w:val="93"/>
              </w:rPr>
            </w:pPr>
            <w:hyperlink w:anchor="page60">
              <w:r>
                <w:rPr>
                  <w:rFonts w:ascii="Arial" w:cs="Arial" w:eastAsia="Arial" w:hAnsi="Arial"/>
                  <w:sz w:val="20"/>
                  <w:szCs w:val="20"/>
                  <w:color w:val="0000FF"/>
                  <w:w w:val="93"/>
                </w:rPr>
                <w:t>U.S.C. Section 1350, as adopted pursuant to Section 906 of the Sarbanes-</w:t>
              </w:r>
            </w:hyperlink>
          </w:p>
        </w:tc>
        <w:tc>
          <w:tcPr>
            <w:tcW w:w="140" w:type="dxa"/>
            <w:vAlign w:val="bottom"/>
            <w:gridSpan w:val="3"/>
          </w:tcPr>
          <w:p>
            <w:pPr>
              <w:spacing w:after="0"/>
              <w:rPr>
                <w:sz w:val="18"/>
                <w:szCs w:val="18"/>
                <w:color w:val="auto"/>
              </w:rPr>
            </w:pPr>
          </w:p>
        </w:tc>
        <w:tc>
          <w:tcPr>
            <w:tcW w:w="37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60">
              <w:r>
                <w:rPr>
                  <w:rFonts w:ascii="Arial" w:cs="Arial" w:eastAsia="Arial" w:hAnsi="Arial"/>
                  <w:sz w:val="20"/>
                  <w:szCs w:val="20"/>
                  <w:color w:val="0000FF"/>
                </w:rPr>
                <w:t>Oxley Act of 2002 (1)</w:t>
              </w:r>
            </w:hyperlink>
          </w:p>
        </w:tc>
        <w:tc>
          <w:tcPr>
            <w:tcW w:w="3760" w:type="dxa"/>
            <w:vAlign w:val="bottom"/>
          </w:tcPr>
          <w:p>
            <w:pPr>
              <w:spacing w:after="0"/>
              <w:rPr>
                <w:sz w:val="18"/>
                <w:szCs w:val="18"/>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0"/>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4"/>
              </w:rPr>
              <w:t>101.INS</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Instance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101.SCH</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Schema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101.CAL</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101.DEF</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101.LAB</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Label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101.PRE</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bl>
    <w:p>
      <w:pPr>
        <w:spacing w:after="0" w:line="236" w:lineRule="exact"/>
        <w:rPr>
          <w:sz w:val="20"/>
          <w:szCs w:val="20"/>
          <w:color w:val="auto"/>
        </w:rPr>
      </w:pPr>
    </w:p>
    <w:p>
      <w:pPr>
        <w:jc w:val="both"/>
        <w:ind w:firstLine="8"/>
        <w:spacing w:after="0" w:line="250" w:lineRule="auto"/>
        <w:tabs>
          <w:tab w:leader="none" w:pos="28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20"/>
          <w:szCs w:val="20"/>
          <w:color w:val="auto"/>
        </w:rPr>
        <w:t>Date:  November 3, 2017</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(Registrant)</w:t>
      </w:r>
    </w:p>
    <w:p>
      <w:pPr>
        <w:spacing w:after="0" w:line="21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27305</wp:posOffset>
            </wp:positionV>
            <wp:extent cx="4271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Executive Vice President and Chief Financial and</w:t>
      </w:r>
    </w:p>
    <w:p>
      <w:pPr>
        <w:ind w:left="5200"/>
        <w:spacing w:after="0"/>
        <w:rPr>
          <w:sz w:val="20"/>
          <w:szCs w:val="20"/>
          <w:color w:val="auto"/>
        </w:rPr>
      </w:pPr>
      <w:r>
        <w:rPr>
          <w:rFonts w:ascii="Arial" w:cs="Arial" w:eastAsia="Arial" w:hAnsi="Arial"/>
          <w:sz w:val="20"/>
          <w:szCs w:val="20"/>
          <w:color w:val="auto"/>
        </w:rPr>
        <w:t>Administrative Officer</w:t>
      </w:r>
    </w:p>
    <w:p>
      <w:pPr>
        <w:ind w:left="520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420"/>
          </w:cols>
          <w:pgMar w:left="240" w:top="122"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Elizabeth A. Smith, certify that:</w:t>
      </w:r>
    </w:p>
    <w:p>
      <w:pPr>
        <w:spacing w:after="0" w:line="229"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November 3, 2017</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11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16"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November 3, 2017</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and Administrative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11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September 24, 2017 as filed with the Securities and Exchange Commission on the date hereof (the “Report”), I, Elizabeth A. Smith,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November 3, 2017</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September 24, 2017 as filed with the Securities and Exchange Commission on the date hereof (the “Report”), I, David J. Deno, Executive Vice President and Chief Financial and Administrative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November 3, 2017</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Executive Vice President and Chief Financial and Administrative Officer</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0"/>
    </w:lvl>
  </w:abstractNum>
  <w:abstractNum w:abstractNumId="10">
    <w:nsid w:val="B03E0C6"/>
    <w:multiLevelType w:val="hybridMultilevel"/>
    <w:lvl w:ilvl="0">
      <w:lvlJc w:val="left"/>
      <w:lvlText w:val="%1."/>
      <w:numFmt w:val="decimal"/>
      <w:start w:val="1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4"/>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lowerRoman"/>
      <w:start w:val="8"/>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lvl w:ilvl="1">
      <w:lvlJc w:val="left"/>
      <w:lvlText w:val="(%2)"/>
      <w:numFmt w:val="lowerRoman"/>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3"/>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2019-12-29T03:56:33Z</dcterms:created>
  <dcterms:modified xsi:type="dcterms:W3CDTF">2019-12-29T03:56:33Z</dcterms:modified>
</cp:coreProperties>
</file>