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7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233680</wp:posOffset>
            </wp:positionH>
            <wp:positionV relativeFrom="page">
              <wp:posOffset>800735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748665</wp:posOffset>
            </wp:positionV>
            <wp:extent cx="708914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34290"/>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7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25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 xml:space="preserve">Date of Report (Date of earliest event reported) </w:t>
      </w:r>
      <w:r>
        <w:rPr>
          <w:rFonts w:ascii="Times New Roman" w:cs="Times New Roman" w:eastAsia="Times New Roman" w:hAnsi="Times New Roman"/>
          <w:sz w:val="20"/>
          <w:szCs w:val="20"/>
          <w:b w:val="1"/>
          <w:bCs w:val="1"/>
          <w:color w:val="auto"/>
        </w:rPr>
        <w:t>April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170815</wp:posOffset>
            </wp:positionV>
            <wp:extent cx="865505" cy="1380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5505" cy="13804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BLOOMIN’ BRANDS, INC.</w:t>
      </w:r>
    </w:p>
    <w:p>
      <w:pPr>
        <w:spacing w:after="0" w:line="6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352" w:lineRule="exact"/>
        <w:rPr>
          <w:sz w:val="24"/>
          <w:szCs w:val="24"/>
          <w:color w:val="auto"/>
        </w:rPr>
      </w:pPr>
    </w:p>
    <w:tbl>
      <w:tblPr>
        <w:tblLayout w:type="fixed"/>
        <w:tblInd w:w="1200" w:type="dxa"/>
        <w:tblCellMar>
          <w:top w:w="0" w:type="dxa"/>
          <w:left w:w="0" w:type="dxa"/>
          <w:bottom w:w="0" w:type="dxa"/>
          <w:right w:w="0" w:type="dxa"/>
        </w:tblCellMar>
      </w:tblPr>
      <w:tr>
        <w:trPr>
          <w:trHeight w:val="260"/>
        </w:trPr>
        <w:tc>
          <w:tcPr>
            <w:tcW w:w="2800" w:type="dxa"/>
            <w:vAlign w:val="bottom"/>
          </w:tcPr>
          <w:p>
            <w:pPr>
              <w:jc w:val="center"/>
              <w:ind w:right="421"/>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3440" w:type="dxa"/>
            <w:vAlign w:val="bottom"/>
          </w:tcPr>
          <w:p>
            <w:pPr>
              <w:jc w:val="right"/>
              <w:ind w:right="1301"/>
              <w:spacing w:after="0"/>
              <w:rPr>
                <w:sz w:val="20"/>
                <w:szCs w:val="20"/>
                <w:color w:val="auto"/>
              </w:rPr>
            </w:pPr>
            <w:r>
              <w:rPr>
                <w:rFonts w:ascii="Times New Roman" w:cs="Times New Roman" w:eastAsia="Times New Roman" w:hAnsi="Times New Roman"/>
                <w:sz w:val="20"/>
                <w:szCs w:val="20"/>
                <w:b w:val="1"/>
                <w:bCs w:val="1"/>
                <w:color w:val="auto"/>
              </w:rPr>
              <w:t>001-35625</w:t>
            </w:r>
          </w:p>
        </w:tc>
        <w:tc>
          <w:tcPr>
            <w:tcW w:w="2200" w:type="dxa"/>
            <w:vAlign w:val="bottom"/>
          </w:tcPr>
          <w:p>
            <w:pPr>
              <w:jc w:val="center"/>
              <w:ind w:left="621"/>
              <w:spacing w:after="0"/>
              <w:rPr>
                <w:sz w:val="20"/>
                <w:szCs w:val="20"/>
                <w:color w:val="auto"/>
              </w:rPr>
            </w:pPr>
            <w:r>
              <w:rPr>
                <w:rFonts w:ascii="Times New Roman" w:cs="Times New Roman" w:eastAsia="Times New Roman" w:hAnsi="Times New Roman"/>
                <w:sz w:val="20"/>
                <w:szCs w:val="20"/>
                <w:b w:val="1"/>
                <w:bCs w:val="1"/>
                <w:color w:val="auto"/>
                <w:w w:val="99"/>
              </w:rPr>
              <w:t>20-8023465</w:t>
            </w:r>
          </w:p>
        </w:tc>
      </w:tr>
      <w:tr>
        <w:trPr>
          <w:trHeight w:val="198"/>
        </w:trPr>
        <w:tc>
          <w:tcPr>
            <w:tcW w:w="2800" w:type="dxa"/>
            <w:vAlign w:val="bottom"/>
          </w:tcPr>
          <w:p>
            <w:pPr>
              <w:jc w:val="center"/>
              <w:ind w:right="401"/>
              <w:spacing w:after="0" w:line="198" w:lineRule="exact"/>
              <w:rPr>
                <w:sz w:val="20"/>
                <w:szCs w:val="20"/>
                <w:color w:val="auto"/>
              </w:rPr>
            </w:pPr>
            <w:r>
              <w:rPr>
                <w:rFonts w:ascii="Times New Roman" w:cs="Times New Roman" w:eastAsia="Times New Roman" w:hAnsi="Times New Roman"/>
                <w:sz w:val="20"/>
                <w:szCs w:val="20"/>
                <w:color w:val="auto"/>
                <w:w w:val="99"/>
              </w:rPr>
              <w:t>(State or other jurisdiction of</w:t>
            </w:r>
          </w:p>
        </w:tc>
        <w:tc>
          <w:tcPr>
            <w:tcW w:w="3440" w:type="dxa"/>
            <w:vAlign w:val="bottom"/>
          </w:tcPr>
          <w:p>
            <w:pPr>
              <w:jc w:val="center"/>
              <w:ind w:right="101"/>
              <w:spacing w:after="0" w:line="198" w:lineRule="exact"/>
              <w:rPr>
                <w:sz w:val="20"/>
                <w:szCs w:val="20"/>
                <w:color w:val="auto"/>
              </w:rPr>
            </w:pPr>
            <w:r>
              <w:rPr>
                <w:rFonts w:ascii="Times New Roman" w:cs="Times New Roman" w:eastAsia="Times New Roman" w:hAnsi="Times New Roman"/>
                <w:sz w:val="20"/>
                <w:szCs w:val="20"/>
                <w:color w:val="auto"/>
                <w:w w:val="99"/>
              </w:rPr>
              <w:t>(Commission File Number)</w:t>
            </w:r>
          </w:p>
        </w:tc>
        <w:tc>
          <w:tcPr>
            <w:tcW w:w="2200" w:type="dxa"/>
            <w:vAlign w:val="bottom"/>
          </w:tcPr>
          <w:p>
            <w:pPr>
              <w:jc w:val="center"/>
              <w:ind w:left="621"/>
              <w:spacing w:after="0" w:line="198" w:lineRule="exact"/>
              <w:rPr>
                <w:sz w:val="20"/>
                <w:szCs w:val="20"/>
                <w:color w:val="auto"/>
              </w:rPr>
            </w:pPr>
            <w:r>
              <w:rPr>
                <w:rFonts w:ascii="Times New Roman" w:cs="Times New Roman" w:eastAsia="Times New Roman" w:hAnsi="Times New Roman"/>
                <w:sz w:val="20"/>
                <w:szCs w:val="20"/>
                <w:color w:val="auto"/>
                <w:w w:val="98"/>
              </w:rPr>
              <w:t>(IRS Employer</w:t>
            </w:r>
          </w:p>
        </w:tc>
      </w:tr>
      <w:tr>
        <w:trPr>
          <w:trHeight w:val="258"/>
        </w:trPr>
        <w:tc>
          <w:tcPr>
            <w:tcW w:w="2800" w:type="dxa"/>
            <w:vAlign w:val="bottom"/>
          </w:tcPr>
          <w:p>
            <w:pPr>
              <w:jc w:val="center"/>
              <w:ind w:right="421"/>
              <w:spacing w:after="0"/>
              <w:rPr>
                <w:sz w:val="20"/>
                <w:szCs w:val="20"/>
                <w:color w:val="auto"/>
              </w:rPr>
            </w:pPr>
            <w:r>
              <w:rPr>
                <w:rFonts w:ascii="Times New Roman" w:cs="Times New Roman" w:eastAsia="Times New Roman" w:hAnsi="Times New Roman"/>
                <w:sz w:val="20"/>
                <w:szCs w:val="20"/>
                <w:color w:val="auto"/>
                <w:w w:val="97"/>
              </w:rPr>
              <w:t>incorporation)</w:t>
            </w:r>
          </w:p>
        </w:tc>
        <w:tc>
          <w:tcPr>
            <w:tcW w:w="3440" w:type="dxa"/>
            <w:vAlign w:val="bottom"/>
          </w:tcPr>
          <w:p>
            <w:pPr>
              <w:spacing w:after="0"/>
              <w:rPr>
                <w:sz w:val="22"/>
                <w:szCs w:val="22"/>
                <w:color w:val="auto"/>
              </w:rPr>
            </w:pPr>
          </w:p>
        </w:tc>
        <w:tc>
          <w:tcPr>
            <w:tcW w:w="2200" w:type="dxa"/>
            <w:vAlign w:val="bottom"/>
          </w:tcPr>
          <w:p>
            <w:pPr>
              <w:jc w:val="center"/>
              <w:ind w:left="621"/>
              <w:spacing w:after="0"/>
              <w:rPr>
                <w:sz w:val="20"/>
                <w:szCs w:val="20"/>
                <w:color w:val="auto"/>
              </w:rPr>
            </w:pPr>
            <w:r>
              <w:rPr>
                <w:rFonts w:ascii="Times New Roman" w:cs="Times New Roman" w:eastAsia="Times New Roman" w:hAnsi="Times New Roman"/>
                <w:sz w:val="20"/>
                <w:szCs w:val="20"/>
                <w:color w:val="auto"/>
                <w:w w:val="99"/>
              </w:rPr>
              <w:t>Identification No.)</w:t>
            </w:r>
          </w:p>
        </w:tc>
      </w:tr>
    </w:tbl>
    <w:p>
      <w:pPr>
        <w:spacing w:after="0" w:line="29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 xml:space="preserve">2202 North West Shore Boulevard, Suite 500, Tampa, </w:t>
      </w:r>
      <w:r>
        <w:rPr>
          <w:rFonts w:ascii="Times New Roman" w:cs="Times New Roman" w:eastAsia="Times New Roman" w:hAnsi="Times New Roman"/>
          <w:sz w:val="17"/>
          <w:szCs w:val="17"/>
          <w:b w:val="1"/>
          <w:bCs w:val="1"/>
          <w:color w:val="auto"/>
        </w:rPr>
        <w:t>FL</w:t>
      </w:r>
      <w:r>
        <w:rPr>
          <w:rFonts w:ascii="Times New Roman" w:cs="Times New Roman" w:eastAsia="Times New Roman" w:hAnsi="Times New Roman"/>
          <w:sz w:val="20"/>
          <w:szCs w:val="20"/>
          <w:b w:val="1"/>
          <w:bCs w:val="1"/>
          <w:color w:val="auto"/>
        </w:rPr>
        <w:t xml:space="preserve"> 33607</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(Address of principal executive offices) (Zip Code)</w:t>
      </w:r>
    </w:p>
    <w:p>
      <w:pPr>
        <w:spacing w:after="0" w:line="2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 xml:space="preserve">Registrant’s telephone number, including area code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17"/>
          <w:szCs w:val="17"/>
          <w:b w:val="1"/>
          <w:bCs w:val="1"/>
          <w:color w:val="auto"/>
        </w:rPr>
        <w:t>813</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b w:val="1"/>
          <w:bCs w:val="1"/>
          <w:color w:val="auto"/>
        </w:rPr>
        <w:t>282-1225</w:t>
      </w:r>
    </w:p>
    <w:p>
      <w:pPr>
        <w:spacing w:after="0" w:line="24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N/A</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(Former name or former address, if changed since last report)</w:t>
      </w:r>
    </w:p>
    <w:p>
      <w:pPr>
        <w:spacing w:after="0" w:line="232"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4"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Written communications pursuant to Rule 425 under the Securities Act (17 CFR 230.425)</w:t>
      </w:r>
    </w:p>
    <w:p>
      <w:pPr>
        <w:spacing w:after="0" w:line="35" w:lineRule="exact"/>
        <w:rPr>
          <w:rFonts w:ascii="MS PGothic" w:cs="MS PGothic" w:eastAsia="MS PGothic" w:hAnsi="MS PGothic"/>
          <w:sz w:val="20"/>
          <w:szCs w:val="20"/>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Soliciting material pursuant to Rule 14a-12 under the Exchange Act (17 CFR 240.14a-12)</w:t>
      </w:r>
    </w:p>
    <w:p>
      <w:pPr>
        <w:spacing w:after="0" w:line="13" w:lineRule="exact"/>
        <w:rPr>
          <w:rFonts w:ascii="MS PGothic" w:cs="MS PGothic" w:eastAsia="MS PGothic" w:hAnsi="MS PGothic"/>
          <w:sz w:val="20"/>
          <w:szCs w:val="20"/>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14d-2(b) under the Exchange Act (17 CFR 240.14d-2(b))</w:t>
      </w:r>
    </w:p>
    <w:p>
      <w:pPr>
        <w:ind w:left="380" w:hanging="372"/>
        <w:spacing w:after="0"/>
        <w:tabs>
          <w:tab w:leader="none" w:pos="3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13e-4(c) under the Exchange Act (17 CFR 240.13e-4(c))</w:t>
      </w:r>
    </w:p>
    <w:p>
      <w:pPr>
        <w:spacing w:after="0" w:line="2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ectPr>
          <w:pgSz w:w="11900" w:h="16838" w:orient="portrait"/>
          <w:cols w:equalWidth="0" w:num="1">
            <w:col w:w="11080"/>
          </w:cols>
          <w:pgMar w:left="320" w:top="1440" w:right="499" w:bottom="48" w:gutter="0" w:footer="0" w:header="0"/>
        </w:sectPr>
      </w:pPr>
    </w:p>
    <w:p>
      <w:pPr>
        <w:spacing w:after="0" w:line="140"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6"/>
          <w:szCs w:val="16"/>
          <w:color w:val="auto"/>
        </w:rPr>
        <w:t>Title of each class</w:t>
      </w:r>
    </w:p>
    <w:p>
      <w:pPr>
        <w:spacing w:after="0" w:line="30"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6"/>
          <w:szCs w:val="16"/>
          <w:color w:val="auto"/>
        </w:rPr>
        <w:t>Trading Symbol(s)</w:t>
      </w:r>
    </w:p>
    <w:p>
      <w:pPr>
        <w:spacing w:after="0" w:line="30"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6"/>
          <w:szCs w:val="16"/>
          <w:b w:val="1"/>
          <w:bCs w:val="1"/>
          <w:color w:val="auto"/>
        </w:rPr>
        <w:t>BLMN</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160"/>
        <w:spacing w:after="0" w:line="263" w:lineRule="auto"/>
        <w:rPr>
          <w:sz w:val="20"/>
          <w:szCs w:val="20"/>
          <w:color w:val="auto"/>
        </w:rPr>
      </w:pPr>
      <w:r>
        <w:rPr>
          <w:rFonts w:ascii="Times New Roman" w:cs="Times New Roman" w:eastAsia="Times New Roman" w:hAnsi="Times New Roman"/>
          <w:sz w:val="16"/>
          <w:szCs w:val="16"/>
          <w:color w:val="auto"/>
        </w:rPr>
        <w:t xml:space="preserve">Name of each exchange on which registered </w:t>
      </w:r>
      <w:r>
        <w:rPr>
          <w:rFonts w:ascii="Times New Roman" w:cs="Times New Roman" w:eastAsia="Times New Roman" w:hAnsi="Times New Roman"/>
          <w:sz w:val="16"/>
          <w:szCs w:val="16"/>
          <w:b w:val="1"/>
          <w:bCs w:val="1"/>
          <w:color w:val="auto"/>
        </w:rPr>
        <w:t>The Nasdaq Stock Market LLC (Nasdaq Global Select Market)</w:t>
      </w:r>
    </w:p>
    <w:p>
      <w:pPr>
        <w:spacing w:after="0" w:line="200" w:lineRule="exact"/>
        <w:rPr>
          <w:sz w:val="24"/>
          <w:szCs w:val="24"/>
          <w:color w:val="auto"/>
        </w:rPr>
      </w:pPr>
    </w:p>
    <w:p>
      <w:pPr>
        <w:sectPr>
          <w:pgSz w:w="11900" w:h="16838" w:orient="portrait"/>
          <w:cols w:equalWidth="0" w:num="3">
            <w:col w:w="4580" w:space="720"/>
            <w:col w:w="2040" w:space="720"/>
            <w:col w:w="3020"/>
          </w:cols>
          <w:pgMar w:left="320" w:top="1440" w:right="499" w:bottom="48" w:gutter="0" w:footer="0" w:header="0"/>
          <w:type w:val="continuous"/>
        </w:sectPr>
      </w:pPr>
    </w:p>
    <w:p>
      <w:pPr>
        <w:spacing w:after="0" w:line="176"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9"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317" w:lineRule="exact"/>
        <w:rPr>
          <w:sz w:val="24"/>
          <w:szCs w:val="24"/>
          <w:color w:val="auto"/>
        </w:rPr>
      </w:pPr>
    </w:p>
    <w:p>
      <w:pPr>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72390</wp:posOffset>
            </wp:positionV>
            <wp:extent cx="711517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342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55245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080"/>
          </w:cols>
          <w:pgMar w:left="320" w:top="1440" w:right="499" w:bottom="48"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813435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tabs>
          <w:tab w:leader="none" w:pos="960" w:val="left"/>
        </w:tabs>
        <w:rPr>
          <w:sz w:val="20"/>
          <w:szCs w:val="20"/>
          <w:color w:val="auto"/>
        </w:rPr>
      </w:pPr>
      <w:r>
        <w:rPr>
          <w:rFonts w:ascii="Times New Roman" w:cs="Times New Roman" w:eastAsia="Times New Roman" w:hAnsi="Times New Roman"/>
          <w:sz w:val="20"/>
          <w:szCs w:val="20"/>
          <w:b w:val="1"/>
          <w:bCs w:val="1"/>
          <w:color w:val="auto"/>
        </w:rPr>
        <w:t>Item 5.07</w:t>
      </w:r>
      <w:r>
        <w:rPr>
          <w:sz w:val="20"/>
          <w:szCs w:val="20"/>
          <w:color w:val="auto"/>
        </w:rPr>
        <w:tab/>
      </w:r>
      <w:r>
        <w:rPr>
          <w:rFonts w:ascii="Times New Roman" w:cs="Times New Roman" w:eastAsia="Times New Roman" w:hAnsi="Times New Roman"/>
          <w:sz w:val="19"/>
          <w:szCs w:val="19"/>
          <w:b w:val="1"/>
          <w:bCs w:val="1"/>
          <w:color w:val="auto"/>
        </w:rPr>
        <w:t>Submission of Matters to a Vote of Security Holders</w:t>
      </w:r>
    </w:p>
    <w:p>
      <w:pPr>
        <w:spacing w:after="0" w:line="2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April 22, 2026, the Company held its 2026 Annual Meeting of Stockholders (the “Annual Meeting”). A total of 75,618,251 shares of Common Stock, representing 88.71% of the shares outstanding and eligible to vote and constituting a quorum, were represented in person or by valid proxies at the Annual Meeting. The results of voting on each of the matters submitted to a vote of security holders at the Annual Meeting are as follows:</w:t>
      </w:r>
    </w:p>
    <w:p>
      <w:pPr>
        <w:spacing w:after="0" w:line="214" w:lineRule="exact"/>
        <w:rPr>
          <w:sz w:val="20"/>
          <w:szCs w:val="20"/>
          <w:color w:val="auto"/>
        </w:rPr>
      </w:pPr>
    </w:p>
    <w:p>
      <w:pPr>
        <w:ind w:left="660" w:hanging="652"/>
        <w:spacing w:after="0" w:line="283" w:lineRule="auto"/>
        <w:tabs>
          <w:tab w:leader="none" w:pos="6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Stockholders elected each of the following nine nominees as a director to serve for a one-year term expiring at the 2027 annual meeting of stockholders and until their successors have been duly elected and qualified, as set forth below.</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Votes For</w:t>
            </w:r>
          </w:p>
        </w:tc>
        <w:tc>
          <w:tcPr>
            <w:tcW w:w="226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Votes Against</w:t>
            </w:r>
          </w:p>
        </w:tc>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Abstentions</w:t>
            </w:r>
          </w:p>
        </w:tc>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Broker Non-Votes</w:t>
            </w:r>
          </w:p>
        </w:tc>
      </w:tr>
      <w:tr>
        <w:trPr>
          <w:trHeight w:val="216"/>
        </w:trPr>
        <w:tc>
          <w:tcPr>
            <w:tcW w:w="2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James L. Dinkins</w:t>
            </w: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64,817,764</w:t>
            </w:r>
          </w:p>
        </w:tc>
        <w:tc>
          <w:tcPr>
            <w:tcW w:w="1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845,467</w:t>
            </w:r>
          </w:p>
        </w:tc>
        <w:tc>
          <w:tcPr>
            <w:tcW w:w="12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342,310</w:t>
            </w:r>
          </w:p>
        </w:tc>
        <w:tc>
          <w:tcPr>
            <w:tcW w:w="10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9,612,710</w:t>
            </w:r>
          </w:p>
        </w:tc>
      </w:tr>
      <w:tr>
        <w:trPr>
          <w:trHeight w:val="21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David George</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65,005,761</w:t>
            </w:r>
          </w:p>
        </w:tc>
        <w:tc>
          <w:tcPr>
            <w:tcW w:w="12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663,139</w:t>
            </w: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336,641</w:t>
            </w:r>
          </w:p>
        </w:tc>
        <w:tc>
          <w:tcPr>
            <w:tcW w:w="10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9,612,710</w:t>
            </w:r>
          </w:p>
        </w:tc>
      </w:tr>
      <w:tr>
        <w:trPr>
          <w:trHeight w:val="219"/>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Colleen Keating</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64,944,778</w:t>
            </w: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727,543</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333,220</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9,612,710</w:t>
            </w:r>
          </w:p>
        </w:tc>
      </w:tr>
      <w:tr>
        <w:trPr>
          <w:trHeight w:val="21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Julie Kunkel</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63,638,729</w:t>
            </w:r>
          </w:p>
        </w:tc>
        <w:tc>
          <w:tcPr>
            <w:tcW w:w="12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2,033,306</w:t>
            </w: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333,506</w:t>
            </w:r>
          </w:p>
        </w:tc>
        <w:tc>
          <w:tcPr>
            <w:tcW w:w="10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9,612,710</w:t>
            </w:r>
          </w:p>
        </w:tc>
      </w:tr>
      <w:tr>
        <w:trPr>
          <w:trHeight w:val="219"/>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Rohit Lal</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64,955,244</w:t>
            </w: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713,454</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336,843</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9,612,710</w:t>
            </w:r>
          </w:p>
        </w:tc>
      </w:tr>
      <w:tr>
        <w:trPr>
          <w:trHeight w:val="21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John J. Mahoney</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62,676,969</w:t>
            </w:r>
          </w:p>
        </w:tc>
        <w:tc>
          <w:tcPr>
            <w:tcW w:w="12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2,986,844</w:t>
            </w: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341,728</w:t>
            </w:r>
          </w:p>
        </w:tc>
        <w:tc>
          <w:tcPr>
            <w:tcW w:w="10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9,612,710</w:t>
            </w:r>
          </w:p>
        </w:tc>
      </w:tr>
      <w:tr>
        <w:trPr>
          <w:trHeight w:val="219"/>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Melanie Marein-Efron</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63,474,883</w:t>
            </w: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2,196,559</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334,099</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9,612,710</w:t>
            </w:r>
          </w:p>
        </w:tc>
      </w:tr>
      <w:tr>
        <w:trPr>
          <w:trHeight w:val="21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 Michael Mohan</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59,768,902</w:t>
            </w:r>
          </w:p>
        </w:tc>
        <w:tc>
          <w:tcPr>
            <w:tcW w:w="12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5,902,206</w:t>
            </w: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334,433</w:t>
            </w:r>
          </w:p>
        </w:tc>
        <w:tc>
          <w:tcPr>
            <w:tcW w:w="10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9,612,710</w:t>
            </w:r>
          </w:p>
        </w:tc>
      </w:tr>
      <w:tr>
        <w:trPr>
          <w:trHeight w:val="219"/>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Michael Spanos</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64,942,750</w:t>
            </w: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947,640</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115,151</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9,612,710</w:t>
            </w:r>
          </w:p>
        </w:tc>
      </w:tr>
    </w:tbl>
    <w:p>
      <w:pPr>
        <w:spacing w:after="0" w:line="315" w:lineRule="exact"/>
        <w:rPr>
          <w:sz w:val="20"/>
          <w:szCs w:val="20"/>
          <w:color w:val="auto"/>
        </w:rPr>
      </w:pPr>
    </w:p>
    <w:p>
      <w:pPr>
        <w:ind w:left="660" w:hanging="652"/>
        <w:spacing w:after="0" w:line="269" w:lineRule="auto"/>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Stockholders ratified the appointment of PricewaterhouseCoopers LLP as the Company’s independent registered certified public accounting firm for the fiscal year ending December 27, 2026, as set forth below.</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Votes For</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Votes Against</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Abstentions</w:t>
            </w:r>
          </w:p>
        </w:tc>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Broker Non-Votes</w:t>
            </w:r>
          </w:p>
        </w:tc>
      </w:tr>
      <w:tr>
        <w:trPr>
          <w:trHeight w:val="216"/>
        </w:trPr>
        <w:tc>
          <w:tcPr>
            <w:tcW w:w="2700" w:type="dxa"/>
            <w:vAlign w:val="bottom"/>
            <w:tcBorders>
              <w:top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rPr>
              <w:t>73,278,970</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rPr>
              <w:t>2,274,489</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rPr>
              <w:t>64,792</w:t>
            </w:r>
          </w:p>
        </w:tc>
        <w:tc>
          <w:tcPr>
            <w:tcW w:w="10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bl>
    <w:p>
      <w:pPr>
        <w:spacing w:after="0" w:line="315" w:lineRule="exact"/>
        <w:rPr>
          <w:sz w:val="20"/>
          <w:szCs w:val="20"/>
          <w:color w:val="auto"/>
        </w:rPr>
      </w:pPr>
    </w:p>
    <w:p>
      <w:pPr>
        <w:ind w:left="660" w:hanging="652"/>
        <w:spacing w:after="0" w:line="269" w:lineRule="auto"/>
        <w:tabs>
          <w:tab w:leader="none" w:pos="6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Stockholders approved, on a non-binding advisory basis, the compensation of the Company’s named executive officers, as set forth below.</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Votes For</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Votes Against</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Abstentions</w:t>
            </w:r>
          </w:p>
        </w:tc>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Broker Non-Votes</w:t>
            </w:r>
          </w:p>
        </w:tc>
      </w:tr>
      <w:tr>
        <w:trPr>
          <w:trHeight w:val="216"/>
        </w:trPr>
        <w:tc>
          <w:tcPr>
            <w:tcW w:w="2700" w:type="dxa"/>
            <w:vAlign w:val="bottom"/>
            <w:tcBorders>
              <w:top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rPr>
              <w:t>62,878,802</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rPr>
              <w:t>2,924,007</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rPr>
              <w:t>202,732</w:t>
            </w:r>
          </w:p>
        </w:tc>
        <w:tc>
          <w:tcPr>
            <w:tcW w:w="10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rPr>
              <w:t>9,612,710</w:t>
            </w:r>
          </w:p>
        </w:tc>
      </w:tr>
    </w:tbl>
    <w:p>
      <w:pPr>
        <w:spacing w:after="0" w:line="200" w:lineRule="exact"/>
        <w:rPr>
          <w:sz w:val="20"/>
          <w:szCs w:val="20"/>
          <w:color w:val="auto"/>
        </w:rPr>
      </w:pPr>
    </w:p>
    <w:p>
      <w:pPr>
        <w:spacing w:after="0" w:line="358" w:lineRule="exact"/>
        <w:rPr>
          <w:sz w:val="20"/>
          <w:szCs w:val="20"/>
          <w:color w:val="auto"/>
        </w:rPr>
      </w:pPr>
    </w:p>
    <w:p>
      <w:pPr>
        <w:ind w:left="660" w:hanging="652"/>
        <w:spacing w:after="0" w:line="269" w:lineRule="auto"/>
        <w:tabs>
          <w:tab w:leader="none" w:pos="6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Stockholders approved the Amended and Restated Bloomin’ Brands, Inc. 2025 Omnibus Incentive Compensation Plan, as set forth below.</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Votes For</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Votes Against</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Abstentions</w:t>
            </w:r>
          </w:p>
        </w:tc>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Broker Non-Votes</w:t>
            </w:r>
          </w:p>
        </w:tc>
      </w:tr>
      <w:tr>
        <w:trPr>
          <w:trHeight w:val="216"/>
        </w:trPr>
        <w:tc>
          <w:tcPr>
            <w:tcW w:w="2700" w:type="dxa"/>
            <w:vAlign w:val="bottom"/>
            <w:tcBorders>
              <w:top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rPr>
              <w:t>55,960,143</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rPr>
              <w:t>9,905,960</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rPr>
              <w:t>139,438</w:t>
            </w:r>
          </w:p>
        </w:tc>
        <w:tc>
          <w:tcPr>
            <w:tcW w:w="10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rPr>
              <w:t>9,612,710</w:t>
            </w:r>
          </w:p>
        </w:tc>
      </w:tr>
    </w:tbl>
    <w:p>
      <w:pPr>
        <w:spacing w:after="0" w:line="301"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Stockholders did not approve the stockholder proposal regarding disclosure of employee retention demographics.</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2800" w:type="dxa"/>
            <w:vAlign w:val="bottom"/>
            <w:gridSpan w:val="2"/>
          </w:tcPr>
          <w:p>
            <w:pPr>
              <w:ind w:left="1020"/>
              <w:spacing w:after="0"/>
              <w:rPr>
                <w:sz w:val="20"/>
                <w:szCs w:val="20"/>
                <w:color w:val="auto"/>
              </w:rPr>
            </w:pPr>
            <w:r>
              <w:rPr>
                <w:rFonts w:ascii="Times New Roman" w:cs="Times New Roman" w:eastAsia="Times New Roman" w:hAnsi="Times New Roman"/>
                <w:sz w:val="16"/>
                <w:szCs w:val="16"/>
                <w:b w:val="1"/>
                <w:bCs w:val="1"/>
                <w:color w:val="auto"/>
              </w:rPr>
              <w:t>Votes For</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Votes Against</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Abstentions</w:t>
            </w:r>
          </w:p>
        </w:tc>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Broker Non-Votes</w:t>
            </w:r>
          </w:p>
        </w:tc>
      </w:tr>
      <w:tr>
        <w:trPr>
          <w:trHeight w:val="216"/>
        </w:trPr>
        <w:tc>
          <w:tcPr>
            <w:tcW w:w="270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5,973,737</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rPr>
              <w:t>59,839,238</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rPr>
              <w:t>192,566</w:t>
            </w:r>
          </w:p>
        </w:tc>
        <w:tc>
          <w:tcPr>
            <w:tcW w:w="10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rPr>
              <w:t>9,612,710</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 w:name="page4"/>
    <w:bookmarkEnd w:id="3"/>
    <w:p>
      <w:pPr>
        <w:ind w:left="660" w:hanging="652"/>
        <w:spacing w:after="0"/>
        <w:tabs>
          <w:tab w:leader="none" w:pos="6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Stockholders approved the stockholder proposal regarding issuance of “blank-check” preferred stock.</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Votes For</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Votes Against</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Abstentions</w:t>
            </w:r>
          </w:p>
        </w:tc>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Broker Non-Votes</w:t>
            </w:r>
          </w:p>
        </w:tc>
      </w:tr>
      <w:tr>
        <w:trPr>
          <w:trHeight w:val="216"/>
        </w:trPr>
        <w:tc>
          <w:tcPr>
            <w:tcW w:w="2700" w:type="dxa"/>
            <w:vAlign w:val="bottom"/>
            <w:tcBorders>
              <w:top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rPr>
              <w:t>37,991,234</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rPr>
              <w:t>27,931,886</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rPr>
              <w:t>82,421</w:t>
            </w:r>
          </w:p>
        </w:tc>
        <w:tc>
          <w:tcPr>
            <w:tcW w:w="10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rPr>
              <w:t>9,612,710</w:t>
            </w:r>
          </w:p>
        </w:tc>
      </w:tr>
    </w:tbl>
    <w:p>
      <w:pPr>
        <w:spacing w:after="0" w:line="29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 Exhibits.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19"/>
                <w:szCs w:val="19"/>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w:t>
            </w:r>
          </w:p>
        </w:tc>
        <w:tc>
          <w:tcPr>
            <w:tcW w:w="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w w:val="96"/>
              </w:rPr>
              <w:t>Description</w:t>
            </w:r>
          </w:p>
        </w:tc>
        <w:tc>
          <w:tcPr>
            <w:tcW w:w="8020" w:type="dxa"/>
            <w:vAlign w:val="bottom"/>
            <w:gridSpan w:val="3"/>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20" w:type="dxa"/>
            <w:vAlign w:val="bottom"/>
          </w:tcPr>
          <w:p>
            <w:pPr>
              <w:spacing w:after="0"/>
              <w:rPr>
                <w:sz w:val="18"/>
                <w:szCs w:val="18"/>
                <w:color w:val="auto"/>
              </w:rPr>
            </w:pPr>
          </w:p>
        </w:tc>
        <w:tc>
          <w:tcPr>
            <w:tcW w:w="660" w:type="dxa"/>
            <w:vAlign w:val="bottom"/>
            <w:tcBorders>
              <w:bottom w:val="single" w:sz="8" w:color="auto"/>
            </w:tcBorders>
          </w:tcPr>
          <w:p>
            <w:pPr>
              <w:spacing w:after="0" w:line="212" w:lineRule="exact"/>
              <w:rPr>
                <w:sz w:val="20"/>
                <w:szCs w:val="20"/>
                <w:color w:val="auto"/>
              </w:rPr>
            </w:pPr>
            <w:r>
              <w:rPr>
                <w:rFonts w:ascii="Times New Roman" w:cs="Times New Roman" w:eastAsia="Times New Roman" w:hAnsi="Times New Roman"/>
                <w:sz w:val="20"/>
                <w:szCs w:val="20"/>
                <w:color w:val="auto"/>
                <w:w w:val="97"/>
              </w:rPr>
              <w:t>Number</w:t>
            </w:r>
          </w:p>
        </w:tc>
        <w:tc>
          <w:tcPr>
            <w:tcW w:w="1120" w:type="dxa"/>
            <w:vAlign w:val="bottom"/>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80" w:type="dxa"/>
            <w:vAlign w:val="bottom"/>
            <w:gridSpan w:val="2"/>
          </w:tcPr>
          <w:p>
            <w:pPr>
              <w:ind w:left="520"/>
              <w:spacing w:after="0" w:line="223" w:lineRule="exact"/>
              <w:rPr>
                <w:sz w:val="20"/>
                <w:szCs w:val="20"/>
                <w:color w:val="auto"/>
              </w:rPr>
            </w:pPr>
            <w:r>
              <w:rPr>
                <w:rFonts w:ascii="Times New Roman" w:cs="Times New Roman" w:eastAsia="Times New Roman" w:hAnsi="Times New Roman"/>
                <w:sz w:val="20"/>
                <w:szCs w:val="20"/>
                <w:color w:val="auto"/>
              </w:rPr>
              <w:t>10.1</w:t>
            </w:r>
          </w:p>
        </w:tc>
        <w:tc>
          <w:tcPr>
            <w:tcW w:w="1120" w:type="dxa"/>
            <w:vAlign w:val="bottom"/>
          </w:tcPr>
          <w:p>
            <w:pPr>
              <w:spacing w:after="0"/>
              <w:rPr>
                <w:sz w:val="19"/>
                <w:szCs w:val="19"/>
                <w:color w:val="auto"/>
              </w:rPr>
            </w:pPr>
          </w:p>
        </w:tc>
        <w:tc>
          <w:tcPr>
            <w:tcW w:w="8940" w:type="dxa"/>
            <w:vAlign w:val="bottom"/>
            <w:gridSpan w:val="4"/>
          </w:tcPr>
          <w:p>
            <w:pPr>
              <w:spacing w:after="0" w:line="223" w:lineRule="exact"/>
              <w:rPr>
                <w:rFonts w:ascii="Times New Roman" w:cs="Times New Roman" w:eastAsia="Times New Roman" w:hAnsi="Times New Roman"/>
                <w:sz w:val="20"/>
                <w:szCs w:val="20"/>
                <w:color w:val="0000FF"/>
                <w:w w:val="98"/>
              </w:rPr>
            </w:pPr>
            <w:hyperlink r:id="rId15">
              <w:r>
                <w:rPr>
                  <w:rFonts w:ascii="Times New Roman" w:cs="Times New Roman" w:eastAsia="Times New Roman" w:hAnsi="Times New Roman"/>
                  <w:sz w:val="20"/>
                  <w:szCs w:val="20"/>
                  <w:color w:val="0000FF"/>
                  <w:w w:val="98"/>
                </w:rPr>
                <w:t>Amended and Restated Bloomin’ Brands, Inc. 2025 Omnibus Incentive Compensation Plan (incorporated herein</w:t>
              </w:r>
            </w:hyperlink>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900" w:type="dxa"/>
            <w:vAlign w:val="bottom"/>
            <w:tcBorders>
              <w:top w:val="single" w:sz="8" w:color="0000FF"/>
            </w:tcBorders>
            <w:gridSpan w:val="3"/>
          </w:tcPr>
          <w:p>
            <w:pPr>
              <w:spacing w:after="0" w:line="183" w:lineRule="exact"/>
              <w:rPr>
                <w:rFonts w:ascii="Times New Roman" w:cs="Times New Roman" w:eastAsia="Times New Roman" w:hAnsi="Times New Roman"/>
                <w:sz w:val="20"/>
                <w:szCs w:val="20"/>
                <w:color w:val="0000FF"/>
              </w:rPr>
            </w:pPr>
            <w:hyperlink r:id="rId15">
              <w:r>
                <w:rPr>
                  <w:rFonts w:ascii="Times New Roman" w:cs="Times New Roman" w:eastAsia="Times New Roman" w:hAnsi="Times New Roman"/>
                  <w:sz w:val="20"/>
                  <w:szCs w:val="20"/>
                  <w:color w:val="0000FF"/>
                </w:rPr>
                <w:t>by reference to the Definitive Proxy Statement filed by Bloomin’ Brands, Inc. on March 3, 2026)</w:t>
              </w:r>
            </w:hyperlink>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180" w:type="dxa"/>
            <w:vAlign w:val="bottom"/>
            <w:gridSpan w:val="2"/>
          </w:tcPr>
          <w:p>
            <w:pPr>
              <w:ind w:left="520"/>
              <w:spacing w:after="0"/>
              <w:rPr>
                <w:sz w:val="20"/>
                <w:szCs w:val="20"/>
                <w:color w:val="auto"/>
              </w:rPr>
            </w:pPr>
            <w:r>
              <w:rPr>
                <w:rFonts w:ascii="Times New Roman" w:cs="Times New Roman" w:eastAsia="Times New Roman" w:hAnsi="Times New Roman"/>
                <w:sz w:val="20"/>
                <w:szCs w:val="20"/>
                <w:color w:val="auto"/>
              </w:rPr>
              <w:t>104</w:t>
            </w:r>
          </w:p>
        </w:tc>
        <w:tc>
          <w:tcPr>
            <w:tcW w:w="1120" w:type="dxa"/>
            <w:vAlign w:val="bottom"/>
          </w:tcPr>
          <w:p>
            <w:pPr>
              <w:spacing w:after="0"/>
              <w:rPr>
                <w:sz w:val="23"/>
                <w:szCs w:val="23"/>
                <w:color w:val="auto"/>
              </w:rPr>
            </w:pPr>
          </w:p>
        </w:tc>
        <w:tc>
          <w:tcPr>
            <w:tcW w:w="76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c>
          <w:tcPr>
            <w:tcW w:w="126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872"/>
        </w:trPr>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80" w:type="dxa"/>
            <w:vAlign w:val="bottom"/>
            <w:gridSpan w:val="2"/>
          </w:tcPr>
          <w:p>
            <w:pPr>
              <w:ind w:left="3280"/>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7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4" w:name="page5"/>
    <w:bookmarkEnd w:id="4"/>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6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32"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20"/>
          <w:szCs w:val="20"/>
          <w:color w:val="auto"/>
        </w:rPr>
        <w:t>(Registrant)</w:t>
      </w:r>
    </w:p>
    <w:p>
      <w:pPr>
        <w:spacing w:after="0" w:line="295" w:lineRule="exact"/>
        <w:rPr>
          <w:sz w:val="20"/>
          <w:szCs w:val="20"/>
          <w:color w:val="auto"/>
        </w:rPr>
      </w:pPr>
    </w:p>
    <w:p>
      <w:pPr>
        <w:ind w:left="200"/>
        <w:spacing w:after="0"/>
        <w:tabs>
          <w:tab w:leader="none" w:pos="5160" w:val="left"/>
          <w:tab w:leader="none" w:pos="5640" w:val="left"/>
        </w:tabs>
        <w:rPr>
          <w:sz w:val="20"/>
          <w:szCs w:val="20"/>
          <w:color w:val="auto"/>
        </w:rPr>
      </w:pPr>
      <w:r>
        <w:rPr>
          <w:rFonts w:ascii="Times New Roman" w:cs="Times New Roman" w:eastAsia="Times New Roman" w:hAnsi="Times New Roman"/>
          <w:sz w:val="20"/>
          <w:szCs w:val="20"/>
          <w:color w:val="auto"/>
        </w:rPr>
        <w:t>Date: April 24,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Kelly Lefferts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22860</wp:posOffset>
            </wp:positionV>
            <wp:extent cx="34632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63290" cy="17145"/>
                    </a:xfrm>
                    <a:prstGeom prst="rect">
                      <a:avLst/>
                    </a:prstGeom>
                    <a:noFill/>
                  </pic:spPr>
                </pic:pic>
              </a:graphicData>
            </a:graphic>
          </wp:anchor>
        </w:drawing>
      </w:r>
    </w:p>
    <w:p>
      <w:pPr>
        <w:spacing w:after="0" w:line="3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0"/>
          <w:szCs w:val="20"/>
          <w:color w:val="auto"/>
        </w:rPr>
        <w:t>Kelly Lefferts</w:t>
      </w:r>
    </w:p>
    <w:p>
      <w:pPr>
        <w:spacing w:after="0" w:line="1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0"/>
          <w:szCs w:val="20"/>
          <w:color w:val="auto"/>
        </w:rPr>
        <w:t>Executive Vice President, Chief Legal Officer and Secretary</w:t>
      </w:r>
    </w:p>
    <w:sectPr>
      <w:pgSz w:w="11900" w:h="16838" w:orient="portrait"/>
      <w:cols w:equalWidth="0" w:num="1">
        <w:col w:w="11080"/>
      </w:cols>
      <w:pgMar w:left="320" w:top="923"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1."/>
      <w:numFmt w:val="decimal"/>
      <w:start w:val="3"/>
    </w:lvl>
  </w:abstractNum>
  <w:abstractNum w:abstractNumId="4">
    <w:nsid w:val="507ED7AB"/>
    <w:multiLevelType w:val="hybridMultilevel"/>
    <w:lvl w:ilvl="0">
      <w:lvlJc w:val="left"/>
      <w:lvlText w:val="%1."/>
      <w:numFmt w:val="decimal"/>
      <w:start w:val="4"/>
    </w:lvl>
  </w:abstractNum>
  <w:abstractNum w:abstractNumId="5">
    <w:nsid w:val="2EB141F2"/>
    <w:multiLevelType w:val="hybridMultilevel"/>
    <w:lvl w:ilvl="0">
      <w:lvlJc w:val="left"/>
      <w:lvlText w:val="%1."/>
      <w:numFmt w:val="decimal"/>
      <w:start w:val="5"/>
    </w:lvl>
  </w:abstractNum>
  <w:abstractNum w:abstractNumId="6">
    <w:nsid w:val="41B71EFB"/>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5" Type="http://schemas.openxmlformats.org/officeDocument/2006/relationships/hyperlink" Target="https://www.sec.gov/ix?doc=/Archives/edgar/data/1546417/000154641726000015/blmn-20260302.htm#i0e6f10cd1aca4eaa8365ea332d599b32_3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2026-04-24T07:02:36Z</dcterms:created>
  <dcterms:modified xsi:type="dcterms:W3CDTF">2026-04-24T07:02:36Z</dcterms:modified>
</cp:coreProperties>
</file>