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23" w:lineRule="exact"/>
        <w:rPr>
          <w:sz w:val="24"/>
          <w:szCs w:val="24"/>
          <w:color w:val="auto"/>
        </w:rPr>
      </w:pPr>
    </w:p>
    <w:p>
      <w:pPr>
        <w:ind w:left="1700" w:right="560" w:hanging="801"/>
        <w:spacing w:after="0" w:line="192" w:lineRule="auto"/>
        <w:tabs>
          <w:tab w:leader="none" w:pos="1700" w:val="left"/>
        </w:tabs>
        <w:numPr>
          <w:ilvl w:val="0"/>
          <w:numId w:val="1"/>
        </w:numPr>
        <w:rPr>
          <w:rFonts w:ascii="MS PGothic" w:cs="MS PGothic" w:eastAsia="MS PGothic" w:hAnsi="MS PGothic"/>
          <w:sz w:val="32"/>
          <w:szCs w:val="3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rFonts w:ascii="MS PGothic" w:cs="MS PGothic" w:eastAsia="MS PGothic" w:hAnsi="MS PGothic"/>
          <w:sz w:val="32"/>
          <w:szCs w:val="32"/>
          <w:color w:val="auto"/>
        </w:rPr>
      </w:pPr>
    </w:p>
    <w:p>
      <w:pPr>
        <w:ind w:left="1700"/>
        <w:spacing w:after="0"/>
        <w:rPr>
          <w:rFonts w:ascii="MS PGothic" w:cs="MS PGothic" w:eastAsia="MS PGothic" w:hAnsi="MS PGothic"/>
          <w:sz w:val="32"/>
          <w:szCs w:val="32"/>
          <w:color w:val="auto"/>
        </w:rPr>
      </w:pPr>
      <w:r>
        <w:rPr>
          <w:rFonts w:ascii="Times New Roman" w:cs="Times New Roman" w:eastAsia="Times New Roman" w:hAnsi="Times New Roman"/>
          <w:sz w:val="20"/>
          <w:szCs w:val="20"/>
          <w:color w:val="auto"/>
        </w:rPr>
        <w:t>For the quarterly period ended September 27, 2020</w:t>
      </w:r>
    </w:p>
    <w:p>
      <w:pPr>
        <w:spacing w:after="0" w:line="13" w:lineRule="exact"/>
        <w:rPr>
          <w:sz w:val="24"/>
          <w:szCs w:val="24"/>
          <w:color w:val="auto"/>
        </w:rPr>
      </w:pPr>
    </w:p>
    <w:p>
      <w:pPr>
        <w:ind w:left="6160"/>
        <w:spacing w:after="0"/>
        <w:rPr>
          <w:sz w:val="20"/>
          <w:szCs w:val="20"/>
          <w:color w:val="auto"/>
        </w:rPr>
      </w:pPr>
      <w:r>
        <w:rPr>
          <w:rFonts w:ascii="Times New Roman" w:cs="Times New Roman" w:eastAsia="Times New Roman" w:hAnsi="Times New Roman"/>
          <w:sz w:val="20"/>
          <w:szCs w:val="20"/>
          <w:color w:val="auto"/>
        </w:rPr>
        <w:t>or</w:t>
      </w:r>
    </w:p>
    <w:p>
      <w:pPr>
        <w:spacing w:after="0" w:line="3" w:lineRule="exact"/>
        <w:rPr>
          <w:sz w:val="24"/>
          <w:szCs w:val="24"/>
          <w:color w:val="auto"/>
        </w:rPr>
      </w:pPr>
    </w:p>
    <w:p>
      <w:pPr>
        <w:ind w:left="1700" w:right="540" w:hanging="801"/>
        <w:spacing w:after="0" w:line="192" w:lineRule="auto"/>
        <w:tabs>
          <w:tab w:leader="none" w:pos="1700" w:val="left"/>
        </w:tabs>
        <w:numPr>
          <w:ilvl w:val="0"/>
          <w:numId w:val="2"/>
        </w:numPr>
        <w:rPr>
          <w:rFonts w:ascii="MS PGothic" w:cs="MS PGothic" w:eastAsia="MS PGothic" w:hAnsi="MS PGothic"/>
          <w:sz w:val="32"/>
          <w:szCs w:val="3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rFonts w:ascii="MS PGothic" w:cs="MS PGothic" w:eastAsia="MS PGothic" w:hAnsi="MS PGothic"/>
          <w:sz w:val="32"/>
          <w:szCs w:val="32"/>
          <w:color w:val="auto"/>
        </w:rPr>
      </w:pPr>
    </w:p>
    <w:p>
      <w:pPr>
        <w:ind w:left="1700"/>
        <w:spacing w:after="0"/>
        <w:rPr>
          <w:rFonts w:ascii="MS PGothic" w:cs="MS PGothic" w:eastAsia="MS PGothic" w:hAnsi="MS PGothic"/>
          <w:sz w:val="32"/>
          <w:szCs w:val="32"/>
          <w:color w:val="auto"/>
        </w:rPr>
      </w:pPr>
      <w:r>
        <w:rPr>
          <w:rFonts w:ascii="Times New Roman" w:cs="Times New Roman" w:eastAsia="Times New Roman" w:hAnsi="Times New Roman"/>
          <w:sz w:val="20"/>
          <w:szCs w:val="20"/>
          <w:color w:val="auto"/>
        </w:rPr>
        <w:t>For the transition period from ______ to ______</w:t>
      </w:r>
    </w:p>
    <w:p>
      <w:pPr>
        <w:spacing w:after="0" w:line="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168275</wp:posOffset>
            </wp:positionV>
            <wp:extent cx="865505"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080"/>
          </w:cols>
          <w:pgMar w:left="320" w:top="1004" w:right="499" w:bottom="0" w:gutter="0" w:footer="0" w:header="0"/>
        </w:sectPr>
      </w:pPr>
    </w:p>
    <w:p>
      <w:pPr>
        <w:spacing w:after="0" w:line="10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20-8023465</w:t>
      </w:r>
    </w:p>
    <w:p>
      <w:pPr>
        <w:spacing w:after="0" w:line="34"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00" w:lineRule="exact"/>
        <w:rPr>
          <w:sz w:val="24"/>
          <w:szCs w:val="24"/>
          <w:color w:val="auto"/>
        </w:rPr>
      </w:pPr>
    </w:p>
    <w:p>
      <w:pPr>
        <w:sectPr>
          <w:pgSz w:w="11900" w:h="16838" w:orient="portrait"/>
          <w:cols w:equalWidth="0" w:num="2">
            <w:col w:w="6560" w:space="720"/>
            <w:col w:w="3800"/>
          </w:cols>
          <w:pgMar w:left="320" w:top="1004" w:right="499" w:bottom="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2202 North West Shore Boulevard, Suite 500, Tampa, FL 33607</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(813) 282-1225</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ectPr>
          <w:pgSz w:w="11900" w:h="16838" w:orient="portrait"/>
          <w:cols w:equalWidth="0" w:num="1">
            <w:col w:w="11080"/>
          </w:cols>
          <w:pgMar w:left="320" w:top="1004" w:right="499" w:bottom="0" w:gutter="0" w:footer="0" w:header="0"/>
          <w:type w:val="continuous"/>
        </w:sectPr>
      </w:pPr>
    </w:p>
    <w:p>
      <w:pPr>
        <w:spacing w:after="0" w:line="200" w:lineRule="exact"/>
        <w:rPr>
          <w:sz w:val="24"/>
          <w:szCs w:val="24"/>
          <w:color w:val="auto"/>
        </w:rPr>
      </w:pPr>
    </w:p>
    <w:p>
      <w:pPr>
        <w:spacing w:after="0" w:line="354" w:lineRule="exact"/>
        <w:rPr>
          <w:sz w:val="24"/>
          <w:szCs w:val="24"/>
          <w:color w:val="auto"/>
        </w:rPr>
      </w:pPr>
    </w:p>
    <w:p>
      <w:pPr>
        <w:jc w:val="center"/>
        <w:ind w:left="114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30" w:lineRule="exact"/>
        <w:rPr>
          <w:sz w:val="24"/>
          <w:szCs w:val="24"/>
          <w:color w:val="auto"/>
        </w:rPr>
      </w:pPr>
    </w:p>
    <w:p>
      <w:pPr>
        <w:jc w:val="center"/>
        <w:ind w:left="112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4" w:lineRule="exact"/>
        <w:rPr>
          <w:sz w:val="24"/>
          <w:szCs w:val="24"/>
          <w:color w:val="auto"/>
        </w:rPr>
      </w:pPr>
    </w:p>
    <w:p>
      <w:pPr>
        <w:jc w:val="center"/>
        <w:ind w:right="46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3280" w:space="480"/>
            <w:col w:w="3740" w:space="260"/>
            <w:col w:w="3320"/>
          </w:cols>
          <w:pgMar w:left="320" w:top="1004" w:right="499" w:bottom="0" w:gutter="0" w:footer="0" w:header="0"/>
          <w:type w:val="continuous"/>
        </w:sectPr>
      </w:pPr>
    </w:p>
    <w:p>
      <w:pPr>
        <w:spacing w:after="0" w:line="95" w:lineRule="exact"/>
        <w:rPr>
          <w:sz w:val="24"/>
          <w:szCs w:val="24"/>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38"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38"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p>
      <w:pPr>
        <w:jc w:val="center"/>
        <w:ind w:right="-159"/>
        <w:spacing w:after="0" w:line="288"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25"/>
          <w:szCs w:val="25"/>
          <w:color w:val="auto"/>
        </w:rPr>
        <w:t>☐</w:t>
      </w:r>
    </w:p>
    <w:p>
      <w:pPr>
        <w:spacing w:after="0" w:line="70" w:lineRule="exact"/>
        <w:rPr>
          <w:sz w:val="24"/>
          <w:szCs w:val="24"/>
          <w:color w:val="auto"/>
        </w:rPr>
      </w:pPr>
    </w:p>
    <w:p>
      <w:pPr>
        <w:jc w:val="center"/>
        <w:ind w:right="-159"/>
        <w:spacing w:after="0" w:line="288"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25"/>
          <w:szCs w:val="25"/>
          <w:color w:val="auto"/>
        </w:rPr>
        <w:t>☐</w:t>
      </w:r>
    </w:p>
    <w:p>
      <w:pPr>
        <w:spacing w:after="0" w:line="238" w:lineRule="exact"/>
        <w:rPr>
          <w:sz w:val="24"/>
          <w:szCs w:val="24"/>
          <w:color w:val="auto"/>
        </w:rPr>
      </w:pPr>
    </w:p>
    <w:p>
      <w:pPr>
        <w:spacing w:after="0" w:line="28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pacing w:after="0" w:line="143"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ectPr>
          <w:pgSz w:w="11900" w:h="16838" w:orient="portrait"/>
          <w:cols w:equalWidth="0" w:num="1">
            <w:col w:w="11080"/>
          </w:cols>
          <w:pgMar w:left="320" w:top="1004" w:right="49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October 27, 2020, 87,574,515 shares of common stock of the registrant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40" w:type="dxa"/>
            <w:vAlign w:val="bottom"/>
            <w:gridSpan w:val="12"/>
          </w:tcPr>
          <w:p>
            <w:pPr>
              <w:jc w:val="center"/>
              <w:ind w:right="1980"/>
              <w:spacing w:after="0"/>
              <w:rPr>
                <w:sz w:val="20"/>
                <w:szCs w:val="20"/>
                <w:color w:val="auto"/>
              </w:rPr>
            </w:pPr>
            <w:r>
              <w:rPr>
                <w:rFonts w:ascii="Times New Roman" w:cs="Times New Roman" w:eastAsia="Times New Roman" w:hAnsi="Times New Roman"/>
                <w:sz w:val="20"/>
                <w:szCs w:val="20"/>
                <w:b w:val="1"/>
                <w:bCs w:val="1"/>
                <w:color w:val="auto"/>
                <w:w w:val="98"/>
              </w:rPr>
              <w:t>BLOOMIN’ BRANDS, INC.</w:t>
            </w:r>
          </w:p>
        </w:tc>
        <w:tc>
          <w:tcPr>
            <w:tcW w:w="1600" w:type="dxa"/>
            <w:vAlign w:val="bottom"/>
          </w:tcPr>
          <w:p>
            <w:pPr>
              <w:spacing w:after="0"/>
              <w:rPr>
                <w:sz w:val="22"/>
                <w:szCs w:val="22"/>
                <w:color w:val="auto"/>
              </w:rPr>
            </w:pPr>
          </w:p>
        </w:tc>
      </w:tr>
      <w:tr>
        <w:trPr>
          <w:trHeight w:val="917"/>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00" w:type="dxa"/>
            <w:vAlign w:val="bottom"/>
            <w:gridSpan w:val="13"/>
          </w:tcPr>
          <w:p>
            <w:pPr>
              <w:jc w:val="center"/>
              <w:ind w:right="1720"/>
              <w:spacing w:after="0"/>
              <w:rPr>
                <w:sz w:val="20"/>
                <w:szCs w:val="20"/>
                <w:color w:val="auto"/>
              </w:rPr>
            </w:pPr>
            <w:r>
              <w:rPr>
                <w:rFonts w:ascii="Times New Roman" w:cs="Times New Roman" w:eastAsia="Times New Roman" w:hAnsi="Times New Roman"/>
                <w:sz w:val="20"/>
                <w:szCs w:val="20"/>
                <w:color w:val="auto"/>
                <w:w w:val="97"/>
              </w:rPr>
              <w:t>INDEX TO QUARTERLY REPORT ON FORM 10-Q</w:t>
            </w:r>
          </w:p>
        </w:tc>
        <w:tc>
          <w:tcPr>
            <w:tcW w:w="1600" w:type="dxa"/>
            <w:vAlign w:val="bottom"/>
          </w:tcPr>
          <w:p>
            <w:pPr>
              <w:spacing w:after="0"/>
              <w:rPr>
                <w:sz w:val="24"/>
                <w:szCs w:val="24"/>
                <w:color w:val="auto"/>
              </w:rPr>
            </w:pPr>
          </w:p>
        </w:tc>
      </w:tr>
      <w:tr>
        <w:trPr>
          <w:trHeight w:val="230"/>
        </w:trPr>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300" w:type="dxa"/>
            <w:vAlign w:val="bottom"/>
            <w:gridSpan w:val="13"/>
          </w:tcPr>
          <w:p>
            <w:pPr>
              <w:jc w:val="center"/>
              <w:ind w:right="1720"/>
              <w:spacing w:after="0"/>
              <w:rPr>
                <w:sz w:val="20"/>
                <w:szCs w:val="20"/>
                <w:color w:val="auto"/>
              </w:rPr>
            </w:pPr>
            <w:r>
              <w:rPr>
                <w:rFonts w:ascii="Times New Roman" w:cs="Times New Roman" w:eastAsia="Times New Roman" w:hAnsi="Times New Roman"/>
                <w:sz w:val="20"/>
                <w:szCs w:val="20"/>
                <w:color w:val="auto"/>
                <w:w w:val="99"/>
              </w:rPr>
              <w:t>For the Quarterly Period Ended September 27, 2020</w:t>
            </w:r>
          </w:p>
        </w:tc>
        <w:tc>
          <w:tcPr>
            <w:tcW w:w="1600" w:type="dxa"/>
            <w:vAlign w:val="bottom"/>
          </w:tcPr>
          <w:p>
            <w:pPr>
              <w:spacing w:after="0"/>
              <w:rPr>
                <w:sz w:val="19"/>
                <w:szCs w:val="19"/>
                <w:color w:val="auto"/>
              </w:rPr>
            </w:pPr>
          </w:p>
        </w:tc>
      </w:tr>
      <w:tr>
        <w:trPr>
          <w:trHeight w:val="258"/>
        </w:trPr>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00" w:type="dxa"/>
            <w:vAlign w:val="bottom"/>
            <w:gridSpan w:val="9"/>
          </w:tcPr>
          <w:p>
            <w:pPr>
              <w:jc w:val="center"/>
              <w:ind w:right="3540"/>
              <w:spacing w:after="0"/>
              <w:rPr>
                <w:sz w:val="20"/>
                <w:szCs w:val="20"/>
                <w:color w:val="auto"/>
              </w:rPr>
            </w:pPr>
            <w:r>
              <w:rPr>
                <w:rFonts w:ascii="Times New Roman" w:cs="Times New Roman" w:eastAsia="Times New Roman" w:hAnsi="Times New Roman"/>
                <w:sz w:val="20"/>
                <w:szCs w:val="20"/>
                <w:color w:val="auto"/>
                <w:w w:val="99"/>
              </w:rPr>
              <w:t>(Unaudited)</w:t>
            </w:r>
          </w:p>
        </w:tc>
        <w:tc>
          <w:tcPr>
            <w:tcW w:w="1600" w:type="dxa"/>
            <w:vAlign w:val="bottom"/>
          </w:tcPr>
          <w:p>
            <w:pPr>
              <w:spacing w:after="0"/>
              <w:rPr>
                <w:sz w:val="22"/>
                <w:szCs w:val="22"/>
                <w:color w:val="auto"/>
              </w:rPr>
            </w:pPr>
          </w:p>
        </w:tc>
      </w:tr>
      <w:tr>
        <w:trPr>
          <w:trHeight w:val="473"/>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12"/>
          </w:tcPr>
          <w:p>
            <w:pPr>
              <w:jc w:val="center"/>
              <w:ind w:right="200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1600" w:type="dxa"/>
            <w:vAlign w:val="bottom"/>
          </w:tcPr>
          <w:p>
            <w:pPr>
              <w:spacing w:after="0"/>
              <w:rPr>
                <w:sz w:val="24"/>
                <w:szCs w:val="24"/>
                <w:color w:val="auto"/>
              </w:rPr>
            </w:pPr>
          </w:p>
        </w:tc>
      </w:tr>
      <w:tr>
        <w:trPr>
          <w:trHeight w:val="366"/>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12"/>
          </w:tcPr>
          <w:p>
            <w:pPr>
              <w:jc w:val="center"/>
              <w:ind w:right="2480"/>
              <w:spacing w:after="0"/>
              <w:rPr>
                <w:rFonts w:ascii="Times New Roman" w:cs="Times New Roman" w:eastAsia="Times New Roman" w:hAnsi="Times New Roman"/>
                <w:sz w:val="20"/>
                <w:szCs w:val="20"/>
                <w:u w:val="single" w:color="auto"/>
                <w:color w:val="0000FF"/>
                <w:w w:val="97"/>
              </w:rPr>
            </w:pPr>
            <w:hyperlink w:anchor="page3">
              <w:r>
                <w:rPr>
                  <w:rFonts w:ascii="Times New Roman" w:cs="Times New Roman" w:eastAsia="Times New Roman" w:hAnsi="Times New Roman"/>
                  <w:sz w:val="20"/>
                  <w:szCs w:val="20"/>
                  <w:u w:val="single" w:color="auto"/>
                  <w:color w:val="0000FF"/>
                  <w:w w:val="97"/>
                </w:rPr>
                <w:t>PART I — FINANCIAL INFORMATION</w:t>
              </w:r>
            </w:hyperlink>
          </w:p>
        </w:tc>
        <w:tc>
          <w:tcPr>
            <w:tcW w:w="16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Page No.</w:t>
            </w:r>
          </w:p>
        </w:tc>
      </w:tr>
      <w:tr>
        <w:trPr>
          <w:trHeight w:val="289"/>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8720" w:type="dxa"/>
            <w:vAlign w:val="bottom"/>
            <w:gridSpan w:val="16"/>
          </w:tcPr>
          <w:p>
            <w:pPr>
              <w:ind w:left="200"/>
              <w:spacing w:after="0"/>
              <w:rPr>
                <w:rFonts w:ascii="Times New Roman" w:cs="Times New Roman" w:eastAsia="Times New Roman" w:hAnsi="Times New Roman"/>
                <w:sz w:val="20"/>
                <w:szCs w:val="20"/>
                <w:u w:val="single" w:color="auto"/>
                <w:color w:val="0000FF"/>
              </w:rPr>
            </w:pPr>
            <w:hyperlink w:anchor="page4">
              <w:r>
                <w:rPr>
                  <w:rFonts w:ascii="Times New Roman" w:cs="Times New Roman" w:eastAsia="Times New Roman" w:hAnsi="Times New Roman"/>
                  <w:sz w:val="20"/>
                  <w:szCs w:val="20"/>
                  <w:u w:val="single" w:color="auto"/>
                  <w:color w:val="0000FF"/>
                </w:rPr>
                <w:t>Financial Statements (Unaudited)</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4">
              <w:r>
                <w:rPr>
                  <w:rFonts w:ascii="Times New Roman" w:cs="Times New Roman" w:eastAsia="Times New Roman" w:hAnsi="Times New Roman"/>
                  <w:sz w:val="20"/>
                  <w:szCs w:val="20"/>
                  <w:u w:val="single" w:color="auto"/>
                  <w:color w:val="0000FF"/>
                  <w:w w:val="99"/>
                </w:rPr>
                <w:t>3</w:t>
              </w:r>
            </w:hyperlink>
          </w:p>
        </w:tc>
      </w:tr>
      <w:tr>
        <w:trPr>
          <w:trHeight w:val="513"/>
        </w:trPr>
        <w:tc>
          <w:tcPr>
            <w:tcW w:w="920" w:type="dxa"/>
            <w:vAlign w:val="bottom"/>
          </w:tcPr>
          <w:p>
            <w:pPr>
              <w:spacing w:after="0"/>
              <w:rPr>
                <w:sz w:val="24"/>
                <w:szCs w:val="24"/>
                <w:color w:val="auto"/>
              </w:rPr>
            </w:pPr>
          </w:p>
        </w:tc>
        <w:tc>
          <w:tcPr>
            <w:tcW w:w="8720" w:type="dxa"/>
            <w:vAlign w:val="bottom"/>
            <w:gridSpan w:val="16"/>
          </w:tcPr>
          <w:p>
            <w:pPr>
              <w:ind w:left="320"/>
              <w:spacing w:after="0"/>
              <w:rPr>
                <w:rFonts w:ascii="Times New Roman" w:cs="Times New Roman" w:eastAsia="Times New Roman" w:hAnsi="Times New Roman"/>
                <w:sz w:val="20"/>
                <w:szCs w:val="20"/>
                <w:u w:val="single" w:color="auto"/>
                <w:color w:val="0000FF"/>
              </w:rPr>
            </w:pPr>
            <w:hyperlink w:anchor="page4">
              <w:r>
                <w:rPr>
                  <w:rFonts w:ascii="Times New Roman" w:cs="Times New Roman" w:eastAsia="Times New Roman" w:hAnsi="Times New Roman"/>
                  <w:sz w:val="20"/>
                  <w:szCs w:val="20"/>
                  <w:u w:val="single" w:color="auto"/>
                  <w:color w:val="0000FF"/>
                </w:rPr>
                <w:t>Consolidated Financial Statements:</w:t>
              </w:r>
            </w:hyperlink>
          </w:p>
        </w:tc>
        <w:tc>
          <w:tcPr>
            <w:tcW w:w="1600" w:type="dxa"/>
            <w:vAlign w:val="bottom"/>
          </w:tcPr>
          <w:p>
            <w:pPr>
              <w:spacing w:after="0"/>
              <w:rPr>
                <w:sz w:val="24"/>
                <w:szCs w:val="24"/>
                <w:color w:val="auto"/>
              </w:rPr>
            </w:pPr>
          </w:p>
        </w:tc>
      </w:tr>
      <w:tr>
        <w:trPr>
          <w:trHeight w:val="467"/>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gridSpan w:val="15"/>
          </w:tcPr>
          <w:p>
            <w:pPr>
              <w:spacing w:after="0"/>
              <w:rPr>
                <w:rFonts w:ascii="Times New Roman" w:cs="Times New Roman" w:eastAsia="Times New Roman" w:hAnsi="Times New Roman"/>
                <w:sz w:val="20"/>
                <w:szCs w:val="20"/>
                <w:color w:val="0000FF"/>
              </w:rPr>
            </w:pPr>
            <w:hyperlink w:anchor="page4">
              <w:r>
                <w:rPr>
                  <w:rFonts w:ascii="Times New Roman" w:cs="Times New Roman" w:eastAsia="Times New Roman" w:hAnsi="Times New Roman"/>
                  <w:sz w:val="20"/>
                  <w:szCs w:val="20"/>
                  <w:u w:val="single" w:color="auto"/>
                  <w:color w:val="0000FF"/>
                </w:rPr>
                <w:t>Consolidated Balance Sheets — September</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27, </w:t>
            </w:r>
            <w:hyperlink w:anchor="page4">
              <w:r>
                <w:rPr>
                  <w:rFonts w:ascii="Times New Roman" w:cs="Times New Roman" w:eastAsia="Times New Roman" w:hAnsi="Times New Roman"/>
                  <w:sz w:val="20"/>
                  <w:szCs w:val="20"/>
                  <w:u w:val="single" w:color="auto"/>
                  <w:color w:val="0000FF"/>
                </w:rPr>
                <w:t>2020 and December 29, 2019</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4">
              <w:r>
                <w:rPr>
                  <w:rFonts w:ascii="Times New Roman" w:cs="Times New Roman" w:eastAsia="Times New Roman" w:hAnsi="Times New Roman"/>
                  <w:sz w:val="20"/>
                  <w:szCs w:val="20"/>
                  <w:u w:val="single" w:color="auto"/>
                  <w:color w:val="0000FF"/>
                  <w:w w:val="99"/>
                </w:rPr>
                <w:t>3</w:t>
              </w:r>
            </w:hyperlink>
          </w:p>
        </w:tc>
      </w:tr>
      <w:tr>
        <w:trPr>
          <w:trHeight w:val="20"/>
        </w:trPr>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79"/>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gridSpan w:val="15"/>
          </w:tcPr>
          <w:p>
            <w:pPr>
              <w:spacing w:after="0"/>
              <w:rPr>
                <w:rFonts w:ascii="Times New Roman" w:cs="Times New Roman" w:eastAsia="Times New Roman" w:hAnsi="Times New Roman"/>
                <w:sz w:val="20"/>
                <w:szCs w:val="20"/>
                <w:u w:val="single" w:color="auto"/>
                <w:color w:val="0000FF"/>
              </w:rPr>
            </w:pPr>
            <w:hyperlink w:anchor="page4">
              <w:r>
                <w:rPr>
                  <w:rFonts w:ascii="Times New Roman" w:cs="Times New Roman" w:eastAsia="Times New Roman" w:hAnsi="Times New Roman"/>
                  <w:sz w:val="20"/>
                  <w:szCs w:val="20"/>
                  <w:u w:val="single" w:color="auto"/>
                  <w:color w:val="0000FF"/>
                </w:rPr>
                <w:t>Consolidated Statements of Operations and Comprehensive (Loss) Income —</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4">
              <w:r>
                <w:rPr>
                  <w:rFonts w:ascii="Times New Roman" w:cs="Times New Roman" w:eastAsia="Times New Roman" w:hAnsi="Times New Roman"/>
                  <w:sz w:val="20"/>
                  <w:szCs w:val="20"/>
                  <w:u w:val="single" w:color="auto"/>
                  <w:color w:val="0000FF"/>
                  <w:w w:val="99"/>
                </w:rPr>
                <w:t>4</w:t>
              </w:r>
            </w:hyperlink>
          </w:p>
        </w:tc>
      </w:tr>
      <w:tr>
        <w:trPr>
          <w:trHeight w:val="203"/>
        </w:trPr>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0" w:type="dxa"/>
            <w:vAlign w:val="bottom"/>
            <w:gridSpan w:val="15"/>
          </w:tcPr>
          <w:p>
            <w:pPr>
              <w:spacing w:after="0" w:line="203" w:lineRule="exact"/>
              <w:rPr>
                <w:rFonts w:ascii="Times New Roman" w:cs="Times New Roman" w:eastAsia="Times New Roman" w:hAnsi="Times New Roman"/>
                <w:sz w:val="20"/>
                <w:szCs w:val="20"/>
                <w:color w:val="0000FF"/>
              </w:rPr>
            </w:pPr>
            <w:hyperlink w:anchor="page4">
              <w:r>
                <w:rPr>
                  <w:rFonts w:ascii="Times New Roman" w:cs="Times New Roman" w:eastAsia="Times New Roman" w:hAnsi="Times New Roman"/>
                  <w:sz w:val="20"/>
                  <w:szCs w:val="20"/>
                  <w:u w:val="single" w:color="auto"/>
                  <w:color w:val="0000FF"/>
                </w:rPr>
                <w:t>For the Thirteen and Thirty</w:t>
              </w:r>
              <w:r>
                <w:rPr>
                  <w:rFonts w:ascii="Times New Roman" w:cs="Times New Roman" w:eastAsia="Times New Roman" w:hAnsi="Times New Roman"/>
                  <w:sz w:val="20"/>
                  <w:szCs w:val="20"/>
                  <w:color w:val="0000FF"/>
                </w:rPr>
                <w:t xml:space="preserve">-Nine Weeks Ended </w:t>
              </w:r>
              <w:r>
                <w:rPr>
                  <w:rFonts w:ascii="Times New Roman" w:cs="Times New Roman" w:eastAsia="Times New Roman" w:hAnsi="Times New Roman"/>
                  <w:sz w:val="20"/>
                  <w:szCs w:val="20"/>
                  <w:u w:val="single" w:color="auto"/>
                  <w:color w:val="0000FF"/>
                </w:rPr>
                <w:t>September</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27, </w:t>
            </w:r>
            <w:hyperlink w:anchor="page4">
              <w:r>
                <w:rPr>
                  <w:rFonts w:ascii="Times New Roman" w:cs="Times New Roman" w:eastAsia="Times New Roman" w:hAnsi="Times New Roman"/>
                  <w:sz w:val="20"/>
                  <w:szCs w:val="20"/>
                  <w:u w:val="single" w:color="auto"/>
                  <w:color w:val="0000FF"/>
                </w:rPr>
                <w:t>2020 and September 29, 2019</w:t>
              </w:r>
            </w:hyperlink>
          </w:p>
        </w:tc>
        <w:tc>
          <w:tcPr>
            <w:tcW w:w="16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53"/>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gridSpan w:val="15"/>
          </w:tcPr>
          <w:p>
            <w:pPr>
              <w:spacing w:after="0"/>
              <w:rPr>
                <w:rFonts w:ascii="Times New Roman" w:cs="Times New Roman" w:eastAsia="Times New Roman" w:hAnsi="Times New Roman"/>
                <w:sz w:val="20"/>
                <w:szCs w:val="20"/>
                <w:u w:val="single" w:color="auto"/>
                <w:color w:val="0000FF"/>
              </w:rPr>
            </w:pPr>
            <w:hyperlink w:anchor="page5">
              <w:r>
                <w:rPr>
                  <w:rFonts w:ascii="Times New Roman" w:cs="Times New Roman" w:eastAsia="Times New Roman" w:hAnsi="Times New Roman"/>
                  <w:sz w:val="20"/>
                  <w:szCs w:val="20"/>
                  <w:u w:val="single" w:color="auto"/>
                  <w:color w:val="0000FF"/>
                </w:rPr>
                <w:t>Consolidated Statements of Changes in Stockholders’ Equity —</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5">
              <w:r>
                <w:rPr>
                  <w:rFonts w:ascii="Times New Roman" w:cs="Times New Roman" w:eastAsia="Times New Roman" w:hAnsi="Times New Roman"/>
                  <w:sz w:val="20"/>
                  <w:szCs w:val="20"/>
                  <w:u w:val="single" w:color="auto"/>
                  <w:color w:val="0000FF"/>
                  <w:w w:val="99"/>
                </w:rPr>
                <w:t>5</w:t>
              </w:r>
            </w:hyperlink>
          </w:p>
        </w:tc>
      </w:tr>
      <w:tr>
        <w:trPr>
          <w:trHeight w:val="203"/>
        </w:trPr>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0" w:type="dxa"/>
            <w:vAlign w:val="bottom"/>
            <w:gridSpan w:val="15"/>
          </w:tcPr>
          <w:p>
            <w:pPr>
              <w:spacing w:after="0" w:line="203" w:lineRule="exact"/>
              <w:rPr>
                <w:rFonts w:ascii="Times New Roman" w:cs="Times New Roman" w:eastAsia="Times New Roman" w:hAnsi="Times New Roman"/>
                <w:sz w:val="20"/>
                <w:szCs w:val="20"/>
                <w:color w:val="0000FF"/>
              </w:rPr>
            </w:pPr>
            <w:hyperlink w:anchor="page5">
              <w:r>
                <w:rPr>
                  <w:rFonts w:ascii="Times New Roman" w:cs="Times New Roman" w:eastAsia="Times New Roman" w:hAnsi="Times New Roman"/>
                  <w:sz w:val="20"/>
                  <w:szCs w:val="20"/>
                  <w:color w:val="0000FF"/>
                </w:rPr>
                <w:t xml:space="preserve">For the Thirteen and </w:t>
              </w:r>
            </w:hyperlink>
            <w:r>
              <w:rPr>
                <w:rFonts w:ascii="Times New Roman" w:cs="Times New Roman" w:eastAsia="Times New Roman" w:hAnsi="Times New Roman"/>
                <w:sz w:val="20"/>
                <w:szCs w:val="20"/>
                <w:color w:val="0000FF"/>
              </w:rPr>
              <w:t>Th</w:t>
            </w:r>
            <w:hyperlink w:anchor="page5">
              <w:r>
                <w:rPr>
                  <w:rFonts w:ascii="Times New Roman" w:cs="Times New Roman" w:eastAsia="Times New Roman" w:hAnsi="Times New Roman"/>
                  <w:sz w:val="20"/>
                  <w:szCs w:val="20"/>
                  <w:u w:val="single" w:color="auto"/>
                  <w:color w:val="0000FF"/>
                </w:rPr>
                <w:t>irty-</w:t>
              </w:r>
            </w:hyperlink>
            <w:r>
              <w:rPr>
                <w:rFonts w:ascii="Times New Roman" w:cs="Times New Roman" w:eastAsia="Times New Roman" w:hAnsi="Times New Roman"/>
                <w:sz w:val="20"/>
                <w:szCs w:val="20"/>
                <w:color w:val="0000FF"/>
              </w:rPr>
              <w:t xml:space="preserve">Nine </w:t>
            </w:r>
            <w:hyperlink w:anchor="page5">
              <w:r>
                <w:rPr>
                  <w:rFonts w:ascii="Times New Roman" w:cs="Times New Roman" w:eastAsia="Times New Roman" w:hAnsi="Times New Roman"/>
                  <w:sz w:val="20"/>
                  <w:szCs w:val="20"/>
                  <w:color w:val="0000FF"/>
                </w:rPr>
                <w:t xml:space="preserve">Weeks Ended </w:t>
              </w:r>
              <w:r>
                <w:rPr>
                  <w:rFonts w:ascii="Times New Roman" w:cs="Times New Roman" w:eastAsia="Times New Roman" w:hAnsi="Times New Roman"/>
                  <w:sz w:val="20"/>
                  <w:szCs w:val="20"/>
                  <w:u w:val="single" w:color="auto"/>
                  <w:color w:val="0000FF"/>
                </w:rPr>
                <w:t>September</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27, </w:t>
            </w:r>
            <w:hyperlink w:anchor="page5">
              <w:r>
                <w:rPr>
                  <w:rFonts w:ascii="Times New Roman" w:cs="Times New Roman" w:eastAsia="Times New Roman" w:hAnsi="Times New Roman"/>
                  <w:sz w:val="20"/>
                  <w:szCs w:val="20"/>
                  <w:u w:val="single" w:color="auto"/>
                  <w:color w:val="0000FF"/>
                </w:rPr>
                <w:t>2020 and September 29, 2019</w:t>
              </w:r>
            </w:hyperlink>
          </w:p>
        </w:tc>
        <w:tc>
          <w:tcPr>
            <w:tcW w:w="16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79"/>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gridSpan w:val="15"/>
          </w:tcPr>
          <w:p>
            <w:pPr>
              <w:spacing w:after="0"/>
              <w:rPr>
                <w:rFonts w:ascii="Times New Roman" w:cs="Times New Roman" w:eastAsia="Times New Roman" w:hAnsi="Times New Roman"/>
                <w:sz w:val="20"/>
                <w:szCs w:val="20"/>
                <w:u w:val="single" w:color="auto"/>
                <w:color w:val="0000FF"/>
              </w:rPr>
            </w:pPr>
            <w:hyperlink w:anchor="page7">
              <w:r>
                <w:rPr>
                  <w:rFonts w:ascii="Times New Roman" w:cs="Times New Roman" w:eastAsia="Times New Roman" w:hAnsi="Times New Roman"/>
                  <w:sz w:val="20"/>
                  <w:szCs w:val="20"/>
                  <w:u w:val="single" w:color="auto"/>
                  <w:color w:val="0000FF"/>
                </w:rPr>
                <w:t>Condensed Consolidated Statements of Cash Flows —</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7">
              <w:r>
                <w:rPr>
                  <w:rFonts w:ascii="Times New Roman" w:cs="Times New Roman" w:eastAsia="Times New Roman" w:hAnsi="Times New Roman"/>
                  <w:sz w:val="20"/>
                  <w:szCs w:val="20"/>
                  <w:u w:val="single" w:color="auto"/>
                  <w:color w:val="0000FF"/>
                  <w:w w:val="99"/>
                </w:rPr>
                <w:t>7</w:t>
              </w:r>
            </w:hyperlink>
          </w:p>
        </w:tc>
      </w:tr>
      <w:tr>
        <w:trPr>
          <w:trHeight w:val="203"/>
        </w:trPr>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0" w:type="dxa"/>
            <w:vAlign w:val="bottom"/>
            <w:gridSpan w:val="15"/>
          </w:tcPr>
          <w:p>
            <w:pPr>
              <w:spacing w:after="0" w:line="203" w:lineRule="exact"/>
              <w:rPr>
                <w:rFonts w:ascii="Times New Roman" w:cs="Times New Roman" w:eastAsia="Times New Roman" w:hAnsi="Times New Roman"/>
                <w:sz w:val="20"/>
                <w:szCs w:val="20"/>
                <w:color w:val="0000FF"/>
              </w:rPr>
            </w:pPr>
            <w:hyperlink w:anchor="page7">
              <w:r>
                <w:rPr>
                  <w:rFonts w:ascii="Times New Roman" w:cs="Times New Roman" w:eastAsia="Times New Roman" w:hAnsi="Times New Roman"/>
                  <w:sz w:val="20"/>
                  <w:szCs w:val="20"/>
                  <w:color w:val="0000FF"/>
                </w:rPr>
                <w:t>For the Thirty</w:t>
              </w:r>
              <w:r>
                <w:rPr>
                  <w:rFonts w:ascii="Times New Roman" w:cs="Times New Roman" w:eastAsia="Times New Roman" w:hAnsi="Times New Roman"/>
                  <w:sz w:val="20"/>
                  <w:szCs w:val="20"/>
                  <w:u w:val="single" w:color="auto"/>
                  <w:color w:val="0000FF"/>
                </w:rPr>
                <w:t>-Nine Weeks Ended September</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27, </w:t>
            </w:r>
            <w:hyperlink w:anchor="page7">
              <w:r>
                <w:rPr>
                  <w:rFonts w:ascii="Times New Roman" w:cs="Times New Roman" w:eastAsia="Times New Roman" w:hAnsi="Times New Roman"/>
                  <w:sz w:val="20"/>
                  <w:szCs w:val="20"/>
                  <w:u w:val="single" w:color="auto"/>
                  <w:color w:val="0000FF"/>
                </w:rPr>
                <w:t>2020 and September 29, 2019</w:t>
              </w:r>
            </w:hyperlink>
          </w:p>
        </w:tc>
        <w:tc>
          <w:tcPr>
            <w:tcW w:w="16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13"/>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gridSpan w:val="15"/>
          </w:tcPr>
          <w:p>
            <w:pPr>
              <w:spacing w:after="0"/>
              <w:rPr>
                <w:rFonts w:ascii="Times New Roman" w:cs="Times New Roman" w:eastAsia="Times New Roman" w:hAnsi="Times New Roman"/>
                <w:sz w:val="20"/>
                <w:szCs w:val="20"/>
                <w:u w:val="single" w:color="auto"/>
                <w:color w:val="0000FF"/>
              </w:rPr>
            </w:pPr>
            <w:hyperlink w:anchor="page9">
              <w:r>
                <w:rPr>
                  <w:rFonts w:ascii="Times New Roman" w:cs="Times New Roman" w:eastAsia="Times New Roman" w:hAnsi="Times New Roman"/>
                  <w:sz w:val="20"/>
                  <w:szCs w:val="20"/>
                  <w:u w:val="single" w:color="auto"/>
                  <w:color w:val="0000FF"/>
                </w:rPr>
                <w:t>Notes to Consolidated Financial Statements</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9">
              <w:r>
                <w:rPr>
                  <w:rFonts w:ascii="Times New Roman" w:cs="Times New Roman" w:eastAsia="Times New Roman" w:hAnsi="Times New Roman"/>
                  <w:sz w:val="20"/>
                  <w:szCs w:val="20"/>
                  <w:u w:val="single" w:color="auto"/>
                  <w:color w:val="0000FF"/>
                  <w:w w:val="99"/>
                </w:rPr>
                <w:t>9</w:t>
              </w:r>
            </w:hyperlink>
          </w:p>
        </w:tc>
      </w:tr>
      <w:tr>
        <w:trPr>
          <w:trHeight w:val="513"/>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8720" w:type="dxa"/>
            <w:vAlign w:val="bottom"/>
            <w:gridSpan w:val="16"/>
          </w:tcPr>
          <w:p>
            <w:pPr>
              <w:ind w:left="200"/>
              <w:spacing w:after="0"/>
              <w:rPr>
                <w:rFonts w:ascii="Times New Roman" w:cs="Times New Roman" w:eastAsia="Times New Roman" w:hAnsi="Times New Roman"/>
                <w:sz w:val="20"/>
                <w:szCs w:val="20"/>
                <w:u w:val="single" w:color="auto"/>
                <w:color w:val="0000FF"/>
              </w:rPr>
            </w:pPr>
            <w:hyperlink w:anchor="page32">
              <w:r>
                <w:rPr>
                  <w:rFonts w:ascii="Times New Roman" w:cs="Times New Roman" w:eastAsia="Times New Roman" w:hAnsi="Times New Roman"/>
                  <w:sz w:val="20"/>
                  <w:szCs w:val="20"/>
                  <w:u w:val="single" w:color="auto"/>
                  <w:color w:val="0000FF"/>
                </w:rPr>
                <w:t>Management’s Discussion and Analysis of Financial Condition and Results of Operations</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32">
              <w:r>
                <w:rPr>
                  <w:rFonts w:ascii="Times New Roman" w:cs="Times New Roman" w:eastAsia="Times New Roman" w:hAnsi="Times New Roman"/>
                  <w:sz w:val="20"/>
                  <w:szCs w:val="20"/>
                  <w:u w:val="single" w:color="auto"/>
                  <w:color w:val="0000FF"/>
                  <w:w w:val="99"/>
                </w:rPr>
                <w:t>32</w:t>
              </w:r>
            </w:hyperlink>
          </w:p>
        </w:tc>
      </w:tr>
      <w:tr>
        <w:trPr>
          <w:trHeight w:val="513"/>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8720" w:type="dxa"/>
            <w:vAlign w:val="bottom"/>
            <w:gridSpan w:val="16"/>
          </w:tcPr>
          <w:p>
            <w:pPr>
              <w:ind w:left="200"/>
              <w:spacing w:after="0"/>
              <w:rPr>
                <w:rFonts w:ascii="Times New Roman" w:cs="Times New Roman" w:eastAsia="Times New Roman" w:hAnsi="Times New Roman"/>
                <w:sz w:val="20"/>
                <w:szCs w:val="20"/>
                <w:u w:val="single" w:color="auto"/>
                <w:color w:val="0000FF"/>
              </w:rPr>
            </w:pPr>
            <w:hyperlink w:anchor="page57">
              <w:r>
                <w:rPr>
                  <w:rFonts w:ascii="Times New Roman" w:cs="Times New Roman" w:eastAsia="Times New Roman" w:hAnsi="Times New Roman"/>
                  <w:sz w:val="20"/>
                  <w:szCs w:val="20"/>
                  <w:u w:val="single" w:color="auto"/>
                  <w:color w:val="0000FF"/>
                </w:rPr>
                <w:t>Quantitative and Qualitative Disclosures About Market Risk</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57">
              <w:r>
                <w:rPr>
                  <w:rFonts w:ascii="Times New Roman" w:cs="Times New Roman" w:eastAsia="Times New Roman" w:hAnsi="Times New Roman"/>
                  <w:sz w:val="20"/>
                  <w:szCs w:val="20"/>
                  <w:u w:val="single" w:color="auto"/>
                  <w:color w:val="0000FF"/>
                  <w:w w:val="99"/>
                </w:rPr>
                <w:t>57</w:t>
              </w:r>
            </w:hyperlink>
          </w:p>
        </w:tc>
      </w:tr>
      <w:tr>
        <w:trPr>
          <w:trHeight w:val="513"/>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8720" w:type="dxa"/>
            <w:vAlign w:val="bottom"/>
            <w:gridSpan w:val="16"/>
          </w:tcPr>
          <w:p>
            <w:pPr>
              <w:ind w:left="200"/>
              <w:spacing w:after="0"/>
              <w:rPr>
                <w:rFonts w:ascii="Times New Roman" w:cs="Times New Roman" w:eastAsia="Times New Roman" w:hAnsi="Times New Roman"/>
                <w:sz w:val="20"/>
                <w:szCs w:val="20"/>
                <w:u w:val="single" w:color="auto"/>
                <w:color w:val="0000FF"/>
              </w:rPr>
            </w:pPr>
            <w:hyperlink w:anchor="page58">
              <w:r>
                <w:rPr>
                  <w:rFonts w:ascii="Times New Roman" w:cs="Times New Roman" w:eastAsia="Times New Roman" w:hAnsi="Times New Roman"/>
                  <w:sz w:val="20"/>
                  <w:szCs w:val="20"/>
                  <w:u w:val="single" w:color="auto"/>
                  <w:color w:val="0000FF"/>
                </w:rPr>
                <w:t>Controls and Procedures</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58">
              <w:r>
                <w:rPr>
                  <w:rFonts w:ascii="Times New Roman" w:cs="Times New Roman" w:eastAsia="Times New Roman" w:hAnsi="Times New Roman"/>
                  <w:sz w:val="20"/>
                  <w:szCs w:val="20"/>
                  <w:u w:val="single" w:color="auto"/>
                  <w:color w:val="0000FF"/>
                  <w:w w:val="99"/>
                </w:rPr>
                <w:t>57</w:t>
              </w:r>
            </w:hyperlink>
          </w:p>
        </w:tc>
      </w:tr>
      <w:tr>
        <w:trPr>
          <w:trHeight w:val="498"/>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12"/>
          </w:tcPr>
          <w:p>
            <w:pPr>
              <w:jc w:val="center"/>
              <w:ind w:right="2500"/>
              <w:spacing w:after="0"/>
              <w:rPr>
                <w:rFonts w:ascii="Times New Roman" w:cs="Times New Roman" w:eastAsia="Times New Roman" w:hAnsi="Times New Roman"/>
                <w:sz w:val="20"/>
                <w:szCs w:val="20"/>
                <w:u w:val="single" w:color="auto"/>
                <w:color w:val="0000FF"/>
                <w:w w:val="97"/>
              </w:rPr>
            </w:pPr>
            <w:hyperlink w:anchor="page58">
              <w:r>
                <w:rPr>
                  <w:rFonts w:ascii="Times New Roman" w:cs="Times New Roman" w:eastAsia="Times New Roman" w:hAnsi="Times New Roman"/>
                  <w:sz w:val="20"/>
                  <w:szCs w:val="20"/>
                  <w:u w:val="single" w:color="auto"/>
                  <w:color w:val="0000FF"/>
                  <w:w w:val="97"/>
                </w:rPr>
                <w:t>PART II — OTHER INFORMATION</w:t>
              </w:r>
            </w:hyperlink>
          </w:p>
        </w:tc>
        <w:tc>
          <w:tcPr>
            <w:tcW w:w="1600" w:type="dxa"/>
            <w:vAlign w:val="bottom"/>
          </w:tcPr>
          <w:p>
            <w:pPr>
              <w:spacing w:after="0"/>
              <w:rPr>
                <w:sz w:val="24"/>
                <w:szCs w:val="24"/>
                <w:color w:val="auto"/>
              </w:rPr>
            </w:pPr>
          </w:p>
        </w:tc>
      </w:tr>
      <w:tr>
        <w:trPr>
          <w:trHeight w:val="258"/>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8720" w:type="dxa"/>
            <w:vAlign w:val="bottom"/>
            <w:gridSpan w:val="16"/>
          </w:tcPr>
          <w:p>
            <w:pPr>
              <w:ind w:left="200"/>
              <w:spacing w:after="0"/>
              <w:rPr>
                <w:rFonts w:ascii="Times New Roman" w:cs="Times New Roman" w:eastAsia="Times New Roman" w:hAnsi="Times New Roman"/>
                <w:sz w:val="20"/>
                <w:szCs w:val="20"/>
                <w:u w:val="single" w:color="auto"/>
                <w:color w:val="0000FF"/>
              </w:rPr>
            </w:pPr>
            <w:hyperlink w:anchor="page59">
              <w:r>
                <w:rPr>
                  <w:rFonts w:ascii="Times New Roman" w:cs="Times New Roman" w:eastAsia="Times New Roman" w:hAnsi="Times New Roman"/>
                  <w:sz w:val="20"/>
                  <w:szCs w:val="20"/>
                  <w:u w:val="single" w:color="auto"/>
                  <w:color w:val="0000FF"/>
                </w:rPr>
                <w:t>Legal Proceedings</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59">
              <w:r>
                <w:rPr>
                  <w:rFonts w:ascii="Times New Roman" w:cs="Times New Roman" w:eastAsia="Times New Roman" w:hAnsi="Times New Roman"/>
                  <w:sz w:val="20"/>
                  <w:szCs w:val="20"/>
                  <w:u w:val="single" w:color="auto"/>
                  <w:color w:val="0000FF"/>
                  <w:w w:val="99"/>
                </w:rPr>
                <w:t>58</w:t>
              </w:r>
            </w:hyperlink>
          </w:p>
        </w:tc>
      </w:tr>
      <w:tr>
        <w:trPr>
          <w:trHeight w:val="513"/>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8720" w:type="dxa"/>
            <w:vAlign w:val="bottom"/>
            <w:gridSpan w:val="16"/>
          </w:tcPr>
          <w:p>
            <w:pPr>
              <w:ind w:left="200"/>
              <w:spacing w:after="0"/>
              <w:rPr>
                <w:rFonts w:ascii="Times New Roman" w:cs="Times New Roman" w:eastAsia="Times New Roman" w:hAnsi="Times New Roman"/>
                <w:sz w:val="20"/>
                <w:szCs w:val="20"/>
                <w:u w:val="single" w:color="auto"/>
                <w:color w:val="0000FF"/>
              </w:rPr>
            </w:pPr>
            <w:hyperlink w:anchor="page59">
              <w:r>
                <w:rPr>
                  <w:rFonts w:ascii="Times New Roman" w:cs="Times New Roman" w:eastAsia="Times New Roman" w:hAnsi="Times New Roman"/>
                  <w:sz w:val="20"/>
                  <w:szCs w:val="20"/>
                  <w:u w:val="single" w:color="auto"/>
                  <w:color w:val="0000FF"/>
                </w:rPr>
                <w:t>Risk Factors</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59">
              <w:r>
                <w:rPr>
                  <w:rFonts w:ascii="Times New Roman" w:cs="Times New Roman" w:eastAsia="Times New Roman" w:hAnsi="Times New Roman"/>
                  <w:sz w:val="20"/>
                  <w:szCs w:val="20"/>
                  <w:u w:val="single" w:color="auto"/>
                  <w:color w:val="0000FF"/>
                  <w:w w:val="99"/>
                </w:rPr>
                <w:t>58</w:t>
              </w:r>
            </w:hyperlink>
          </w:p>
        </w:tc>
      </w:tr>
      <w:tr>
        <w:trPr>
          <w:trHeight w:val="513"/>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8720" w:type="dxa"/>
            <w:vAlign w:val="bottom"/>
            <w:gridSpan w:val="16"/>
          </w:tcPr>
          <w:p>
            <w:pPr>
              <w:ind w:left="200"/>
              <w:spacing w:after="0"/>
              <w:rPr>
                <w:rFonts w:ascii="Times New Roman" w:cs="Times New Roman" w:eastAsia="Times New Roman" w:hAnsi="Times New Roman"/>
                <w:sz w:val="20"/>
                <w:szCs w:val="20"/>
                <w:u w:val="single" w:color="auto"/>
                <w:color w:val="0000FF"/>
              </w:rPr>
            </w:pPr>
            <w:hyperlink w:anchor="page61">
              <w:r>
                <w:rPr>
                  <w:rFonts w:ascii="Times New Roman" w:cs="Times New Roman" w:eastAsia="Times New Roman" w:hAnsi="Times New Roman"/>
                  <w:sz w:val="20"/>
                  <w:szCs w:val="20"/>
                  <w:u w:val="single" w:color="auto"/>
                  <w:color w:val="0000FF"/>
                </w:rPr>
                <w:t>Unregistered Sales of Equity Securities and Use of Proceeds</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61">
              <w:r>
                <w:rPr>
                  <w:rFonts w:ascii="Times New Roman" w:cs="Times New Roman" w:eastAsia="Times New Roman" w:hAnsi="Times New Roman"/>
                  <w:sz w:val="20"/>
                  <w:szCs w:val="20"/>
                  <w:u w:val="single" w:color="auto"/>
                  <w:color w:val="0000FF"/>
                  <w:w w:val="99"/>
                </w:rPr>
                <w:t>60</w:t>
              </w:r>
            </w:hyperlink>
          </w:p>
        </w:tc>
      </w:tr>
      <w:tr>
        <w:trPr>
          <w:trHeight w:val="513"/>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8720" w:type="dxa"/>
            <w:vAlign w:val="bottom"/>
            <w:gridSpan w:val="16"/>
          </w:tcPr>
          <w:p>
            <w:pPr>
              <w:ind w:left="200"/>
              <w:spacing w:after="0"/>
              <w:rPr>
                <w:rFonts w:ascii="Times New Roman" w:cs="Times New Roman" w:eastAsia="Times New Roman" w:hAnsi="Times New Roman"/>
                <w:sz w:val="20"/>
                <w:szCs w:val="20"/>
                <w:u w:val="single" w:color="auto"/>
                <w:color w:val="0000FF"/>
              </w:rPr>
            </w:pPr>
            <w:hyperlink w:anchor="page61">
              <w:r>
                <w:rPr>
                  <w:rFonts w:ascii="Times New Roman" w:cs="Times New Roman" w:eastAsia="Times New Roman" w:hAnsi="Times New Roman"/>
                  <w:sz w:val="20"/>
                  <w:szCs w:val="20"/>
                  <w:u w:val="single" w:color="auto"/>
                  <w:color w:val="0000FF"/>
                </w:rPr>
                <w:t>Exhibits</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61">
              <w:r>
                <w:rPr>
                  <w:rFonts w:ascii="Times New Roman" w:cs="Times New Roman" w:eastAsia="Times New Roman" w:hAnsi="Times New Roman"/>
                  <w:sz w:val="20"/>
                  <w:szCs w:val="20"/>
                  <w:u w:val="single" w:color="auto"/>
                  <w:color w:val="0000FF"/>
                  <w:w w:val="99"/>
                </w:rPr>
                <w:t>61</w:t>
              </w:r>
            </w:hyperlink>
          </w:p>
        </w:tc>
      </w:tr>
      <w:tr>
        <w:trPr>
          <w:trHeight w:val="486"/>
        </w:trPr>
        <w:tc>
          <w:tcPr>
            <w:tcW w:w="920" w:type="dxa"/>
            <w:vAlign w:val="bottom"/>
          </w:tcPr>
          <w:p>
            <w:pPr>
              <w:spacing w:after="0"/>
              <w:rPr>
                <w:sz w:val="24"/>
                <w:szCs w:val="24"/>
                <w:color w:val="auto"/>
              </w:rPr>
            </w:pPr>
          </w:p>
        </w:tc>
        <w:tc>
          <w:tcPr>
            <w:tcW w:w="8720" w:type="dxa"/>
            <w:vAlign w:val="bottom"/>
            <w:gridSpan w:val="16"/>
          </w:tcPr>
          <w:p>
            <w:pPr>
              <w:ind w:left="200"/>
              <w:spacing w:after="0"/>
              <w:rPr>
                <w:rFonts w:ascii="Times New Roman" w:cs="Times New Roman" w:eastAsia="Times New Roman" w:hAnsi="Times New Roman"/>
                <w:sz w:val="20"/>
                <w:szCs w:val="20"/>
                <w:u w:val="single" w:color="auto"/>
                <w:color w:val="0000FF"/>
              </w:rPr>
            </w:pPr>
            <w:hyperlink w:anchor="page62">
              <w:r>
                <w:rPr>
                  <w:rFonts w:ascii="Times New Roman" w:cs="Times New Roman" w:eastAsia="Times New Roman" w:hAnsi="Times New Roman"/>
                  <w:sz w:val="20"/>
                  <w:szCs w:val="20"/>
                  <w:u w:val="single" w:color="auto"/>
                  <w:color w:val="0000FF"/>
                </w:rPr>
                <w:t>Signature</w:t>
              </w:r>
            </w:hyperlink>
          </w:p>
        </w:tc>
        <w:tc>
          <w:tcPr>
            <w:tcW w:w="160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62">
              <w:r>
                <w:rPr>
                  <w:rFonts w:ascii="Times New Roman" w:cs="Times New Roman" w:eastAsia="Times New Roman" w:hAnsi="Times New Roman"/>
                  <w:sz w:val="20"/>
                  <w:szCs w:val="20"/>
                  <w:u w:val="single" w:color="auto"/>
                  <w:color w:val="0000FF"/>
                  <w:w w:val="99"/>
                </w:rPr>
                <w:t>62</w:t>
              </w:r>
            </w:hyperlink>
          </w:p>
        </w:tc>
      </w:tr>
      <w:tr>
        <w:trPr>
          <w:trHeight w:val="885"/>
        </w:trPr>
        <w:tc>
          <w:tcPr>
            <w:tcW w:w="920" w:type="dxa"/>
            <w:vAlign w:val="bottom"/>
          </w:tcPr>
          <w:p>
            <w:pPr>
              <w:spacing w:after="0"/>
              <w:rPr>
                <w:sz w:val="24"/>
                <w:szCs w:val="24"/>
                <w:color w:val="auto"/>
              </w:rPr>
            </w:pPr>
          </w:p>
        </w:tc>
        <w:tc>
          <w:tcPr>
            <w:tcW w:w="5160" w:type="dxa"/>
            <w:vAlign w:val="bottom"/>
            <w:gridSpan w:val="10"/>
          </w:tcPr>
          <w:p>
            <w:pPr>
              <w:jc w:val="center"/>
              <w:ind w:left="4142"/>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4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 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8"/>
                <w:szCs w:val="18"/>
                <w:color w:val="auto"/>
              </w:rPr>
            </w:pP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29, 2019</w:t>
            </w:r>
          </w:p>
        </w:tc>
        <w:tc>
          <w:tcPr>
            <w:tcW w:w="0" w:type="dxa"/>
            <w:vAlign w:val="bottom"/>
          </w:tcPr>
          <w:p>
            <w:pPr>
              <w:spacing w:after="0"/>
              <w:rPr>
                <w:sz w:val="1"/>
                <w:szCs w:val="1"/>
                <w:color w:val="auto"/>
              </w:rPr>
            </w:pPr>
          </w:p>
        </w:tc>
      </w:tr>
      <w:tr>
        <w:trPr>
          <w:trHeight w:val="216"/>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67,145</w:t>
            </w:r>
          </w:p>
        </w:tc>
        <w:tc>
          <w:tcPr>
            <w:tcW w:w="0" w:type="dxa"/>
            <w:vAlign w:val="bottom"/>
          </w:tcPr>
          <w:p>
            <w:pPr>
              <w:spacing w:after="0"/>
              <w:rPr>
                <w:sz w:val="1"/>
                <w:szCs w:val="1"/>
                <w:color w:val="auto"/>
              </w:rPr>
            </w:pPr>
          </w:p>
        </w:tc>
      </w:tr>
      <w:tr>
        <w:trPr>
          <w:trHeight w:val="21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86,861</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186,462</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340,468</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900,883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1,036,077</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1,192,035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1,266,548</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288,439</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470,615</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73,426</w:t>
            </w:r>
          </w:p>
        </w:tc>
        <w:tc>
          <w:tcPr>
            <w:tcW w:w="0" w:type="dxa"/>
            <w:vAlign w:val="bottom"/>
          </w:tcPr>
          <w:p>
            <w:pPr>
              <w:spacing w:after="0"/>
              <w:rPr>
                <w:sz w:val="1"/>
                <w:szCs w:val="1"/>
                <w:color w:val="auto"/>
              </w:rPr>
            </w:pPr>
          </w:p>
        </w:tc>
      </w:tr>
      <w:tr>
        <w:trPr>
          <w:trHeight w:val="23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117,110</w:t>
            </w:r>
          </w:p>
        </w:tc>
        <w:tc>
          <w:tcPr>
            <w:tcW w:w="0" w:type="dxa"/>
            <w:vAlign w:val="bottom"/>
          </w:tcPr>
          <w:p>
            <w:pPr>
              <w:spacing w:after="0"/>
              <w:rPr>
                <w:sz w:val="1"/>
                <w:szCs w:val="1"/>
                <w:color w:val="auto"/>
              </w:rPr>
            </w:pPr>
          </w:p>
        </w:tc>
      </w:tr>
      <w:tr>
        <w:trPr>
          <w:trHeight w:val="176"/>
        </w:trPr>
        <w:tc>
          <w:tcPr>
            <w:tcW w:w="7120" w:type="dxa"/>
            <w:vAlign w:val="bottom"/>
          </w:tcPr>
          <w:p>
            <w:pPr>
              <w:ind w:left="780"/>
              <w:spacing w:after="0" w:line="176" w:lineRule="exact"/>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3,367,598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3,592,683</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174,877</w:t>
            </w:r>
          </w:p>
        </w:tc>
        <w:tc>
          <w:tcPr>
            <w:tcW w:w="0" w:type="dxa"/>
            <w:vAlign w:val="bottom"/>
          </w:tcPr>
          <w:p>
            <w:pPr>
              <w:spacing w:after="0"/>
              <w:rPr>
                <w:sz w:val="1"/>
                <w:szCs w:val="1"/>
                <w:color w:val="auto"/>
              </w:rPr>
            </w:pPr>
          </w:p>
        </w:tc>
      </w:tr>
      <w:tr>
        <w:trPr>
          <w:trHeight w:val="21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391,451</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Unearned revenue</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369,282</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26,411</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962,021</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1,230,008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1,279,051</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1,022,293</w:t>
            </w:r>
          </w:p>
        </w:tc>
        <w:tc>
          <w:tcPr>
            <w:tcW w:w="0" w:type="dxa"/>
            <w:vAlign w:val="bottom"/>
          </w:tcPr>
          <w:p>
            <w:pPr>
              <w:spacing w:after="0"/>
              <w:rPr>
                <w:sz w:val="1"/>
                <w:szCs w:val="1"/>
                <w:color w:val="auto"/>
              </w:rPr>
            </w:pPr>
          </w:p>
        </w:tc>
      </w:tr>
      <w:tr>
        <w:trPr>
          <w:trHeight w:val="22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138,060</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3,355,043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3,415,202</w:t>
            </w: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20)</w:t>
            </w: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Bloomin’ Brands stockholders’ equity</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1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Preferred stock, $0.01 par value, 25,000,000 shares authorized; no shares issued and outstanding as of</w:t>
            </w:r>
          </w:p>
        </w:tc>
        <w:tc>
          <w:tcPr>
            <w:tcW w:w="200" w:type="dxa"/>
            <w:vAlign w:val="bottom"/>
          </w:tcPr>
          <w:p>
            <w:pPr>
              <w:spacing w:after="0"/>
              <w:rPr>
                <w:sz w:val="14"/>
                <w:szCs w:val="14"/>
                <w:color w:val="auto"/>
              </w:rPr>
            </w:pPr>
          </w:p>
        </w:tc>
        <w:tc>
          <w:tcPr>
            <w:tcW w:w="1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September 27, 2020 and December 29, 2019</w:t>
            </w:r>
          </w:p>
        </w:tc>
        <w:tc>
          <w:tcPr>
            <w:tcW w:w="20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12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Common stock, $0.01 par value, 475,000,000 shares authorized; 87,572,904 and 86,945,869 shares</w:t>
            </w:r>
          </w:p>
        </w:tc>
        <w:tc>
          <w:tcPr>
            <w:tcW w:w="20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issued and outstanding as of September 27, 2020 and December 29, 2019, respectively</w:t>
            </w:r>
          </w:p>
        </w:tc>
        <w:tc>
          <w:tcPr>
            <w:tcW w:w="20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1,126,146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1,094,338</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(755,089)</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(169,776)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Bloomin’ Brands stockholders’ equity</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170,342</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177,481</w:t>
            </w:r>
          </w:p>
        </w:tc>
        <w:tc>
          <w:tcPr>
            <w:tcW w:w="0" w:type="dxa"/>
            <w:vAlign w:val="bottom"/>
          </w:tcPr>
          <w:p>
            <w:pPr>
              <w:spacing w:after="0"/>
              <w:rPr>
                <w:sz w:val="1"/>
                <w:szCs w:val="1"/>
                <w:color w:val="auto"/>
              </w:rPr>
            </w:pPr>
          </w:p>
        </w:tc>
      </w:tr>
      <w:tr>
        <w:trPr>
          <w:trHeight w:val="216"/>
        </w:trPr>
        <w:tc>
          <w:tcPr>
            <w:tcW w:w="71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3,367,598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3,592,683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 sales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766,487</w:t>
            </w:r>
          </w:p>
        </w:tc>
        <w:tc>
          <w:tcPr>
            <w:tcW w:w="10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951,816</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2,338,985</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3,069,145</w:t>
            </w:r>
          </w:p>
        </w:tc>
        <w:tc>
          <w:tcPr>
            <w:tcW w:w="0" w:type="dxa"/>
            <w:vAlign w:val="bottom"/>
          </w:tcPr>
          <w:p>
            <w:pPr>
              <w:spacing w:after="0"/>
              <w:rPr>
                <w:sz w:val="1"/>
                <w:szCs w:val="1"/>
                <w:color w:val="auto"/>
              </w:rPr>
            </w:pPr>
          </w:p>
        </w:tc>
      </w:tr>
      <w:tr>
        <w:trPr>
          <w:trHeight w:val="226"/>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771,260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967,144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2,358,056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3,117,205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300,375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730,998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965,165</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Labor and other related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246,861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288,552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761,667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908,780</w:t>
            </w:r>
          </w:p>
        </w:tc>
        <w:tc>
          <w:tcPr>
            <w:tcW w:w="0" w:type="dxa"/>
            <w:vAlign w:val="bottom"/>
          </w:tcPr>
          <w:p>
            <w:pPr>
              <w:spacing w:after="0"/>
              <w:rPr>
                <w:sz w:val="1"/>
                <w:szCs w:val="1"/>
                <w:color w:val="auto"/>
              </w:rPr>
            </w:pP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207,301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240,372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732,121</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147,196</w:t>
            </w:r>
          </w:p>
        </w:tc>
        <w:tc>
          <w:tcPr>
            <w:tcW w:w="0" w:type="dxa"/>
            <w:vAlign w:val="bottom"/>
          </w:tcPr>
          <w:p>
            <w:pPr>
              <w:spacing w:after="0"/>
              <w:rPr>
                <w:sz w:val="1"/>
                <w:szCs w:val="1"/>
                <w:color w:val="auto"/>
              </w:rPr>
            </w:pP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57,443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209,114</w:t>
            </w:r>
          </w:p>
        </w:tc>
        <w:tc>
          <w:tcPr>
            <w:tcW w:w="0" w:type="dxa"/>
            <w:vAlign w:val="bottom"/>
          </w:tcPr>
          <w:p>
            <w:pPr>
              <w:spacing w:after="0"/>
              <w:rPr>
                <w:sz w:val="1"/>
                <w:szCs w:val="1"/>
                <w:color w:val="auto"/>
              </w:rPr>
            </w:pPr>
          </w:p>
        </w:tc>
      </w:tr>
      <w:tr>
        <w:trPr>
          <w:trHeight w:val="226"/>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785,515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945,186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2,525,791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2,969,293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(167,735)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147,912</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modification of debt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(36,885)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(benefit) provision for income taxes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110,882</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104,831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Bloomin’ Brands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(144,504)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102,569</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Redemption of preferred stock in excess of carrying value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common stockholders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104,831</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(12,854)</w:t>
            </w:r>
          </w:p>
        </w:tc>
        <w:tc>
          <w:tcPr>
            <w:tcW w:w="0" w:type="dxa"/>
            <w:vAlign w:val="bottom"/>
          </w:tcPr>
          <w:p>
            <w:pPr>
              <w:spacing w:after="0"/>
              <w:rPr>
                <w:sz w:val="1"/>
                <w:szCs w:val="1"/>
                <w:color w:val="auto"/>
              </w:rPr>
            </w:pP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(loss) on derivatives, net of tax</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0" w:type="dxa"/>
            <w:vAlign w:val="bottom"/>
          </w:tcPr>
          <w:p>
            <w:pPr>
              <w:spacing w:after="0"/>
              <w:rPr>
                <w:sz w:val="1"/>
                <w:szCs w:val="1"/>
                <w:color w:val="auto"/>
              </w:rPr>
            </w:pPr>
          </w:p>
        </w:tc>
      </w:tr>
      <w:tr>
        <w:trPr>
          <w:trHeight w:val="165"/>
        </w:trPr>
        <w:tc>
          <w:tcPr>
            <w:tcW w:w="49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Reclassification of adjustment for loss on derivatives included in Net</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income,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78,899</w:t>
            </w:r>
          </w:p>
        </w:tc>
        <w:tc>
          <w:tcPr>
            <w:tcW w:w="0" w:type="dxa"/>
            <w:vAlign w:val="bottom"/>
          </w:tcPr>
          <w:p>
            <w:pPr>
              <w:spacing w:after="0"/>
              <w:rPr>
                <w:sz w:val="1"/>
                <w:szCs w:val="1"/>
                <w:color w:val="auto"/>
              </w:rPr>
            </w:pPr>
          </w:p>
        </w:tc>
      </w:tr>
      <w:tr>
        <w:trPr>
          <w:trHeight w:val="165"/>
        </w:trPr>
        <w:tc>
          <w:tcPr>
            <w:tcW w:w="49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Less: comprehensive (loss) income attributable to noncontrolling</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Bloomin’ Brands</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100" w:type="dxa"/>
            <w:vAlign w:val="bottom"/>
          </w:tcPr>
          <w:p>
            <w:pPr>
              <w:spacing w:after="0"/>
              <w:rPr>
                <w:sz w:val="18"/>
                <w:szCs w:val="18"/>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(192,730)</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76,449</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per share attributable to common stockholders: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87,558</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86,843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87,394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89,484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90,306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94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0"/>
                <w:szCs w:val="10"/>
                <w:color w:val="auto"/>
              </w:rPr>
            </w:pPr>
          </w:p>
        </w:tc>
        <w:tc>
          <w:tcPr>
            <w:tcW w:w="106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ULATED</w:t>
            </w:r>
          </w:p>
        </w:tc>
        <w:tc>
          <w:tcPr>
            <w:tcW w:w="160" w:type="dxa"/>
            <w:vAlign w:val="bottom"/>
          </w:tcPr>
          <w:p>
            <w:pPr>
              <w:spacing w:after="0"/>
              <w:rPr>
                <w:sz w:val="10"/>
                <w:szCs w:val="10"/>
                <w:color w:val="auto"/>
              </w:rPr>
            </w:pPr>
          </w:p>
        </w:tc>
        <w:tc>
          <w:tcPr>
            <w:tcW w:w="166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44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28,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1,123,613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(886,248)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29,198</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Common stock issued under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plans (1)</w:t>
            </w: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Contributions from</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September 27, 2020</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87,573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1,126,146</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(903,885)</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(218,002)</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29, 2019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1,094,338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177,481</w:t>
            </w: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Cumulative-effect from a change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 accounting principle, net of</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(144,620)</w:t>
            </w: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(48,743)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(48,890)</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Cash dividends declared, $0.20</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common share</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Consideration for preferred stock</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in excess of carrying value, net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tax</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Common stock issued under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stock plans (1)</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Purchase of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Contributions from</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Equity component value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convertible note issuance, net of</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64,367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64,367</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tax of $650</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common stock warrant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46,690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46,690</w:t>
            </w: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Purchase of convertible note</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(66,240)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(66,240)</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hedge</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27,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1,126,146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12,555</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8"/>
                <w:szCs w:val="18"/>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8"/>
                <w:szCs w:val="18"/>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94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0"/>
                <w:szCs w:val="10"/>
                <w:color w:val="auto"/>
              </w:rPr>
            </w:pPr>
          </w:p>
        </w:tc>
        <w:tc>
          <w:tcPr>
            <w:tcW w:w="106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ULATED</w:t>
            </w:r>
          </w:p>
        </w:tc>
        <w:tc>
          <w:tcPr>
            <w:tcW w:w="160" w:type="dxa"/>
            <w:vAlign w:val="bottom"/>
          </w:tcPr>
          <w:p>
            <w:pPr>
              <w:spacing w:after="0"/>
              <w:rPr>
                <w:sz w:val="10"/>
                <w:szCs w:val="10"/>
                <w:color w:val="auto"/>
              </w:rPr>
            </w:pPr>
          </w:p>
        </w:tc>
        <w:tc>
          <w:tcPr>
            <w:tcW w:w="166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44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1,099,598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158,593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net of tax</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Cash dividends declared, $0.10</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per common share</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Common stock issued under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stock plans (1)</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Contributions from</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29,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1,095,382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2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30, 2018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1,107,582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54,817</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Cumulative-effect from a change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 accounting principle, net of</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141,285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141,285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104,831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(26,154)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(25,932)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income, net of 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Cash dividends declared, $0.30</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common share</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(106,937)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(106,992)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13,743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13,743</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Common stock issued under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1,255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stock plans (1)</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Purchase of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2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Contributions from</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September 29, 2019</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86,856</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1,095,382</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(783,093)</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(168,875)</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7,291</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151,574</w:t>
            </w:r>
          </w:p>
        </w:tc>
        <w:tc>
          <w:tcPr>
            <w:tcW w:w="0" w:type="dxa"/>
            <w:vAlign w:val="bottom"/>
          </w:tcPr>
          <w:p>
            <w:pPr>
              <w:spacing w:after="0"/>
              <w:rPr>
                <w:sz w:val="1"/>
                <w:szCs w:val="1"/>
                <w:color w:val="auto"/>
              </w:rPr>
            </w:pPr>
          </w:p>
        </w:tc>
      </w:tr>
      <w:tr>
        <w:trPr>
          <w:trHeight w:val="21"/>
        </w:trPr>
        <w:tc>
          <w:tcPr>
            <w:tcW w:w="2240" w:type="dxa"/>
            <w:vAlign w:val="bottom"/>
            <w:gridSpan w:val="2"/>
            <w:vMerge w:val="restart"/>
          </w:tcPr>
          <w:p>
            <w:pPr>
              <w:jc w:val="right"/>
              <w:ind w:right="859"/>
              <w:spacing w:after="0"/>
              <w:rPr>
                <w:sz w:val="20"/>
                <w:szCs w:val="20"/>
                <w:color w:val="auto"/>
              </w:rPr>
            </w:pPr>
            <w:r>
              <w:rPr>
                <w:rFonts w:ascii="Times New Roman" w:cs="Times New Roman" w:eastAsia="Times New Roman" w:hAnsi="Times New Roman"/>
                <w:sz w:val="16"/>
                <w:szCs w:val="16"/>
                <w:color w:val="auto"/>
                <w:w w:val="99"/>
              </w:rPr>
              <w:t>________________</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24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forfeitures and shares withheld for employee taxes.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60" w:type="dxa"/>
            <w:vAlign w:val="bottom"/>
          </w:tcPr>
          <w:p>
            <w:pPr>
              <w:spacing w:after="0"/>
              <w:rPr>
                <w:sz w:val="17"/>
                <w:szCs w:val="17"/>
                <w:color w:val="auto"/>
              </w:rPr>
            </w:pPr>
          </w:p>
        </w:tc>
        <w:tc>
          <w:tcPr>
            <w:tcW w:w="17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57"/>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spacing w:after="0"/>
              <w:rPr>
                <w:sz w:val="22"/>
                <w:szCs w:val="22"/>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(144,620)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104,831</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cash provided by operating activities: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147,196</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gift card sales commissions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18,927</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54,815</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expected credit losses and contingent lease liabilities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 obsolescence and spoilage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and other non-cash compensation expense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18,752</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sale of a business or subsidiary</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modification of debt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disposal of property, fixtures and equipment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(6,818)</w:t>
            </w:r>
          </w:p>
        </w:tc>
      </w:tr>
      <w:tr>
        <w:trPr>
          <w:trHeight w:val="212"/>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(160,592)</w:t>
            </w:r>
          </w:p>
        </w:tc>
      </w:tr>
      <w:tr>
        <w:trPr>
          <w:trHeight w:val="223"/>
        </w:trPr>
        <w:tc>
          <w:tcPr>
            <w:tcW w:w="732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180,926</w:t>
            </w: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disposal of property, fixtures and equipment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16,418</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sale-leaseback transactions, net</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(117,478)</w:t>
            </w:r>
          </w:p>
        </w:tc>
      </w:tr>
      <w:tr>
        <w:trPr>
          <w:trHeight w:val="226"/>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investments, net</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r>
      <w:tr>
        <w:trPr>
          <w:trHeight w:val="223"/>
        </w:trPr>
        <w:tc>
          <w:tcPr>
            <w:tcW w:w="73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(93,710)</w:t>
            </w:r>
          </w:p>
        </w:tc>
      </w:tr>
    </w:tbl>
    <w:p>
      <w:pPr>
        <w:spacing w:after="0" w:line="243"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60" w:type="dxa"/>
            <w:vAlign w:val="bottom"/>
          </w:tcPr>
          <w:p>
            <w:pPr>
              <w:spacing w:after="0"/>
              <w:rPr>
                <w:sz w:val="17"/>
                <w:szCs w:val="17"/>
                <w:color w:val="auto"/>
              </w:rPr>
            </w:pPr>
          </w:p>
        </w:tc>
        <w:tc>
          <w:tcPr>
            <w:tcW w:w="17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57"/>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160" w:type="dxa"/>
            <w:vAlign w:val="bottom"/>
            <w:tcBorders>
              <w:top w:val="single" w:sz="8" w:color="auto"/>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spacing w:after="0"/>
              <w:rPr>
                <w:sz w:val="22"/>
                <w:szCs w:val="22"/>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long-term debt and finance lease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(20,646)</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 net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533,300</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(469,000)</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Financing fees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convertible senior notes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warrants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convertible note hedge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costs related to convertible senior notes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of taxes) proceeds from share-based compensation, net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(5,228)</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limited partnership and noncontrolling interests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partner equity plan</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(12,928)</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(106,992)</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(27,041)</w:t>
            </w:r>
          </w:p>
        </w:tc>
      </w:tr>
      <w:tr>
        <w:trPr>
          <w:trHeight w:val="226"/>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Redemption of subsidiary preferred stock</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32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(106,444)</w:t>
            </w:r>
          </w:p>
        </w:tc>
      </w:tr>
      <w:tr>
        <w:trPr>
          <w:trHeight w:val="22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(20,415)</w:t>
            </w:r>
          </w:p>
        </w:tc>
      </w:tr>
      <w:tr>
        <w:trPr>
          <w:trHeight w:val="226"/>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as of the beginning of the period</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71,823</w:t>
            </w: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as of the end of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51,408</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35,855</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20,025</w:t>
            </w: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43,101</w:t>
            </w: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increase in liabilities from the acquisition of property, fixtures and equipment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r>
    </w:tbl>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Description of the Business and Basis of Presentation</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Description of the Business - </w:t>
      </w:r>
      <w:r>
        <w:rPr>
          <w:rFonts w:ascii="Times New Roman" w:cs="Times New Roman" w:eastAsia="Times New Roman" w:hAnsi="Times New Roman"/>
          <w:sz w:val="20"/>
          <w:szCs w:val="20"/>
          <w:color w:val="auto"/>
        </w:rPr>
        <w:t>Bloomin’ Brands (“Bloomin’ Brands” or the “Company”) owns and operates casual, upscale casual and fine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 </w:t>
      </w:r>
      <w:r>
        <w:rPr>
          <w:rFonts w:ascii="Times New Roman" w:cs="Times New Roman" w:eastAsia="Times New Roman" w:hAnsi="Times New Roman"/>
          <w:sz w:val="20"/>
          <w:szCs w:val="20"/>
          <w:color w:val="auto"/>
        </w:rPr>
        <w:t>The accompanying interim unaudited consolidated financial statements have been prepared by the Company pursuant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rules and regulations of the Securities and Exchange Commission (“SEC”).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29, 2019.</w:t>
      </w:r>
    </w:p>
    <w:p>
      <w:pPr>
        <w:spacing w:after="0" w:line="20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i w:val="1"/>
          <w:iCs w:val="1"/>
          <w:color w:val="auto"/>
        </w:rPr>
        <w:t xml:space="preserve">Risks and Uncertainties </w:t>
      </w:r>
      <w:r>
        <w:rPr>
          <w:rFonts w:ascii="Times New Roman" w:cs="Times New Roman" w:eastAsia="Times New Roman" w:hAnsi="Times New Roman"/>
          <w:sz w:val="20"/>
          <w:szCs w:val="20"/>
          <w:color w:val="auto"/>
        </w:rPr>
        <w:t>- In March 2020, the World Health Organization declared the novel strain of coronavirus (“COVID-19”) a global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pandemic and recommended containment and mitigation measures worldwide. In response to COVID-19, the Company temporarily closed all restaurant dining rooms in the U.S. as of March 20, 2020 and shifted operations to provide only take-out and delivery service, resulting in significantly reduced traffic in its restaurants. In early May 2020, the Company began to reopen its restaurant dining rooms with limited seating capacity in compliance with state and local regulations. As of September 27, 2020, the Company’s restaurant dining rooms have reopened but many are still subject to seating capacity restrictions. The temporary closure of the Company’s dining rooms and the limitations on seating capacity in its reopened dining rooms have resulted in significantly reduced traffic in the Company’s restaurants. The negative effect of COVID-19 on the Company’s business was significant during the thirteen and thirty-nine weeks ended September 27, 2020. See Note 2 - </w:t>
      </w:r>
      <w:r>
        <w:rPr>
          <w:rFonts w:ascii="Times New Roman" w:cs="Times New Roman" w:eastAsia="Times New Roman" w:hAnsi="Times New Roman"/>
          <w:sz w:val="20"/>
          <w:szCs w:val="20"/>
          <w:i w:val="1"/>
          <w:iCs w:val="1"/>
          <w:color w:val="auto"/>
        </w:rPr>
        <w:t>COVID-19 Charges</w:t>
      </w:r>
      <w:r>
        <w:rPr>
          <w:rFonts w:ascii="Times New Roman" w:cs="Times New Roman" w:eastAsia="Times New Roman" w:hAnsi="Times New Roman"/>
          <w:sz w:val="20"/>
          <w:szCs w:val="20"/>
          <w:color w:val="auto"/>
        </w:rPr>
        <w:t xml:space="preserve"> for details regarding certain charges resulting from the COVID-19 pandemic.</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duration of the COVID-19 pandemic and its long-term impact on the Company’s business are uncertain at this time. Given the daily evolution of the pandemic and the global responses to curb its spread, the Company may be unable to accurately estimate the effects of the pandemic on its results of operations, financial condition, or liquidity for the foreseeable future.</w:t>
      </w:r>
    </w:p>
    <w:p>
      <w:pPr>
        <w:spacing w:after="0" w:line="1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Recently Adopted Financial Accounting Standards </w:t>
      </w:r>
      <w:r>
        <w:rPr>
          <w:rFonts w:ascii="Times New Roman" w:cs="Times New Roman" w:eastAsia="Times New Roman" w:hAnsi="Times New Roman"/>
          <w:sz w:val="20"/>
          <w:szCs w:val="20"/>
          <w:color w:val="auto"/>
        </w:rPr>
        <w:t>- On December 30, 2019, the Company adopted Accounting Standards Update (“ASU”)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No. 2016-13, “Financial Instruments – Credit Losses (Topic 326): Measurement of Credit Losses on Financial Instruments,” (“ASU No. 2016-13”), which requires measurement and recognition of losses for financial instruments under the current expected credit loss model versus incurred losses under previous guidance. The Company’s adoption of ASU No. 2016-13 and its related amendments (“the new credit loss standard”) resulted in a cumulative-effect debit adjustment to the beginning balance of Accumulated deficit of $4.3 million, including $4.8 million of contingent lease liabilities related to lease guarantees and $1.0 million of incremental reserve for credit losses, net of a $1.5 million increase in deferred tax assets. Measurement processes and related controls have been implemented by the Company to ensure compliance with the new credit loss standard. See Note 18 - </w:t>
      </w:r>
      <w:r>
        <w:rPr>
          <w:rFonts w:ascii="Times New Roman" w:cs="Times New Roman" w:eastAsia="Times New Roman" w:hAnsi="Times New Roman"/>
          <w:sz w:val="20"/>
          <w:szCs w:val="20"/>
          <w:i w:val="1"/>
          <w:iCs w:val="1"/>
          <w:color w:val="auto"/>
        </w:rPr>
        <w:t>Allowance for Expected Credit Losses</w:t>
      </w:r>
      <w:r>
        <w:rPr>
          <w:rFonts w:ascii="Times New Roman" w:cs="Times New Roman" w:eastAsia="Times New Roman" w:hAnsi="Times New Roman"/>
          <w:sz w:val="20"/>
          <w:szCs w:val="20"/>
          <w:color w:val="auto"/>
        </w:rPr>
        <w:t xml:space="preserve"> for additional details regarding the Company’s allowance for expected credit losses.</w:t>
      </w:r>
    </w:p>
    <w:p>
      <w:pPr>
        <w:spacing w:after="0" w:line="217"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On December 30, 2019, the Company adopted ASU No. 2018-15, “Intangibles-Goodwill and Other-Internal-Use Software (Subtopic 350-40): Customer’s Accounting for Implementation Costs Incurred in a Cloud Computing Arrangement That Is a Service Contract,” (“ASU No. 2018-15”), which clarifies the accounting for implementation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costs in cloud computing arrangements. Under ASU No. 2018-15, implementation costs incurred by customers in cloud computing arrangements are deferred and recognized over the term of the arrangement similar to internal-use software guidance. The Company contracts with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party information technology providers for various service arrangements including software, platform and information technology infrastructure. The capitalized implementation costs are recorded within Other assets, net on the Company’s Consolidated Balance Sheets and are amortized on a straight-line basis over the term of the hosting arrangements, including reasonably certain renewal periods, within the same financial statement line as the related hosting fees. The amortization of the Company’s current arrangements is recorded in General and administrative expense in the Company’s Consolidated Statements of Operations and Comprehensive (Loss) Income. The Company’s prospective adoption of ASU No. 2018-15 did not have a material effect on its consolidated financial statements.</w:t>
      </w:r>
    </w:p>
    <w:p>
      <w:pPr>
        <w:spacing w:after="0" w:line="20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In March 2020, the Financial Accounting Standards Board (the “FASB”) issued ASU No. 2020-04, “Reference Rate Reform (Topic 848): Facilitation of the Effects of Reference Rate Reform on Financial Reporting,” (“ASU No. 2020-04”). The new guidance provides optional expedients and exceptions for applying U.S. GAAP to contracts, hedging relationships and other transactions affected by reference rate reform if certain criteria are met. ASU No. 2020-04 was effective beginning March 12, 2020 and may be applied prospectively to contract modifications made and hedging relationships entered into or evaluated on or before December 31, 2022. The Company has elected to apply the hedge accounting expedients related to hedge effectiveness for future LIBOR-indexed cash flows, which enables the Company to continue to apply hedge accounting to hedging relationships impacted by reference rate reform. Application of these expedients allows for presentation of derivatives consistent with the Company’s historical presentation. The Company continues to evaluate the impact of the guidance and may apply other elections, as applicable.</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Recently Issued Financial Accounting Standards Not Yet Adopted </w:t>
      </w:r>
      <w:r>
        <w:rPr>
          <w:rFonts w:ascii="Times New Roman" w:cs="Times New Roman" w:eastAsia="Times New Roman" w:hAnsi="Times New Roman"/>
          <w:sz w:val="19"/>
          <w:szCs w:val="19"/>
          <w:color w:val="auto"/>
        </w:rPr>
        <w:t>- In August 2020, the FASB issued ASU No. 2020-06, “Debt - Debt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Conversion and Other Options (Subtopic 470-20) and Derivatives and Hedging - Contracts in Entity’s Own Equity (Subtopic 815-40): Accounting for Convertible Instruments and Contracts in an Entity’s Own Equity,” (“ASU No. 2020-06”), which simplifies the accounting for certain financial instruments with characteristics of liabilities and equity, including convertible instruments and contracts in an entity’s own equity. Specifically, ASU No. 2020-06 removes the separation models for convertible debt with a cash conversion feature or convertible instruments with a beneficial conversion feature. As a result, after adopting ASU No. 2020-06, the Company will no longer separately present the embedded conversion feature of its convertible debt within stockholders’ equity. ASU No. 2020-06 is effective for the Company in the first quarter of 2022, with early adoption permitted and may be adopted using either a full or modified retrospective approach. Upon adoption interest expense is expected to decrease due to the elimination of debt discount amortization. The Company is currently evaluating the full effect adopting ASU No. 2020-06 will have on its consolidated financial statements, including the timing and adoption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COVID-19 Charges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charges recorded in connection with the COVID-19 pandemic for the period indicated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1"/>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5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w:t>
            </w:r>
          </w:p>
        </w:tc>
        <w:tc>
          <w:tcPr>
            <w:tcW w:w="100" w:type="dxa"/>
            <w:vAlign w:val="bottom"/>
          </w:tcPr>
          <w:p>
            <w:pPr>
              <w:spacing w:after="0"/>
              <w:rPr>
                <w:sz w:val="13"/>
                <w:szCs w:val="13"/>
                <w:color w:val="auto"/>
              </w:rPr>
            </w:pPr>
          </w:p>
        </w:tc>
        <w:tc>
          <w:tcPr>
            <w:tcW w:w="156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0" w:type="dxa"/>
            <w:vAlign w:val="bottom"/>
          </w:tcPr>
          <w:p>
            <w:pPr>
              <w:spacing w:after="0"/>
              <w:rPr>
                <w:sz w:val="1"/>
                <w:szCs w:val="1"/>
                <w:color w:val="auto"/>
              </w:rPr>
            </w:pPr>
          </w:p>
        </w:tc>
      </w:tr>
      <w:tr>
        <w:trPr>
          <w:trHeight w:val="196"/>
        </w:trPr>
        <w:tc>
          <w:tcPr>
            <w:tcW w:w="4360" w:type="dxa"/>
            <w:vAlign w:val="bottom"/>
            <w:gridSpan w:val="2"/>
            <w:vMerge w:val="continue"/>
          </w:tcPr>
          <w:p>
            <w:pPr>
              <w:spacing w:after="0"/>
              <w:rPr>
                <w:sz w:val="17"/>
                <w:szCs w:val="17"/>
                <w:color w:val="auto"/>
              </w:rPr>
            </w:pPr>
          </w:p>
        </w:tc>
        <w:tc>
          <w:tcPr>
            <w:tcW w:w="522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(LOSS) INCOME CLASSIFICATION</w:t>
            </w:r>
          </w:p>
        </w:tc>
        <w:tc>
          <w:tcPr>
            <w:tcW w:w="1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 obsolescence and spoilage</w:t>
            </w:r>
          </w:p>
        </w:tc>
        <w:tc>
          <w:tcPr>
            <w:tcW w:w="1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for idle employees (1)</w:t>
            </w: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28,243</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charges</w:t>
            </w:r>
          </w:p>
        </w:tc>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guarantee contingent liabilities (2)</w:t>
            </w: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expected credit losses (3)</w:t>
            </w:r>
          </w:p>
        </w:tc>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charges</w:t>
            </w: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 impairment (4)</w:t>
            </w:r>
          </w:p>
        </w:tc>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25,740</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asset impairment (4)</w:t>
            </w: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31,727</w:t>
            </w:r>
          </w:p>
        </w:tc>
        <w:tc>
          <w:tcPr>
            <w:tcW w:w="0" w:type="dxa"/>
            <w:vAlign w:val="bottom"/>
          </w:tcPr>
          <w:p>
            <w:pPr>
              <w:spacing w:after="0"/>
              <w:rPr>
                <w:sz w:val="1"/>
                <w:szCs w:val="1"/>
                <w:color w:val="auto"/>
              </w:rPr>
            </w:pPr>
          </w:p>
        </w:tc>
      </w:tr>
      <w:tr>
        <w:trPr>
          <w:trHeight w:val="212"/>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other impairment (5)</w:t>
            </w: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108,167</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relief pay for hourly employees impacted by the closure of dining rooms, net of $14.4 million of employee retention tax credits earned.</w:t>
      </w:r>
    </w:p>
    <w:p>
      <w:pPr>
        <w:spacing w:after="0" w:line="5"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additional contingent liabilities recorded for lease guarantees related to certain former restaurant locations now operated by franchisees or other third parties.</w:t>
      </w:r>
    </w:p>
    <w:p>
      <w:pPr>
        <w:ind w:left="660" w:hanging="652"/>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additional reserves based on the Company’s increase in expected credit losses, primarily related to franchise receivables.</w:t>
      </w:r>
    </w:p>
    <w:p>
      <w:pPr>
        <w:spacing w:after="0" w:line="5"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impairments resulting from the remeasurement of assets utilizing projected future cash flows revised for current economic conditions, restructuring charges and the closure of certain restaurants. See Note 4 - </w:t>
      </w:r>
      <w:r>
        <w:rPr>
          <w:rFonts w:ascii="Times New Roman" w:cs="Times New Roman" w:eastAsia="Times New Roman" w:hAnsi="Times New Roman"/>
          <w:sz w:val="16"/>
          <w:szCs w:val="16"/>
          <w:i w:val="1"/>
          <w:iCs w:val="1"/>
          <w:color w:val="auto"/>
        </w:rPr>
        <w:t>Impairments, Exit Costs and Disposals</w:t>
      </w:r>
      <w:r>
        <w:rPr>
          <w:rFonts w:ascii="Times New Roman" w:cs="Times New Roman" w:eastAsia="Times New Roman" w:hAnsi="Times New Roman"/>
          <w:sz w:val="16"/>
          <w:szCs w:val="16"/>
          <w:color w:val="auto"/>
        </w:rPr>
        <w:t xml:space="preserve"> for details regarding COVID-19 Restructuring costs.</w:t>
      </w:r>
    </w:p>
    <w:p>
      <w:pPr>
        <w:ind w:left="660" w:hanging="652"/>
        <w:spacing w:after="0" w:line="257"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impairment of goodwill for the Company’s Hong Kong subsidiary. See Note 9 - </w:t>
      </w:r>
      <w:r>
        <w:rPr>
          <w:rFonts w:ascii="Times New Roman" w:cs="Times New Roman" w:eastAsia="Times New Roman" w:hAnsi="Times New Roman"/>
          <w:sz w:val="16"/>
          <w:szCs w:val="16"/>
          <w:i w:val="1"/>
          <w:iCs w:val="1"/>
          <w:color w:val="auto"/>
        </w:rPr>
        <w:t>Goodwill and Intangible Assets, Net</w:t>
      </w:r>
      <w:r>
        <w:rPr>
          <w:rFonts w:ascii="Times New Roman" w:cs="Times New Roman" w:eastAsia="Times New Roman" w:hAnsi="Times New Roman"/>
          <w:sz w:val="16"/>
          <w:szCs w:val="16"/>
          <w:color w:val="auto"/>
        </w:rPr>
        <w:t xml:space="preserve"> for details regarding impairment of goodwill.</w:t>
      </w:r>
    </w:p>
    <w:p>
      <w:pPr>
        <w:spacing w:after="0" w:line="20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includes  the  categories  of  revenue  included  in  the  Company’s  Consolidated  Statements  of  Operations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(Loss) Income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 sales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766,487</w:t>
            </w:r>
          </w:p>
        </w:tc>
        <w:tc>
          <w:tcPr>
            <w:tcW w:w="120" w:type="dxa"/>
            <w:vAlign w:val="bottom"/>
          </w:tcPr>
          <w:p>
            <w:pPr>
              <w:spacing w:after="0"/>
              <w:rPr>
                <w:sz w:val="18"/>
                <w:szCs w:val="18"/>
                <w:color w:val="auto"/>
              </w:rPr>
            </w:pP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951,816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2,338,985</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3,069,145</w:t>
            </w: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 revenue</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120" w:type="dxa"/>
            <w:vAlign w:val="bottom"/>
          </w:tcPr>
          <w:p>
            <w:pPr>
              <w:spacing w:after="0"/>
              <w:rPr>
                <w:sz w:val="18"/>
                <w:szCs w:val="18"/>
                <w:color w:val="auto"/>
              </w:rPr>
            </w:pP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15,716</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38,980</w:t>
            </w:r>
          </w:p>
        </w:tc>
      </w:tr>
      <w:tr>
        <w:trPr>
          <w:trHeight w:val="226"/>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revenue</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r>
      <w:tr>
        <w:trPr>
          <w:trHeight w:val="223"/>
        </w:trPr>
        <w:tc>
          <w:tcPr>
            <w:tcW w:w="4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Franchise and other revenues</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4,773</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19,071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48,060</w:t>
            </w:r>
          </w:p>
        </w:tc>
      </w:tr>
      <w:tr>
        <w:trPr>
          <w:trHeight w:val="241"/>
        </w:trPr>
        <w:tc>
          <w:tcPr>
            <w:tcW w:w="48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771,260</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967,144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2,358,056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3,117,205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tables include the disaggregation of Restaurant sales and Franchise revenue, by restaurant concept and major international market,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500" w:type="dxa"/>
            <w:vAlign w:val="bottom"/>
          </w:tcPr>
          <w:p>
            <w:pPr>
              <w:spacing w:after="0"/>
              <w:rPr>
                <w:sz w:val="17"/>
                <w:szCs w:val="17"/>
                <w:color w:val="auto"/>
              </w:rPr>
            </w:pPr>
          </w:p>
        </w:tc>
        <w:tc>
          <w:tcPr>
            <w:tcW w:w="2680" w:type="dxa"/>
            <w:vAlign w:val="bottom"/>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1"/>
              <w:spacing w:after="0" w:line="135"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61"/>
              <w:spacing w:after="0" w:line="135"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Outback Steakhouse</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443,286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499,903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Carrabba’s Italian Grill</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Bonefish Grill</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719,406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9,921</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Outback Steakhouse Brazil</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0" w:type="dxa"/>
            <w:vAlign w:val="bottom"/>
          </w:tcPr>
          <w:p>
            <w:pPr>
              <w:spacing w:after="0"/>
              <w:rPr>
                <w:sz w:val="1"/>
                <w:szCs w:val="1"/>
                <w:color w:val="auto"/>
              </w:rPr>
            </w:pPr>
          </w:p>
        </w:tc>
      </w:tr>
      <w:tr>
        <w:trPr>
          <w:trHeight w:val="216"/>
        </w:trPr>
        <w:tc>
          <w:tcPr>
            <w:tcW w:w="4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766,487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10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951,816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12,426</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48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for the Company’s Abbraccio concept in Brazil.</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460" w:type="dxa"/>
            <w:vAlign w:val="bottom"/>
          </w:tcPr>
          <w:p>
            <w:pPr>
              <w:spacing w:after="0"/>
              <w:rPr>
                <w:sz w:val="17"/>
                <w:szCs w:val="17"/>
                <w:color w:val="auto"/>
              </w:rPr>
            </w:pPr>
          </w:p>
        </w:tc>
        <w:tc>
          <w:tcPr>
            <w:tcW w:w="2720" w:type="dxa"/>
            <w:vAlign w:val="bottom"/>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1"/>
              <w:spacing w:after="0" w:line="135"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61"/>
              <w:spacing w:after="0" w:line="135"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Outback Steakhouse</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1,320,524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8,099</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1,613,723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Carrabba’s Italian Grill</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Bonefish Grill</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2,141,062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2,737,182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31,315</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Outback Steakhouse Brazil</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(1)</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0" w:type="dxa"/>
            <w:vAlign w:val="bottom"/>
          </w:tcPr>
          <w:p>
            <w:pPr>
              <w:spacing w:after="0"/>
              <w:rPr>
                <w:sz w:val="1"/>
                <w:szCs w:val="1"/>
                <w:color w:val="auto"/>
              </w:rPr>
            </w:pPr>
          </w:p>
        </w:tc>
      </w:tr>
      <w:tr>
        <w:trPr>
          <w:trHeight w:val="216"/>
        </w:trPr>
        <w:tc>
          <w:tcPr>
            <w:tcW w:w="4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2,338,985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15,716</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3,069,145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for the Company’s Abbraccio concept in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includes a detail of assets and liabilities from contracts with customers included on the Company’s Consolidated Balance Sheets as of the periods indicated: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8"/>
                <w:szCs w:val="18"/>
                <w:color w:val="auto"/>
              </w:rPr>
            </w:pPr>
          </w:p>
        </w:tc>
        <w:tc>
          <w:tcPr>
            <w:tcW w:w="17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29, 2019</w:t>
            </w:r>
          </w:p>
        </w:tc>
      </w:tr>
      <w:tr>
        <w:trPr>
          <w:trHeight w:val="20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8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18,554</w:t>
            </w:r>
          </w:p>
        </w:tc>
      </w:tr>
      <w:tr>
        <w:trPr>
          <w:trHeight w:val="259"/>
        </w:trPr>
        <w:tc>
          <w:tcPr>
            <w:tcW w:w="7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revenue</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358,757</w:t>
            </w:r>
          </w:p>
        </w:tc>
      </w:tr>
      <w:tr>
        <w:trPr>
          <w:trHeight w:val="213"/>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loyalty revenue</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10,034</w:t>
            </w:r>
          </w:p>
        </w:tc>
      </w:tr>
      <w:tr>
        <w:trPr>
          <w:trHeight w:val="225"/>
        </w:trPr>
        <w:tc>
          <w:tcPr>
            <w:tcW w:w="7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franchise fees - current</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03"/>
        </w:trPr>
        <w:tc>
          <w:tcPr>
            <w:tcW w:w="7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Unearned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280,124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369,282</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7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franchise fees - non-current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deferred gift card sales commissions for the periods indicated:</w:t>
      </w:r>
    </w:p>
    <w:p>
      <w:pPr>
        <w:sectPr>
          <w:pgSz w:w="11900" w:h="16838" w:orient="portrait"/>
          <w:cols w:equalWidth="0" w:num="1">
            <w:col w:w="11220"/>
          </w:cols>
          <w:pgMar w:left="320" w:top="118" w:right="359" w:bottom="1440" w:gutter="0" w:footer="0" w:header="0"/>
        </w:sectPr>
      </w:pP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p>
      <w:pPr>
        <w:spacing w:after="0" w:line="32" w:lineRule="exact"/>
        <w:rPr>
          <w:sz w:val="20"/>
          <w:szCs w:val="20"/>
          <w:color w:val="auto"/>
        </w:rPr>
      </w:pPr>
    </w:p>
    <w:p>
      <w:pPr>
        <w:jc w:val="both"/>
        <w:ind w:left="140" w:right="620"/>
        <w:spacing w:after="0" w:line="305" w:lineRule="auto"/>
        <w:rPr>
          <w:sz w:val="20"/>
          <w:szCs w:val="20"/>
          <w:color w:val="auto"/>
        </w:rPr>
      </w:pPr>
      <w:r>
        <w:rPr>
          <w:rFonts w:ascii="Times New Roman" w:cs="Times New Roman" w:eastAsia="Times New Roman" w:hAnsi="Times New Roman"/>
          <w:sz w:val="16"/>
          <w:szCs w:val="16"/>
          <w:color w:val="auto"/>
        </w:rPr>
        <w:t>Deferred gift card sales commissions amortization Deferred gift card sales commissions capitalization Other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0"/>
        </w:trPr>
        <w:tc>
          <w:tcPr>
            <w:tcW w:w="36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18,554</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16,431</w:t>
            </w:r>
          </w:p>
        </w:tc>
      </w:tr>
      <w:tr>
        <w:trPr>
          <w:trHeight w:val="216"/>
        </w:trPr>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(18,927)</w:t>
            </w:r>
          </w:p>
        </w:tc>
      </w:tr>
      <w:tr>
        <w:trPr>
          <w:trHeight w:val="216"/>
        </w:trPr>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10,534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13,118</w:t>
            </w:r>
          </w:p>
        </w:tc>
      </w:tr>
      <w:tr>
        <w:trPr>
          <w:trHeight w:val="229"/>
        </w:trPr>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w:t>
            </w:r>
          </w:p>
        </w:tc>
      </w:tr>
      <w:tr>
        <w:trPr>
          <w:trHeight w:val="213"/>
        </w:trPr>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12,585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9,111</w:t>
            </w:r>
          </w:p>
        </w:tc>
      </w:tr>
      <w:tr>
        <w:trPr>
          <w:trHeight w:val="23"/>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-745490</wp:posOffset>
            </wp:positionV>
            <wp:extent cx="710628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-462280</wp:posOffset>
            </wp:positionV>
            <wp:extent cx="7106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-179070</wp:posOffset>
            </wp:positionV>
            <wp:extent cx="710628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420"/>
          </w:cols>
          <w:pgMar w:left="320" w:top="118" w:right="3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unearned gift card revenue for the periods indicated: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279,973</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227,372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358,757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333,794</w:t>
            </w:r>
          </w:p>
        </w:tc>
      </w:tr>
      <w:tr>
        <w:trPr>
          <w:trHeight w:val="213"/>
        </w:trPr>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Gift card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142,619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183,189</w:t>
            </w:r>
          </w:p>
        </w:tc>
      </w:tr>
      <w:tr>
        <w:trPr>
          <w:trHeight w:val="219"/>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Gift card redemptions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(295,281)</w:t>
            </w:r>
          </w:p>
        </w:tc>
      </w:tr>
      <w:tr>
        <w:trPr>
          <w:trHeight w:val="223"/>
        </w:trPr>
        <w:tc>
          <w:tcPr>
            <w:tcW w:w="4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Gift card breakage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(14,643)</w:t>
            </w:r>
          </w:p>
        </w:tc>
      </w:tr>
      <w:tr>
        <w:trPr>
          <w:trHeight w:val="241"/>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period</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269,941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207,059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269,941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207,059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Impairments, Exit Costs and Disposals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Provision for impaired assets and restaurant closings are as follows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4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(1)</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55,045</w:t>
            </w: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(1) (2)</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0" w:type="dxa"/>
            <w:vAlign w:val="bottom"/>
          </w:tcPr>
          <w:p>
            <w:pPr>
              <w:spacing w:after="0"/>
              <w:rPr>
                <w:sz w:val="1"/>
                <w:szCs w:val="1"/>
                <w:color w:val="auto"/>
              </w:rPr>
            </w:pPr>
          </w:p>
        </w:tc>
      </w:tr>
      <w:tr>
        <w:trPr>
          <w:trHeight w:val="22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Corporate (3)</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7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impairment losses</w:t>
            </w: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6,962</w:t>
            </w:r>
          </w:p>
        </w:tc>
        <w:tc>
          <w:tcPr>
            <w:tcW w:w="0" w:type="dxa"/>
            <w:vAlign w:val="bottom"/>
          </w:tcPr>
          <w:p>
            <w:pPr>
              <w:spacing w:after="0"/>
              <w:rPr>
                <w:sz w:val="1"/>
                <w:szCs w:val="1"/>
                <w:color w:val="auto"/>
              </w:rPr>
            </w:pPr>
          </w:p>
        </w:tc>
      </w:tr>
      <w:tr>
        <w:trPr>
          <w:trHeight w:val="18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closure (benefits) expenses</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(1)</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2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 (1)</w:t>
            </w:r>
          </w:p>
        </w:tc>
        <w:tc>
          <w:tcPr>
            <w:tcW w:w="4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restaurant closure (benefits) expenses</w:t>
            </w: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66,223</w:t>
            </w: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0" w:type="dxa"/>
            <w:vAlign w:val="bottom"/>
          </w:tcPr>
          <w:p>
            <w:pPr>
              <w:spacing w:after="0"/>
              <w:rPr>
                <w:sz w:val="1"/>
                <w:szCs w:val="1"/>
                <w:color w:val="auto"/>
              </w:rPr>
            </w:pPr>
          </w:p>
        </w:tc>
      </w:tr>
      <w:tr>
        <w:trPr>
          <w:trHeight w:val="21"/>
        </w:trPr>
        <w:tc>
          <w:tcPr>
            <w:tcW w:w="4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47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U.S. and international impairment and closure charges for the thirteen and thirty-nine weeks ended September 27, 2020 primarily relate to the COVID-19 pandemic (including charges related to the COVID-19 Restructuring discussed below). See Note 2 - </w:t>
      </w:r>
      <w:r>
        <w:rPr>
          <w:rFonts w:ascii="Times New Roman" w:cs="Times New Roman" w:eastAsia="Times New Roman" w:hAnsi="Times New Roman"/>
          <w:sz w:val="16"/>
          <w:szCs w:val="16"/>
          <w:i w:val="1"/>
          <w:iCs w:val="1"/>
          <w:color w:val="auto"/>
        </w:rPr>
        <w:t>COVID-19 Charges</w:t>
      </w:r>
      <w:r>
        <w:rPr>
          <w:rFonts w:ascii="Times New Roman" w:cs="Times New Roman" w:eastAsia="Times New Roman" w:hAnsi="Times New Roman"/>
          <w:sz w:val="16"/>
          <w:szCs w:val="16"/>
          <w:color w:val="auto"/>
        </w:rPr>
        <w:t xml:space="preserve"> for details regarding the impact of the COVID-19 pandemic on the Company’s financial results.</w:t>
      </w:r>
    </w:p>
    <w:p>
      <w:pPr>
        <w:spacing w:after="0" w:line="1"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goodwill impairment charges of $2.0 million during the thirty-nine weeks ended September 27, 2020. See Note 9 - </w:t>
      </w:r>
      <w:r>
        <w:rPr>
          <w:rFonts w:ascii="Times New Roman" w:cs="Times New Roman" w:eastAsia="Times New Roman" w:hAnsi="Times New Roman"/>
          <w:sz w:val="16"/>
          <w:szCs w:val="16"/>
          <w:i w:val="1"/>
          <w:iCs w:val="1"/>
          <w:color w:val="auto"/>
        </w:rPr>
        <w:t>Goodwill and Intangible Assets, Net</w:t>
      </w:r>
      <w:r>
        <w:rPr>
          <w:rFonts w:ascii="Times New Roman" w:cs="Times New Roman" w:eastAsia="Times New Roman" w:hAnsi="Times New Roman"/>
          <w:sz w:val="16"/>
          <w:szCs w:val="16"/>
          <w:color w:val="auto"/>
        </w:rPr>
        <w:t xml:space="preserve"> for details regarding impairment of goodwill.</w:t>
      </w: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impairment charges primarily relate to transformational initiatives.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COVID-19 Restructuring </w:t>
      </w:r>
      <w:r>
        <w:rPr>
          <w:rFonts w:ascii="Times New Roman" w:cs="Times New Roman" w:eastAsia="Times New Roman" w:hAnsi="Times New Roman"/>
          <w:sz w:val="20"/>
          <w:szCs w:val="20"/>
          <w:color w:val="auto"/>
        </w:rPr>
        <w:t>- During the thirty-nine weeks ended September 27, 2020, the Company recognized pre-tax asset impairments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closure costs in connection with the closure of 22 restaurants and from the update of certain cash flow assumptions, including lease renewal considerations (the “COVID-19 Restructuring”). Following is a summary of the COVID-19 Restructuring charges recognized in the Consolidated Statements of Operations and Comprehensive (Loss) Income for the period indicated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1"/>
        </w:trPr>
        <w:tc>
          <w:tcPr>
            <w:tcW w:w="458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3"/>
                <w:szCs w:val="13"/>
                <w:color w:val="auto"/>
              </w:rPr>
            </w:pPr>
          </w:p>
        </w:tc>
        <w:tc>
          <w:tcPr>
            <w:tcW w:w="4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CHARGE IN THE CONSOLIDATED STATEMENTS OF</w:t>
            </w:r>
          </w:p>
        </w:tc>
        <w:tc>
          <w:tcPr>
            <w:tcW w:w="100" w:type="dxa"/>
            <w:vAlign w:val="bottom"/>
          </w:tcPr>
          <w:p>
            <w:pPr>
              <w:spacing w:after="0"/>
              <w:rPr>
                <w:sz w:val="13"/>
                <w:szCs w:val="13"/>
                <w:color w:val="auto"/>
              </w:rPr>
            </w:pPr>
          </w:p>
        </w:tc>
        <w:tc>
          <w:tcPr>
            <w:tcW w:w="162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OPERATIONS AND COMPREHENSIVE (LOSS) INCOME</w:t>
            </w: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impairments</w:t>
            </w:r>
          </w:p>
        </w:tc>
        <w:tc>
          <w:tcPr>
            <w:tcW w:w="10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16,932</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right-of-use asset impairments and closing costs</w:t>
            </w:r>
          </w:p>
        </w:tc>
        <w:tc>
          <w:tcPr>
            <w:tcW w:w="100" w:type="dxa"/>
            <w:vAlign w:val="bottom"/>
          </w:tcPr>
          <w:p>
            <w:pPr>
              <w:spacing w:after="0"/>
              <w:rPr>
                <w:sz w:val="18"/>
                <w:szCs w:val="18"/>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0" w:type="dxa"/>
            <w:vAlign w:val="bottom"/>
          </w:tcPr>
          <w:p>
            <w:pPr>
              <w:spacing w:after="0"/>
              <w:rPr>
                <w:sz w:val="1"/>
                <w:szCs w:val="1"/>
                <w:color w:val="auto"/>
              </w:rPr>
            </w:pPr>
          </w:p>
        </w:tc>
      </w:tr>
      <w:tr>
        <w:trPr>
          <w:trHeight w:val="22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and other expenses</w:t>
            </w:r>
          </w:p>
        </w:tc>
        <w:tc>
          <w:tcPr>
            <w:tcW w:w="10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21,961</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Impairment and closure charges during the thirteen and thirty-nine weeks ended September 29, 2019 resulted primarily from locations identified for remodel, relocation or closure and certain other assets.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3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Accrued Facility Closure and Other Costs Rollforward </w:t>
      </w:r>
      <w:r>
        <w:rPr>
          <w:rFonts w:ascii="Times New Roman" w:cs="Times New Roman" w:eastAsia="Times New Roman" w:hAnsi="Times New Roman"/>
          <w:sz w:val="20"/>
          <w:szCs w:val="20"/>
          <w:color w:val="auto"/>
        </w:rPr>
        <w:t>- The following table summarizes the Company’s accrual activity related to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closure and restructuring initiatives, for the period indicated:</w:t>
      </w:r>
    </w:p>
    <w:p>
      <w:pPr>
        <w:sectPr>
          <w:pgSz w:w="11900" w:h="16838" w:orient="portrait"/>
          <w:cols w:equalWidth="0" w:num="1">
            <w:col w:w="11240"/>
          </w:cols>
          <w:pgMar w:left="320" w:top="118" w:right="339" w:bottom="1440" w:gutter="0" w:footer="0" w:header="0"/>
        </w:sect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Additions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Cash payments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Accretion</w:t>
      </w:r>
    </w:p>
    <w:p>
      <w:pPr>
        <w:spacing w:after="0" w:line="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Adjustments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end of the period (1)</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60" w:type="dxa"/>
            <w:vAlign w:val="bottom"/>
          </w:tcPr>
          <w:p>
            <w:pPr>
              <w:spacing w:after="0"/>
              <w:rPr>
                <w:sz w:val="16"/>
                <w:szCs w:val="16"/>
                <w:color w:val="auto"/>
              </w:rPr>
            </w:pPr>
          </w:p>
        </w:tc>
        <w:tc>
          <w:tcPr>
            <w:tcW w:w="26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07"/>
        </w:trPr>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SEPTEMBER 27, 2020</w:t>
            </w:r>
          </w:p>
        </w:tc>
      </w:tr>
      <w:tr>
        <w:trPr>
          <w:trHeight w:val="210"/>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14,542</w:t>
            </w:r>
          </w:p>
        </w:tc>
      </w:tr>
      <w:tr>
        <w:trPr>
          <w:trHeight w:val="216"/>
        </w:trPr>
        <w:tc>
          <w:tcPr>
            <w:tcW w:w="2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r>
      <w:tr>
        <w:trPr>
          <w:trHeight w:val="216"/>
        </w:trPr>
        <w:tc>
          <w:tcPr>
            <w:tcW w:w="2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w:t>
            </w:r>
          </w:p>
        </w:tc>
      </w:tr>
      <w:tr>
        <w:trPr>
          <w:trHeight w:val="216"/>
        </w:trPr>
        <w:tc>
          <w:tcPr>
            <w:tcW w:w="2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r>
      <w:tr>
        <w:trPr>
          <w:trHeight w:val="229"/>
        </w:trPr>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3"/>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14,526</w:t>
            </w:r>
          </w:p>
        </w:tc>
      </w:tr>
      <w:tr>
        <w:trPr>
          <w:trHeight w:val="23"/>
        </w:trPr>
        <w:tc>
          <w:tcPr>
            <w:tcW w:w="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-5264785</wp:posOffset>
            </wp:positionH>
            <wp:positionV relativeFrom="paragraph">
              <wp:posOffset>-882650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-599440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-325120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7580" w:space="720"/>
            <w:col w:w="2940"/>
          </w:cols>
          <w:pgMar w:left="320" w:top="11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57"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27, 2020, the Company had exit-related accruals related to certain closure and restructuring initiatives of $4.4 million recorded in Accrued and other current liabilities and $10.1 million recorded in Non-current operating lease liabilities on its Consolidated Balance Sheet.</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252525"/>
        </w:rPr>
        <w:t xml:space="preserve">Refranchising </w:t>
      </w:r>
      <w:r>
        <w:rPr>
          <w:rFonts w:ascii="Times New Roman" w:cs="Times New Roman" w:eastAsia="Times New Roman" w:hAnsi="Times New Roman"/>
          <w:sz w:val="20"/>
          <w:szCs w:val="20"/>
          <w:color w:val="252525"/>
        </w:rPr>
        <w:t xml:space="preserve">- During the thirteen weeks ended March 31, 2019, the Company completed the sale of 18 of its existing U.S. Company-owned Carrabba’s Italian Grill locations to an existing franchisee for cash proceeds of $3.6 million, net of certain purchase price adjustments. The Company remains contingently liable on certain real estate lease agreements assigned to the buyer. See Note </w:t>
      </w:r>
      <w:r>
        <w:rPr>
          <w:rFonts w:ascii="Times New Roman" w:cs="Times New Roman" w:eastAsia="Times New Roman" w:hAnsi="Times New Roman"/>
          <w:sz w:val="20"/>
          <w:szCs w:val="20"/>
          <w:color w:val="000000"/>
        </w:rPr>
        <w:t>20 -</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000000"/>
        </w:rPr>
        <w:t>Commitments and</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000000"/>
        </w:rPr>
        <w:t xml:space="preserve">Contingencies </w:t>
      </w:r>
      <w:r>
        <w:rPr>
          <w:rFonts w:ascii="Times New Roman" w:cs="Times New Roman" w:eastAsia="Times New Roman" w:hAnsi="Times New Roman"/>
          <w:sz w:val="20"/>
          <w:szCs w:val="20"/>
          <w:color w:val="252525"/>
        </w:rPr>
        <w:t>for additional details regarding lease guarantees</w:t>
      </w:r>
      <w:r>
        <w:rPr>
          <w:rFonts w:ascii="Times New Roman" w:cs="Times New Roman" w:eastAsia="Times New Roman" w:hAnsi="Times New Roman"/>
          <w:sz w:val="20"/>
          <w:szCs w:val="20"/>
          <w:color w:val="000000"/>
        </w:rPr>
        <w:t>.</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Surplus Property Disposals </w:t>
      </w:r>
      <w:r>
        <w:rPr>
          <w:rFonts w:ascii="Times New Roman" w:cs="Times New Roman" w:eastAsia="Times New Roman" w:hAnsi="Times New Roman"/>
          <w:sz w:val="20"/>
          <w:szCs w:val="20"/>
          <w:color w:val="252525"/>
        </w:rPr>
        <w:t>- During the thirteen weeks ended September 29, 2019, the Company completed the sale of five of its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surplus properties for cash proceeds of $12.7 million, net of certain purchase price adjustments. The transaction resulted in a net gain of $3.6 million, recorded within Other restaurant operating expense in the Consolidated Statements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(Loss) Earnings Per Share</w:t>
      </w:r>
    </w:p>
    <w:p>
      <w:pPr>
        <w:spacing w:after="0" w:line="24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computation of basic and diluted (loss) earnings per share attributable to common stockholders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36"/>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Bloomin’ Brands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102,569</w:t>
            </w:r>
          </w:p>
        </w:tc>
      </w:tr>
      <w:tr>
        <w:trPr>
          <w:trHeight w:val="21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Redemption of preferred stock in excess of carrying value (1)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common stockholders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(148,000)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89,484</w:t>
            </w: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diluted securities: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2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Nonvested performance-based share units</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1"/>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90,306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 earnings per share attributable to common stockholders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 attributable to common stockholders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jc w:val="both"/>
        <w:ind w:left="660" w:hanging="652"/>
        <w:spacing w:after="0" w:line="251"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Consideration paid in excess of carrying value for the redemption of preferred stock is considered a deemed dividend and, for purposes of calculating earnings per share, reduces net income attributable to common stockholders for the thirty-nine weeks ended September 27, 2020. See Note 14 - </w:t>
      </w:r>
      <w:r>
        <w:rPr>
          <w:rFonts w:ascii="Times New Roman" w:cs="Times New Roman" w:eastAsia="Times New Roman" w:hAnsi="Times New Roman"/>
          <w:sz w:val="16"/>
          <w:szCs w:val="16"/>
          <w:i w:val="1"/>
          <w:iCs w:val="1"/>
          <w:color w:val="auto"/>
        </w:rPr>
        <w:t>Stockholders’ Equity</w:t>
      </w:r>
      <w:r>
        <w:rPr>
          <w:rFonts w:ascii="Times New Roman" w:cs="Times New Roman" w:eastAsia="Times New Roman" w:hAnsi="Times New Roman"/>
          <w:sz w:val="16"/>
          <w:szCs w:val="16"/>
          <w:color w:val="auto"/>
        </w:rPr>
        <w:t xml:space="preserve"> for additional details.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Weighted-average securities outstanding not included in the computation of net (loss) earnings per share attributable to common stockholders because their effect was antidilutive were as follows,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2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100" w:type="dxa"/>
            <w:vAlign w:val="bottom"/>
            <w:gridSpan w:val="3"/>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5,133</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performance-based share units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senior notes and warrants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38,696</w:t>
            </w:r>
          </w:p>
        </w:tc>
        <w:tc>
          <w:tcPr>
            <w:tcW w:w="1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20,695</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2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 xml:space="preserve">There are approximately 19.348 million shares of the Company’s common stock that underlie its senior convertible notes based on the initial conversion rate and full principal amount. The conversion spread on the Company’s convertible senior notes will have a dilutive impact on diluted earnings per share when the average market price of the Company’s common stock for a given period exceeds the conversion price of $11.89 per share of common stock. The Company expects to settle the principal amount of its outstanding convertible senior notes in cash and any excess in shares. As a result, upon conversion of the convertible senior notes, only the amounts in excess of the principal amount are considered in diluted earnings per share under the treasury stock method, if applicable. For the thirteen and thirty-nine weeks ended September 27, 2020, the convertible senior notes have been excluded from the computation of diluted earnings per share as the effect would be antidilutive given the Company’s net loss. Warrants to purchase approximately 19.348 million shares of the Company’s common shares at $16.64 per share were outstanding as of September 27, 2020 but were excluded from the computation of diluted earnings per share since the warrants’ strike price was greater than the average market price of the Company’s common stock during the period. See Note 12 - </w:t>
      </w:r>
      <w:r>
        <w:rPr>
          <w:rFonts w:ascii="Times New Roman" w:cs="Times New Roman" w:eastAsia="Times New Roman" w:hAnsi="Times New Roman"/>
          <w:sz w:val="20"/>
          <w:szCs w:val="20"/>
          <w:i w:val="1"/>
          <w:iCs w:val="1"/>
          <w:color w:val="auto"/>
        </w:rPr>
        <w:t xml:space="preserve">Convertible Senior Notes </w:t>
      </w:r>
      <w:r>
        <w:rPr>
          <w:rFonts w:ascii="Times New Roman" w:cs="Times New Roman" w:eastAsia="Times New Roman" w:hAnsi="Times New Roman"/>
          <w:sz w:val="20"/>
          <w:szCs w:val="20"/>
          <w:color w:val="auto"/>
        </w:rPr>
        <w:t>for additional information regarding the Company’s convertible senior notes.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Stock-based Compensation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recognized stock-based compensation expense as follows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20" w:type="dxa"/>
            <w:vAlign w:val="bottom"/>
            <w:tcBorders>
              <w:bottom w:val="single" w:sz="8" w:color="auto"/>
            </w:tcBorders>
          </w:tcPr>
          <w:p>
            <w:pPr>
              <w:spacing w:after="0"/>
              <w:rPr>
                <w:sz w:val="18"/>
                <w:szCs w:val="18"/>
                <w:color w:val="auto"/>
              </w:rPr>
            </w:pP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2,862</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6,326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w:t>
            </w:r>
          </w:p>
        </w:tc>
      </w:tr>
      <w:tr>
        <w:trPr>
          <w:trHeight w:val="22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Performance-based share units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r>
      <w:tr>
        <w:trPr>
          <w:trHeight w:val="200"/>
        </w:trPr>
        <w:tc>
          <w:tcPr>
            <w:tcW w:w="492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Pr>
          <w:p>
            <w:pPr>
              <w:spacing w:after="0"/>
              <w:rPr>
                <w:sz w:val="17"/>
                <w:szCs w:val="17"/>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2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10,992</w:t>
            </w:r>
          </w:p>
        </w:tc>
        <w:tc>
          <w:tcPr>
            <w:tcW w:w="100" w:type="dxa"/>
            <w:vAlign w:val="bottom"/>
          </w:tcPr>
          <w:p>
            <w:pPr>
              <w:spacing w:after="0"/>
              <w:rPr>
                <w:sz w:val="17"/>
                <w:szCs w:val="17"/>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13,541</w:t>
            </w:r>
          </w:p>
        </w:tc>
      </w:tr>
      <w:tr>
        <w:trPr>
          <w:trHeight w:val="23"/>
        </w:trPr>
        <w:tc>
          <w:tcPr>
            <w:tcW w:w="4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thirty-nine weeks ended September 27, 2020, the Company made grants of 0.1 million stock options, 0.5 million time-based restricted stock units and 0.5 million performance-based share units.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Assumptions used in the Black-Scholes option pricing model and the weighted-average fair value of option awards granted were as follows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7"/>
                <w:szCs w:val="17"/>
                <w:color w:val="auto"/>
              </w:rPr>
            </w:pPr>
          </w:p>
        </w:tc>
        <w:tc>
          <w:tcPr>
            <w:tcW w:w="18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Assumptions:</w:t>
            </w:r>
          </w:p>
        </w:tc>
        <w:tc>
          <w:tcPr>
            <w:tcW w:w="22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13"/>
        </w:trPr>
        <w:tc>
          <w:tcPr>
            <w:tcW w:w="7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Weighted-average risk-free interest rate (1)</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2.34 %</w:t>
            </w:r>
          </w:p>
        </w:tc>
      </w:tr>
      <w:tr>
        <w:trPr>
          <w:trHeight w:val="21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yield (2)</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r>
      <w:tr>
        <w:trPr>
          <w:trHeight w:val="213"/>
        </w:trPr>
        <w:tc>
          <w:tcPr>
            <w:tcW w:w="7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Expected term (3)</w:t>
            </w:r>
          </w:p>
        </w:tc>
        <w:tc>
          <w:tcPr>
            <w:tcW w:w="220" w:type="dxa"/>
            <w:vAlign w:val="bottom"/>
          </w:tcPr>
          <w:p>
            <w:pPr>
              <w:spacing w:after="0"/>
              <w:rPr>
                <w:sz w:val="18"/>
                <w:szCs w:val="18"/>
                <w:color w:val="auto"/>
              </w:rPr>
            </w:pPr>
          </w:p>
        </w:tc>
        <w:tc>
          <w:tcPr>
            <w:tcW w:w="19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5.5 years</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years</w:t>
            </w:r>
          </w:p>
        </w:tc>
      </w:tr>
      <w:tr>
        <w:trPr>
          <w:trHeight w:val="21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Weighted-average volatility (4)</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31.05 %</w:t>
            </w:r>
          </w:p>
        </w:tc>
      </w:tr>
      <w:tr>
        <w:trPr>
          <w:trHeight w:val="257"/>
        </w:trPr>
        <w:tc>
          <w:tcPr>
            <w:tcW w:w="7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per option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5.07</w:t>
            </w:r>
          </w:p>
        </w:tc>
      </w:tr>
      <w:tr>
        <w:trPr>
          <w:trHeight w:val="288"/>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is the U.S. Treasury yield curve in effect as of the grant date for periods within the expected term of the option.</w:t>
      </w:r>
    </w:p>
    <w:p>
      <w:pPr>
        <w:spacing w:after="0" w:line="5" w:lineRule="exact"/>
        <w:rPr>
          <w:rFonts w:ascii="Times New Roman" w:cs="Times New Roman" w:eastAsia="Times New Roman" w:hAnsi="Times New Roman"/>
          <w:sz w:val="16"/>
          <w:szCs w:val="16"/>
          <w:color w:val="auto"/>
        </w:rPr>
      </w:pPr>
    </w:p>
    <w:p>
      <w:pPr>
        <w:jc w:val="both"/>
        <w:ind w:left="660" w:right="20" w:hanging="652"/>
        <w:spacing w:after="0" w:line="246"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Dividend yield is the level of dividends expected to be paid on the Company’s common stock over the expected term of the option. The dividend yield for the thirty-nine weeks ended September 27, 2020 relates to options granted prior the Company’s Amended Credit Agreement which restricts the payment of dividends. See Note 11 - </w:t>
      </w:r>
      <w:r>
        <w:rPr>
          <w:rFonts w:ascii="Times New Roman" w:cs="Times New Roman" w:eastAsia="Times New Roman" w:hAnsi="Times New Roman"/>
          <w:sz w:val="16"/>
          <w:szCs w:val="16"/>
          <w:i w:val="1"/>
          <w:iCs w:val="1"/>
          <w:color w:val="auto"/>
        </w:rPr>
        <w:t>Long-term Debt, Net</w:t>
      </w:r>
      <w:r>
        <w:rPr>
          <w:rFonts w:ascii="Times New Roman" w:cs="Times New Roman" w:eastAsia="Times New Roman" w:hAnsi="Times New Roman"/>
          <w:sz w:val="16"/>
          <w:szCs w:val="16"/>
          <w:color w:val="auto"/>
        </w:rPr>
        <w:t xml:space="preserve"> for dividend restriction details.</w:t>
      </w:r>
    </w:p>
    <w:p>
      <w:pPr>
        <w:spacing w:after="0" w:line="1"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historical volatility of the Company’s stock.</w:t>
      </w:r>
    </w:p>
    <w:p>
      <w:pPr>
        <w:spacing w:after="0" w:line="2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represents unrecognized stock compensation expense and the remaining weighted-average vesting period as of September 27, 2020:</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WEIGHTED-</w:t>
            </w:r>
          </w:p>
        </w:tc>
        <w:tc>
          <w:tcPr>
            <w:tcW w:w="0" w:type="dxa"/>
            <w:vAlign w:val="bottom"/>
          </w:tcPr>
          <w:p>
            <w:pPr>
              <w:spacing w:after="0"/>
              <w:rPr>
                <w:sz w:val="1"/>
                <w:szCs w:val="1"/>
                <w:color w:val="auto"/>
              </w:rPr>
            </w:pPr>
          </w:p>
        </w:tc>
      </w:tr>
      <w:tr>
        <w:trPr>
          <w:trHeight w:val="135"/>
        </w:trPr>
        <w:tc>
          <w:tcPr>
            <w:tcW w:w="7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 VESTING</w:t>
            </w: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0" w:type="dxa"/>
            <w:vAlign w:val="bottom"/>
          </w:tcPr>
          <w:p>
            <w:pPr>
              <w:spacing w:after="0"/>
              <w:rPr>
                <w:sz w:val="1"/>
                <w:szCs w:val="1"/>
                <w:color w:val="auto"/>
              </w:rPr>
            </w:pPr>
          </w:p>
        </w:tc>
      </w:tr>
      <w:tr>
        <w:trPr>
          <w:trHeight w:val="21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13,618</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Performance-based share units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19"/>
          <w:szCs w:val="19"/>
          <w:color w:val="auto"/>
        </w:rPr>
        <w:t>Other Current Assets,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current assets, net, consisted of the following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8"/>
                <w:szCs w:val="18"/>
                <w:color w:val="auto"/>
              </w:rPr>
            </w:pPr>
          </w:p>
        </w:tc>
        <w:tc>
          <w:tcPr>
            <w:tcW w:w="17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29, 2019</w:t>
            </w: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20,218</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 gift cards,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104,591</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vendors,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13,465</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 franchisees,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other,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21,734</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18,554</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w:t>
            </w:r>
          </w:p>
        </w:tc>
      </w:tr>
      <w:tr>
        <w:trPr>
          <w:trHeight w:val="238"/>
        </w:trPr>
        <w:tc>
          <w:tcPr>
            <w:tcW w:w="7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186,462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8.</w:t>
        <w:tab/>
        <w:t>Property, Fixtures and Equipment,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fixtures and equipment, net, consisted of the following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8"/>
                <w:szCs w:val="18"/>
                <w:color w:val="auto"/>
              </w:rPr>
            </w:pPr>
          </w:p>
        </w:tc>
        <w:tc>
          <w:tcPr>
            <w:tcW w:w="17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29, 2019</w:t>
            </w: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42,570</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1,202,434</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458,169</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665,815</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24,477</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(1,382,459)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(1,357,388)</w:t>
            </w:r>
          </w:p>
        </w:tc>
      </w:tr>
      <w:tr>
        <w:trPr>
          <w:trHeight w:val="238"/>
        </w:trPr>
        <w:tc>
          <w:tcPr>
            <w:tcW w:w="7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900,883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1,036,077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9"/>
          <w:szCs w:val="19"/>
          <w:color w:val="auto"/>
        </w:rPr>
        <w:t>Goodwill and Intangible Assets, Net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Goodwill - </w:t>
      </w:r>
      <w:r>
        <w:rPr>
          <w:rFonts w:ascii="Times New Roman" w:cs="Times New Roman" w:eastAsia="Times New Roman" w:hAnsi="Times New Roman"/>
          <w:sz w:val="20"/>
          <w:szCs w:val="20"/>
          <w:color w:val="auto"/>
        </w:rPr>
        <w:t>The following table is a rollforward of goodwill: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8"/>
                <w:szCs w:val="18"/>
                <w:color w:val="auto"/>
              </w:rPr>
            </w:pPr>
          </w:p>
        </w:tc>
        <w:tc>
          <w:tcPr>
            <w:tcW w:w="14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2019</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288,439</w:t>
            </w:r>
          </w:p>
        </w:tc>
      </w:tr>
      <w:tr>
        <w:trPr>
          <w:trHeight w:val="213"/>
        </w:trPr>
        <w:tc>
          <w:tcPr>
            <w:tcW w:w="6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Translation adjustments</w:t>
            </w: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(16,728)</w:t>
            </w:r>
          </w:p>
        </w:tc>
      </w:tr>
      <w:tr>
        <w:trPr>
          <w:trHeight w:val="225"/>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charges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r>
      <w:tr>
        <w:trPr>
          <w:trHeight w:val="203"/>
        </w:trPr>
        <w:tc>
          <w:tcPr>
            <w:tcW w:w="6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September 27, 2020</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99,081</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269,738</w:t>
            </w:r>
          </w:p>
        </w:tc>
      </w:tr>
      <w:tr>
        <w:trPr>
          <w:trHeight w:val="20"/>
        </w:trPr>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9"/>
          <w:szCs w:val="19"/>
          <w:color w:val="auto"/>
        </w:rPr>
        <w:t>he COVID-19 outbreak was considered a triggering event during the thirteen weeks ended March 29, 2020, indicating that the carrying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amount of goodwill may not be recoverable. As a result, the Company performed a quantitative assessment for all reporting units to determine whether a reporting unit was impaired. Based on this assessment, which utilized a discounted cash flow analysis, the Company recorded full impairment of goodwill related to its Hong Kong reporting unit of $2.0 million, within the international segment, during the thirteen weeks ended March 29, 2020. Impairment was not recorded for any of the Company’s other reporting units as a result of the quantitative assessment.</w:t>
      </w:r>
    </w:p>
    <w:p>
      <w:pPr>
        <w:spacing w:after="0" w:line="200" w:lineRule="exact"/>
        <w:rPr>
          <w:sz w:val="20"/>
          <w:szCs w:val="20"/>
          <w:color w:val="auto"/>
        </w:rPr>
      </w:pP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Annual Goodwill and Intangible Asset Impairment Assessment </w:t>
      </w:r>
      <w:r>
        <w:rPr>
          <w:rFonts w:ascii="Times New Roman" w:cs="Times New Roman" w:eastAsia="Times New Roman" w:hAnsi="Times New Roman"/>
          <w:sz w:val="20"/>
          <w:szCs w:val="20"/>
          <w:color w:val="auto"/>
        </w:rPr>
        <w:t>- The Company performs its annual assessment for impairment of goodwill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other indefinite-lived intangible assets as of the first day of its second fiscal quarter. Since the Company performed a quantitative assessment on the last day of the first fiscal quarter of 2020, as described above, the Company utilized the same assumptions and analysis in performing a quantitative annual</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assessment in its second fiscal quarter and concluded that no additional impairment was required. In 2019, the Company performed a qualitative assessment and did not record any impairment charges.</w:t>
      </w:r>
    </w:p>
    <w:p>
      <w:pPr>
        <w:spacing w:after="0" w:line="18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w:t>
      </w:r>
      <w:r>
        <w:rPr>
          <w:sz w:val="20"/>
          <w:szCs w:val="20"/>
          <w:color w:val="auto"/>
        </w:rPr>
        <w:tab/>
      </w:r>
      <w:r>
        <w:rPr>
          <w:rFonts w:ascii="Times New Roman" w:cs="Times New Roman" w:eastAsia="Times New Roman" w:hAnsi="Times New Roman"/>
          <w:sz w:val="19"/>
          <w:szCs w:val="19"/>
          <w:color w:val="auto"/>
        </w:rPr>
        <w:t>Other Assets,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assets, net, consisted of the following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8"/>
                <w:szCs w:val="18"/>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29, 2019</w:t>
            </w:r>
          </w:p>
        </w:tc>
      </w:tr>
      <w:tr>
        <w:trPr>
          <w:trHeight w:val="216"/>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Company-owned life insurance (1)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50,887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60,126</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debt issuance costs (2)</w:t>
            </w:r>
          </w:p>
        </w:tc>
        <w:tc>
          <w:tcPr>
            <w:tcW w:w="18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4,893</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Liquor licenses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24,289</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18,561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27,802</w:t>
            </w:r>
          </w:p>
        </w:tc>
      </w:tr>
      <w:tr>
        <w:trPr>
          <w:trHeight w:val="238"/>
        </w:trPr>
        <w:tc>
          <w:tcPr>
            <w:tcW w:w="7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98,999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117,110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10" w:lineRule="exact"/>
        <w:rPr>
          <w:sz w:val="20"/>
          <w:szCs w:val="20"/>
          <w:color w:val="auto"/>
        </w:rPr>
      </w:pPr>
    </w:p>
    <w:p>
      <w:pPr>
        <w:ind w:left="660" w:hanging="652"/>
        <w:spacing w:after="0" w:line="237"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thirty-nine weeks ended September 27, 2020, the Company utilized $9.3 million of Company-owned life insurance policies to pay deferred compensation obligations.</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$8.4 million and $6.8 million as of September 27, 2020 and December 29, 2019, respectively.</w:t>
      </w:r>
    </w:p>
    <w:p>
      <w:pPr>
        <w:spacing w:after="0" w:line="22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Long-term Debt,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outstanding long-term debt, as of the periods indicated: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DECEMBER 29, 2019</w:t>
            </w:r>
          </w:p>
        </w:tc>
        <w:tc>
          <w:tcPr>
            <w:tcW w:w="0" w:type="dxa"/>
            <w:vAlign w:val="bottom"/>
          </w:tcPr>
          <w:p>
            <w:pPr>
              <w:spacing w:after="0"/>
              <w:rPr>
                <w:sz w:val="1"/>
                <w:szCs w:val="1"/>
                <w:color w:val="auto"/>
              </w:rPr>
            </w:pPr>
          </w:p>
        </w:tc>
      </w:tr>
      <w:tr>
        <w:trPr>
          <w:trHeight w:val="135"/>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1360" w:type="dxa"/>
            <w:vAlign w:val="bottom"/>
          </w:tcPr>
          <w:p>
            <w:pPr>
              <w:jc w:val="right"/>
              <w:ind w:right="161"/>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1"/>
                <w:szCs w:val="11"/>
                <w:color w:val="auto"/>
              </w:rPr>
            </w:pPr>
          </w:p>
        </w:tc>
        <w:tc>
          <w:tcPr>
            <w:tcW w:w="1360" w:type="dxa"/>
            <w:vAlign w:val="bottom"/>
          </w:tcPr>
          <w:p>
            <w:pPr>
              <w:jc w:val="right"/>
              <w:ind w:right="161"/>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Term loan A (1)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431,250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450,000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0" w:type="dxa"/>
            <w:vAlign w:val="bottom"/>
          </w:tcPr>
          <w:p>
            <w:pPr>
              <w:spacing w:after="0"/>
              <w:rPr>
                <w:sz w:val="1"/>
                <w:szCs w:val="1"/>
                <w:color w:val="auto"/>
              </w:rPr>
            </w:pPr>
          </w:p>
        </w:tc>
      </w:tr>
      <w:tr>
        <w:trPr>
          <w:trHeight w:val="226"/>
        </w:trPr>
        <w:tc>
          <w:tcPr>
            <w:tcW w:w="4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Revolving credit facility (1) (2)</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555,000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599,000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Total Senior Secured Credit Facility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986,250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1,049,000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Senior Notes (3)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230,000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unamortized debt discount and issuance costs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(70,735)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1,147,890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1,048,704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(26,411)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1,112,290</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1,022,293</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represents the weighted-average interest rate for the respective periods.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September 27, 2020, the Company made a payment of $23.0 million on its revolving credit facility.</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12 - </w:t>
      </w:r>
      <w:r>
        <w:rPr>
          <w:rFonts w:ascii="Times New Roman" w:cs="Times New Roman" w:eastAsia="Times New Roman" w:hAnsi="Times New Roman"/>
          <w:sz w:val="16"/>
          <w:szCs w:val="16"/>
          <w:i w:val="1"/>
          <w:iCs w:val="1"/>
          <w:color w:val="auto"/>
        </w:rPr>
        <w:t>Convertible Senior Notes</w:t>
      </w:r>
      <w:r>
        <w:rPr>
          <w:rFonts w:ascii="Times New Roman" w:cs="Times New Roman" w:eastAsia="Times New Roman" w:hAnsi="Times New Roman"/>
          <w:sz w:val="16"/>
          <w:szCs w:val="16"/>
          <w:color w:val="auto"/>
        </w:rPr>
        <w:t xml:space="preserve"> for details regarding the convertible senior notes and related hedge and warrant transactions.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Amended Credit Agreement </w:t>
      </w:r>
      <w:r>
        <w:rPr>
          <w:rFonts w:ascii="Times New Roman" w:cs="Times New Roman" w:eastAsia="Times New Roman" w:hAnsi="Times New Roman"/>
          <w:sz w:val="19"/>
          <w:szCs w:val="19"/>
          <w:color w:val="auto"/>
        </w:rPr>
        <w:t>- On May 4, 2020, the Company and its wholly-owned subsidiary OSI Restaurant Partners, LLC (“OSI”), as co-borrowers, entered into an amendment to the existing credit agreement, dated November 30, 2017 (the “Amended Credit Agreement”), which provides relief for the financial covenant to maintain a specified quarterly Total Net Leverage Ratio (“TNLR”). Without such amendment, violation of financial covenants under the original credit agreement could have resulted in default. TNLR is the ratio of Consolidated Total Debt (Current portion of long-term debt and Long-term debt, net of cash, excluding the convertible senior notes) to Consolidated EBITDA (earnings before interest, taxes, depreciation and amortization and certain other adjustments as defined in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Amended Credit Agreement waives the TNLR requirement for the remainder of fiscal year 2020 and requires a TNLR based on a seasonally annualized calculation of Consolidated EBITDA not to exceed the following thresholds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QUARTERLY PERIOD ENDED</w:t>
            </w:r>
          </w:p>
        </w:tc>
        <w:tc>
          <w:tcPr>
            <w:tcW w:w="188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MAXIMUM RATIO</w:t>
            </w:r>
          </w:p>
        </w:tc>
      </w:tr>
      <w:tr>
        <w:trPr>
          <w:trHeight w:val="216"/>
        </w:trPr>
        <w:tc>
          <w:tcPr>
            <w:tcW w:w="9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28, 2021 (1)</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w:t>
            </w:r>
          </w:p>
        </w:tc>
        <w:tc>
          <w:tcPr>
            <w:tcW w:w="8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27, 2021 (2)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w:t>
            </w: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26, 2021 and thereafter (3)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w:t>
            </w: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1.00</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Seasonally annualized Consolidated EBITDA calculated as Consolidated EBITDA for the fiscal quarter ending March 28, 2021 divided by 34.1%.</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Seasonally annualized Consolidated EBITDA calculated as Consolidated EBITDA for the two consecutive quarters ending June 27, 2021 divided by 58.5%.</w:t>
      </w:r>
    </w:p>
    <w:p>
      <w:pPr>
        <w:spacing w:after="0" w:line="5"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Seasonally annualized Consolidated EBITDA calculated as Consolidated EBITDA for the three consecutive quarters ending September 26, 2021 divided by 77.0%.</w:t>
      </w:r>
    </w:p>
    <w:p>
      <w:pPr>
        <w:spacing w:after="0" w:line="200" w:lineRule="exact"/>
        <w:rPr>
          <w:sz w:val="20"/>
          <w:szCs w:val="20"/>
          <w:color w:val="auto"/>
        </w:rPr>
      </w:pP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also required to meet a minimum monthly liquidity threshold of $125.0 million through March 28, 2021, calculated as the sum of available capacity under the Company’s revolving credit facility, unrestricted domestic cash on hand and up to $25.0 million of unrestricted cash held by foreign subsidiaries.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Under the Amended Credit Agreement, the Company is limited to $100.0 million of aggregate capital expenditures for the four fiscal quarters through March 28, 2021. The Company is also prohibited from making certain restricted payments, investments or acquisitions until after September 26, 2021, with an exception for investments in the Company’s foreign subsidiaries which are capped at $27.5 million. Repurchasing shares of the Company’s outstanding common stock and paying dividends are also restricted until after September 26, 2021 and the Company is compliant with its financial covenants under the terms of the Amended Credit Agreement.</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Interest rates under the Amended Credit Agreement are 275 and 175 basis points above the Eurocurrency Rate and Base Rate, respectively, and letter of credit fees and fees for the daily unused availability under the revolving credit facility are 2.75% and 0.40%, respectively, subject to reversion to rates under the original credit agreement when the Company is in compliance with the TNLR covenant for the test period ending September 26, 2021. The Company is also subject to a 0% Eurocurrency floor under the Amended Credit Agreement.</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Deferred Debt Issuance Costs - </w:t>
      </w:r>
      <w:r>
        <w:rPr>
          <w:rFonts w:ascii="Times New Roman" w:cs="Times New Roman" w:eastAsia="Times New Roman" w:hAnsi="Times New Roman"/>
          <w:sz w:val="20"/>
          <w:szCs w:val="20"/>
          <w:color w:val="auto"/>
        </w:rPr>
        <w:t>The Company deferred $2.9 million of debt issuance costs incurred in connection with the Amended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Deferred debt issuance costs of $2.0 million associated with the revolving credit facility portion of the Amended Credit Agreement were recorded in Other assets, net and all other deferred debt issuance costs were recorded in Long-term debt, net during the thirteen weeks ended June 28,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27, 2020 and December 29, 2019, the Company was in compliance with its debt covenants.</w:t>
      </w:r>
    </w:p>
    <w:p>
      <w:pPr>
        <w:spacing w:after="0" w:line="2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Convertible Senior Notes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Convertible Senior Notes </w:t>
      </w:r>
      <w:r>
        <w:rPr>
          <w:rFonts w:ascii="Times New Roman" w:cs="Times New Roman" w:eastAsia="Times New Roman" w:hAnsi="Times New Roman"/>
          <w:sz w:val="20"/>
          <w:szCs w:val="20"/>
          <w:color w:val="auto"/>
        </w:rPr>
        <w:t>- On May 8, 2020, the Company completed a $200.0 million principal amount private offering of 5.00%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convertible senior notes due 2025 and on May 12, 2020, issued an additional $30.0 million principal amount in connection with the option granted to the initial purchasers as part of the offering (collectively, the “2025 Notes”). The 2025 Notes are governed by the terms of an indenture between the Company and Wells Fargo Bank, National Association, as the Trustee. The 2025 Notes will mature on May 1, 2025, unless earlier converted, redeemed or purchased by the Company. The 2025 Notes bear cash interest at an annual rate of 5.00%, payable semi-annually in arrears on May 1 and November 1 of each year, beginning on November 1, 2020.</w:t>
      </w:r>
    </w:p>
    <w:p>
      <w:pPr>
        <w:spacing w:after="0" w:line="21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2025 Notes are unsecured obligations and do not contain any financial covenants or restrictions on incurring additional indebtedness, paying dividends or issuing or repurchasing any securities. Events of default under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indenture for the 2025 Notes include, among other things, a default in the payment when due of the principal of, or the redemption price for, any note and a default for 30 days in the payment when due of interest on any note. If an event of default, the principal amount of, and all accrued and unpaid interest on, all of the notes then outstanding will immediately become due and payable.</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The conversion rate is subject to adjustment upon the occurrence of certain specified events. Noteholders may convert their notes at their option only in the circumstances described in the indenture.</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will settle conversions by paying or delivering, as applicable, cash, shares of its common stock or a combination of cash and shares of its common stock, at the Company’s election, based on the applicable conversion rate.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proceeds from the 2025 Notes offering were approximately $221.6 million, after deducting the initial purchaser’s discounts and commissions and the Company’s offering expenses. Upon issuance, the principal amount was separated into a liability and an equity component, such that interest expense reflects the Company’s nonconvertible debt interest rate.</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initial carrying value of the 2025 Notes, excluding the discounts upon original issuance and third-party offering costs allocated to the liability, and recorded </w:t>
      </w:r>
      <w:r>
        <w:rPr>
          <w:rFonts w:ascii="Times New Roman" w:cs="Times New Roman" w:eastAsia="Times New Roman" w:hAnsi="Times New Roman"/>
          <w:sz w:val="20"/>
          <w:szCs w:val="20"/>
          <w:color w:val="252525"/>
        </w:rPr>
        <w:t>during the thirteen weeks ended June 28, 2020,</w:t>
      </w:r>
      <w:r>
        <w:rPr>
          <w:rFonts w:ascii="Times New Roman" w:cs="Times New Roman" w:eastAsia="Times New Roman" w:hAnsi="Times New Roman"/>
          <w:sz w:val="20"/>
          <w:szCs w:val="20"/>
          <w:color w:val="auto"/>
        </w:rPr>
        <w:t xml:space="preserve"> is as follows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component</w:t>
            </w:r>
          </w:p>
        </w:tc>
        <w:tc>
          <w:tcPr>
            <w:tcW w:w="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9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230,000</w:t>
            </w:r>
          </w:p>
        </w:tc>
      </w:tr>
      <w:tr>
        <w:trPr>
          <w:trHeight w:val="219"/>
        </w:trPr>
        <w:tc>
          <w:tcPr>
            <w:tcW w:w="9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Debt discount (1)</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(66,137)</w:t>
            </w:r>
          </w:p>
        </w:tc>
      </w:tr>
      <w:tr>
        <w:trPr>
          <w:trHeight w:val="223"/>
        </w:trPr>
        <w:tc>
          <w:tcPr>
            <w:tcW w:w="9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Debt issuance costs (1)</w:t>
            </w:r>
          </w:p>
        </w:tc>
        <w:tc>
          <w:tcPr>
            <w:tcW w:w="8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(5,996)</w:t>
            </w:r>
          </w:p>
        </w:tc>
      </w:tr>
      <w:tr>
        <w:trPr>
          <w:trHeight w:val="223"/>
        </w:trPr>
        <w:tc>
          <w:tcPr>
            <w:tcW w:w="9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carrying amount</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157,867</w:t>
            </w:r>
          </w:p>
        </w:tc>
      </w:tr>
      <w:tr>
        <w:trPr>
          <w:trHeight w:val="216"/>
        </w:trPr>
        <w:tc>
          <w:tcPr>
            <w:tcW w:w="9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component (2)</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64,367</w:t>
            </w:r>
          </w:p>
        </w:tc>
      </w:tr>
      <w:tr>
        <w:trPr>
          <w:trHeight w:val="20"/>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discount and issuance costs are amortized to interest expense using the effective interest method over the expected life of the 2025 Notes.</w:t>
      </w:r>
    </w:p>
    <w:p>
      <w:pPr>
        <w:spacing w:after="0" w:line="5" w:lineRule="exact"/>
        <w:rPr>
          <w:rFonts w:ascii="Times New Roman" w:cs="Times New Roman" w:eastAsia="Times New Roman" w:hAnsi="Times New Roman"/>
          <w:sz w:val="16"/>
          <w:szCs w:val="16"/>
          <w:color w:val="auto"/>
        </w:rPr>
      </w:pPr>
    </w:p>
    <w:p>
      <w:pPr>
        <w:ind w:left="660" w:hanging="652"/>
        <w:spacing w:after="0" w:line="248" w:lineRule="auto"/>
        <w:tabs>
          <w:tab w:leader="none" w:pos="660" w:val="left"/>
        </w:tabs>
        <w:numPr>
          <w:ilvl w:val="0"/>
          <w:numId w:val="14"/>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Recorded in Additional paid-in capital on the Consolidated Balance Sheet. Includes $2.4 million of equity issuance costs and net deferred tax assets of $0.6 million.</w:t>
      </w:r>
    </w:p>
    <w:p>
      <w:pPr>
        <w:spacing w:after="0" w:line="4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Convertible Note Hedge and Warrant Transactions </w:t>
      </w:r>
      <w:r>
        <w:rPr>
          <w:rFonts w:ascii="Times New Roman" w:cs="Times New Roman" w:eastAsia="Times New Roman" w:hAnsi="Times New Roman"/>
          <w:sz w:val="20"/>
          <w:szCs w:val="20"/>
          <w:color w:val="252525"/>
        </w:rPr>
        <w:t>- In connection with the offering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Notes</w:t>
      </w:r>
      <w:r>
        <w:rPr>
          <w:rFonts w:ascii="Times New Roman" w:cs="Times New Roman" w:eastAsia="Times New Roman" w:hAnsi="Times New Roman"/>
          <w:sz w:val="20"/>
          <w:szCs w:val="20"/>
          <w:color w:val="252525"/>
        </w:rPr>
        <w:t>, the Company entered into convertible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 xml:space="preserve">note hedge transactions (the “Convertible Note Hedge Transactions”) with certain of the initial purchasers of the </w:t>
      </w:r>
      <w:r>
        <w:rPr>
          <w:rFonts w:ascii="Times New Roman" w:cs="Times New Roman" w:eastAsia="Times New Roman" w:hAnsi="Times New Roman"/>
          <w:sz w:val="20"/>
          <w:szCs w:val="20"/>
          <w:color w:val="000000"/>
        </w:rPr>
        <w:t>2025 Notes</w:t>
      </w:r>
      <w:r>
        <w:rPr>
          <w:rFonts w:ascii="Times New Roman" w:cs="Times New Roman" w:eastAsia="Times New Roman" w:hAnsi="Times New Roman"/>
          <w:sz w:val="20"/>
          <w:szCs w:val="20"/>
          <w:color w:val="252525"/>
        </w:rPr>
        <w:t xml:space="preserve">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52525"/>
        </w:rPr>
        <w:t xml:space="preserve">The Convertible Note Hedge Transactions cover, subject to customary anti-dilution adjustments, the number of shares of the Company’s common stock that initially underlie the </w:t>
      </w:r>
      <w:r>
        <w:rPr>
          <w:rFonts w:ascii="Times New Roman" w:cs="Times New Roman" w:eastAsia="Times New Roman" w:hAnsi="Times New Roman"/>
          <w:sz w:val="20"/>
          <w:szCs w:val="20"/>
          <w:color w:val="000000"/>
        </w:rPr>
        <w:t>2025 Notes</w:t>
      </w:r>
      <w:r>
        <w:rPr>
          <w:rFonts w:ascii="Times New Roman" w:cs="Times New Roman" w:eastAsia="Times New Roman" w:hAnsi="Times New Roman"/>
          <w:sz w:val="20"/>
          <w:szCs w:val="20"/>
          <w:color w:val="252525"/>
        </w:rPr>
        <w:t xml:space="preserve">, and are expected generally to reduce the potential equity dilution, and/or offset any cash payments in excess of the principal amount due, as the case may be, upon conversion of the </w:t>
      </w:r>
      <w:r>
        <w:rPr>
          <w:rFonts w:ascii="Times New Roman" w:cs="Times New Roman" w:eastAsia="Times New Roman" w:hAnsi="Times New Roman"/>
          <w:sz w:val="20"/>
          <w:szCs w:val="20"/>
          <w:color w:val="000000"/>
        </w:rPr>
        <w:t>2025 Notes</w:t>
      </w:r>
      <w:r>
        <w:rPr>
          <w:rFonts w:ascii="Times New Roman" w:cs="Times New Roman" w:eastAsia="Times New Roman" w:hAnsi="Times New Roman"/>
          <w:sz w:val="20"/>
          <w:szCs w:val="20"/>
          <w:color w:val="252525"/>
        </w:rPr>
        <w:t>. The Warrant Transactions could have a dilutive effect on the Company’s common stock to the extent that the price of its common stock exceeds the strike price of the Warrant Transactions.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The strike price will initially be $16.64 per share and is subject to certain adjustments under the terms of the Warrant Transactions.</w:t>
      </w:r>
    </w:p>
    <w:p>
      <w:pPr>
        <w:spacing w:after="0" w:line="2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52525"/>
        </w:rPr>
        <w:t xml:space="preserve">The portion of the net proceeds to the Company from the offering of the </w:t>
      </w:r>
      <w:r>
        <w:rPr>
          <w:rFonts w:ascii="Times New Roman" w:cs="Times New Roman" w:eastAsia="Times New Roman" w:hAnsi="Times New Roman"/>
          <w:sz w:val="20"/>
          <w:szCs w:val="20"/>
          <w:color w:val="000000"/>
        </w:rPr>
        <w:t>2025 Notes</w:t>
      </w:r>
      <w:r>
        <w:rPr>
          <w:rFonts w:ascii="Times New Roman" w:cs="Times New Roman" w:eastAsia="Times New Roman" w:hAnsi="Times New Roman"/>
          <w:sz w:val="20"/>
          <w:szCs w:val="20"/>
          <w:color w:val="252525"/>
        </w:rPr>
        <w:t xml:space="preserve"> that was used to pay the premium on the Convertible Note Hedge Transactions, net of the proceeds to the Company from the Warrant Transactions, was approximately $19.6 million. The net costs incurred in connection with the Convertible Note Hedge Transactions and Warrant Transactions were recorded as a reduction to Additional paid-in capital on the Company’s Consolidated Balance Sheet during the thirteen weeks ended June 28, 2020.</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252525"/>
        </w:rPr>
        <w:t>As these transactions meet certain accounting criteria, the Convertible Note Hedge Transactions and Warrant Transactions were recorded in stockholders’ equity, not accounted for as derivatives and are not remeasured each reporting period.</w:t>
      </w:r>
    </w:p>
    <w:p>
      <w:pPr>
        <w:spacing w:after="0" w:line="18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13.</w:t>
        <w:tab/>
        <w:t>Other Long-term Liabilities,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long-term liabilities, net, consisted of the following,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8"/>
                <w:szCs w:val="18"/>
                <w:color w:val="auto"/>
              </w:rPr>
            </w:pPr>
          </w:p>
        </w:tc>
        <w:tc>
          <w:tcPr>
            <w:tcW w:w="17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29, 2019</w:t>
            </w:r>
          </w:p>
        </w:tc>
        <w:tc>
          <w:tcPr>
            <w:tcW w:w="0" w:type="dxa"/>
            <w:vAlign w:val="bottom"/>
          </w:tcPr>
          <w:p>
            <w:pPr>
              <w:spacing w:after="0"/>
              <w:rPr>
                <w:sz w:val="1"/>
                <w:szCs w:val="1"/>
                <w:color w:val="auto"/>
              </w:rPr>
            </w:pP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insurance liability</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33,818</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Chef and Restaurant Managing Partner deferred compensation obligations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47,831</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payroll tax liabilities (1)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(2)</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56,411</w:t>
            </w:r>
          </w:p>
        </w:tc>
        <w:tc>
          <w:tcPr>
            <w:tcW w:w="0" w:type="dxa"/>
            <w:vAlign w:val="bottom"/>
          </w:tcPr>
          <w:p>
            <w:pPr>
              <w:spacing w:after="0"/>
              <w:rPr>
                <w:sz w:val="1"/>
                <w:szCs w:val="1"/>
                <w:color w:val="auto"/>
              </w:rPr>
            </w:pPr>
          </w:p>
        </w:tc>
      </w:tr>
      <w:tr>
        <w:trPr>
          <w:trHeight w:val="238"/>
        </w:trPr>
        <w:tc>
          <w:tcPr>
            <w:tcW w:w="7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138,060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line="22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Deferred payroll tax liabilities as allowed for in the Coronavirus, Aid, Relief and Economic Security Act (“CARES Act”). See Note 19 -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for details regarding the CARES Act.</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36"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increase in Other long-term liabilities during the thirty-nine weeks ended September 27, 2020, primarily relates to $8.7 million of additional contingent lease liabilities subsequent to the adoption of ASU No. 2016-13 and $2.8 million of additional interest rate swap liabilities. See Note 20 - </w:t>
      </w:r>
      <w:r>
        <w:rPr>
          <w:rFonts w:ascii="Times New Roman" w:cs="Times New Roman" w:eastAsia="Times New Roman" w:hAnsi="Times New Roman"/>
          <w:sz w:val="16"/>
          <w:szCs w:val="16"/>
          <w:i w:val="1"/>
          <w:iCs w:val="1"/>
          <w:color w:val="auto"/>
        </w:rPr>
        <w:t>Commitments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Contingencies </w:t>
      </w:r>
      <w:r>
        <w:rPr>
          <w:rFonts w:ascii="Times New Roman" w:cs="Times New Roman" w:eastAsia="Times New Roman" w:hAnsi="Times New Roman"/>
          <w:sz w:val="16"/>
          <w:szCs w:val="16"/>
          <w:color w:val="auto"/>
        </w:rPr>
        <w:t>and Note 15 -</w:t>
      </w:r>
      <w:r>
        <w:rPr>
          <w:rFonts w:ascii="Times New Roman" w:cs="Times New Roman" w:eastAsia="Times New Roman" w:hAnsi="Times New Roman"/>
          <w:sz w:val="16"/>
          <w:szCs w:val="16"/>
          <w:i w:val="1"/>
          <w:iCs w:val="1"/>
          <w:color w:val="auto"/>
        </w:rPr>
        <w:t xml:space="preserve"> Derivative Instruments and Hedging Activities</w:t>
      </w:r>
      <w:r>
        <w:rPr>
          <w:rFonts w:ascii="Times New Roman" w:cs="Times New Roman" w:eastAsia="Times New Roman" w:hAnsi="Times New Roman"/>
          <w:sz w:val="16"/>
          <w:szCs w:val="16"/>
          <w:color w:val="auto"/>
        </w:rPr>
        <w:t>, respectively, for details regarding these increases.</w:t>
      </w:r>
    </w:p>
    <w:p>
      <w:pPr>
        <w:spacing w:after="0" w:line="2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Stockholders’ Equity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Dividends - </w:t>
      </w:r>
      <w:r>
        <w:rPr>
          <w:rFonts w:ascii="Times New Roman" w:cs="Times New Roman" w:eastAsia="Times New Roman" w:hAnsi="Times New Roman"/>
          <w:sz w:val="20"/>
          <w:szCs w:val="20"/>
          <w:color w:val="auto"/>
        </w:rPr>
        <w:t>The Company declared and paid dividends per share during fiscal year 2020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340" w:type="dxa"/>
            <w:vAlign w:val="bottom"/>
          </w:tcPr>
          <w:p>
            <w:pPr>
              <w:spacing w:after="0"/>
              <w:rPr>
                <w:sz w:val="13"/>
                <w:szCs w:val="13"/>
                <w:color w:val="auto"/>
              </w:rPr>
            </w:pPr>
          </w:p>
        </w:tc>
        <w:tc>
          <w:tcPr>
            <w:tcW w:w="1500" w:type="dxa"/>
            <w:vAlign w:val="bottom"/>
            <w:vMerge w:val="restart"/>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7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SHARE</w:t>
            </w:r>
          </w:p>
        </w:tc>
        <w:tc>
          <w:tcPr>
            <w:tcW w:w="34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fiscal quarter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Redeemable Preferred Stock </w:t>
      </w:r>
      <w:r>
        <w:rPr>
          <w:rFonts w:ascii="Times New Roman" w:cs="Times New Roman" w:eastAsia="Times New Roman" w:hAnsi="Times New Roman"/>
          <w:sz w:val="20"/>
          <w:szCs w:val="20"/>
          <w:color w:val="auto"/>
        </w:rPr>
        <w:t>- In connection with the development of its Abbraccio Cucina Italiana (“Abbraccio”) concept in 2015,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entered into an investment agreement (the “Abbraccio Investment Agreement”) to sell preferred shares of its Abbraccio subsidiary (“Abbraccio Shares”) to certain investors. The Abbraccio Investment Agreement included a call option for the purchase of the Abbraccio Shares (the “Abbraccio Call Option”).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thirteen weeks ended March 29, 2020, the Company exercised the Abbraccio Call Option to purchase all outstanding Abbraccio Shares for $1.0 million and recorded a reduction to Accumulated deficit and an increase in Net loss applicable to common stockholders of $3.5 million for the consideration paid in excess of the Abbraccio Shares’ carrying value.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Accumulated Other Comprehensive Loss (“AOCL”) - </w:t>
      </w:r>
      <w:r>
        <w:rPr>
          <w:rFonts w:ascii="Times New Roman" w:cs="Times New Roman" w:eastAsia="Times New Roman" w:hAnsi="Times New Roman"/>
          <w:sz w:val="20"/>
          <w:szCs w:val="20"/>
          <w:color w:val="auto"/>
        </w:rPr>
        <w:t>Following are the components of AOCL as of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8"/>
                <w:szCs w:val="18"/>
                <w:color w:val="auto"/>
              </w:rPr>
            </w:pPr>
          </w:p>
        </w:tc>
        <w:tc>
          <w:tcPr>
            <w:tcW w:w="17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29, 2019</w:t>
            </w:r>
          </w:p>
        </w:tc>
      </w:tr>
      <w:tr>
        <w:trPr>
          <w:trHeight w:val="216"/>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(152,031)</w:t>
            </w:r>
          </w:p>
        </w:tc>
      </w:tr>
      <w:tr>
        <w:trPr>
          <w:trHeight w:val="22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loss on derivatives, net of tax</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(17,745)</w:t>
            </w:r>
          </w:p>
        </w:tc>
      </w:tr>
      <w:tr>
        <w:trPr>
          <w:trHeight w:val="241"/>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(169,776)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are the components of Other comprehensive loss attributable to Bloomin’ Brands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(13,042)</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derivatives, net of tax (1)</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0" w:type="dxa"/>
            <w:vAlign w:val="bottom"/>
          </w:tcPr>
          <w:p>
            <w:pPr>
              <w:spacing w:after="0"/>
              <w:rPr>
                <w:sz w:val="1"/>
                <w:szCs w:val="1"/>
                <w:color w:val="auto"/>
              </w:rPr>
            </w:pPr>
          </w:p>
        </w:tc>
      </w:tr>
      <w:tr>
        <w:trPr>
          <w:trHeight w:val="162"/>
        </w:trPr>
        <w:tc>
          <w:tcPr>
            <w:tcW w:w="4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adjustments for loss on derivatives included in Net</w:t>
            </w: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6,943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income, net of tax (2)</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unrealized gain (loss) on derivatives, net of tax</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(13,078)</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attributable to Bloomin’ Brands</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(11,529)</w:t>
            </w:r>
          </w:p>
        </w:tc>
        <w:tc>
          <w:tcPr>
            <w:tcW w:w="12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(48,226)</w:t>
            </w:r>
          </w:p>
        </w:tc>
        <w:tc>
          <w:tcPr>
            <w:tcW w:w="100" w:type="dxa"/>
            <w:vAlign w:val="bottom"/>
          </w:tcPr>
          <w:p>
            <w:pPr>
              <w:spacing w:after="0"/>
              <w:rPr>
                <w:sz w:val="17"/>
                <w:szCs w:val="17"/>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46"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gain (loss) on derivatives is net of tax of $0.1 million and $(0.7) million for the thirteen weeks ended September 27, 2020 and September 29, 2019 and $(5.1) million and $(4.7) million for the thirty-nine weeks ended September 27, 2020 and September 29, 2019, respectively.</w:t>
      </w:r>
    </w:p>
    <w:p>
      <w:pPr>
        <w:ind w:left="660" w:hanging="652"/>
        <w:spacing w:after="0" w:line="257"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Reclassifications of adjustments for loss on derivatives are net of tax. See Note 15 - </w:t>
      </w:r>
      <w:r>
        <w:rPr>
          <w:rFonts w:ascii="Times New Roman" w:cs="Times New Roman" w:eastAsia="Times New Roman" w:hAnsi="Times New Roman"/>
          <w:sz w:val="16"/>
          <w:szCs w:val="16"/>
          <w:i w:val="1"/>
          <w:iCs w:val="1"/>
          <w:color w:val="auto"/>
        </w:rPr>
        <w:t>Derivative Instruments and Hedging Activities</w:t>
      </w:r>
      <w:r>
        <w:rPr>
          <w:rFonts w:ascii="Times New Roman" w:cs="Times New Roman" w:eastAsia="Times New Roman" w:hAnsi="Times New Roman"/>
          <w:sz w:val="16"/>
          <w:szCs w:val="16"/>
          <w:color w:val="auto"/>
        </w:rPr>
        <w:t xml:space="preserve"> for the tax impact of reclassifications.</w:t>
      </w:r>
    </w:p>
    <w:p>
      <w:pPr>
        <w:spacing w:after="0" w:line="20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Derivative Instruments and Hedging Activities</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Cash Flow Hedges of Interest Rate Risk - </w:t>
      </w:r>
      <w:r>
        <w:rPr>
          <w:rFonts w:ascii="Times New Roman" w:cs="Times New Roman" w:eastAsia="Times New Roman" w:hAnsi="Times New Roman"/>
          <w:sz w:val="20"/>
          <w:szCs w:val="20"/>
          <w:color w:val="252525"/>
        </w:rPr>
        <w:t>On October 24, 2018 and October 25, 2018, the Company entered into variable-to-fixed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 xml:space="preserve">rate swap agreements with 12 counterparties to hedge a portion of the cash flows of the Company’s variable rate debt. The swap agreements have an aggregate notional amount of $550.0 million and mature on November 30, 2022. Under the terms of the swap agreements, the Company pays a weighted-average fixed rate of 3.04% on the notional amount and receives payments from the counterparty based on the </w:t>
      </w:r>
      <w:r>
        <w:rPr>
          <w:rFonts w:ascii="Times New Roman" w:cs="Times New Roman" w:eastAsia="Times New Roman" w:hAnsi="Times New Roman"/>
          <w:sz w:val="20"/>
          <w:szCs w:val="20"/>
          <w:color w:val="000000"/>
        </w:rPr>
        <w:t xml:space="preserve">one-month LIBOR </w:t>
      </w:r>
      <w:r>
        <w:rPr>
          <w:rFonts w:ascii="Times New Roman" w:cs="Times New Roman" w:eastAsia="Times New Roman" w:hAnsi="Times New Roman"/>
          <w:sz w:val="20"/>
          <w:szCs w:val="20"/>
          <w:color w:val="252525"/>
        </w:rPr>
        <w:t>rate.</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52525"/>
        </w:rPr>
        <w:t xml:space="preserve">The Company’s swap agreements have been designated and qualify as cash flow hedges, are recognized on its Consolidated Balance Sheets at fair value and are classified based on the instruments’ maturity dates. The Company estimates $16.0 million will be reclassified to interest expense over the next 12 fiscal months. The following table presents the fair value and classification of the Company’s swap agreements, as of </w:t>
      </w:r>
      <w:r>
        <w:rPr>
          <w:rFonts w:ascii="Times New Roman" w:cs="Times New Roman" w:eastAsia="Times New Roman" w:hAnsi="Times New Roman"/>
          <w:sz w:val="20"/>
          <w:szCs w:val="20"/>
          <w:color w:val="000000"/>
        </w:rPr>
        <w:t>the periods indicated</w:t>
      </w:r>
      <w:r>
        <w:rPr>
          <w:rFonts w:ascii="Times New Roman" w:cs="Times New Roman" w:eastAsia="Times New Roman" w:hAnsi="Times New Roman"/>
          <w:sz w:val="20"/>
          <w:szCs w:val="20"/>
          <w:color w:val="252525"/>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3"/>
                <w:szCs w:val="13"/>
                <w:color w:val="auto"/>
              </w:rPr>
            </w:pPr>
          </w:p>
        </w:tc>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40" w:type="dxa"/>
            <w:vAlign w:val="bottom"/>
          </w:tcPr>
          <w:p>
            <w:pPr>
              <w:spacing w:after="0"/>
              <w:rPr>
                <w:sz w:val="13"/>
                <w:szCs w:val="13"/>
                <w:color w:val="auto"/>
              </w:rPr>
            </w:pPr>
          </w:p>
        </w:tc>
        <w:tc>
          <w:tcPr>
            <w:tcW w:w="15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DECEMBER 29, 2019</w:t>
            </w:r>
          </w:p>
        </w:tc>
        <w:tc>
          <w:tcPr>
            <w:tcW w:w="120" w:type="dxa"/>
            <w:vAlign w:val="bottom"/>
          </w:tcPr>
          <w:p>
            <w:pPr>
              <w:spacing w:after="0"/>
              <w:rPr>
                <w:sz w:val="13"/>
                <w:szCs w:val="13"/>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183"/>
        </w:trPr>
        <w:tc>
          <w:tcPr>
            <w:tcW w:w="4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2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16,835</w:t>
            </w:r>
          </w:p>
        </w:tc>
        <w:tc>
          <w:tcPr>
            <w:tcW w:w="1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0" w:type="dxa"/>
            <w:vAlign w:val="bottom"/>
          </w:tcPr>
          <w:p>
            <w:pPr>
              <w:spacing w:after="0"/>
              <w:rPr>
                <w:sz w:val="1"/>
                <w:szCs w:val="1"/>
                <w:color w:val="auto"/>
              </w:rPr>
            </w:pPr>
          </w:p>
        </w:tc>
      </w:tr>
      <w:tr>
        <w:trPr>
          <w:trHeight w:val="241"/>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of derivative instruments - liabilities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24,009</w:t>
            </w:r>
          </w:p>
        </w:tc>
        <w:tc>
          <w:tcPr>
            <w:tcW w:w="1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0" w:type="dxa"/>
            <w:vAlign w:val="bottom"/>
          </w:tcPr>
          <w:p>
            <w:pPr>
              <w:spacing w:after="0"/>
              <w:rPr>
                <w:sz w:val="1"/>
                <w:szCs w:val="1"/>
                <w:color w:val="auto"/>
              </w:rPr>
            </w:pPr>
          </w:p>
        </w:tc>
      </w:tr>
      <w:tr>
        <w:trPr>
          <w:trHeight w:val="261"/>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52525"/>
        </w:rPr>
        <w:t xml:space="preserve">See Note </w:t>
      </w:r>
      <w:r>
        <w:rPr>
          <w:rFonts w:ascii="Times New Roman" w:cs="Times New Roman" w:eastAsia="Times New Roman" w:hAnsi="Times New Roman"/>
          <w:sz w:val="16"/>
          <w:szCs w:val="16"/>
          <w:color w:val="000000"/>
        </w:rPr>
        <w:t>17</w:t>
      </w:r>
      <w:r>
        <w:rPr>
          <w:rFonts w:ascii="Times New Roman" w:cs="Times New Roman" w:eastAsia="Times New Roman" w:hAnsi="Times New Roman"/>
          <w:sz w:val="16"/>
          <w:szCs w:val="16"/>
          <w:color w:val="252525"/>
        </w:rPr>
        <w:t xml:space="preserve"> - </w:t>
      </w:r>
      <w:r>
        <w:rPr>
          <w:rFonts w:ascii="Times New Roman" w:cs="Times New Roman" w:eastAsia="Times New Roman" w:hAnsi="Times New Roman"/>
          <w:sz w:val="16"/>
          <w:szCs w:val="16"/>
          <w:i w:val="1"/>
          <w:iCs w:val="1"/>
          <w:color w:val="000000"/>
        </w:rPr>
        <w:t>Fair Value Measurements</w:t>
      </w:r>
      <w:r>
        <w:rPr>
          <w:rFonts w:ascii="Times New Roman" w:cs="Times New Roman" w:eastAsia="Times New Roman" w:hAnsi="Times New Roman"/>
          <w:sz w:val="16"/>
          <w:szCs w:val="16"/>
          <w:color w:val="252525"/>
        </w:rPr>
        <w:t xml:space="preserve"> for fair value discussion of the interest rate swaps.</w:t>
      </w:r>
    </w:p>
    <w:p>
      <w:pPr>
        <w:spacing w:after="0" w:line="200" w:lineRule="exact"/>
        <w:rPr>
          <w:rFonts w:ascii="Times New Roman" w:cs="Times New Roman" w:eastAsia="Times New Roman" w:hAnsi="Times New Roman"/>
          <w:sz w:val="16"/>
          <w:szCs w:val="16"/>
          <w:color w:val="auto"/>
        </w:rPr>
      </w:pPr>
    </w:p>
    <w:p>
      <w:pPr>
        <w:spacing w:after="0" w:line="37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52525"/>
        </w:rPr>
        <w:t xml:space="preserve">On </w:t>
      </w:r>
      <w:r>
        <w:rPr>
          <w:rFonts w:ascii="Times New Roman" w:cs="Times New Roman" w:eastAsia="Times New Roman" w:hAnsi="Times New Roman"/>
          <w:sz w:val="20"/>
          <w:szCs w:val="20"/>
          <w:color w:val="000000"/>
        </w:rPr>
        <w:t>May 4, 2020</w:t>
      </w:r>
      <w:r>
        <w:rPr>
          <w:rFonts w:ascii="Times New Roman" w:cs="Times New Roman" w:eastAsia="Times New Roman" w:hAnsi="Times New Roman"/>
          <w:sz w:val="20"/>
          <w:szCs w:val="20"/>
          <w:color w:val="252525"/>
        </w:rPr>
        <w:t>, concurrent with entering into the Amended Credit Agreement, the Company de-designated its interest rate swap hedge relationship and modified its hedge documentation to more closely align with certain terms of the Amended Credit Agreement. On May 6, 2020, the Company re-designated the cash flow hedge relationship for the original $550.0 million notional amount, resulting in no impact to the Company’s consolidated financial statements as a result of the hedge activity.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The following table summarizes the effects of the swap agreements on Net (loss) income for the periods indicated:</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60" w:type="dxa"/>
            <w:vAlign w:val="bottom"/>
            <w:tcBorders>
              <w:bottom w:val="single" w:sz="8" w:color="auto"/>
            </w:tcBorders>
          </w:tcPr>
          <w:p>
            <w:pPr>
              <w:spacing w:after="0"/>
              <w:rPr>
                <w:sz w:val="18"/>
                <w:szCs w:val="18"/>
                <w:color w:val="auto"/>
              </w:rPr>
            </w:pPr>
          </w:p>
        </w:tc>
      </w:tr>
      <w:tr>
        <w:trPr>
          <w:trHeight w:val="19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expense recognized in Interest expense, net</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w w:val="98"/>
              </w:rPr>
              <w:t>(3,991)</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center"/>
              <w:ind w:left="561"/>
              <w:spacing w:after="0"/>
              <w:rPr>
                <w:sz w:val="20"/>
                <w:szCs w:val="20"/>
                <w:color w:val="auto"/>
              </w:rPr>
            </w:pPr>
            <w:r>
              <w:rPr>
                <w:rFonts w:ascii="Times New Roman" w:cs="Times New Roman" w:eastAsia="Times New Roman" w:hAnsi="Times New Roman"/>
                <w:sz w:val="16"/>
                <w:szCs w:val="16"/>
                <w:color w:val="auto"/>
              </w:rPr>
              <w:t>(9,353)</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(779)</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recognized in (Benefit) provision for income taxes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541"/>
              <w:spacing w:after="0"/>
              <w:rPr>
                <w:sz w:val="20"/>
                <w:szCs w:val="20"/>
                <w:color w:val="auto"/>
              </w:rPr>
            </w:pPr>
            <w:r>
              <w:rPr>
                <w:rFonts w:ascii="Times New Roman" w:cs="Times New Roman" w:eastAsia="Times New Roman" w:hAnsi="Times New Roman"/>
                <w:sz w:val="16"/>
                <w:szCs w:val="16"/>
                <w:color w:val="auto"/>
                <w:w w:val="99"/>
              </w:rPr>
              <w:t>1,029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01"/>
              <w:spacing w:after="0"/>
              <w:rPr>
                <w:sz w:val="20"/>
                <w:szCs w:val="20"/>
                <w:color w:val="auto"/>
              </w:rPr>
            </w:pPr>
            <w:r>
              <w:rPr>
                <w:rFonts w:ascii="Times New Roman" w:cs="Times New Roman" w:eastAsia="Times New Roman" w:hAnsi="Times New Roman"/>
                <w:sz w:val="16"/>
                <w:szCs w:val="16"/>
                <w:color w:val="auto"/>
                <w:w w:val="99"/>
              </w:rPr>
              <w:t>2,410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w:t>
            </w:r>
          </w:p>
        </w:tc>
      </w:tr>
      <w:tr>
        <w:trPr>
          <w:trHeight w:val="241"/>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effects of the interest rate swaps on Net (loss) income</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w w:val="98"/>
              </w:rPr>
              <w:t>(2,962)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center"/>
              <w:ind w:left="561"/>
              <w:spacing w:after="0"/>
              <w:rPr>
                <w:sz w:val="20"/>
                <w:szCs w:val="20"/>
                <w:color w:val="auto"/>
              </w:rPr>
            </w:pPr>
            <w:r>
              <w:rPr>
                <w:rFonts w:ascii="Times New Roman" w:cs="Times New Roman" w:eastAsia="Times New Roman" w:hAnsi="Times New Roman"/>
                <w:sz w:val="16"/>
                <w:szCs w:val="16"/>
                <w:color w:val="auto"/>
              </w:rPr>
              <w:t>(6,943)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(578)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52525"/>
        </w:rPr>
        <w:t xml:space="preserve">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w:t>
      </w:r>
      <w:r>
        <w:rPr>
          <w:rFonts w:ascii="Times New Roman" w:cs="Times New Roman" w:eastAsia="Times New Roman" w:hAnsi="Times New Roman"/>
          <w:sz w:val="20"/>
          <w:szCs w:val="20"/>
          <w:color w:val="000000"/>
        </w:rPr>
        <w:t>September 27, 2020</w:t>
      </w:r>
      <w:r>
        <w:rPr>
          <w:rFonts w:ascii="Times New Roman" w:cs="Times New Roman" w:eastAsia="Times New Roman" w:hAnsi="Times New Roman"/>
          <w:sz w:val="20"/>
          <w:szCs w:val="20"/>
          <w:color w:val="252525"/>
        </w:rPr>
        <w:t>, all counterparties to the interest rate swaps had performed in accordance with their contractual obligations.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52525"/>
        </w:rPr>
        <w:t xml:space="preserve">As of </w:t>
      </w:r>
      <w:r>
        <w:rPr>
          <w:rFonts w:ascii="Times New Roman" w:cs="Times New Roman" w:eastAsia="Times New Roman" w:hAnsi="Times New Roman"/>
          <w:sz w:val="20"/>
          <w:szCs w:val="20"/>
          <w:color w:val="000000"/>
        </w:rPr>
        <w:t>September 27, 2020</w:t>
      </w:r>
      <w:r>
        <w:rPr>
          <w:rFonts w:ascii="Times New Roman" w:cs="Times New Roman" w:eastAsia="Times New Roman" w:hAnsi="Times New Roman"/>
          <w:sz w:val="20"/>
          <w:szCs w:val="20"/>
          <w:color w:val="252525"/>
        </w:rPr>
        <w:t xml:space="preserve"> and </w:t>
      </w:r>
      <w:r>
        <w:rPr>
          <w:rFonts w:ascii="Times New Roman" w:cs="Times New Roman" w:eastAsia="Times New Roman" w:hAnsi="Times New Roman"/>
          <w:sz w:val="20"/>
          <w:szCs w:val="20"/>
          <w:color w:val="000000"/>
        </w:rPr>
        <w:t>December 29, 2019</w:t>
      </w:r>
      <w:r>
        <w:rPr>
          <w:rFonts w:ascii="Times New Roman" w:cs="Times New Roman" w:eastAsia="Times New Roman" w:hAnsi="Times New Roman"/>
          <w:sz w:val="20"/>
          <w:szCs w:val="20"/>
          <w:color w:val="252525"/>
        </w:rPr>
        <w:t xml:space="preserve">, the fair value of the Company’s interest rate swaps was in a net liability position, including accrued interest but excluding any adjustment for nonperformance risk, of $36.5 million and $24.8 million, respectively. As of </w:t>
      </w:r>
      <w:r>
        <w:rPr>
          <w:rFonts w:ascii="Times New Roman" w:cs="Times New Roman" w:eastAsia="Times New Roman" w:hAnsi="Times New Roman"/>
          <w:sz w:val="20"/>
          <w:szCs w:val="20"/>
          <w:color w:val="000000"/>
        </w:rPr>
        <w:t xml:space="preserve">September 27, 2020 </w:t>
      </w:r>
      <w:r>
        <w:rPr>
          <w:rFonts w:ascii="Times New Roman" w:cs="Times New Roman" w:eastAsia="Times New Roman" w:hAnsi="Times New Roman"/>
          <w:sz w:val="20"/>
          <w:szCs w:val="20"/>
          <w:color w:val="252525"/>
        </w:rPr>
        <w:t>and</w:t>
      </w:r>
      <w:r>
        <w:rPr>
          <w:rFonts w:ascii="Times New Roman" w:cs="Times New Roman" w:eastAsia="Times New Roman" w:hAnsi="Times New Roman"/>
          <w:sz w:val="20"/>
          <w:szCs w:val="20"/>
          <w:color w:val="000000"/>
        </w:rPr>
        <w:t xml:space="preserve"> December 29, 2019</w:t>
      </w:r>
      <w:r>
        <w:rPr>
          <w:rFonts w:ascii="Times New Roman" w:cs="Times New Roman" w:eastAsia="Times New Roman" w:hAnsi="Times New Roman"/>
          <w:sz w:val="20"/>
          <w:szCs w:val="20"/>
          <w:color w:val="252525"/>
        </w:rPr>
        <w:t>, the Company has not posted any collateral related to these agreements. If the Company had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52525"/>
        </w:rPr>
        <w:t xml:space="preserve">breached any of these provisions as of </w:t>
      </w:r>
      <w:r>
        <w:rPr>
          <w:rFonts w:ascii="Times New Roman" w:cs="Times New Roman" w:eastAsia="Times New Roman" w:hAnsi="Times New Roman"/>
          <w:sz w:val="20"/>
          <w:szCs w:val="20"/>
          <w:color w:val="000000"/>
        </w:rPr>
        <w:t>September 27, 2020</w:t>
      </w:r>
      <w:r>
        <w:rPr>
          <w:rFonts w:ascii="Times New Roman" w:cs="Times New Roman" w:eastAsia="Times New Roman" w:hAnsi="Times New Roman"/>
          <w:sz w:val="20"/>
          <w:szCs w:val="20"/>
          <w:color w:val="252525"/>
        </w:rPr>
        <w:t xml:space="preserve"> and </w:t>
      </w:r>
      <w:r>
        <w:rPr>
          <w:rFonts w:ascii="Times New Roman" w:cs="Times New Roman" w:eastAsia="Times New Roman" w:hAnsi="Times New Roman"/>
          <w:sz w:val="20"/>
          <w:szCs w:val="20"/>
          <w:color w:val="000000"/>
        </w:rPr>
        <w:t>December 29, 2019</w:t>
      </w:r>
      <w:r>
        <w:rPr>
          <w:rFonts w:ascii="Times New Roman" w:cs="Times New Roman" w:eastAsia="Times New Roman" w:hAnsi="Times New Roman"/>
          <w:sz w:val="20"/>
          <w:szCs w:val="20"/>
          <w:color w:val="252525"/>
        </w:rPr>
        <w:t>, it could have been required to settle its obligations under the agreements at their termination value of $36.5 million and $24.8 million, respectively.</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Leases</w:t>
      </w:r>
    </w:p>
    <w:p>
      <w:pPr>
        <w:spacing w:after="0" w:line="24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In April 2020, the FASB issued a question and answer document focused on the application of lease accounting guidance to lease concessions provided as a result of COVID-19 (the “Lease Modification Q&amp;A”). The Lease Modification Q&amp;A provides entities with the option to elect to account for lease concessions as though the enforceable rights and obligations existed in the original lease when the total cash flows resulting from the modified lease are substantially similar to the cash flows in the original lease. The Company elected this practical expedient for COVID-19-related rent concessions, primarily rent deferrals or rent abatements, and has elected not to remeasure the related lease liability and right-of-use asset for those leases. Rent deferrals are accrued with no impact to straight-line rent expense. Rent abatements are recognized as a reduction of variable rent expense in the month they occur. This election will continue while these concessions are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following table includes a detail of lease assets and liabilities included on the Company’s Consolidated Balance Sheets as of the periods indicated: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 BALANCE SHEET CLASSIFICATION</w:t>
            </w:r>
          </w:p>
        </w:tc>
        <w:tc>
          <w:tcPr>
            <w:tcW w:w="18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8"/>
                <w:szCs w:val="18"/>
                <w:color w:val="auto"/>
              </w:rPr>
            </w:pP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29, 2019</w:t>
            </w:r>
          </w:p>
        </w:tc>
      </w:tr>
      <w:tr>
        <w:trPr>
          <w:trHeight w:val="21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1,192,035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1,266,548</w:t>
            </w:r>
          </w:p>
        </w:tc>
      </w:tr>
      <w:tr>
        <w:trPr>
          <w:trHeight w:val="223"/>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(1)</w:t>
            </w: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w:t>
            </w:r>
          </w:p>
        </w:tc>
      </w:tr>
      <w:tr>
        <w:trPr>
          <w:trHeight w:val="238"/>
        </w:trPr>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lease assets, net</w:t>
            </w: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1,194,158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1,268,584</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31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 (2)</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171,866</w:t>
            </w: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1,230,008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1,279,051</w:t>
            </w:r>
          </w:p>
        </w:tc>
      </w:tr>
      <w:tr>
        <w:trPr>
          <w:trHeight w:val="223"/>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finance lease liabilities</w:t>
            </w: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r>
      <w:tr>
        <w:trPr>
          <w:trHeight w:val="238"/>
        </w:trPr>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1,410,096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1,453,225</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$2.1 million and $1.3 million as of September 27, 2020 and December 29, 2019, respectively.</w:t>
      </w:r>
    </w:p>
    <w:p>
      <w:pPr>
        <w:spacing w:after="0" w:line="5"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COVID-19-related deferred rent accruals of $14.4 million as of September 27, 2020 and accrued contingent percentage rent of $2.6 million and $2.4 million, as of September 27, 2020 and December 29, 2019,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expenses and income related to leases recognized in the Company’s Consolidated Statements of Operations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(Loss) Income for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OPERATIONS AND COMPREHENSIVE</w:t>
            </w:r>
          </w:p>
        </w:tc>
        <w:tc>
          <w:tcPr>
            <w:tcW w:w="140" w:type="dxa"/>
            <w:vAlign w:val="bottom"/>
          </w:tcPr>
          <w:p>
            <w:pPr>
              <w:spacing w:after="0"/>
              <w:rPr>
                <w:sz w:val="12"/>
                <w:szCs w:val="12"/>
                <w:color w:val="auto"/>
              </w:rPr>
            </w:pPr>
          </w:p>
        </w:tc>
        <w:tc>
          <w:tcPr>
            <w:tcW w:w="14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40" w:type="dxa"/>
            <w:vAlign w:val="bottom"/>
          </w:tcPr>
          <w:p>
            <w:pPr>
              <w:spacing w:after="0"/>
              <w:rPr>
                <w:sz w:val="12"/>
                <w:szCs w:val="12"/>
                <w:color w:val="auto"/>
              </w:rPr>
            </w:pPr>
          </w:p>
        </w:tc>
        <w:tc>
          <w:tcPr>
            <w:tcW w:w="14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320" w:type="dxa"/>
            <w:vAlign w:val="bottom"/>
          </w:tcPr>
          <w:p>
            <w:pPr>
              <w:jc w:val="right"/>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6"/>
        </w:trPr>
        <w:tc>
          <w:tcPr>
            <w:tcW w:w="2240" w:type="dxa"/>
            <w:vAlign w:val="bottom"/>
            <w:vMerge w:val="continue"/>
          </w:tcPr>
          <w:p>
            <w:pPr>
              <w:spacing w:after="0"/>
              <w:rPr>
                <w:sz w:val="17"/>
                <w:szCs w:val="17"/>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 CLASSIFICATION</w:t>
            </w: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 (1)</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133,999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136,260</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Sublease revenue (2)</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0" w:type="dxa"/>
            <w:vAlign w:val="bottom"/>
          </w:tcPr>
          <w:p>
            <w:pPr>
              <w:spacing w:after="0"/>
              <w:rPr>
                <w:sz w:val="1"/>
                <w:szCs w:val="1"/>
                <w:color w:val="auto"/>
              </w:rPr>
            </w:pPr>
          </w:p>
        </w:tc>
      </w:tr>
      <w:tr>
        <w:trPr>
          <w:trHeight w:val="241"/>
        </w:trPr>
        <w:tc>
          <w:tcPr>
            <w:tcW w:w="2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costs, net</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131,306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135,163</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jc w:val="both"/>
        <w:ind w:left="660" w:hanging="652"/>
        <w:spacing w:after="0" w:line="246"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 expense for office facilities and Company-owned closed or subleased properties of $3.6 million and $3.8 million for the thirteen weeks ended September 27, 2020 and September 29, 2019, respectively, and $10.4 million and $11.0 million for the thirty-nine weeks ended September 27, 2020 and September 29, 2019, respectively, which is included in General and administrative expense. Also excludes certain supply chain related rent expense of $0.3 million for the thirteen weeks ended September 27, 2020 and September 29, 2019 and $1.0 million and $0.9 million for the thirty-nine weeks ended September 27, 2020 and September 29, 2019, respectively, which is included in Food and beverage costs.</w:t>
      </w:r>
    </w:p>
    <w:p>
      <w:pPr>
        <w:spacing w:after="0" w:line="2"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rental income from Company-owned properties of $0.4 million for the thirteen weeks ended September 29, 2019 and $0.3 million and $1.8 million for the thirty-nine weeks ended September 27, 2020 and September 29, 2019, respectively.</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is a summary of other impacts to the Company’s Consolidated Financial Statements related to its leases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8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127,642</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Fair Value Measurements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0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Unadjusted quoted market prices in active markets for identical assets or liabilities</w:t>
            </w:r>
          </w:p>
        </w:tc>
      </w:tr>
      <w:tr>
        <w:trPr>
          <w:trHeight w:val="213"/>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0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Observable inputs available at measurement date other than quoted prices included in Level 1</w:t>
            </w:r>
          </w:p>
        </w:tc>
      </w:tr>
      <w:tr>
        <w:trPr>
          <w:trHeight w:val="21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10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Unobservable inputs that cannot be corroborated by observable market data</w:t>
            </w:r>
          </w:p>
        </w:tc>
      </w:tr>
    </w:tbl>
    <w:p>
      <w:pPr>
        <w:spacing w:after="0" w:line="29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Recurring Basis - </w:t>
      </w:r>
      <w:r>
        <w:rPr>
          <w:rFonts w:ascii="Times New Roman" w:cs="Times New Roman" w:eastAsia="Times New Roman" w:hAnsi="Times New Roman"/>
          <w:sz w:val="20"/>
          <w:szCs w:val="20"/>
          <w:color w:val="auto"/>
        </w:rPr>
        <w:t>The following table summarizes the Company’s financial assets and liabilities measured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fair value by hierarchy level on a recurring basis as of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6"/>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6"/>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DECEMBER 29, 2019</w:t>
            </w:r>
          </w:p>
        </w:tc>
        <w:tc>
          <w:tcPr>
            <w:tcW w:w="920" w:type="dxa"/>
            <w:vAlign w:val="bottom"/>
            <w:tcBorders>
              <w:bottom w:val="single" w:sz="8" w:color="auto"/>
            </w:tcBorders>
          </w:tcPr>
          <w:p>
            <w:pPr>
              <w:spacing w:after="0"/>
              <w:rPr>
                <w:sz w:val="18"/>
                <w:szCs w:val="18"/>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7"/>
                <w:szCs w:val="17"/>
                <w:color w:val="auto"/>
              </w:rPr>
            </w:pPr>
          </w:p>
        </w:tc>
        <w:tc>
          <w:tcPr>
            <w:tcW w:w="8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LEVEL 1</w:t>
            </w:r>
          </w:p>
        </w:tc>
        <w:tc>
          <w:tcPr>
            <w:tcW w:w="180" w:type="dxa"/>
            <w:vAlign w:val="bottom"/>
          </w:tcPr>
          <w:p>
            <w:pPr>
              <w:spacing w:after="0"/>
              <w:rPr>
                <w:sz w:val="17"/>
                <w:szCs w:val="17"/>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0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3"/>
        </w:trPr>
        <w:tc>
          <w:tcPr>
            <w:tcW w:w="4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0"/>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 recurring fair value measurements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21,972</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4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14,749</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r>
      <w:tr>
        <w:trPr>
          <w:trHeight w:val="213"/>
        </w:trPr>
        <w:tc>
          <w:tcPr>
            <w:tcW w:w="4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16,835</w:t>
            </w:r>
          </w:p>
        </w:tc>
      </w:tr>
      <w:tr>
        <w:trPr>
          <w:trHeight w:val="203"/>
        </w:trPr>
        <w:tc>
          <w:tcPr>
            <w:tcW w:w="4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liability recurring fair value measurements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34,364</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34,364</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24,009</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24,009</w:t>
            </w: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Fair value of each class of financial instrument is determined based on the following:</w:t>
      </w:r>
    </w:p>
    <w:p>
      <w:pPr>
        <w:spacing w:after="0" w:line="119" w:lineRule="exact"/>
        <w:rPr>
          <w:sz w:val="20"/>
          <w:szCs w:val="20"/>
          <w:color w:val="auto"/>
        </w:rPr>
      </w:pPr>
    </w:p>
    <w:p>
      <w:pPr>
        <w:ind w:left="20"/>
        <w:spacing w:after="0"/>
        <w:tabs>
          <w:tab w:leader="none" w:pos="2440" w:val="left"/>
        </w:tabs>
        <w:rPr>
          <w:sz w:val="20"/>
          <w:szCs w:val="20"/>
          <w:color w:val="auto"/>
        </w:rPr>
      </w:pPr>
      <w:r>
        <w:rPr>
          <w:rFonts w:ascii="Times New Roman" w:cs="Times New Roman" w:eastAsia="Times New Roman" w:hAnsi="Times New Roman"/>
          <w:sz w:val="14"/>
          <w:szCs w:val="14"/>
          <w:b w:val="1"/>
          <w:bCs w:val="1"/>
          <w:color w:val="auto"/>
        </w:rPr>
        <w:t>FINANCIAL INSTRUMENT</w:t>
      </w:r>
      <w:r>
        <w:rPr>
          <w:sz w:val="20"/>
          <w:szCs w:val="20"/>
          <w:color w:val="auto"/>
        </w:rPr>
        <w:tab/>
      </w:r>
      <w:r>
        <w:rPr>
          <w:rFonts w:ascii="Times New Roman" w:cs="Times New Roman" w:eastAsia="Times New Roman" w:hAnsi="Times New Roman"/>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66"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Carrying value approximates fair value because maturities are less than three months.</w:t>
      </w:r>
    </w:p>
    <w:p>
      <w:pPr>
        <w:spacing w:after="0" w:line="192" w:lineRule="exact"/>
        <w:rPr>
          <w:sz w:val="20"/>
          <w:szCs w:val="20"/>
          <w:color w:val="auto"/>
        </w:rPr>
      </w:pPr>
    </w:p>
    <w:p>
      <w:pPr>
        <w:sectPr>
          <w:pgSz w:w="11900" w:h="16838" w:orient="portrait"/>
          <w:cols w:equalWidth="0" w:num="2">
            <w:col w:w="2080" w:space="380"/>
            <w:col w:w="8780"/>
          </w:cols>
          <w:pgMar w:left="320" w:top="118" w:right="339" w:bottom="1440" w:gutter="0" w:footer="0" w:header="0"/>
          <w:type w:val="continuous"/>
        </w:sectPr>
      </w:pPr>
    </w:p>
    <w:p>
      <w:pPr>
        <w:ind w:left="20"/>
        <w:spacing w:after="0" w:line="237" w:lineRule="auto"/>
        <w:tabs>
          <w:tab w:leader="none" w:pos="2440" w:val="left"/>
        </w:tabs>
        <w:rPr>
          <w:sz w:val="20"/>
          <w:szCs w:val="20"/>
          <w:color w:val="auto"/>
        </w:rPr>
      </w:pPr>
      <w:r>
        <w:rPr>
          <w:rFonts w:ascii="Times New Roman" w:cs="Times New Roman" w:eastAsia="Times New Roman" w:hAnsi="Times New Roman"/>
          <w:sz w:val="16"/>
          <w:szCs w:val="16"/>
          <w:color w:val="auto"/>
        </w:rPr>
        <w:t>Derivative instruments</w:t>
      </w:r>
      <w:r>
        <w:rPr>
          <w:sz w:val="20"/>
          <w:szCs w:val="20"/>
          <w:color w:val="auto"/>
        </w:rPr>
        <w:tab/>
      </w:r>
      <w:r>
        <w:rPr>
          <w:rFonts w:ascii="Times New Roman" w:cs="Times New Roman" w:eastAsia="Times New Roman" w:hAnsi="Times New Roman"/>
          <w:sz w:val="16"/>
          <w:szCs w:val="16"/>
          <w:color w:val="auto"/>
        </w:rPr>
        <w:t>The Company’s derivative instruments include interest rate swaps. Fair value measurements are based on the contractual terms of the</w:t>
      </w:r>
    </w:p>
    <w:p>
      <w:pPr>
        <w:ind w:left="2460"/>
        <w:spacing w:after="0" w:line="212" w:lineRule="auto"/>
        <w:rPr>
          <w:sz w:val="20"/>
          <w:szCs w:val="20"/>
          <w:color w:val="auto"/>
        </w:rPr>
      </w:pPr>
      <w:r>
        <w:rPr>
          <w:rFonts w:ascii="Times New Roman" w:cs="Times New Roman" w:eastAsia="Times New Roman" w:hAnsi="Times New Roman"/>
          <w:sz w:val="16"/>
          <w:szCs w:val="16"/>
          <w:color w:val="auto"/>
        </w:rPr>
        <w:t>derivatives and use observable market-based inputs. The interest rate swaps are valued using a discounted cash flow analysis on the</w:t>
      </w:r>
    </w:p>
    <w:p>
      <w:pPr>
        <w:ind w:left="2460"/>
        <w:spacing w:after="0" w:line="211" w:lineRule="auto"/>
        <w:rPr>
          <w:sz w:val="20"/>
          <w:szCs w:val="20"/>
          <w:color w:val="auto"/>
        </w:rPr>
      </w:pPr>
      <w:r>
        <w:rPr>
          <w:rFonts w:ascii="Times New Roman" w:cs="Times New Roman" w:eastAsia="Times New Roman" w:hAnsi="Times New Roman"/>
          <w:sz w:val="16"/>
          <w:szCs w:val="16"/>
          <w:color w:val="auto"/>
        </w:rPr>
        <w:t>expected cash flows of each derivative using observable inputs including interest rate curves and credit spreads. The Company also</w:t>
      </w:r>
    </w:p>
    <w:p>
      <w:pPr>
        <w:ind w:left="2460"/>
        <w:spacing w:after="0" w:line="211" w:lineRule="auto"/>
        <w:rPr>
          <w:sz w:val="20"/>
          <w:szCs w:val="20"/>
          <w:color w:val="auto"/>
        </w:rPr>
      </w:pPr>
      <w:r>
        <w:rPr>
          <w:rFonts w:ascii="Times New Roman" w:cs="Times New Roman" w:eastAsia="Times New Roman" w:hAnsi="Times New Roman"/>
          <w:sz w:val="16"/>
          <w:szCs w:val="16"/>
          <w:color w:val="auto"/>
        </w:rPr>
        <w:t>considers its own nonperformance risk and the respective counterparty’s nonperformance risk in the fair value measurements. As of</w:t>
      </w:r>
    </w:p>
    <w:p>
      <w:pPr>
        <w:jc w:val="right"/>
        <w:ind w:right="20"/>
        <w:spacing w:after="0" w:line="212" w:lineRule="auto"/>
        <w:rPr>
          <w:sz w:val="20"/>
          <w:szCs w:val="20"/>
          <w:color w:val="auto"/>
        </w:rPr>
      </w:pPr>
      <w:r>
        <w:rPr>
          <w:rFonts w:ascii="Times New Roman" w:cs="Times New Roman" w:eastAsia="Times New Roman" w:hAnsi="Times New Roman"/>
          <w:sz w:val="16"/>
          <w:szCs w:val="16"/>
          <w:color w:val="auto"/>
        </w:rPr>
        <w:t>September 27, 2020 and December 29, 2019, the Company has determined that the credit valuation adjustments are not significant to</w:t>
      </w:r>
    </w:p>
    <w:p>
      <w:pPr>
        <w:ind w:left="2460"/>
        <w:spacing w:after="0"/>
        <w:rPr>
          <w:sz w:val="20"/>
          <w:szCs w:val="20"/>
          <w:color w:val="auto"/>
        </w:rPr>
      </w:pPr>
      <w:r>
        <w:rPr>
          <w:rFonts w:ascii="Times New Roman" w:cs="Times New Roman" w:eastAsia="Times New Roman" w:hAnsi="Times New Roman"/>
          <w:sz w:val="16"/>
          <w:szCs w:val="16"/>
          <w:color w:val="auto"/>
        </w:rPr>
        <w:t>the overall valuation of its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Nonrecurring Basis - </w:t>
      </w:r>
      <w:r>
        <w:rPr>
          <w:rFonts w:ascii="Times New Roman" w:cs="Times New Roman" w:eastAsia="Times New Roman" w:hAnsi="Times New Roman"/>
          <w:sz w:val="20"/>
          <w:szCs w:val="20"/>
          <w:color w:val="auto"/>
        </w:rPr>
        <w:t>Assets and liabilities that are measured at fair value on a nonrecurring basis relate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1"/>
                <w:szCs w:val="11"/>
                <w:color w:val="auto"/>
              </w:rPr>
            </w:pPr>
          </w:p>
        </w:tc>
        <w:tc>
          <w:tcPr>
            <w:tcW w:w="118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1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0" w:type="dxa"/>
            <w:vAlign w:val="bottom"/>
          </w:tcPr>
          <w:p>
            <w:pPr>
              <w:spacing w:after="0"/>
              <w:rPr>
                <w:sz w:val="1"/>
                <w:szCs w:val="1"/>
                <w:color w:val="auto"/>
              </w:rPr>
            </w:pPr>
          </w:p>
        </w:tc>
      </w:tr>
      <w:tr>
        <w:trPr>
          <w:trHeight w:val="216"/>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Assets held for sale </w:t>
            </w:r>
            <w:r>
              <w:rPr>
                <w:rFonts w:ascii="Times New Roman" w:cs="Times New Roman" w:eastAsia="Times New Roman" w:hAnsi="Times New Roman"/>
                <w:sz w:val="14"/>
                <w:szCs w:val="14"/>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right-of-use assets </w:t>
            </w:r>
            <w:r>
              <w:rPr>
                <w:rFonts w:ascii="Times New Roman" w:cs="Times New Roman" w:eastAsia="Times New Roman" w:hAnsi="Times New Roman"/>
                <w:sz w:val="14"/>
                <w:szCs w:val="14"/>
                <w:color w:val="auto"/>
              </w:rPr>
              <w:t>(2)</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12"/>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Property, fixtures and equipment </w:t>
            </w:r>
            <w:r>
              <w:rPr>
                <w:rFonts w:ascii="Times New Roman" w:cs="Times New Roman" w:eastAsia="Times New Roman" w:hAnsi="Times New Roman"/>
                <w:sz w:val="14"/>
                <w:szCs w:val="14"/>
                <w:color w:val="auto"/>
              </w:rPr>
              <w:t>(3)</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1"/>
                <w:szCs w:val="11"/>
                <w:color w:val="auto"/>
              </w:rPr>
            </w:pPr>
          </w:p>
        </w:tc>
        <w:tc>
          <w:tcPr>
            <w:tcW w:w="118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1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0" w:type="dxa"/>
            <w:vAlign w:val="bottom"/>
          </w:tcPr>
          <w:p>
            <w:pPr>
              <w:spacing w:after="0"/>
              <w:rPr>
                <w:sz w:val="1"/>
                <w:szCs w:val="1"/>
                <w:color w:val="auto"/>
              </w:rPr>
            </w:pPr>
          </w:p>
        </w:tc>
      </w:tr>
      <w:tr>
        <w:trPr>
          <w:trHeight w:val="216"/>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Assets held for sale </w:t>
            </w:r>
            <w:r>
              <w:rPr>
                <w:rFonts w:ascii="Times New Roman" w:cs="Times New Roman" w:eastAsia="Times New Roman" w:hAnsi="Times New Roman"/>
                <w:sz w:val="14"/>
                <w:szCs w:val="14"/>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right-of-use assets </w:t>
            </w:r>
            <w:r>
              <w:rPr>
                <w:rFonts w:ascii="Times New Roman" w:cs="Times New Roman" w:eastAsia="Times New Roman" w:hAnsi="Times New Roman"/>
                <w:sz w:val="14"/>
                <w:szCs w:val="14"/>
                <w:color w:val="auto"/>
              </w:rPr>
              <w:t>(2)</w:t>
            </w:r>
          </w:p>
        </w:tc>
        <w:tc>
          <w:tcPr>
            <w:tcW w:w="1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70,841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Property, fixtures and equipment </w:t>
            </w: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other assets (4)</w:t>
            </w:r>
          </w:p>
        </w:tc>
        <w:tc>
          <w:tcPr>
            <w:tcW w:w="16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6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generally measured using third-party market appraisals or executed sales contracts (Level 2).</w:t>
      </w:r>
    </w:p>
    <w:p>
      <w:pPr>
        <w:spacing w:after="0" w:line="5"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values measured using Level 2 inputs to estimate fair value totaled $0.2 million during the thirty-nine weeks ended September 29, 2019. All other assets were valued using Level 3 inputs. Third-party market appraisals (Level 2) and discounted cash flow models (Level 3) were used to estimate fair value.</w:t>
      </w:r>
    </w:p>
    <w:p>
      <w:pPr>
        <w:ind w:left="660" w:hanging="652"/>
        <w:spacing w:after="0" w:line="246"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values measured using Level 2 inputs to estimate fair value totaled $2.2 million during the thirty-nine weeks ended September 27, 2020. All other assets were valued using Level 3 inputs. Third-party market appraisals (Level 2) and discounted cash flow models (Level 3) were used to estimate fair value.</w:t>
      </w:r>
    </w:p>
    <w:p>
      <w:pPr>
        <w:ind w:left="660" w:hanging="652"/>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assets generally measured using the quoted market value of comparable assets (Level 2).</w:t>
      </w:r>
    </w:p>
    <w:p>
      <w:pPr>
        <w:spacing w:after="0" w:line="2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See Note 4 - </w:t>
      </w:r>
      <w:r>
        <w:rPr>
          <w:rFonts w:ascii="Times New Roman" w:cs="Times New Roman" w:eastAsia="Times New Roman" w:hAnsi="Times New Roman"/>
          <w:sz w:val="20"/>
          <w:szCs w:val="20"/>
          <w:i w:val="1"/>
          <w:iCs w:val="1"/>
          <w:color w:val="auto"/>
        </w:rPr>
        <w:t>Impairments, Exit Costs and Disposals</w:t>
      </w:r>
      <w:r>
        <w:rPr>
          <w:rFonts w:ascii="Times New Roman" w:cs="Times New Roman" w:eastAsia="Times New Roman" w:hAnsi="Times New Roman"/>
          <w:sz w:val="20"/>
          <w:szCs w:val="20"/>
          <w:color w:val="auto"/>
        </w:rPr>
        <w:t xml:space="preserve"> for information regarding impairment charges resulting from the fair value measurement performed on a nonrecurring basis during the thirteen and thirty-nine weeks ended September 27, 2020. Projected future cash flows, including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assessment of impairment for operating locations, the Company determined the fair values of individual operating locations using an income approach, which required discounting projected future cash flows. When determining the stream of projected future cash flows associated with an individual operating location, management made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discounted cash flow estimates at its weighted-average cost of capital applicable to the country in which the measured assets reside.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presents quantitative information related to certain unobservable inputs used in the Company’s Level 3 fair value measurements of Operating lease right-of-use assets and Property, fixtures and equipment for the impairment losses incurred during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THIRTY-NINE WEEKS</w:t>
            </w:r>
          </w:p>
        </w:tc>
      </w:tr>
      <w:tr>
        <w:trPr>
          <w:trHeight w:val="178"/>
        </w:trPr>
        <w:tc>
          <w:tcPr>
            <w:tcW w:w="7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Pr>
          <w:p>
            <w:pPr>
              <w:spacing w:after="0"/>
              <w:rPr>
                <w:sz w:val="15"/>
                <w:szCs w:val="15"/>
                <w:color w:val="auto"/>
              </w:rPr>
            </w:pPr>
          </w:p>
        </w:tc>
      </w:tr>
      <w:tr>
        <w:trPr>
          <w:trHeight w:val="207"/>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8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2020</w:t>
            </w:r>
          </w:p>
        </w:tc>
      </w:tr>
      <w:tr>
        <w:trPr>
          <w:trHeight w:val="216"/>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cost of capital</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11.3%</w:t>
            </w: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5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w:t>
            </w:r>
          </w:p>
        </w:tc>
      </w:tr>
      <w:tr>
        <w:trPr>
          <w:trHeight w:val="21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growth rate</w:t>
            </w: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1.5%</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1.5%</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r>
    </w:tbl>
    <w:p>
      <w:pPr>
        <w:spacing w:after="0" w:line="3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Interim Disclosures about Fair Value of Financial Instruments - </w:t>
      </w:r>
      <w:r>
        <w:rPr>
          <w:rFonts w:ascii="Times New Roman" w:cs="Times New Roman" w:eastAsia="Times New Roman" w:hAnsi="Times New Roman"/>
          <w:sz w:val="20"/>
          <w:szCs w:val="20"/>
          <w:color w:val="auto"/>
        </w:rPr>
        <w:t>The Company’s non-derivative financial instruments consist of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80" w:type="dxa"/>
            <w:vAlign w:val="bottom"/>
          </w:tcPr>
          <w:p>
            <w:pPr>
              <w:spacing w:after="0"/>
              <w:rPr>
                <w:sz w:val="18"/>
                <w:szCs w:val="18"/>
                <w:color w:val="auto"/>
              </w:rPr>
            </w:pPr>
          </w:p>
        </w:tc>
        <w:tc>
          <w:tcPr>
            <w:tcW w:w="2600" w:type="dxa"/>
            <w:vAlign w:val="bottom"/>
            <w:gridSpan w:val="4"/>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DECEMBER 29, 2019</w:t>
            </w:r>
          </w:p>
        </w:tc>
        <w:tc>
          <w:tcPr>
            <w:tcW w:w="0" w:type="dxa"/>
            <w:vAlign w:val="bottom"/>
          </w:tcPr>
          <w:p>
            <w:pPr>
              <w:spacing w:after="0"/>
              <w:rPr>
                <w:sz w:val="1"/>
                <w:szCs w:val="1"/>
                <w:color w:val="auto"/>
              </w:rPr>
            </w:pPr>
          </w:p>
        </w:tc>
      </w:tr>
      <w:tr>
        <w:trPr>
          <w:trHeight w:val="135"/>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83"/>
              <w:spacing w:after="0" w:line="135"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63"/>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1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0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 loan A</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431,250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418,313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450,563</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520,995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599,000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599,000</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349,455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Allowance for Expected Credit Losses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rollforward of the allowance for trade receivable expected credit losses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THIRTY-NINE WEEKS</w:t>
            </w:r>
          </w:p>
        </w:tc>
      </w:tr>
      <w:tr>
        <w:trPr>
          <w:trHeight w:val="178"/>
        </w:trPr>
        <w:tc>
          <w:tcPr>
            <w:tcW w:w="7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5"/>
                <w:szCs w:val="15"/>
                <w:color w:val="auto"/>
              </w:rPr>
            </w:pPr>
          </w:p>
        </w:tc>
        <w:tc>
          <w:tcPr>
            <w:tcW w:w="15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00" w:type="dxa"/>
            <w:vAlign w:val="bottom"/>
          </w:tcPr>
          <w:p>
            <w:pPr>
              <w:spacing w:after="0"/>
              <w:rPr>
                <w:sz w:val="18"/>
                <w:szCs w:val="18"/>
                <w:color w:val="auto"/>
              </w:rPr>
            </w:pPr>
          </w:p>
        </w:tc>
        <w:tc>
          <w:tcPr>
            <w:tcW w:w="15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SEPTEMBER 27, 2020</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 for adoption of ASU No. 2016-13</w:t>
            </w: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expected credit losses</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w:t>
            </w:r>
          </w:p>
        </w:tc>
      </w:tr>
      <w:tr>
        <w:trPr>
          <w:trHeight w:val="21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Charge-off of accounts</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Company is exposed to credit losses through its trade accounts receivable consisting primarily of amounts due for gift card, credit card, vendor, franchise and other receivables. Gift card, vendor and other receivables consist primarily of amounts due from gift card resellers and vendor rebates. Amounts due from franchisees consist of initial franchise fees, royalty income, and advertising fees. See Note 7 - </w:t>
      </w: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Current Assets, Net </w:t>
      </w:r>
      <w:r>
        <w:rPr>
          <w:rFonts w:ascii="Times New Roman" w:cs="Times New Roman" w:eastAsia="Times New Roman" w:hAnsi="Times New Roman"/>
          <w:sz w:val="20"/>
          <w:szCs w:val="20"/>
          <w:color w:val="auto"/>
        </w:rPr>
        <w:t>for disclosure of trades receivables by category as of September 27, 2020 and December 29, 2019. Domestic credit card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receivables are recorded within Cash and cash equivalents based on their short duration and reasonably assured settlement.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evaluates the collectability of trade receivables based on historical loss experience and risk pool and records periodic adjustments for factors such as deterioration of economic conditions, specific customer circumstances and changes in the aging of accounts receivable balances. For risk pools where there was no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established loss history, S&amp;P speculative-grade default rates are utilized to calculate an estimated loss rate. Losses are charged off in the period in which they are determined to be uncollectable.</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financial condition of the Company’s franchisees is largely dependent on the underlying business trends of its brands and market conditions within the casual dining restaurant industry. In March 2020, the Company fully reserved substantially all of its outstanding franchise receivables in response to the economic impact of the COVID-19 pandemic. See Note 2 - </w:t>
      </w:r>
      <w:r>
        <w:rPr>
          <w:rFonts w:ascii="Times New Roman" w:cs="Times New Roman" w:eastAsia="Times New Roman" w:hAnsi="Times New Roman"/>
          <w:sz w:val="20"/>
          <w:szCs w:val="20"/>
          <w:i w:val="1"/>
          <w:iCs w:val="1"/>
          <w:color w:val="auto"/>
        </w:rPr>
        <w:t>COVID-19 Charges</w:t>
      </w:r>
      <w:r>
        <w:rPr>
          <w:rFonts w:ascii="Times New Roman" w:cs="Times New Roman" w:eastAsia="Times New Roman" w:hAnsi="Times New Roman"/>
          <w:sz w:val="20"/>
          <w:szCs w:val="20"/>
          <w:color w:val="auto"/>
        </w:rPr>
        <w:t xml:space="preserve"> for details regarding the impact of the COVID-19 pandemic on the Company’s financial results.</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The Company is also exposed to credit losses from off-balance sheet lease guarantees primarily related to the divestiture of certain formerly Company-owned restaurant sites. See Note 20 -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for details regarding these lease guarantees.</w:t>
      </w:r>
    </w:p>
    <w:p>
      <w:pPr>
        <w:spacing w:after="0" w:line="18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color w:val="auto"/>
        </w:rPr>
        <w:t>Income Taxes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(benefit) provision for income taxes</w:t>
            </w:r>
          </w:p>
        </w:tc>
        <w:tc>
          <w:tcPr>
            <w:tcW w:w="40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(32,554)</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8,713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(214,830)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110,882</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(14,776)</w:t>
            </w:r>
          </w:p>
        </w:tc>
        <w:tc>
          <w:tcPr>
            <w:tcW w:w="10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(70,210)</w:t>
            </w:r>
          </w:p>
        </w:tc>
        <w:tc>
          <w:tcPr>
            <w:tcW w:w="100" w:type="dxa"/>
            <w:vAlign w:val="bottom"/>
          </w:tcPr>
          <w:p>
            <w:pPr>
              <w:spacing w:after="0"/>
              <w:rPr>
                <w:sz w:val="18"/>
                <w:szCs w:val="18"/>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6,051</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bl>
    <w:p>
      <w:pPr>
        <w:spacing w:after="0" w:line="3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March 27, 2020, the President of the United States signed into law the Coronavirus Aid, Relief and Economic Security Act (the “CARES Act”). Accordingly, the applicable provisions of the CARES Act have been reflected in the Company’s tax provision for the thirteen and thirty-nine weeks ended September 27, 2020. The CARES Act, among other items, includes U.S. corporate tax provisions related to the deferment of employer social security payments, employee retention credits, net operating loss (“NOL”) carryback periods, alternative minimum tax credits, modifications to interest deduction limitations and technical corrections on tax depreciation methods for qualified improvement property (“QIP”).</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effective income tax rate for the thirteen and thirty-nine weeks ended September 27, 2020 increased by 53.0 </w:t>
      </w:r>
      <w:r>
        <w:rPr>
          <w:rFonts w:ascii="Times New Roman" w:cs="Times New Roman" w:eastAsia="Times New Roman" w:hAnsi="Times New Roman"/>
          <w:sz w:val="17"/>
          <w:szCs w:val="17"/>
          <w:color w:val="auto"/>
        </w:rPr>
        <w:t>and</w:t>
      </w:r>
      <w:r>
        <w:rPr>
          <w:rFonts w:ascii="Times New Roman" w:cs="Times New Roman" w:eastAsia="Times New Roman" w:hAnsi="Times New Roman"/>
          <w:sz w:val="20"/>
          <w:szCs w:val="20"/>
          <w:color w:val="auto"/>
        </w:rPr>
        <w:t xml:space="preserve"> 27.2 percentage points as compared to the thirteen and thirty-nine weeks ended September 29, 2019. These increases were primarily due to the benefit of the tax credits for FICA taxes on certain employees’ tips, the forecasted 2020 pre-tax book loss and changes to the estimate of the forecasted full-year effective tax rate relative to prior quarters in 2020.</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December 29, 2019, the Company had $128.6 million in general business tax credits carryforwards, which have a 20-year carryforward period and are utilized on a first-in, first-out basis. The Company expects to increase its general business credit carryforwards in 2020 by approximately $20 million to $30 million as a result of additional credits generated in 2020 and the application of the QIP technical correction enacted as part of the CARES Act. The Company currently expects to utilize these tax credit carryforwards within a 10 year period. However, the Company’s ability to utilize these tax credits could be adversely impacted by, among other items, a future “ownership change” as defined under Section 382 of the Internal Revenue Code.</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a blended federal and state statutory rate of approximately 26%. The effective income tax rate for the thirteen and thirty-nine weeks ended September 27, 2020 was higher than the statutory rate primarily due to the benefit of tax credits for FICA taxes on certain employees’ tips.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Deferred Taxes </w:t>
      </w:r>
      <w:r>
        <w:rPr>
          <w:rFonts w:ascii="Times New Roman" w:cs="Times New Roman" w:eastAsia="Times New Roman" w:hAnsi="Times New Roman"/>
          <w:sz w:val="20"/>
          <w:szCs w:val="20"/>
          <w:color w:val="auto"/>
        </w:rPr>
        <w:t>- During the thirty-nine weeks ended September 27, 2020, Deferred income tax assets, net increased by $73.3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as a result of losses incurred during the period and tax credits for FICA taxes on certain employees’ tips.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20.</w:t>
      </w:r>
      <w:r>
        <w:rPr>
          <w:sz w:val="20"/>
          <w:szCs w:val="20"/>
          <w:color w:val="auto"/>
        </w:rPr>
        <w:tab/>
      </w:r>
      <w:r>
        <w:rPr>
          <w:rFonts w:ascii="Times New Roman" w:cs="Times New Roman" w:eastAsia="Times New Roman" w:hAnsi="Times New Roman"/>
          <w:sz w:val="19"/>
          <w:szCs w:val="19"/>
          <w:color w:val="auto"/>
        </w:rPr>
        <w:t>Commitments and Contingencies</w:t>
      </w:r>
    </w:p>
    <w:p>
      <w:pPr>
        <w:spacing w:after="0" w:line="2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Litigation and Other Matters - </w:t>
      </w:r>
      <w:r>
        <w:rPr>
          <w:rFonts w:ascii="Times New Roman" w:cs="Times New Roman" w:eastAsia="Times New Roman" w:hAnsi="Times New Roman"/>
          <w:sz w:val="20"/>
          <w:szCs w:val="20"/>
          <w:color w:val="auto"/>
        </w:rPr>
        <w:t>The Company had $5.2 million and $3.0 million of liabilities recorded for various legal matters as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September 27, 2020 and December 29, 2019, respectively.</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 The Company assigned its interest, and is contingently liable, under certain real estate leases. These leases have varying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the latest of which expires in 2032. As of September 27, 2020, the undiscounted payments that the Company could be required to make in the event of non-payment by the primary lessees was approximately $29.0 million. The present value of these potential payments discounted at the Company’s incremental borrowing rate as of September 27, 2020 was approximately $20.7 million. In the event of default, the indemnity clauses in the Company’s purchase and sale agreements govern its ability to pursue and recover damages incurred.</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In March 2020, the Company recorded $4.2 million of additional contingent lease liability in response to the economic impact of the COVID-19 pandemic. As of September 27, 2020, the Company’s recorded contingent lease liability was $9.7 million. See Note 2 - </w:t>
      </w:r>
      <w:r>
        <w:rPr>
          <w:rFonts w:ascii="Times New Roman" w:cs="Times New Roman" w:eastAsia="Times New Roman" w:hAnsi="Times New Roman"/>
          <w:sz w:val="20"/>
          <w:szCs w:val="20"/>
          <w:i w:val="1"/>
          <w:iCs w:val="1"/>
          <w:color w:val="auto"/>
        </w:rPr>
        <w:t xml:space="preserve">COVID-19 Charges </w:t>
      </w:r>
      <w:r>
        <w:rPr>
          <w:rFonts w:ascii="Times New Roman" w:cs="Times New Roman" w:eastAsia="Times New Roman" w:hAnsi="Times New Roman"/>
          <w:sz w:val="20"/>
          <w:szCs w:val="20"/>
          <w:color w:val="auto"/>
        </w:rPr>
        <w:t>for details regarding the impact of the COVID-19 pandemic on the Company’s financial results.</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During the third quarter of 2020, the Company received notices of default pertaining to three leases of divested restaurant properties in circumstances where the Company is contingently liable for the unpaid rent of the current operators. The Company is in communication with these operators and has encouraged the operators to negotiate with their landlords to defer or resolve payments. The Company believes losses above its recorded reserve are not probable at this time but will continue to closely monitor and assess this situation.</w:t>
      </w:r>
    </w:p>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Segment Reporting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250"/>
        </w:trPr>
        <w:tc>
          <w:tcPr>
            <w:tcW w:w="26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00" w:type="dxa"/>
            <w:vAlign w:val="bottom"/>
            <w:tcBorders>
              <w:top w:val="single" w:sz="8" w:color="CCEEFF"/>
              <w:right w:val="single" w:sz="8" w:color="auto"/>
            </w:tcBorders>
            <w:shd w:val="clear" w:color="auto" w:fill="CCEEFF"/>
          </w:tcPr>
          <w:p>
            <w:pPr>
              <w:spacing w:after="0"/>
              <w:rPr>
                <w:sz w:val="21"/>
                <w:szCs w:val="21"/>
                <w:color w:val="auto"/>
              </w:rPr>
            </w:pPr>
          </w:p>
        </w:tc>
        <w:tc>
          <w:tcPr>
            <w:tcW w:w="456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21"/>
                <w:szCs w:val="21"/>
                <w:color w:val="auto"/>
              </w:rPr>
            </w:pPr>
          </w:p>
        </w:tc>
        <w:tc>
          <w:tcPr>
            <w:tcW w:w="3820" w:type="dxa"/>
            <w:vAlign w:val="bottom"/>
            <w:tcBorders>
              <w:top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Bonefish Grill</w:t>
            </w:r>
          </w:p>
        </w:tc>
        <w:tc>
          <w:tcPr>
            <w:tcW w:w="12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560" w:type="dxa"/>
            <w:vAlign w:val="bottom"/>
            <w:tcBorders>
              <w:right w:val="single" w:sz="8" w:color="auto"/>
            </w:tcBorders>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38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6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4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20" w:type="dxa"/>
            <w:vAlign w:val="bottom"/>
            <w:tcBorders>
              <w:right w:val="single" w:sz="8" w:color="auto"/>
            </w:tcBorders>
            <w:shd w:val="clear" w:color="auto" w:fill="CCEEFF"/>
          </w:tcPr>
          <w:p>
            <w:pPr>
              <w:spacing w:after="0"/>
              <w:rPr>
                <w:sz w:val="23"/>
                <w:szCs w:val="23"/>
                <w:color w:val="auto"/>
              </w:rPr>
            </w:pPr>
          </w:p>
        </w:tc>
        <w:tc>
          <w:tcPr>
            <w:tcW w:w="3820" w:type="dxa"/>
            <w:vAlign w:val="bottom"/>
            <w:tcBorders>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2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71"/>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0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Segment accounting policies are the same as those described in Note 2 -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the Company’s Annual Report on Form 10-K for the year ended December 29, 2019. Revenues for all segments include only transactions with customers and exclude intersegment revenues. Excluded from Income (loss) from operations for U.S. and international are certain legal and corporate costs not directly related to the performance of the segments, most stock-based compensation expenses and certain bonus expenses.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During the thirteen and thirty-nine weeks ended September 27, 2020, the Company recorded $4.2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20"/>
          <w:szCs w:val="20"/>
          <w:color w:val="auto"/>
        </w:rPr>
        <w:t xml:space="preserve"> $28.8 million, respectively, of pre-tax charges as a part of transformational initiatives implemented in connection with its previously announced review of strategic alternatives. These costs were primarily recorded within General and administrative expense and Provision for impaired assets and restaurant closings and were not allocated to the Company’s segments since the Company’s CODM does not consider the impact of transformational initiatives when assessing segment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Total revenue by segment,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721,738</w:t>
            </w:r>
          </w:p>
        </w:tc>
        <w:tc>
          <w:tcPr>
            <w:tcW w:w="10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848,444</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2,153,315</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2,777,170</w:t>
            </w:r>
          </w:p>
        </w:tc>
      </w:tr>
      <w:tr>
        <w:trPr>
          <w:trHeight w:val="22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118,700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204,741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340,035</w:t>
            </w:r>
          </w:p>
        </w:tc>
      </w:tr>
      <w:tr>
        <w:trPr>
          <w:trHeight w:val="216"/>
        </w:trPr>
        <w:tc>
          <w:tcPr>
            <w:tcW w:w="4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771,260</w:t>
            </w:r>
          </w:p>
        </w:tc>
        <w:tc>
          <w:tcPr>
            <w:tcW w:w="100" w:type="dxa"/>
            <w:vAlign w:val="bottom"/>
          </w:tcPr>
          <w:p>
            <w:pPr>
              <w:spacing w:after="0"/>
              <w:rPr>
                <w:sz w:val="18"/>
                <w:szCs w:val="18"/>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967,144</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2,358,056</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3,117,205</w:t>
            </w:r>
          </w:p>
        </w:tc>
      </w:tr>
      <w:tr>
        <w:trPr>
          <w:trHeight w:val="20"/>
        </w:trPr>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is a reconciliation of Segment income (loss) from operations to (Loss) income before (benefit) provision for income taxes, for the periods indicated:</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income (loss) from operations</w:t>
            </w: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3"/>
        </w:trPr>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29,574</w:t>
            </w:r>
          </w:p>
        </w:tc>
        <w:tc>
          <w:tcPr>
            <w:tcW w:w="120" w:type="dxa"/>
            <w:vAlign w:val="bottom"/>
          </w:tcPr>
          <w:p>
            <w:pPr>
              <w:spacing w:after="0"/>
              <w:rPr>
                <w:sz w:val="18"/>
                <w:szCs w:val="18"/>
                <w:color w:val="auto"/>
              </w:rPr>
            </w:pP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50,318</w:t>
            </w:r>
          </w:p>
        </w:tc>
        <w:tc>
          <w:tcPr>
            <w:tcW w:w="10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(21,968)</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242,167</w:t>
            </w:r>
          </w:p>
        </w:tc>
      </w:tr>
      <w:tr>
        <w:trPr>
          <w:trHeight w:val="239"/>
        </w:trPr>
        <w:tc>
          <w:tcPr>
            <w:tcW w:w="4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31,179</w:t>
            </w:r>
          </w:p>
        </w:tc>
      </w:tr>
      <w:tr>
        <w:trPr>
          <w:trHeight w:val="200"/>
        </w:trPr>
        <w:tc>
          <w:tcPr>
            <w:tcW w:w="4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segment income (loss)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21,648</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273,346</w:t>
            </w:r>
          </w:p>
        </w:tc>
      </w:tr>
      <w:tr>
        <w:trPr>
          <w:trHeight w:val="239"/>
        </w:trPr>
        <w:tc>
          <w:tcPr>
            <w:tcW w:w="4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Unallocated corporate operating expense</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(127,558)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(125,434)</w:t>
            </w:r>
          </w:p>
        </w:tc>
      </w:tr>
      <w:tr>
        <w:trPr>
          <w:trHeight w:val="200"/>
        </w:trPr>
        <w:tc>
          <w:tcPr>
            <w:tcW w:w="4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(loss) income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(167,735)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147,912</w:t>
            </w:r>
          </w:p>
        </w:tc>
      </w:tr>
      <w:tr>
        <w:trPr>
          <w:trHeight w:val="219"/>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on modification of debt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26"/>
        </w:trPr>
        <w:tc>
          <w:tcPr>
            <w:tcW w:w="4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(36,885)</w:t>
            </w:r>
          </w:p>
        </w:tc>
      </w:tr>
      <w:tr>
        <w:trPr>
          <w:trHeight w:val="216"/>
        </w:trPr>
        <w:tc>
          <w:tcPr>
            <w:tcW w:w="47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(Loss) income before (benefit) provision for income taxes</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(32,554)</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(214,830)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110,882</w:t>
            </w:r>
          </w:p>
        </w:tc>
      </w:tr>
      <w:tr>
        <w:trPr>
          <w:trHeight w:val="20"/>
        </w:trPr>
        <w:tc>
          <w:tcPr>
            <w:tcW w:w="4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Depreciation and amortization expense by segment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35,056</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36,670</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110,004</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114,372</w:t>
            </w: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20,406</w:t>
            </w:r>
          </w:p>
        </w:tc>
      </w:tr>
      <w:tr>
        <w:trPr>
          <w:trHeight w:val="223"/>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12,418</w:t>
            </w:r>
          </w:p>
        </w:tc>
      </w:tr>
      <w:tr>
        <w:trPr>
          <w:trHeight w:val="241"/>
        </w:trPr>
        <w:tc>
          <w:tcPr>
            <w:tcW w:w="4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137,469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147,196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216" w:lineRule="exact"/>
        <w:rPr>
          <w:sz w:val="20"/>
          <w:szCs w:val="20"/>
          <w:color w:val="auto"/>
        </w:rPr>
      </w:pPr>
    </w:p>
    <w:p>
      <w:pPr>
        <w:jc w:val="both"/>
        <w:ind w:left="740" w:hanging="489"/>
        <w:spacing w:after="0" w:line="254" w:lineRule="auto"/>
        <w:tabs>
          <w:tab w:leader="none" w:pos="73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201" w:lineRule="exact"/>
        <w:rPr>
          <w:rFonts w:ascii="Times New Roman" w:cs="Times New Roman" w:eastAsia="Times New Roman" w:hAnsi="Times New Roman"/>
          <w:sz w:val="20"/>
          <w:szCs w:val="20"/>
          <w:color w:val="auto"/>
        </w:rPr>
      </w:pPr>
    </w:p>
    <w:p>
      <w:pPr>
        <w:ind w:left="740" w:hanging="489"/>
        <w:spacing w:after="0"/>
        <w:tabs>
          <w:tab w:leader="none" w:pos="7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reactions to public health and food safety issues;</w:t>
      </w:r>
    </w:p>
    <w:p>
      <w:pPr>
        <w:spacing w:after="0" w:line="242" w:lineRule="exact"/>
        <w:rPr>
          <w:rFonts w:ascii="Times New Roman" w:cs="Times New Roman" w:eastAsia="Times New Roman" w:hAnsi="Times New Roman"/>
          <w:sz w:val="20"/>
          <w:szCs w:val="20"/>
          <w:color w:val="auto"/>
        </w:rPr>
      </w:pPr>
    </w:p>
    <w:p>
      <w:pPr>
        <w:ind w:left="740" w:hanging="489"/>
        <w:spacing w:after="0" w:line="269" w:lineRule="auto"/>
        <w:tabs>
          <w:tab w:leader="none" w:pos="7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in the highly competitive restaurant industry with many well-established competitors and new market entrants;</w:t>
      </w:r>
    </w:p>
    <w:p>
      <w:pPr>
        <w:spacing w:after="0" w:line="186" w:lineRule="exact"/>
        <w:rPr>
          <w:rFonts w:ascii="Times New Roman" w:cs="Times New Roman" w:eastAsia="Times New Roman" w:hAnsi="Times New Roman"/>
          <w:sz w:val="20"/>
          <w:szCs w:val="20"/>
          <w:color w:val="auto"/>
        </w:rPr>
      </w:pPr>
    </w:p>
    <w:p>
      <w:pPr>
        <w:ind w:left="720" w:hanging="469"/>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wage increases and additional mandated employee benefits;</w:t>
      </w:r>
    </w:p>
    <w:p>
      <w:pPr>
        <w:spacing w:after="0" w:line="242" w:lineRule="exact"/>
        <w:rPr>
          <w:rFonts w:ascii="Times New Roman" w:cs="Times New Roman" w:eastAsia="Times New Roman" w:hAnsi="Times New Roman"/>
          <w:sz w:val="20"/>
          <w:szCs w:val="20"/>
          <w:color w:val="auto"/>
        </w:rPr>
      </w:pPr>
    </w:p>
    <w:p>
      <w:pPr>
        <w:ind w:left="740" w:hanging="489"/>
        <w:spacing w:after="0" w:line="269" w:lineRule="auto"/>
        <w:tabs>
          <w:tab w:leader="none" w:pos="72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conditions and their effects on consumer confidence and discretionary spending, consumer traffic, the cost and availability of credit and interest rates;</w:t>
      </w:r>
    </w:p>
    <w:p>
      <w:pPr>
        <w:spacing w:after="0" w:line="186" w:lineRule="exact"/>
        <w:rPr>
          <w:rFonts w:ascii="Times New Roman" w:cs="Times New Roman" w:eastAsia="Times New Roman" w:hAnsi="Times New Roman"/>
          <w:sz w:val="20"/>
          <w:szCs w:val="20"/>
          <w:color w:val="auto"/>
        </w:rPr>
      </w:pPr>
    </w:p>
    <w:p>
      <w:pPr>
        <w:ind w:left="740" w:right="20" w:hanging="489"/>
        <w:spacing w:after="0" w:line="269" w:lineRule="auto"/>
        <w:tabs>
          <w:tab w:leader="none" w:pos="72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information technology systems from interruption or security breach, including cyber security threats, and to protect consumer data and personal employee information;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385" w:lineRule="exact"/>
        <w:rPr>
          <w:sz w:val="20"/>
          <w:szCs w:val="20"/>
          <w:color w:val="auto"/>
        </w:rPr>
      </w:pPr>
    </w:p>
    <w:p>
      <w:pPr>
        <w:ind w:left="720" w:hanging="469"/>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price and availability of commodities;</w:t>
      </w:r>
    </w:p>
    <w:p>
      <w:pPr>
        <w:spacing w:after="0" w:line="242" w:lineRule="exact"/>
        <w:rPr>
          <w:rFonts w:ascii="Times New Roman" w:cs="Times New Roman" w:eastAsia="Times New Roman" w:hAnsi="Times New Roman"/>
          <w:sz w:val="20"/>
          <w:szCs w:val="20"/>
          <w:color w:val="auto"/>
        </w:rPr>
      </w:pPr>
    </w:p>
    <w:p>
      <w:pPr>
        <w:ind w:left="740" w:right="20" w:hanging="489"/>
        <w:spacing w:after="0" w:line="269" w:lineRule="auto"/>
        <w:tabs>
          <w:tab w:leader="none" w:pos="73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186" w:lineRule="exact"/>
        <w:rPr>
          <w:rFonts w:ascii="Times New Roman" w:cs="Times New Roman" w:eastAsia="Times New Roman" w:hAnsi="Times New Roman"/>
          <w:sz w:val="20"/>
          <w:szCs w:val="20"/>
          <w:color w:val="auto"/>
        </w:rPr>
      </w:pPr>
    </w:p>
    <w:p>
      <w:pPr>
        <w:ind w:left="720" w:hanging="469"/>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respond to changes in patterns of consumer traffic, consumer tastes and dietary habits;</w:t>
      </w:r>
    </w:p>
    <w:p>
      <w:pPr>
        <w:spacing w:after="0" w:line="242" w:lineRule="exact"/>
        <w:rPr>
          <w:rFonts w:ascii="Times New Roman" w:cs="Times New Roman" w:eastAsia="Times New Roman" w:hAnsi="Times New Roman"/>
          <w:sz w:val="20"/>
          <w:szCs w:val="20"/>
          <w:color w:val="auto"/>
        </w:rPr>
      </w:pPr>
    </w:p>
    <w:p>
      <w:pPr>
        <w:jc w:val="both"/>
        <w:ind w:left="740" w:hanging="489"/>
        <w:spacing w:after="0" w:line="254" w:lineRule="auto"/>
        <w:tabs>
          <w:tab w:leader="none" w:pos="72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201" w:lineRule="exact"/>
        <w:rPr>
          <w:rFonts w:ascii="Times New Roman" w:cs="Times New Roman" w:eastAsia="Times New Roman" w:hAnsi="Times New Roman"/>
          <w:sz w:val="20"/>
          <w:szCs w:val="20"/>
          <w:color w:val="auto"/>
        </w:rPr>
      </w:pPr>
    </w:p>
    <w:p>
      <w:pPr>
        <w:ind w:left="740" w:hanging="489"/>
        <w:spacing w:after="0" w:line="269" w:lineRule="auto"/>
        <w:tabs>
          <w:tab w:leader="none" w:pos="72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international economic, political and social conditions and legal systems on our foreign operations and on foreign currency exchange rates;</w:t>
      </w:r>
    </w:p>
    <w:p>
      <w:pPr>
        <w:spacing w:after="0" w:line="186" w:lineRule="exact"/>
        <w:rPr>
          <w:rFonts w:ascii="Times New Roman" w:cs="Times New Roman" w:eastAsia="Times New Roman" w:hAnsi="Times New Roman"/>
          <w:sz w:val="20"/>
          <w:szCs w:val="20"/>
          <w:color w:val="auto"/>
        </w:rPr>
      </w:pPr>
    </w:p>
    <w:p>
      <w:pPr>
        <w:ind w:left="740" w:right="20" w:hanging="489"/>
        <w:spacing w:after="0" w:line="269" w:lineRule="auto"/>
        <w:tabs>
          <w:tab w:leader="none" w:pos="72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preserve and grow the reputation and value of our brands, particularly in light of changes in consumer engagement with social media platforms;</w:t>
      </w:r>
    </w:p>
    <w:p>
      <w:pPr>
        <w:spacing w:after="0" w:line="186" w:lineRule="exact"/>
        <w:rPr>
          <w:rFonts w:ascii="Times New Roman" w:cs="Times New Roman" w:eastAsia="Times New Roman" w:hAnsi="Times New Roman"/>
          <w:sz w:val="20"/>
          <w:szCs w:val="20"/>
          <w:color w:val="auto"/>
        </w:rPr>
      </w:pPr>
    </w:p>
    <w:p>
      <w:pPr>
        <w:ind w:left="740" w:right="20" w:hanging="489"/>
        <w:spacing w:after="0" w:line="269" w:lineRule="auto"/>
        <w:tabs>
          <w:tab w:leader="none" w:pos="73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in the carrying value of our goodwill or other intangible or long-lived assets and its effect on our financial condition and results of operations;</w:t>
      </w:r>
    </w:p>
    <w:p>
      <w:pPr>
        <w:spacing w:after="0" w:line="186" w:lineRule="exact"/>
        <w:rPr>
          <w:rFonts w:ascii="Times New Roman" w:cs="Times New Roman" w:eastAsia="Times New Roman" w:hAnsi="Times New Roman"/>
          <w:sz w:val="20"/>
          <w:szCs w:val="20"/>
          <w:color w:val="auto"/>
        </w:rPr>
      </w:pPr>
    </w:p>
    <w:p>
      <w:pPr>
        <w:ind w:left="740" w:right="20" w:hanging="489"/>
        <w:spacing w:after="0" w:line="269" w:lineRule="auto"/>
        <w:tabs>
          <w:tab w:leader="none" w:pos="73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and periodic fluctuations in our results and the effects of significant adverse weather conditions and other disasters or unforeseen events;</w:t>
      </w:r>
    </w:p>
    <w:p>
      <w:pPr>
        <w:spacing w:after="0" w:line="186" w:lineRule="exact"/>
        <w:rPr>
          <w:rFonts w:ascii="Times New Roman" w:cs="Times New Roman" w:eastAsia="Times New Roman" w:hAnsi="Times New Roman"/>
          <w:sz w:val="20"/>
          <w:szCs w:val="20"/>
          <w:color w:val="auto"/>
        </w:rPr>
      </w:pPr>
    </w:p>
    <w:p>
      <w:pPr>
        <w:jc w:val="both"/>
        <w:ind w:left="740" w:hanging="489"/>
        <w:spacing w:after="0" w:line="254" w:lineRule="auto"/>
        <w:tabs>
          <w:tab w:leader="none" w:pos="73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 and</w:t>
      </w:r>
    </w:p>
    <w:p>
      <w:pPr>
        <w:spacing w:after="0" w:line="201" w:lineRule="exact"/>
        <w:rPr>
          <w:rFonts w:ascii="Times New Roman" w:cs="Times New Roman" w:eastAsia="Times New Roman" w:hAnsi="Times New Roman"/>
          <w:sz w:val="20"/>
          <w:szCs w:val="20"/>
          <w:color w:val="auto"/>
        </w:rPr>
      </w:pPr>
    </w:p>
    <w:p>
      <w:pPr>
        <w:ind w:left="740" w:hanging="489"/>
        <w:spacing w:after="0" w:line="269" w:lineRule="auto"/>
        <w:tabs>
          <w:tab w:leader="none" w:pos="73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discussed in Part I, Item IA. Risk Factors of our Annual Report on Form 10-K for the year ended December 29, 2019 and Part I, Item IA. Risk Factors in this Report.</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one of the largest casual dining restaurant companies in the world with a portfolio of leading, differentiated restaurant concepts. As of September 27, 2020, we owned and operated 1,152 restaurants and franchised 312 restaurants across 47 states, Puerto Rico, Guam and 20 countries. We have four founder-inspired concepts: Outback Steakhouse, Carrabba’s Italian Grill, Bonefish Grill and Fleming’s Prime Steakhouse &amp; Wine Bar.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financial results for the thirteen weeks ended September 27, 2020 (“third quarter of 2020”) include the following:</w:t>
      </w:r>
    </w:p>
    <w:p>
      <w:pPr>
        <w:spacing w:after="0" w:line="243" w:lineRule="exact"/>
        <w:rPr>
          <w:sz w:val="20"/>
          <w:szCs w:val="20"/>
          <w:color w:val="auto"/>
        </w:rPr>
      </w:pPr>
    </w:p>
    <w:p>
      <w:pPr>
        <w:jc w:val="both"/>
        <w:ind w:left="660" w:hanging="328"/>
        <w:spacing w:after="0" w:line="249"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Total revenues of 20.3% in the third quarter of 2020, as compared to the third quarter of 2019, primarily due to: (i) significantly lower comparable restaurant sales and franchise revenues principally attributable to the COVID-19 pandemic, (ii) the net impact of restaurant closures and openings and (iii) the effect of foreign currency translation of the Brazil Real relative to the U.S. dollar.</w:t>
      </w:r>
    </w:p>
    <w:p>
      <w:pPr>
        <w:spacing w:after="0" w:line="206" w:lineRule="exact"/>
        <w:rPr>
          <w:rFonts w:ascii="Times New Roman" w:cs="Times New Roman" w:eastAsia="Times New Roman" w:hAnsi="Times New Roman"/>
          <w:sz w:val="20"/>
          <w:szCs w:val="20"/>
          <w:color w:val="auto"/>
        </w:rPr>
      </w:pPr>
    </w:p>
    <w:p>
      <w:pPr>
        <w:jc w:val="both"/>
        <w:ind w:left="660" w:hanging="328"/>
        <w:spacing w:after="0" w:line="246"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from operations of $(14.3) million in the third quarter of 2020, as compared to income from operations of $22.0 million in the third quarter of 2019, was primarily due to: (i) significantly lower comparable restaurant sales and costs incurred in connection with the COVID-19 pandemic, including incremental delivery related costs, and (ii) certain costs incurred in connection with our transformation initiatives. These decreases are partially offset by: (i) reduced advertising, utilities and operating expenses, (ii) a reduction in prep labor hours, offset by higher labor costs, and (iii) cost savings from waste reduction initiatives.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 - COVID-19</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response to the COVID-19 pandemic, governmental authorities took dramatic action in an effort to slow the spread of the disease. Along with many other restaurant businesses across the country, we temporarily limited our services in the U.S. to carry-out and delivery only beginning March 20, 2020. In early May 2020, we began to reopen our restaurant dining rooms with limited seating capacity in compliance with state and local regulations. As of September 27, 2020, our restaurant dining rooms have reopened but many are still subject to seating capacity restrictions. The temporary closure of our dining rooms and the limitations on seating capacity in our reopened dining rooms has resulted in significantly reduced traffic in our restaurants.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12529"/>
        </w:rPr>
        <w:t>It remains uncertain whether customer traffic will return to levels prior to the outbreak of COVID-19. Even if consumer demand fully recovers, governmental restrictions may continue to limit the capacity of our dining rooms or services we may provide in the future. As a result, our results for the foreseeable future may be significantly adversely impacted.</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response to the pandemic, we have tightly managed expenses while taking steps to secure our liquidity position</w:t>
      </w:r>
      <w:r>
        <w:rPr>
          <w:rFonts w:ascii="Times New Roman" w:cs="Times New Roman" w:eastAsia="Times New Roman" w:hAnsi="Times New Roman"/>
          <w:sz w:val="20"/>
          <w:szCs w:val="20"/>
          <w:color w:val="212529"/>
        </w:rPr>
        <w:t>.</w:t>
      </w:r>
      <w:r>
        <w:rPr>
          <w:rFonts w:ascii="Times New Roman" w:cs="Times New Roman" w:eastAsia="Times New Roman" w:hAnsi="Times New Roman"/>
          <w:sz w:val="20"/>
          <w:szCs w:val="20"/>
          <w:color w:val="auto"/>
        </w:rPr>
        <w:t xml:space="preserve"> See the subsection below e</w:t>
      </w:r>
      <w:r>
        <w:rPr>
          <w:rFonts w:ascii="Times New Roman" w:cs="Times New Roman" w:eastAsia="Times New Roman" w:hAnsi="Times New Roman"/>
          <w:sz w:val="20"/>
          <w:szCs w:val="20"/>
          <w:color w:val="212529"/>
        </w:rPr>
        <w:t>ntitled “</w:t>
      </w:r>
      <w:r>
        <w:rPr>
          <w:rFonts w:ascii="Times New Roman" w:cs="Times New Roman" w:eastAsia="Times New Roman" w:hAnsi="Times New Roman"/>
          <w:sz w:val="20"/>
          <w:szCs w:val="20"/>
          <w:i w:val="1"/>
          <w:iCs w:val="1"/>
          <w:color w:val="212529"/>
        </w:rPr>
        <w:t>Liquidity and Capital Resources</w:t>
      </w:r>
      <w:r>
        <w:rPr>
          <w:rFonts w:ascii="Times New Roman" w:cs="Times New Roman" w:eastAsia="Times New Roman" w:hAnsi="Times New Roman"/>
          <w:sz w:val="20"/>
          <w:szCs w:val="20"/>
          <w:color w:val="212529"/>
        </w:rPr>
        <w:t>” for furthe</w:t>
      </w:r>
      <w:r>
        <w:rPr>
          <w:rFonts w:ascii="Times New Roman" w:cs="Times New Roman" w:eastAsia="Times New Roman" w:hAnsi="Times New Roman"/>
          <w:sz w:val="20"/>
          <w:szCs w:val="20"/>
          <w:color w:val="auto"/>
        </w:rPr>
        <w:t>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measures that we use in evaluating our restaurants and assessing our business include the following:</w:t>
      </w:r>
    </w:p>
    <w:p>
      <w:pPr>
        <w:spacing w:after="0" w:line="239" w:lineRule="exact"/>
        <w:rPr>
          <w:sz w:val="20"/>
          <w:szCs w:val="20"/>
          <w:color w:val="auto"/>
        </w:rPr>
      </w:pPr>
    </w:p>
    <w:p>
      <w:pPr>
        <w:ind w:left="660" w:right="20" w:hanging="328"/>
        <w:spacing w:after="0" w:line="273"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Average restaurant unit volumes</w:t>
      </w:r>
      <w:r>
        <w:rPr>
          <w:rFonts w:ascii="Times New Roman" w:cs="Times New Roman" w:eastAsia="Times New Roman" w:hAnsi="Times New Roman"/>
          <w:sz w:val="20"/>
          <w:szCs w:val="20"/>
          <w:color w:val="auto"/>
        </w:rPr>
        <w:t>—average sales (excluding gift card breakage) per restaurant to measure changes in customer traffic,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pricing and development of the brand;</w:t>
      </w:r>
    </w:p>
    <w:p>
      <w:pPr>
        <w:spacing w:after="0" w:line="178"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8" w:val="left"/>
        </w:tabs>
        <w:numPr>
          <w:ilvl w:val="0"/>
          <w:numId w:val="2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Comparable restaurant sales</w:t>
      </w:r>
      <w:r>
        <w:rPr>
          <w:rFonts w:ascii="Times New Roman" w:cs="Times New Roman" w:eastAsia="Times New Roman" w:hAnsi="Times New Roman"/>
          <w:sz w:val="20"/>
          <w:szCs w:val="20"/>
          <w:color w:val="auto"/>
        </w:rPr>
        <w:t>—year-over-year comparison of sales volumes (excluding gift card breakage) for Company-owned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restaurants that are open 18 months or more in order to remove the impact of new restaurant openings in comparing the operations of existing restaurants;</w:t>
      </w:r>
    </w:p>
    <w:p>
      <w:pPr>
        <w:spacing w:after="0" w:line="195" w:lineRule="exact"/>
        <w:rPr>
          <w:rFonts w:ascii="Times New Roman" w:cs="Times New Roman" w:eastAsia="Times New Roman" w:hAnsi="Times New Roman"/>
          <w:sz w:val="20"/>
          <w:szCs w:val="20"/>
          <w:i w:val="1"/>
          <w:iCs w:val="1"/>
          <w:color w:val="auto"/>
        </w:rPr>
      </w:pPr>
    </w:p>
    <w:p>
      <w:pPr>
        <w:ind w:left="660" w:hanging="328"/>
        <w:spacing w:after="0" w:line="273"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System-wide sales</w:t>
      </w:r>
      <w:r>
        <w:rPr>
          <w:rFonts w:ascii="Times New Roman" w:cs="Times New Roman" w:eastAsia="Times New Roman" w:hAnsi="Times New Roman"/>
          <w:sz w:val="20"/>
          <w:szCs w:val="20"/>
          <w:color w:val="auto"/>
        </w:rPr>
        <w:t>—total restaurant sales volume for all Company-owned and franchise restaurants, regardless of ownership,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 the overall health of our brands;</w:t>
      </w:r>
    </w:p>
    <w:p>
      <w:pPr>
        <w:spacing w:after="0" w:line="178"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2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Restaurant-level operating margin, (Loss) income from operations, Net (loss) income and Diluted (loss) earnings per share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measures utilized to evaluate our operating performance.</w:t>
      </w:r>
    </w:p>
    <w:p>
      <w:pPr>
        <w:spacing w:after="0" w:line="182" w:lineRule="exact"/>
        <w:rPr>
          <w:rFonts w:ascii="Times New Roman" w:cs="Times New Roman" w:eastAsia="Times New Roman" w:hAnsi="Times New Roman"/>
          <w:sz w:val="20"/>
          <w:szCs w:val="20"/>
          <w:i w:val="1"/>
          <w:iCs w:val="1"/>
          <w:color w:val="auto"/>
        </w:rPr>
      </w:pPr>
    </w:p>
    <w:p>
      <w:pPr>
        <w:jc w:val="both"/>
        <w:ind w:left="660"/>
        <w:spacing w:after="0" w:line="244"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and Other restaurant operating (including advertising expenses) represent, in each case as such items are reflected in our Consolidated Statements of Operations. The following categories of our revenue and operating expenses are not included in restaurant-level operating margin because we do not consider them reflective of operating performance at the restaurant-level within a period:</w:t>
      </w:r>
    </w:p>
    <w:p>
      <w:pPr>
        <w:spacing w:after="0" w:line="212" w:lineRule="exact"/>
        <w:rPr>
          <w:rFonts w:ascii="Times New Roman" w:cs="Times New Roman" w:eastAsia="Times New Roman" w:hAnsi="Times New Roman"/>
          <w:sz w:val="20"/>
          <w:szCs w:val="20"/>
          <w:i w:val="1"/>
          <w:iCs w:val="1"/>
          <w:color w:val="auto"/>
        </w:rPr>
      </w:pPr>
    </w:p>
    <w:p>
      <w:pPr>
        <w:ind w:left="1300" w:right="20" w:hanging="401"/>
        <w:spacing w:after="0" w:line="250" w:lineRule="auto"/>
        <w:tabs>
          <w:tab w:leader="none" w:pos="129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Times New Roman" w:cs="Times New Roman" w:eastAsia="Times New Roman" w:hAnsi="Times New Roman"/>
          <w:sz w:val="20"/>
          <w:szCs w:val="20"/>
          <w:color w:val="auto"/>
        </w:rPr>
      </w:pPr>
    </w:p>
    <w:p>
      <w:pPr>
        <w:ind w:left="1300" w:hanging="401"/>
        <w:spacing w:after="0" w:line="239" w:lineRule="auto"/>
        <w:tabs>
          <w:tab w:leader="none" w:pos="129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which, although substantially all of which is related to restaurant-level assets, represent historical sunk costs rather than cash outlays for the restaurants.</w:t>
      </w:r>
    </w:p>
    <w:p>
      <w:pPr>
        <w:ind w:left="1300" w:right="20" w:hanging="401"/>
        <w:spacing w:after="0" w:line="239" w:lineRule="auto"/>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 which includes primarily non-restaurant-level costs associated with support of the restaurants and other activities at our corporate offices.</w:t>
      </w:r>
    </w:p>
    <w:p>
      <w:pPr>
        <w:ind w:left="1300" w:hanging="401"/>
        <w:spacing w:after="0" w:line="246" w:lineRule="auto"/>
        <w:tabs>
          <w:tab w:leader="none" w:pos="128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impairment charges and restaurant closing costs which are not reflective of ongoing restaurant performance in a period.</w:t>
      </w:r>
    </w:p>
    <w:p>
      <w:pPr>
        <w:spacing w:after="0" w:line="209"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(loss) income or (Loss) income from operations. In addition, our presentation of restaurant-level operating margin may not be comparable to similarly titled measures used by other companies in our industry;</w:t>
      </w:r>
    </w:p>
    <w:p>
      <w:pPr>
        <w:spacing w:after="0" w:line="208" w:lineRule="exact"/>
        <w:rPr>
          <w:sz w:val="20"/>
          <w:szCs w:val="20"/>
          <w:color w:val="auto"/>
        </w:rPr>
      </w:pPr>
    </w:p>
    <w:p>
      <w:pPr>
        <w:ind w:left="660" w:hanging="328"/>
        <w:spacing w:after="0" w:line="273" w:lineRule="auto"/>
        <w:tabs>
          <w:tab w:leader="none" w:pos="648" w:val="left"/>
        </w:tabs>
        <w:numPr>
          <w:ilvl w:val="0"/>
          <w:numId w:val="2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Adjusted restaurant-level operating margin, Adjusted (loss) income from operations, Adjusted net (loss) income and Adjusted diluted (loss) earnings per share</w:t>
      </w:r>
      <w:r>
        <w:rPr>
          <w:rFonts w:ascii="Times New Roman" w:cs="Times New Roman" w:eastAsia="Times New Roman" w:hAnsi="Times New Roman"/>
          <w:sz w:val="20"/>
          <w:szCs w:val="20"/>
          <w:color w:val="auto"/>
        </w:rPr>
        <w:t>—non-GAAP financial measures utilized to evaluate our operating performance.</w:t>
      </w:r>
    </w:p>
    <w:p>
      <w:pPr>
        <w:spacing w:after="0" w:line="169" w:lineRule="exact"/>
        <w:rPr>
          <w:rFonts w:ascii="Times New Roman" w:cs="Times New Roman" w:eastAsia="Times New Roman" w:hAnsi="Times New Roman"/>
          <w:sz w:val="20"/>
          <w:szCs w:val="20"/>
          <w:i w:val="1"/>
          <w:iCs w:val="1"/>
          <w:color w:val="auto"/>
        </w:rPr>
      </w:pPr>
    </w:p>
    <w:p>
      <w:pPr>
        <w:jc w:val="both"/>
        <w:ind w:left="660"/>
        <w:spacing w:after="0" w:line="249"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4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9"/>
          <w:szCs w:val="19"/>
          <w:color w:val="auto"/>
        </w:rPr>
        <w:t>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188"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Customer satisfaction scores</w:t>
      </w:r>
      <w:r>
        <w:rPr>
          <w:rFonts w:ascii="Times New Roman" w:cs="Times New Roman" w:eastAsia="Times New Roman" w:hAnsi="Times New Roman"/>
          <w:sz w:val="20"/>
          <w:szCs w:val="20"/>
          <w:color w:val="auto"/>
        </w:rPr>
        <w:t>—measurement of our customers’ experiences in a variety of key areas.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Operating Data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the number of our restaurants in operation as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restaurants (at end of the period):</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9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Outback Steakhouse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187"/>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Carrabba’s Italian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87"/>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Bonefish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187"/>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Fleming’s Prime Steakhouse and Wine Bar</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87"/>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U.S. 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Steakhouse—Brazil (1)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(2)</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Steakhouse—South Korea (2)</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International 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41"/>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6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restaurant counts for Brazil are reported as of August 31, 2020 and 2019, respectively, to correspond with the balance sheet dates of this subsidiary.</w:t>
      </w:r>
    </w:p>
    <w:p>
      <w:pPr>
        <w:spacing w:after="0" w:line="5" w:lineRule="exact"/>
        <w:rPr>
          <w:rFonts w:ascii="Times New Roman" w:cs="Times New Roman" w:eastAsia="Times New Roman" w:hAnsi="Times New Roman"/>
          <w:sz w:val="16"/>
          <w:szCs w:val="16"/>
          <w:color w:val="auto"/>
        </w:rPr>
      </w:pPr>
    </w:p>
    <w:p>
      <w:pPr>
        <w:ind w:left="660" w:right="20" w:hanging="652"/>
        <w:spacing w:after="0" w:line="246"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27, 2020, we had 14 international “dark kitchen” locations that offer delivery and carry-out only. One of these locations was included within Company-owned Other and 13 were included in Franchised Outback Steakhouse - South Korea.</w:t>
      </w:r>
    </w:p>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three and two fast-casual Aussie Grill locations as of September 27, 2020 and September 29,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33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6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600" w:type="dxa"/>
            <w:vAlign w:val="bottom"/>
          </w:tcPr>
          <w:p>
            <w:pPr>
              <w:spacing w:after="0"/>
              <w:rPr>
                <w:sz w:val="17"/>
                <w:szCs w:val="17"/>
                <w:color w:val="auto"/>
              </w:rPr>
            </w:pPr>
          </w:p>
        </w:tc>
        <w:tc>
          <w:tcPr>
            <w:tcW w:w="16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 sales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98.5 %</w:t>
            </w:r>
          </w:p>
        </w:tc>
      </w:tr>
      <w:tr>
        <w:trPr>
          <w:trHeight w:val="239"/>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5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r>
      <w:tr>
        <w:trPr>
          <w:trHeight w:val="200"/>
        </w:trPr>
        <w:tc>
          <w:tcPr>
            <w:tcW w:w="46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 costs (1)</w:t>
            </w: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r>
      <w:tr>
        <w:trPr>
          <w:trHeight w:val="219"/>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Labor and other related (1)</w:t>
            </w:r>
          </w:p>
        </w:tc>
        <w:tc>
          <w:tcPr>
            <w:tcW w:w="15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r>
      <w:tr>
        <w:trPr>
          <w:trHeight w:val="21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restaurant operating (1)</w:t>
            </w: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8"/>
                <w:szCs w:val="18"/>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r>
      <w:tr>
        <w:trPr>
          <w:trHeight w:val="219"/>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r>
      <w:tr>
        <w:trPr>
          <w:trHeight w:val="212"/>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23"/>
        </w:trPr>
        <w:tc>
          <w:tcPr>
            <w:tcW w:w="46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5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95.3</w:t>
            </w: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modification of debt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5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(benefit) provision for income taxes</w:t>
            </w: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5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223"/>
        </w:trPr>
        <w:tc>
          <w:tcPr>
            <w:tcW w:w="4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41"/>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Bloomin’ Brands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w:t>
      </w:r>
    </w:p>
    <w:p>
      <w:pPr>
        <w:spacing w:after="0" w:line="1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Restaurant sales.</w:t>
      </w: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Less than 1/10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of one percent of Total revenues.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RESTAURANT SALES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change in Restaurant sales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8"/>
                <w:szCs w:val="18"/>
                <w:color w:val="auto"/>
              </w:rPr>
            </w:pP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8"/>
                <w:szCs w:val="18"/>
                <w:color w:val="auto"/>
              </w:rPr>
            </w:pPr>
          </w:p>
        </w:tc>
        <w:tc>
          <w:tcPr>
            <w:tcW w:w="258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1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29, 2019</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3,069.1</w:t>
            </w: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9"/>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2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w:t>
            </w:r>
          </w:p>
        </w:tc>
      </w:tr>
      <w:tr>
        <w:trPr>
          <w:trHeight w:val="213"/>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Restaurant closures</w:t>
            </w:r>
          </w:p>
        </w:tc>
        <w:tc>
          <w:tcPr>
            <w:tcW w:w="2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9"/>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2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3"/>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Divestiture of restaurants through refranchising transactions</w:t>
            </w:r>
          </w:p>
        </w:tc>
        <w:tc>
          <w:tcPr>
            <w:tcW w:w="240" w:type="dxa"/>
            <w:vAlign w:val="bottom"/>
          </w:tcPr>
          <w:p>
            <w:pPr>
              <w:spacing w:after="0"/>
              <w:rPr>
                <w:sz w:val="18"/>
                <w:szCs w:val="18"/>
                <w:color w:val="auto"/>
              </w:rPr>
            </w:pPr>
          </w:p>
        </w:tc>
        <w:tc>
          <w:tcPr>
            <w:tcW w:w="2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26"/>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Restaurant openings</w:t>
            </w:r>
          </w:p>
        </w:tc>
        <w:tc>
          <w:tcPr>
            <w:tcW w:w="2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27, 2020</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2,339.0</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decrease in Restaurant sales during the thirteen weeks ended September 27, 2020 was primarily due to: (i) significantly lower comparable restaurant sales principally attributable to the COVID-19 pandemic, (ii) the closure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43 restaurants since June 30, 2019 and (iii) the effect of foreign currency translation of the Brazilian Real relative to the U.S. dollar.</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decrease in Restaurant sales during the thirty-nine weeks ended September 27, 2020 was primarily due to: (i) significantly lower comparable restaurant sales principally attributable to the COVID-19 pandemic, (ii) the closure of 51 restaurants since December 30, 2018,</w:t>
      </w:r>
    </w:p>
    <w:p>
      <w:pPr>
        <w:spacing w:after="0" w:line="2" w:lineRule="exact"/>
        <w:rPr>
          <w:sz w:val="20"/>
          <w:szCs w:val="20"/>
          <w:color w:val="auto"/>
        </w:rPr>
      </w:pPr>
    </w:p>
    <w:p>
      <w:pPr>
        <w:ind w:firstLine="8"/>
        <w:spacing w:after="0" w:line="246" w:lineRule="auto"/>
        <w:tabs>
          <w:tab w:leader="none" w:pos="34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foreign currency translation of the Brazilian Real relative to the U.S. dollar and (iv) domestic refranchising. The decrease in Restaurant sales was partially offset by the opening of 31 new restaurants not included in our comparable restaurant sales base.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Average Restaurant Unit Volumes and Operating Weeks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average restaurant unit volumes and operating weeks,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20" w:type="dxa"/>
            <w:vAlign w:val="bottom"/>
            <w:tcBorders>
              <w:bottom w:val="single" w:sz="8" w:color="auto"/>
            </w:tcBorders>
          </w:tcPr>
          <w:p>
            <w:pPr>
              <w:spacing w:after="0"/>
              <w:rPr>
                <w:sz w:val="18"/>
                <w:szCs w:val="18"/>
                <w:color w:val="auto"/>
              </w:rPr>
            </w:pPr>
          </w:p>
        </w:tc>
      </w:tr>
      <w:tr>
        <w:trPr>
          <w:trHeight w:val="196"/>
        </w:trPr>
        <w:tc>
          <w:tcPr>
            <w:tcW w:w="49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restaurant unit volumes (weekly):</w:t>
            </w: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70,925</w:t>
            </w: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47,940</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51,989</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46,230</w:t>
            </w:r>
          </w:p>
        </w:tc>
        <w:tc>
          <w:tcPr>
            <w:tcW w:w="10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56,185</w:t>
            </w: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59,066</w:t>
            </w: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58,989</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71,954</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59,014</w:t>
            </w:r>
          </w:p>
        </w:tc>
        <w:tc>
          <w:tcPr>
            <w:tcW w:w="10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81,695</w:t>
            </w:r>
          </w:p>
        </w:tc>
      </w:tr>
      <w:tr>
        <w:trPr>
          <w:trHeight w:val="21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23,919</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72,791</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36,884</w:t>
            </w:r>
          </w:p>
        </w:tc>
        <w:tc>
          <w:tcPr>
            <w:tcW w:w="10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71,459</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weeks: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22,592</w:t>
            </w: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8,212</w:t>
            </w: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w:t>
            </w: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w:t>
            </w:r>
          </w:p>
        </w:tc>
      </w:tr>
      <w:tr>
        <w:trPr>
          <w:trHeight w:val="21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0"/>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right="20" w:hanging="652"/>
        <w:spacing w:after="0" w:line="252"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Translated at average exchange rates of 5.34 and 3.88 for the thirteen weeks ended September 27, 2020 and September 29, 2019, respectively, and 4.60 and 3.86 </w:t>
      </w:r>
      <w:r>
        <w:rPr>
          <w:rFonts w:ascii="Times New Roman" w:cs="Times New Roman" w:eastAsia="Times New Roman" w:hAnsi="Times New Roman"/>
          <w:sz w:val="17"/>
          <w:szCs w:val="17"/>
          <w:color w:val="auto"/>
        </w:rPr>
        <w:t xml:space="preserve">for the </w:t>
      </w:r>
      <w:r>
        <w:rPr>
          <w:rFonts w:ascii="Times New Roman" w:cs="Times New Roman" w:eastAsia="Times New Roman" w:hAnsi="Times New Roman"/>
          <w:sz w:val="16"/>
          <w:szCs w:val="16"/>
          <w:color w:val="auto"/>
        </w:rPr>
        <w:t>thirty-nine weeks ended September 27, 2020 and September 29,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Comparable Restaurant Sales, Traffic and Average Check Per Person Increases (Decreases)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is a summary of comparable restaurant sales, traffic and average check per person increases (decreases), for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4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680" w:type="dxa"/>
            <w:vAlign w:val="bottom"/>
          </w:tcPr>
          <w:p>
            <w:pPr>
              <w:spacing w:after="0"/>
              <w:rPr>
                <w:sz w:val="17"/>
                <w:szCs w:val="17"/>
                <w:color w:val="auto"/>
              </w:rPr>
            </w:pPr>
          </w:p>
        </w:tc>
        <w:tc>
          <w:tcPr>
            <w:tcW w:w="16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over year percentage change:</w:t>
            </w: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Comparable restaurant sales (stores open 18 months or more):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(1)</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Outback Steakhouse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9"/>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Bonefish Grill</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Combined U.S.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Outback Steakhouse - Brazil (2)</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59"/>
        </w:trPr>
        <w:tc>
          <w:tcPr>
            <w:tcW w:w="46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1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Traffic:</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Outback Steakhouse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Bonefish Grill (3)</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Combined U.S. (3)</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59"/>
        </w:trPr>
        <w:tc>
          <w:tcPr>
            <w:tcW w:w="46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1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Average check per person (4):</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Outback Steakhouse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9"/>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Bonefish Grill</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9"/>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Combined U.S.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Relocated restaurants closed more than 60 days are excluded from comparable restaurant sales until at least 18 months after reopening.</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effect of fluctuations in foreign currency rates. Includes trading day impact from calendar period reporting.</w:t>
      </w:r>
    </w:p>
    <w:p>
      <w:pPr>
        <w:spacing w:after="0" w:line="5" w:lineRule="exact"/>
        <w:rPr>
          <w:rFonts w:ascii="Times New Roman" w:cs="Times New Roman" w:eastAsia="Times New Roman" w:hAnsi="Times New Roman"/>
          <w:sz w:val="16"/>
          <w:szCs w:val="16"/>
          <w:color w:val="auto"/>
        </w:rPr>
      </w:pPr>
    </w:p>
    <w:p>
      <w:pPr>
        <w:jc w:val="both"/>
        <w:ind w:left="660" w:hanging="652"/>
        <w:spacing w:after="0" w:line="246"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Q2 2020, Bonefish Grill replaced guest count with entrée count to measure restaurant traffic. Bonefish Grill and Combined U.S. traffic for the thirty-nine weeks ended September 27, 2020 were calculated using the entrée count methodology for Bonefish Grill as if the new methodology was in effect at the start of the fiscal year, which would have increased traffic for Bonefish Grill and Combined U.S. for the thirteen weekend ended March 29, 2020 by 3.1% and 0.5%, respectively.</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check per person includes the impact of menu pricing changes, product mix and discounts.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Franchise and other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40" w:type="dxa"/>
            <w:vAlign w:val="bottom"/>
            <w:tcBorders>
              <w:bottom w:val="single" w:sz="8" w:color="auto"/>
            </w:tcBorders>
          </w:tcPr>
          <w:p>
            <w:pPr>
              <w:spacing w:after="0"/>
              <w:rPr>
                <w:sz w:val="18"/>
                <w:szCs w:val="18"/>
                <w:color w:val="auto"/>
              </w:rPr>
            </w:pP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 (1)</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41"/>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12" w:lineRule="exact"/>
        <w:rPr>
          <w:sz w:val="20"/>
          <w:szCs w:val="20"/>
          <w:color w:val="auto"/>
        </w:rPr>
      </w:pPr>
    </w:p>
    <w:p>
      <w:pPr>
        <w:ind w:left="660" w:hanging="652"/>
        <w:spacing w:after="0" w:line="258" w:lineRule="auto"/>
        <w:tabs>
          <w:tab w:leader="none" w:pos="6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franchise royalties, advertising fees and initial franchise fees. Franchise revenues declined during the thirteen and thirty-nine weeks ended September 27, 2020 primarily due to lower franchise sales and deferral of certain royalties and advertising fees.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COSTS AND EXPENSES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Food and beverage costs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960" w:type="dxa"/>
            <w:vAlign w:val="bottom"/>
          </w:tcPr>
          <w:p>
            <w:pPr>
              <w:spacing w:after="0"/>
              <w:rPr>
                <w:sz w:val="18"/>
                <w:szCs w:val="18"/>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230.5</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300.4</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731.0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965.2</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0"/>
        </w:trPr>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of Restaurant sales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bl>
    <w:p>
      <w:pPr>
        <w:spacing w:after="0" w:line="3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Food and beverage costs decreased as a percentage of Restaurant sales during the thirteen weeks ended September 27, 2020 as compared to the thirteen weeks ended September 29, 2019 primarily due to 0.9% from increases in average check per person and 0.8% from cost savings attributable to waste reduction initiatives.</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Food and beverage costs decreased as a percentage of Restaurant sales during the thirty-nine weeks ended September 27, 2020 as compared to the thirty-nine weeks ended September 29, 2019 primarily due to 0.4% from increases in average check per person and 0.3% from cost savings attributable to waste reduction initiatives, partially offset by an increase as a percentage of Restaurant sales of 0.3% from commodity inflation and 0.2% related to a reduction in vendor rebates.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Labor and other related expenses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960" w:type="dxa"/>
            <w:vAlign w:val="bottom"/>
          </w:tcPr>
          <w:p>
            <w:pPr>
              <w:spacing w:after="0"/>
              <w:rPr>
                <w:sz w:val="18"/>
                <w:szCs w:val="18"/>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246.9</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288.6</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761.7</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908.8</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0"/>
        </w:trPr>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of Restaurant sales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3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Labor and other related expenses increased as a percentage of Restaurant sales during the thirteen weeks ended September 27, 2020 as compared to the thirteen weeks ended September 29, 2019 primarily due to: (i) 2.6% from decreased restaurant sales, (ii) 0.6% from higher labor costs and (iii) 0.3% from employee benefits in response to COVID-19. These increases were partially offset by a decrease as a percentage of Restaurant sales of 1.8% from lower prep labor hours.</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Labor and other related expenses increased as a percentage of Restaurant sales during the thirty-nine weeks ended September 27, 2020 as compared to the thirty-nine weeks ended September 29, 2019 primarily due to: (i) 3.1% from decreased restaurant sales, (ii) 1.2% from relief pay primarily for hourly employees impacted by the closure of dining rooms due to COVID-19, offset by employee retention tax credits, and</w:t>
      </w:r>
    </w:p>
    <w:p>
      <w:pPr>
        <w:ind w:firstLine="8"/>
        <w:spacing w:after="0" w:line="246" w:lineRule="auto"/>
        <w:tabs>
          <w:tab w:leader="none" w:pos="34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0.5% from higher labor costs. These increases were partially offset by a decrease as a percentage of Restaurant sales of 1.7% from lower prep labor hours.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restaurant operating expenses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960" w:type="dxa"/>
            <w:vAlign w:val="bottom"/>
          </w:tcPr>
          <w:p>
            <w:pPr>
              <w:spacing w:after="0"/>
              <w:rPr>
                <w:sz w:val="18"/>
                <w:szCs w:val="18"/>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240.4</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732.1</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0"/>
        </w:trPr>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of Restaurant sales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bl>
    <w:p>
      <w:pPr>
        <w:spacing w:after="0" w:line="3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Other restaurant operating expenses increased as a percentage of Restaurant sales during the thirteen weeks ended September 27, 2020 as compared to the thirteen weeks ended September 29, 2019 primarily due to: (i) the impact of dining room seating capacity restrictions as a result of the COVID-19 pandemic including, 2.5% from decreased restaurant sales and 1.9% from incremental delivery related costs, (ii) 0.5% from gains on the sale of certain U.S. surplus properties in 2019 and (iii) 0.2% from menu printing costs. These increases were partially offset by a decrease as a percentage of Restaurant sales of 3.3% from reduced advertising, utilities and operating expenses.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Other restaurant operating expenses increased as a percentage of Restaurant sales during the thirty-nine weeks ended September 27, 2020 as compared to the thirty-nine weeks ended September 29, 2019 primarily due to the impact of shifting to an off-premise only operational model in March 2020 and dining room seating capacity restrictions as a result of the COVID-19 pandemic including, 3.0% from decreased restaurant sales and 1.9% from incremental delivery related costs. These increases were partially offset by a decrease as a percentage of Restaurant sales of 1.8% from reduced advertising, utilities and operating 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bl>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Depreciation and amortization expense decreased during the periods presented primarily due to impairment and the effect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8"/>
                <w:szCs w:val="18"/>
                <w:color w:val="auto"/>
              </w:rPr>
            </w:pPr>
          </w:p>
        </w:tc>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8"/>
                <w:szCs w:val="18"/>
                <w:color w:val="auto"/>
              </w:rPr>
            </w:pPr>
          </w:p>
        </w:tc>
        <w:tc>
          <w:tcPr>
            <w:tcW w:w="25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29, 2019</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Compensation, benefits and payroll tax</w:t>
            </w:r>
          </w:p>
        </w:tc>
        <w:tc>
          <w:tcPr>
            <w:tcW w:w="2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Legal and professional fees</w:t>
            </w:r>
          </w:p>
        </w:tc>
        <w:tc>
          <w:tcPr>
            <w:tcW w:w="2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exchange</w:t>
            </w:r>
          </w:p>
        </w:tc>
        <w:tc>
          <w:tcPr>
            <w:tcW w:w="2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Severance</w:t>
            </w:r>
          </w:p>
        </w:tc>
        <w:tc>
          <w:tcPr>
            <w:tcW w:w="2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Travel and entertainment (1)</w:t>
            </w:r>
          </w:p>
        </w:tc>
        <w:tc>
          <w:tcPr>
            <w:tcW w:w="2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Expected credit losses and contingent lease liabilities</w:t>
            </w:r>
          </w:p>
        </w:tc>
        <w:tc>
          <w:tcPr>
            <w:tcW w:w="240" w:type="dxa"/>
            <w:vAlign w:val="bottom"/>
          </w:tcPr>
          <w:p>
            <w:pPr>
              <w:spacing w:after="0"/>
              <w:rPr>
                <w:sz w:val="18"/>
                <w:szCs w:val="18"/>
                <w:color w:val="auto"/>
              </w:rPr>
            </w:pPr>
          </w:p>
        </w:tc>
        <w:tc>
          <w:tcPr>
            <w:tcW w:w="2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Transformational costs (2)</w:t>
            </w:r>
          </w:p>
        </w:tc>
        <w:tc>
          <w:tcPr>
            <w:tcW w:w="2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27, 2020</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57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managing partner conference costs.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consulting fees incurred in connection with our transformation initiatives.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impaired assets and restaurant closings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29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Provision for impaired assets and restaurant</w:t>
            </w:r>
          </w:p>
        </w:tc>
        <w:tc>
          <w:tcPr>
            <w:tcW w:w="340" w:type="dxa"/>
            <w:vAlign w:val="bottom"/>
            <w:tcBorders>
              <w:top w:val="single" w:sz="8" w:color="auto"/>
            </w:tcBorders>
            <w:vMerge w:val="restart"/>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closings</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thirty-nine weeks ended September 27, 2020, we recognized asset impairment and closure charges of $56.4 million and $3.6 million within the U.S. and international segments, respectively, primarily related to the COVID-19 pandemic. Included in the amount for the thirty-nine weeks ended September 27, 2020 were pre-tax asset impairments and closure costs of $20.9 million in connection with the closure of 22 restaurants and from the update of certain cash flow assumptions, including lease renewal considerations. We also recognized asset impairment charges during the thirty-nine weeks ended September 27, 2020 of $6.2 million which were not allocated to our operating segments, primarily related to transformational initiatives.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Impairment and closure charges during the thirteen and thirty-nine weeks ended September 29, 2019 resulted primarily from locations identified for remodel, relocation or closure and certain other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4 - </w:t>
      </w:r>
      <w:r>
        <w:rPr>
          <w:rFonts w:ascii="Times New Roman" w:cs="Times New Roman" w:eastAsia="Times New Roman" w:hAnsi="Times New Roman"/>
          <w:sz w:val="20"/>
          <w:szCs w:val="20"/>
          <w:i w:val="1"/>
          <w:iCs w:val="1"/>
          <w:color w:val="auto"/>
        </w:rPr>
        <w:t>Impairments, Exit Costs and Disposals</w:t>
      </w:r>
      <w:r>
        <w:rPr>
          <w:rFonts w:ascii="Times New Roman" w:cs="Times New Roman" w:eastAsia="Times New Roman" w:hAnsi="Times New Roman"/>
          <w:sz w:val="20"/>
          <w:szCs w:val="20"/>
          <w:color w:val="auto"/>
        </w:rPr>
        <w:t xml:space="preserve"> of the Notes to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income from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(315.6)</w:t>
            </w:r>
          </w:p>
        </w:tc>
      </w:tr>
      <w:tr>
        <w:trPr>
          <w:trHeight w:val="210"/>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of Total revenues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bl>
    <w:p>
      <w:pPr>
        <w:spacing w:after="0" w:line="3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Loss from operations generated during the thirteen weeks ended September 27, 2020, as compared to income from operations during the thirteen weeks ended September 29, 2019 was primarily due to: (i) significantly lower comparable restaurant sales and costs incurred in connection with the COVID-19 pandemic, including incremental delivery related costs, and (ii) certain costs in connection with our transformation initiatives. These losses were partially offset by: (i) reduced advertising, utilities and operating expenses, (ii) a reduction in prep labor hours, offset by higher labor costs, and (iii) cost savings from waste reduction initiatives.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Loss from operations generated during the thirty-nine weeks ended September 27, 2020, as compared to income from operations during the thirty-nine weeks ended September 29, 2019 was primarily due to: (i) significantly lower comparable restaurant sales and costs incurred in connection with the COVID-19 pandemic, including asset impairment charges, incremental delivery related costs and relief pay (net of tax credits), and (ii) commodity inflation. These losses were partially offset by: (i) reduced advertising, utilities and operating expenses, (ii) a reduction in prep labor hours, offset by higher labor costs, and (iii) cost savings from waste reduction initiatives.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9.7</w:t>
            </w:r>
          </w:p>
        </w:tc>
      </w:tr>
    </w:tbl>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Interest expense, net for the thirteen weeks ended September 27, 2020 as compared to the thirteen weeks ended September 29, 2019 was primarily due to interest expense from our convertible senior notes issued in May 2020, partially offset by lower outstanding revolving credit facility borrowings and lower interest rates on our unhedged variable rate debt balances.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Interest expense, net for the thirty-nine weeks ended September 27, 2020 as compared to the thirty-nine weeks ended September 29, 2019 was primarily due to interest expense from our convertible senior notes issued in May 2020 and additional draws on our revolving credit facility, partially offset by lower interest rates on our unhedged variable rate debt balances.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(Benefit) provision for income taxes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328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060" w:type="dxa"/>
            <w:vAlign w:val="bottom"/>
          </w:tcPr>
          <w:p>
            <w:pPr>
              <w:spacing w:after="0"/>
              <w:rPr>
                <w:sz w:val="18"/>
                <w:szCs w:val="18"/>
                <w:color w:val="auto"/>
              </w:rPr>
            </w:pPr>
          </w:p>
        </w:tc>
      </w:tr>
      <w:tr>
        <w:trPr>
          <w:trHeight w:val="183"/>
        </w:trPr>
        <w:tc>
          <w:tcPr>
            <w:tcW w:w="2540" w:type="dxa"/>
            <w:vAlign w:val="bottom"/>
          </w:tcPr>
          <w:p>
            <w:pPr>
              <w:spacing w:after="0"/>
              <w:rPr>
                <w:sz w:val="15"/>
                <w:szCs w:val="15"/>
                <w:color w:val="auto"/>
              </w:rPr>
            </w:pPr>
          </w:p>
        </w:tc>
        <w:tc>
          <w:tcPr>
            <w:tcW w:w="16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5"/>
                <w:szCs w:val="15"/>
                <w:color w:val="auto"/>
              </w:rPr>
            </w:pPr>
          </w:p>
        </w:tc>
        <w:tc>
          <w:tcPr>
            <w:tcW w:w="106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r>
    </w:tbl>
    <w:p>
      <w:pPr>
        <w:spacing w:after="0" w:line="3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effective income tax rate for the thirteen and thirty-nine weeks ended September 27, 2020 increased by 53.0 and 27.2 percentage points as compared to the thirteen and thirty-nine weeks ended September 29, 2019. These increases were primarily due to the benefit of the tax credits for FICA taxes on certain employees’ tips, the forecasted 2020 pre-tax book loss and changes to the estimate of the forecasted full-year effective tax rate relative to prior quarters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SEGMENT PERFORMANCE</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251"/>
        </w:trPr>
        <w:tc>
          <w:tcPr>
            <w:tcW w:w="26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00" w:type="dxa"/>
            <w:vAlign w:val="bottom"/>
            <w:tcBorders>
              <w:top w:val="single" w:sz="8" w:color="CCEEFF"/>
              <w:right w:val="single" w:sz="8" w:color="auto"/>
            </w:tcBorders>
            <w:shd w:val="clear" w:color="auto" w:fill="CCEEFF"/>
          </w:tcPr>
          <w:p>
            <w:pPr>
              <w:spacing w:after="0"/>
              <w:rPr>
                <w:sz w:val="21"/>
                <w:szCs w:val="21"/>
                <w:color w:val="auto"/>
              </w:rPr>
            </w:pPr>
          </w:p>
        </w:tc>
        <w:tc>
          <w:tcPr>
            <w:tcW w:w="456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21"/>
                <w:szCs w:val="21"/>
                <w:color w:val="auto"/>
              </w:rPr>
            </w:pPr>
          </w:p>
        </w:tc>
        <w:tc>
          <w:tcPr>
            <w:tcW w:w="3820" w:type="dxa"/>
            <w:vAlign w:val="bottom"/>
            <w:tcBorders>
              <w:top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Bonefish Grill</w:t>
            </w:r>
          </w:p>
        </w:tc>
        <w:tc>
          <w:tcPr>
            <w:tcW w:w="12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560" w:type="dxa"/>
            <w:vAlign w:val="bottom"/>
            <w:tcBorders>
              <w:right w:val="single" w:sz="8" w:color="auto"/>
            </w:tcBorders>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38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6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4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20" w:type="dxa"/>
            <w:vAlign w:val="bottom"/>
            <w:tcBorders>
              <w:right w:val="single" w:sz="8" w:color="auto"/>
            </w:tcBorders>
            <w:shd w:val="clear" w:color="auto" w:fill="CCEEFF"/>
          </w:tcPr>
          <w:p>
            <w:pPr>
              <w:spacing w:after="0"/>
              <w:rPr>
                <w:sz w:val="23"/>
                <w:szCs w:val="23"/>
                <w:color w:val="auto"/>
              </w:rPr>
            </w:pPr>
          </w:p>
        </w:tc>
        <w:tc>
          <w:tcPr>
            <w:tcW w:w="3820" w:type="dxa"/>
            <w:vAlign w:val="bottom"/>
            <w:tcBorders>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2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71"/>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0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Revenues for both segments include only transactions with customers and exclude intersegment revenues. Excluded from Income (loss) from operations for U.S. and international are certain legal and corporate costs not directly related to the performance of the segments, most stock-based compensation expenses and certain bonus expenses.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During the thirteen and thirty-nine weeks ended September 27, 2020, we recorded $4.2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20"/>
          <w:szCs w:val="20"/>
          <w:color w:val="auto"/>
        </w:rPr>
        <w:t xml:space="preserve"> $28.8 million, respectively, of pre-tax charges as a part of transformational initiatives implemented in connection with our previously announced review of strategic alternatives. These costs were primarily recorded within General and administrative expense and Provision for impaired assets and restaurant closings and were not allocated to our segments since our CODM does not consider the impact of transformational initiatives when assessing segment performance.</w:t>
      </w: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Refer to Note 21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of the Notes to Consolidated Financial Statements for a reconciliation of segment income (loss) from operations to the consolidated operating results.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Times New Roman" w:cs="Times New Roman" w:eastAsia="Times New Roman" w:hAnsi="Times New Roman"/>
          <w:sz w:val="20"/>
          <w:szCs w:val="20"/>
          <w:i w:val="1"/>
          <w:iCs w:val="1"/>
          <w:color w:val="auto"/>
        </w:rPr>
        <w:t>Overview-Key Performance Indicators</w:t>
      </w:r>
      <w:r>
        <w:rPr>
          <w:rFonts w:ascii="Times New Roman" w:cs="Times New Roman" w:eastAsia="Times New Roman" w:hAnsi="Times New Roman"/>
          <w:sz w:val="20"/>
          <w:szCs w:val="20"/>
          <w:color w:val="auto"/>
        </w:rPr>
        <w:t xml:space="preserve"> section of Management’s Discussion and Analysis for additional details regarding the calculation of restaurant-level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Segment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60" w:type="dxa"/>
            <w:vAlign w:val="bottom"/>
          </w:tcPr>
          <w:p>
            <w:pPr>
              <w:spacing w:after="0"/>
              <w:rPr>
                <w:sz w:val="18"/>
                <w:szCs w:val="18"/>
                <w:color w:val="auto"/>
              </w:rPr>
            </w:pPr>
          </w:p>
        </w:tc>
        <w:tc>
          <w:tcPr>
            <w:tcW w:w="290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3"/>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 sales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719,406</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835,753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2,141,062</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2,737,182</w:t>
            </w:r>
          </w:p>
        </w:tc>
      </w:tr>
      <w:tr>
        <w:trPr>
          <w:trHeight w:val="239"/>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39,988</w:t>
            </w:r>
          </w:p>
        </w:tc>
      </w:tr>
      <w:tr>
        <w:trPr>
          <w:trHeight w:val="197"/>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721,738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848,444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2,153,315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2,777,170</w:t>
            </w:r>
          </w:p>
        </w:tc>
      </w:tr>
      <w:tr>
        <w:trPr>
          <w:trHeight w:val="216"/>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213"/>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29,574</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50,318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(21,968)</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242,167</w:t>
            </w: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 (loss) margin</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Restaurant sales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change in U.S. segment Restaurant sales for the periods indicated:</w:t>
      </w:r>
    </w:p>
    <w:p>
      <w:pPr>
        <w:sectPr>
          <w:pgSz w:w="11900" w:h="16838" w:orient="portrait"/>
          <w:cols w:equalWidth="0" w:num="1">
            <w:col w:w="11240"/>
          </w:cols>
          <w:pgMar w:left="320" w:top="118" w:right="339" w:bottom="1440" w:gutter="0" w:footer="0" w:header="0"/>
        </w:sectPr>
      </w:pP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 the periods ended September 29, 2019</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Change from:</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Comparable restaurant sales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Restaurant closures</w:t>
      </w:r>
    </w:p>
    <w:p>
      <w:pPr>
        <w:spacing w:after="0" w:line="32" w:lineRule="exact"/>
        <w:rPr>
          <w:sz w:val="20"/>
          <w:szCs w:val="20"/>
          <w:color w:val="auto"/>
        </w:rPr>
      </w:pPr>
    </w:p>
    <w:p>
      <w:pPr>
        <w:ind w:left="340" w:right="680"/>
        <w:spacing w:after="0" w:line="316" w:lineRule="auto"/>
        <w:rPr>
          <w:sz w:val="20"/>
          <w:szCs w:val="20"/>
          <w:color w:val="auto"/>
        </w:rPr>
      </w:pPr>
      <w:r>
        <w:rPr>
          <w:rFonts w:ascii="Times New Roman" w:cs="Times New Roman" w:eastAsia="Times New Roman" w:hAnsi="Times New Roman"/>
          <w:sz w:val="16"/>
          <w:szCs w:val="16"/>
          <w:color w:val="auto"/>
        </w:rPr>
        <w:t>Divestiture of restaurants through refranchising transactions Restaurant openings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 the periods ended September 27, 2020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2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8"/>
                <w:szCs w:val="18"/>
                <w:color w:val="auto"/>
              </w:rPr>
            </w:pPr>
          </w:p>
        </w:tc>
        <w:tc>
          <w:tcPr>
            <w:tcW w:w="26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10"/>
        </w:trPr>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2,737.2</w:t>
            </w:r>
          </w:p>
        </w:tc>
      </w:tr>
      <w:tr>
        <w:trPr>
          <w:trHeight w:val="432"/>
        </w:trPr>
        <w:tc>
          <w:tcPr>
            <w:tcW w:w="2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r>
      <w:tr>
        <w:trPr>
          <w:trHeight w:val="216"/>
        </w:trPr>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6"/>
        </w:trPr>
        <w:tc>
          <w:tcPr>
            <w:tcW w:w="240" w:type="dxa"/>
            <w:vAlign w:val="bottom"/>
          </w:tcPr>
          <w:p>
            <w:pPr>
              <w:spacing w:after="0"/>
              <w:rPr>
                <w:sz w:val="18"/>
                <w:szCs w:val="18"/>
                <w:color w:val="auto"/>
              </w:rPr>
            </w:pPr>
          </w:p>
        </w:tc>
        <w:tc>
          <w:tcPr>
            <w:tcW w:w="2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29"/>
        </w:trPr>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2,141.1</w:t>
            </w:r>
          </w:p>
        </w:tc>
      </w:tr>
      <w:tr>
        <w:trPr>
          <w:trHeight w:val="23"/>
        </w:trPr>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-1019175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-736600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-462280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-179070</wp:posOffset>
            </wp:positionV>
            <wp:extent cx="713232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118" w:right="339" w:bottom="1440" w:gutter="0" w:footer="0" w:header="0"/>
          <w:type w:val="continuous"/>
        </w:sectPr>
      </w:pPr>
    </w:p>
    <w:p>
      <w:pPr>
        <w:spacing w:after="0" w:line="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decrease in U.S. Restaurant sales during the thirteen weeks ended September 27, 2020 was primarily due to significantly lower comparable restaurant sales principally attributable to the COVID-19 pandemic and the closure of 34 restaurants since June 30, 2019.</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U.S. Restaurant sales during the thirty-nine weeks ended September 27, 2020 was primarily due to: (i) significantly lower comparable restaurant sales principally attributable to the COVID-19 pandemic, (ii) the closure of 42 restaurants since December 30, 2018 and (iii) the refranchising of certain Company-owned restaurants. The decrease in U.S. Restaurant sales was partially offset by the opening of nine new restaurants not included in our comparable restaurant sales base.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(loss) from operations</w:t>
      </w:r>
    </w:p>
    <w:p>
      <w:pPr>
        <w:spacing w:after="0" w:line="2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decrease in U.S. income from operations generated during the thirteen weeks ended September 27, 2020 as compared to the thirteen weeks ended September 29, 2019, was primarily due to significantly lower comparable restaurant sales and costs incurred in connection with the COVID-19 pandemic, including incremental delivery related costs. These losses were partially offset by: (i) reduced advertising, operating and utilities expenses, (ii) a reduction in prep labor hours, offset by higher labor costs, and (iii) cost savings from waste reduction initiatives.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U.S. loss from operations generated during the thirty-nine weeks ended September 27, 2020, as compared to income from operations during the thirty-nine weeks ended September 29, 2019, was primarily due to: (i) significantly lower comparable restaurant sales and costs incurred in connection with the COVID-19 pandemic, including asset impairment charges, incremental delivery related costs and relief pay (net of tax credits) and (ii) commodity inflation. These losses were partially offset by: (i) reduced advertising, utilities and operating expenses, (ii) a reduction in prep labor hours, offset by higher labor costs, and (iii) cost savings from waste reduction initiatives.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 Segment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60" w:type="dxa"/>
            <w:vAlign w:val="bottom"/>
          </w:tcPr>
          <w:p>
            <w:pPr>
              <w:spacing w:after="0"/>
              <w:rPr>
                <w:sz w:val="18"/>
                <w:szCs w:val="18"/>
                <w:color w:val="auto"/>
              </w:rPr>
            </w:pPr>
          </w:p>
        </w:tc>
        <w:tc>
          <w:tcPr>
            <w:tcW w:w="292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7"/>
                <w:szCs w:val="17"/>
                <w:color w:val="auto"/>
              </w:rPr>
            </w:pPr>
          </w:p>
        </w:tc>
        <w:tc>
          <w:tcPr>
            <w:tcW w:w="16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 sales</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47,081</w:t>
            </w:r>
          </w:p>
        </w:tc>
        <w:tc>
          <w:tcPr>
            <w:tcW w:w="12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116,063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197,923</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331,963</w:t>
            </w:r>
          </w:p>
        </w:tc>
      </w:tr>
      <w:tr>
        <w:trPr>
          <w:trHeight w:val="239"/>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2,441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6,818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8,072</w:t>
            </w:r>
          </w:p>
        </w:tc>
      </w:tr>
      <w:tr>
        <w:trPr>
          <w:trHeight w:val="197"/>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49,522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118,700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204,741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340,035</w:t>
            </w:r>
          </w:p>
        </w:tc>
      </w:tr>
      <w:tr>
        <w:trPr>
          <w:trHeight w:val="216"/>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213"/>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(7,926)</w:t>
            </w:r>
          </w:p>
        </w:tc>
        <w:tc>
          <w:tcPr>
            <w:tcW w:w="12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(18,209)</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31,179</w:t>
            </w: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(loss) income margin</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Restaurant sales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change in international segment Restaurant sales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8"/>
                <w:szCs w:val="18"/>
                <w:color w:val="auto"/>
              </w:rPr>
            </w:pPr>
          </w:p>
        </w:tc>
        <w:tc>
          <w:tcPr>
            <w:tcW w:w="2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8"/>
                <w:szCs w:val="18"/>
                <w:color w:val="auto"/>
              </w:rPr>
            </w:pPr>
          </w:p>
        </w:tc>
        <w:tc>
          <w:tcPr>
            <w:tcW w:w="26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16"/>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29, 2019</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9"/>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2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13"/>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9"/>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Restaurant closures</w:t>
            </w:r>
          </w:p>
        </w:tc>
        <w:tc>
          <w:tcPr>
            <w:tcW w:w="2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3"/>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Restaurant openings</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4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27, 2020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international Restaurant sales during the thirteen weeks ended September 27, 2020 was primarily due to significantly lower comparable restaurant sales principally attributable to the COVID-19 pandemic and the effect of foreign currency translation of the Brazilian Real relative to the U.S. dollar.</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international Restaurant sales during the thirty-nine weeks ended September 27, 2020 was primarily due to significantly lower comparable restaurant sales principally attributable to the COVID-19 pandemic and the effect of foreign currency translation of the Brazilian Real relative to the U.S. dollar. The decrease in Restaurant sales was partially offset by the opening of 22 new restaurants not included in our comparable restaurant sales base.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income from operations</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International loss from operations generated during the thirteen weeks ended September 27, 2020, as compared to income from operations during the thirteen weeks ended September 29, 2019, was primarily due to: (i) significantly lower comparable restaurant sales and costs incurred in connection with the COVID-19 pandemic, including incremental delivery related costs, and (ii) commodity inflation. These decreases were partially offset by reduced utilities, operating and advertising expenses and lower labor costs.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International loss from operations generated during the thirty-nine weeks ended September 27, 2020, as compared to income from operations during the thirty-nine weeks ended September 29, 2019, was primarily due to: (i) significantly lower comparable restaurant sales and costs incurred in connection with the COVID-19 pandemic, including incremental delivery related costs and inventory obsolescence, and (ii) commodity inflation. These decreases were partially offset by reduced utilities, operating and advertising expenses and lower labor costs.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System-Wide Sales - </w:t>
      </w:r>
      <w:r>
        <w:rPr>
          <w:rFonts w:ascii="Times New Roman" w:cs="Times New Roman" w:eastAsia="Times New Roman" w:hAnsi="Times New Roman"/>
          <w:sz w:val="20"/>
          <w:szCs w:val="20"/>
          <w:color w:val="auto"/>
        </w:rPr>
        <w:t>System-wide sales is a non-GAAP financial measure that includes sales of all restaurants operating under our brand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of the Notes to Consolidated Financial Statements.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table provides a summary of sales of franchised restaurants,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Carrabba’s Italian Grill (1)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Outback Steakhouse-South Korea</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sales (2)</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49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2019, we sold 18 Carrabba’s Italian Grill locations, which are now operated as franchises.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Franchise sales are not included in Total revenues in the Consolidated Statements of Operations and Comprehensive (Loss) Income.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Adjusted restaurant-level operating margin - </w:t>
      </w:r>
      <w:r>
        <w:rPr>
          <w:rFonts w:ascii="Times New Roman" w:cs="Times New Roman" w:eastAsia="Times New Roman" w:hAnsi="Times New Roman"/>
          <w:sz w:val="20"/>
          <w:szCs w:val="20"/>
          <w:color w:val="auto"/>
        </w:rPr>
        <w:t>The following tables show the percentages of certain operating cost financial statement line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items in relation to Restaurant sales: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40" w:type="dxa"/>
            <w:vAlign w:val="bottom"/>
            <w:tcBorders>
              <w:bottom w:val="single" w:sz="8" w:color="auto"/>
            </w:tcBorders>
          </w:tcPr>
          <w:p>
            <w:pPr>
              <w:spacing w:after="0"/>
              <w:rPr>
                <w:sz w:val="18"/>
                <w:szCs w:val="18"/>
                <w:color w:val="auto"/>
              </w:rPr>
            </w:pPr>
          </w:p>
        </w:tc>
      </w:tr>
      <w:tr>
        <w:trPr>
          <w:trHeight w:val="196"/>
        </w:trPr>
        <w:tc>
          <w:tcPr>
            <w:tcW w:w="4500" w:type="dxa"/>
            <w:vAlign w:val="bottom"/>
          </w:tcPr>
          <w:p>
            <w:pPr>
              <w:spacing w:after="0"/>
              <w:rPr>
                <w:sz w:val="17"/>
                <w:szCs w:val="17"/>
                <w:color w:val="auto"/>
              </w:rPr>
            </w:pPr>
          </w:p>
        </w:tc>
        <w:tc>
          <w:tcPr>
            <w:tcW w:w="340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3340" w:type="dxa"/>
            <w:vAlign w:val="bottom"/>
            <w:gridSpan w:val="3"/>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196"/>
        </w:trPr>
        <w:tc>
          <w:tcPr>
            <w:tcW w:w="4500" w:type="dxa"/>
            <w:vAlign w:val="bottom"/>
          </w:tcPr>
          <w:p>
            <w:pPr>
              <w:spacing w:after="0"/>
              <w:rPr>
                <w:sz w:val="17"/>
                <w:szCs w:val="17"/>
                <w:color w:val="auto"/>
              </w:rPr>
            </w:pPr>
          </w:p>
        </w:tc>
        <w:tc>
          <w:tcPr>
            <w:tcW w:w="17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60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0" w:type="dxa"/>
            <w:vAlign w:val="bottom"/>
          </w:tcPr>
          <w:p>
            <w:pPr>
              <w:spacing w:after="0"/>
              <w:rPr>
                <w:sz w:val="17"/>
                <w:szCs w:val="17"/>
                <w:color w:val="auto"/>
              </w:rPr>
            </w:pPr>
          </w:p>
        </w:tc>
        <w:tc>
          <w:tcPr>
            <w:tcW w:w="17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6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ADJUSTED (1)</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6"/>
        </w:trPr>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30.3 %</w:t>
            </w: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25.6 %</w:t>
            </w:r>
          </w:p>
        </w:tc>
      </w:tr>
      <w:tr>
        <w:trPr>
          <w:trHeight w:val="216"/>
        </w:trPr>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412"/>
        </w:trPr>
        <w:tc>
          <w:tcPr>
            <w:tcW w:w="45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640" w:type="dxa"/>
            <w:vAlign w:val="bottom"/>
            <w:tcBorders>
              <w:bottom w:val="single" w:sz="8" w:color="auto"/>
            </w:tcBorders>
          </w:tcPr>
          <w:p>
            <w:pPr>
              <w:spacing w:after="0"/>
              <w:rPr>
                <w:sz w:val="24"/>
                <w:szCs w:val="24"/>
                <w:color w:val="auto"/>
              </w:rPr>
            </w:pPr>
          </w:p>
        </w:tc>
      </w:tr>
      <w:tr>
        <w:trPr>
          <w:trHeight w:val="196"/>
        </w:trPr>
        <w:tc>
          <w:tcPr>
            <w:tcW w:w="4500" w:type="dxa"/>
            <w:vAlign w:val="bottom"/>
          </w:tcPr>
          <w:p>
            <w:pPr>
              <w:spacing w:after="0"/>
              <w:rPr>
                <w:sz w:val="17"/>
                <w:szCs w:val="17"/>
                <w:color w:val="auto"/>
              </w:rPr>
            </w:pPr>
          </w:p>
        </w:tc>
        <w:tc>
          <w:tcPr>
            <w:tcW w:w="340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3340" w:type="dxa"/>
            <w:vAlign w:val="bottom"/>
            <w:gridSpan w:val="3"/>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196"/>
        </w:trPr>
        <w:tc>
          <w:tcPr>
            <w:tcW w:w="4500" w:type="dxa"/>
            <w:vAlign w:val="bottom"/>
          </w:tcPr>
          <w:p>
            <w:pPr>
              <w:spacing w:after="0"/>
              <w:rPr>
                <w:sz w:val="17"/>
                <w:szCs w:val="17"/>
                <w:color w:val="auto"/>
              </w:rPr>
            </w:pPr>
          </w:p>
        </w:tc>
        <w:tc>
          <w:tcPr>
            <w:tcW w:w="17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6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ADJUSTED (1)</w:t>
            </w:r>
          </w:p>
        </w:tc>
        <w:tc>
          <w:tcPr>
            <w:tcW w:w="100" w:type="dxa"/>
            <w:vAlign w:val="bottom"/>
          </w:tcPr>
          <w:p>
            <w:pPr>
              <w:spacing w:after="0"/>
              <w:rPr>
                <w:sz w:val="17"/>
                <w:szCs w:val="17"/>
                <w:color w:val="auto"/>
              </w:rPr>
            </w:pPr>
          </w:p>
        </w:tc>
        <w:tc>
          <w:tcPr>
            <w:tcW w:w="17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6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ADJUSTED (1)</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57"/>
        </w:trPr>
        <w:tc>
          <w:tcPr>
            <w:tcW w:w="4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31.4 %</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29.6 %</w:t>
            </w: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r>
      <w:tr>
        <w:trPr>
          <w:trHeight w:val="256"/>
        </w:trPr>
        <w:tc>
          <w:tcPr>
            <w:tcW w:w="4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74"/>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r>
    </w:tbl>
    <w:p>
      <w:pPr>
        <w:jc w:val="both"/>
        <w:ind w:left="660" w:hanging="652"/>
        <w:spacing w:after="0" w:line="251"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unfavorable (favorable) adjustments recorded in Other restaurant operating expense (unless otherwise noted below) for the following activities, as described in the </w:t>
      </w:r>
      <w:r>
        <w:rPr>
          <w:rFonts w:ascii="Times New Roman" w:cs="Times New Roman" w:eastAsia="Times New Roman" w:hAnsi="Times New Roman"/>
          <w:sz w:val="16"/>
          <w:szCs w:val="16"/>
          <w:i w:val="1"/>
          <w:iCs w:val="1"/>
          <w:color w:val="auto"/>
        </w:rPr>
        <w:t>Adjusted (loss) income from operations, Adjusted net (loss) income and Adjusted diluted (loss) earnings per share</w:t>
      </w:r>
      <w:r>
        <w:rPr>
          <w:rFonts w:ascii="Times New Roman" w:cs="Times New Roman" w:eastAsia="Times New Roman" w:hAnsi="Times New Roman"/>
          <w:sz w:val="16"/>
          <w:szCs w:val="16"/>
          <w:color w:val="auto"/>
        </w:rPr>
        <w:t xml:space="preserve"> table below for the periods indicated:</w:t>
      </w:r>
    </w:p>
    <w:p>
      <w:pPr>
        <w:spacing w:after="0" w:line="87" w:lineRule="exact"/>
        <w:rPr>
          <w:sz w:val="20"/>
          <w:szCs w:val="20"/>
          <w:color w:val="auto"/>
        </w:rPr>
      </w:pPr>
    </w:p>
    <w:tbl>
      <w:tblPr>
        <w:tblLayout w:type="fixed"/>
        <w:tblInd w:w="670" w:type="dxa"/>
        <w:tblCellMar>
          <w:top w:w="0" w:type="dxa"/>
          <w:left w:w="0" w:type="dxa"/>
          <w:bottom w:w="0" w:type="dxa"/>
          <w:right w:w="0" w:type="dxa"/>
        </w:tblCellMar>
      </w:tblPr>
      <w:tr>
        <w:trPr>
          <w:trHeight w:val="210"/>
        </w:trPr>
        <w:tc>
          <w:tcPr>
            <w:tcW w:w="4540" w:type="dxa"/>
            <w:vAlign w:val="bottom"/>
            <w:tcBorders>
              <w:top w:val="single" w:sz="8" w:color="auto"/>
              <w:lef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right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9"/>
        </w:trPr>
        <w:tc>
          <w:tcPr>
            <w:tcW w:w="45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320" w:type="dxa"/>
            <w:vAlign w:val="bottom"/>
            <w:tcBorders>
              <w:right w:val="single" w:sz="8" w:color="auto"/>
            </w:tcBorders>
          </w:tcPr>
          <w:p>
            <w:pPr>
              <w:jc w:val="right"/>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6"/>
        </w:trPr>
        <w:tc>
          <w:tcPr>
            <w:tcW w:w="4540" w:type="dxa"/>
            <w:vAlign w:val="bottom"/>
            <w:tcBorders>
              <w:left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40" w:type="dxa"/>
            <w:vAlign w:val="bottom"/>
          </w:tcPr>
          <w:p>
            <w:pPr>
              <w:spacing w:after="0"/>
              <w:rPr>
                <w:sz w:val="17"/>
                <w:szCs w:val="17"/>
                <w:color w:val="auto"/>
              </w:rPr>
            </w:pPr>
          </w:p>
        </w:tc>
        <w:tc>
          <w:tcPr>
            <w:tcW w:w="13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right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and asset impairments and closing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center"/>
              <w:ind w:left="883"/>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45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Restaurant relocations and related costs</w:t>
            </w:r>
          </w:p>
        </w:tc>
        <w:tc>
          <w:tcPr>
            <w:tcW w:w="1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left="86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6"/>
        </w:trPr>
        <w:tc>
          <w:tcPr>
            <w:tcW w:w="45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COVID-19 related costs (1)</w:t>
            </w:r>
          </w:p>
        </w:tc>
        <w:tc>
          <w:tcPr>
            <w:tcW w:w="14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63"/>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Borders>
              <w:top w:val="single" w:sz="8" w:color="CCEEFF"/>
              <w:left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center"/>
              <w:ind w:left="863"/>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45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$7.3 million of adjustments recorded in Food and beverage costs.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Restaurant-level operating margin </w:t>
      </w:r>
      <w:r>
        <w:rPr>
          <w:rFonts w:ascii="Times New Roman" w:cs="Times New Roman" w:eastAsia="Times New Roman" w:hAnsi="Times New Roman"/>
          <w:sz w:val="20"/>
          <w:szCs w:val="20"/>
          <w:color w:val="auto"/>
        </w:rPr>
        <w:t>- The following tables reconcile consolidated and segment (Loss) income from operations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corresponding margins to Restaurant-level operating income and the corresponding margins for the periods indicated: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400" w:type="dxa"/>
            <w:vAlign w:val="bottom"/>
          </w:tcPr>
          <w:p>
            <w:pPr>
              <w:spacing w:after="0"/>
              <w:rPr>
                <w:sz w:val="20"/>
                <w:szCs w:val="20"/>
                <w:color w:val="auto"/>
              </w:rPr>
            </w:pPr>
          </w:p>
        </w:tc>
        <w:tc>
          <w:tcPr>
            <w:tcW w:w="29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Pr>
          <w:p>
            <w:pPr>
              <w:spacing w:after="0"/>
              <w:rPr>
                <w:sz w:val="20"/>
                <w:szCs w:val="20"/>
                <w:color w:val="auto"/>
              </w:rPr>
            </w:pPr>
          </w:p>
        </w:tc>
        <w:tc>
          <w:tcPr>
            <w:tcW w:w="288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5"/>
                <w:szCs w:val="15"/>
                <w:color w:val="auto"/>
              </w:rPr>
            </w:pPr>
          </w:p>
        </w:tc>
        <w:tc>
          <w:tcPr>
            <w:tcW w:w="16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40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(14,255)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21,958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(167,735)</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147,912</w:t>
            </w:r>
          </w:p>
        </w:tc>
      </w:tr>
      <w:tr>
        <w:trPr>
          <w:trHeight w:val="214"/>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Operating (loss) income margin</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0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4,773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19,071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48,060</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43,417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47,926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137,469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147,196</w:t>
            </w: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57,443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66,570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197,732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209,114</w:t>
            </w:r>
          </w:p>
        </w:tc>
      </w:tr>
      <w:tr>
        <w:trPr>
          <w:trHeight w:val="223"/>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66,223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6,917</w:t>
            </w: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81,778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122,517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214,618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463,079</w:t>
            </w:r>
          </w:p>
        </w:tc>
      </w:tr>
      <w:tr>
        <w:trPr>
          <w:trHeight w:val="19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r>
      <w:tr>
        <w:trPr>
          <w:trHeight w:val="48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w:t>
            </w:r>
          </w:p>
        </w:tc>
        <w:tc>
          <w:tcPr>
            <w:tcW w:w="400" w:type="dxa"/>
            <w:vAlign w:val="bottom"/>
          </w:tcPr>
          <w:p>
            <w:pPr>
              <w:spacing w:after="0"/>
              <w:rPr>
                <w:sz w:val="24"/>
                <w:szCs w:val="24"/>
                <w:color w:val="auto"/>
              </w:rPr>
            </w:pPr>
          </w:p>
        </w:tc>
        <w:tc>
          <w:tcPr>
            <w:tcW w:w="29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Pr>
          <w:p>
            <w:pPr>
              <w:spacing w:after="0"/>
              <w:rPr>
                <w:sz w:val="24"/>
                <w:szCs w:val="24"/>
                <w:color w:val="auto"/>
              </w:rPr>
            </w:pPr>
          </w:p>
        </w:tc>
        <w:tc>
          <w:tcPr>
            <w:tcW w:w="288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5"/>
                <w:szCs w:val="15"/>
                <w:color w:val="auto"/>
              </w:rPr>
            </w:pPr>
          </w:p>
        </w:tc>
        <w:tc>
          <w:tcPr>
            <w:tcW w:w="16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40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29,574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50,318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(21,968)</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242,167</w:t>
            </w:r>
          </w:p>
        </w:tc>
      </w:tr>
      <w:tr>
        <w:trPr>
          <w:trHeight w:val="214"/>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Operating income (loss) margin</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1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0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12,253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39,988</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35,057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36,670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110,005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114,372</w:t>
            </w: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19,732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68,955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77,078</w:t>
            </w:r>
          </w:p>
        </w:tc>
      </w:tr>
      <w:tr>
        <w:trPr>
          <w:trHeight w:val="223"/>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56,389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3,503</w:t>
            </w: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81,945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201,128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397,132</w:t>
            </w:r>
          </w:p>
        </w:tc>
      </w:tr>
      <w:tr>
        <w:trPr>
          <w:trHeight w:val="19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48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tc>
        <w:tc>
          <w:tcPr>
            <w:tcW w:w="400" w:type="dxa"/>
            <w:vAlign w:val="bottom"/>
          </w:tcPr>
          <w:p>
            <w:pPr>
              <w:spacing w:after="0"/>
              <w:rPr>
                <w:sz w:val="24"/>
                <w:szCs w:val="24"/>
                <w:color w:val="auto"/>
              </w:rPr>
            </w:pPr>
          </w:p>
        </w:tc>
        <w:tc>
          <w:tcPr>
            <w:tcW w:w="29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Pr>
          <w:p>
            <w:pPr>
              <w:spacing w:after="0"/>
              <w:rPr>
                <w:sz w:val="24"/>
                <w:szCs w:val="24"/>
                <w:color w:val="auto"/>
              </w:rPr>
            </w:pPr>
          </w:p>
        </w:tc>
        <w:tc>
          <w:tcPr>
            <w:tcW w:w="288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5"/>
                <w:szCs w:val="15"/>
                <w:color w:val="auto"/>
              </w:rPr>
            </w:pPr>
          </w:p>
        </w:tc>
        <w:tc>
          <w:tcPr>
            <w:tcW w:w="16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40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10,550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(18,209)</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31,179</w:t>
            </w:r>
          </w:p>
        </w:tc>
      </w:tr>
      <w:tr>
        <w:trPr>
          <w:trHeight w:val="214"/>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Operating (loss) income margin</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1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0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8,072</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5,672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18,314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20,406</w:t>
            </w: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20,311</w:t>
            </w:r>
          </w:p>
        </w:tc>
      </w:tr>
      <w:tr>
        <w:trPr>
          <w:trHeight w:val="22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1,840</w:t>
            </w:r>
          </w:p>
        </w:tc>
      </w:tr>
      <w:tr>
        <w:trPr>
          <w:trHeight w:val="23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(loss) income</w:t>
            </w:r>
          </w:p>
        </w:tc>
        <w:tc>
          <w:tcPr>
            <w:tcW w:w="40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65,664</w:t>
            </w:r>
          </w:p>
        </w:tc>
      </w:tr>
      <w:tr>
        <w:trPr>
          <w:trHeight w:val="19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(loss) income from operations, Adjusted net (loss) income and Adjusted diluted (loss) earnings per share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20" w:type="dxa"/>
            <w:vAlign w:val="bottom"/>
          </w:tcPr>
          <w:p>
            <w:pPr>
              <w:spacing w:after="0"/>
              <w:rPr>
                <w:sz w:val="17"/>
                <w:szCs w:val="17"/>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40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(14,255)</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21,958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(167,735)</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147,912</w:t>
            </w:r>
          </w:p>
        </w:tc>
        <w:tc>
          <w:tcPr>
            <w:tcW w:w="0" w:type="dxa"/>
            <w:vAlign w:val="bottom"/>
          </w:tcPr>
          <w:p>
            <w:pPr>
              <w:spacing w:after="0"/>
              <w:rPr>
                <w:sz w:val="1"/>
                <w:szCs w:val="1"/>
                <w:color w:val="auto"/>
              </w:rPr>
            </w:pPr>
          </w:p>
        </w:tc>
      </w:tr>
      <w:tr>
        <w:trPr>
          <w:trHeight w:val="214"/>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Operating (loss) income margin</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Severance and other transformational costs (1)</w:t>
            </w:r>
          </w:p>
        </w:tc>
        <w:tc>
          <w:tcPr>
            <w:tcW w:w="4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28,847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5,511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COVID-19 related costs (2)</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79,218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 relocations and related costs (3)</w:t>
            </w:r>
          </w:p>
        </w:tc>
        <w:tc>
          <w:tcPr>
            <w:tcW w:w="4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Legal and contingent matters</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815</w:t>
            </w:r>
          </w:p>
        </w:tc>
        <w:tc>
          <w:tcPr>
            <w:tcW w:w="0" w:type="dxa"/>
            <w:vAlign w:val="bottom"/>
          </w:tcPr>
          <w:p>
            <w:pPr>
              <w:spacing w:after="0"/>
              <w:rPr>
                <w:sz w:val="1"/>
                <w:szCs w:val="1"/>
                <w:color w:val="auto"/>
              </w:rPr>
            </w:pPr>
          </w:p>
        </w:tc>
      </w:tr>
      <w:tr>
        <w:trPr>
          <w:trHeight w:val="22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 and asset impairments and closing costs (4)</w:t>
            </w:r>
          </w:p>
        </w:tc>
        <w:tc>
          <w:tcPr>
            <w:tcW w:w="4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9"/>
                <w:szCs w:val="19"/>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(loss) income from operations adjustments</w:t>
            </w: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106,038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9,885</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(loss) income from operations</w:t>
            </w: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(10,055)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22,086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(61,697)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157,797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Adjusted operating (loss) income margin</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common stockholders</w:t>
            </w: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(17,637)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(148,000)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102,569</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income from operations adjustments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106,038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9,885</w:t>
            </w:r>
          </w:p>
        </w:tc>
        <w:tc>
          <w:tcPr>
            <w:tcW w:w="0" w:type="dxa"/>
            <w:vAlign w:val="bottom"/>
          </w:tcPr>
          <w:p>
            <w:pPr>
              <w:spacing w:after="0"/>
              <w:rPr>
                <w:sz w:val="1"/>
                <w:szCs w:val="1"/>
                <w:color w:val="auto"/>
              </w:rPr>
            </w:pPr>
          </w:p>
        </w:tc>
      </w:tr>
      <w:tr>
        <w:trPr>
          <w:trHeight w:val="209"/>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debt discount (5)</w:t>
            </w:r>
          </w:p>
        </w:tc>
        <w:tc>
          <w:tcPr>
            <w:tcW w:w="4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6,607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109,824</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9,885</w:t>
            </w:r>
          </w:p>
        </w:tc>
        <w:tc>
          <w:tcPr>
            <w:tcW w:w="0" w:type="dxa"/>
            <w:vAlign w:val="bottom"/>
          </w:tcPr>
          <w:p>
            <w:pPr>
              <w:spacing w:after="0"/>
              <w:rPr>
                <w:sz w:val="1"/>
                <w:szCs w:val="1"/>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 to provision for income taxes (6)</w:t>
            </w:r>
          </w:p>
        </w:tc>
        <w:tc>
          <w:tcPr>
            <w:tcW w:w="4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(28,029)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Redemption of preferred stock in excess of carrying value (7)</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adjustments</w:t>
            </w: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7,047</w:t>
            </w:r>
          </w:p>
        </w:tc>
        <w:tc>
          <w:tcPr>
            <w:tcW w:w="100" w:type="dxa"/>
            <w:vAlign w:val="bottom"/>
            <w:tcBorders>
              <w:top w:val="single" w:sz="8" w:color="CCEEFF"/>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85,291</w:t>
            </w:r>
          </w:p>
        </w:tc>
        <w:tc>
          <w:tcPr>
            <w:tcW w:w="120" w:type="dxa"/>
            <w:vAlign w:val="bottom"/>
            <w:tcBorders>
              <w:top w:val="single" w:sz="8" w:color="CCEEFF"/>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8,182</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(loss) income</w:t>
            </w: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(10,590)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(62,709)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110,751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Diluted (loss) earnings per share attributable to common stockholders</w:t>
            </w:r>
          </w:p>
        </w:tc>
        <w:tc>
          <w:tcPr>
            <w:tcW w:w="400" w:type="dxa"/>
            <w:vAlign w:val="bottom"/>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(loss) earnings per share (8)</w:t>
            </w: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 (8)</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87,558</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87,305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87,394</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90,306</w:t>
            </w: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70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and other costs incurred as a result of transformational and restructuring activities.</w:t>
      </w:r>
    </w:p>
    <w:p>
      <w:pPr>
        <w:spacing w:after="0" w:line="5" w:lineRule="exact"/>
        <w:rPr>
          <w:rFonts w:ascii="Times New Roman" w:cs="Times New Roman" w:eastAsia="Times New Roman" w:hAnsi="Times New Roman"/>
          <w:sz w:val="16"/>
          <w:szCs w:val="16"/>
          <w:color w:val="auto"/>
        </w:rPr>
      </w:pPr>
    </w:p>
    <w:p>
      <w:pPr>
        <w:jc w:val="both"/>
        <w:ind w:left="660" w:hanging="652"/>
        <w:spacing w:after="0" w:line="246"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Costs incurred in connection with the economic impact of the COVID-19 pandemic, primarily consisting of fixed asset and right-of-use asset impairments, restructuring charges, inventory obsolescence and spoilage, contingent lease liabilities and current expected credit losses. See Note 2 - </w:t>
      </w:r>
      <w:r>
        <w:rPr>
          <w:rFonts w:ascii="Times New Roman" w:cs="Times New Roman" w:eastAsia="Times New Roman" w:hAnsi="Times New Roman"/>
          <w:sz w:val="16"/>
          <w:szCs w:val="16"/>
          <w:i w:val="1"/>
          <w:iCs w:val="1"/>
          <w:color w:val="auto"/>
        </w:rPr>
        <w:t>COVID-19 Charges</w:t>
      </w:r>
      <w:r>
        <w:rPr>
          <w:rFonts w:ascii="Times New Roman" w:cs="Times New Roman" w:eastAsia="Times New Roman" w:hAnsi="Times New Roman"/>
          <w:sz w:val="16"/>
          <w:szCs w:val="16"/>
          <w:color w:val="auto"/>
        </w:rPr>
        <w:t xml:space="preserve"> of the Notes to Consolidated Financial Statements for additional details regarding the impact of certain COVID-19 pandemic related charges on our financial results.</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impairment charges and accelerated depreciation incurred in connection with our relocation program.</w:t>
      </w:r>
    </w:p>
    <w:p>
      <w:pPr>
        <w:spacing w:after="0" w:line="5" w:lineRule="exact"/>
        <w:rPr>
          <w:rFonts w:ascii="Times New Roman" w:cs="Times New Roman" w:eastAsia="Times New Roman" w:hAnsi="Times New Roman"/>
          <w:sz w:val="16"/>
          <w:szCs w:val="16"/>
          <w:color w:val="auto"/>
        </w:rPr>
      </w:pPr>
    </w:p>
    <w:p>
      <w:pPr>
        <w:jc w:val="both"/>
        <w:ind w:left="660" w:right="20" w:hanging="652"/>
        <w:spacing w:after="0" w:line="246"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lease termination gain of $2.8 million during the thirty-nine weeks ended September 27, 2020 and asset impairment charges and related costs primarily related to approved closure and restructuring initiatives during 2019. Amount also includes gains on the sale of certain surplus properties of $3.8 million during 2019.</w:t>
      </w:r>
    </w:p>
    <w:p>
      <w:pPr>
        <w:spacing w:after="0" w:line="1"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Amortization of the debt discount related to the issuance of the 2025 Notes. See Note 12 - </w:t>
      </w:r>
      <w:r>
        <w:rPr>
          <w:rFonts w:ascii="Times New Roman" w:cs="Times New Roman" w:eastAsia="Times New Roman" w:hAnsi="Times New Roman"/>
          <w:sz w:val="16"/>
          <w:szCs w:val="16"/>
          <w:i w:val="1"/>
          <w:iCs w:val="1"/>
          <w:color w:val="auto"/>
        </w:rPr>
        <w:t>Convertible Senior Notes</w:t>
      </w:r>
      <w:r>
        <w:rPr>
          <w:rFonts w:ascii="Times New Roman" w:cs="Times New Roman" w:eastAsia="Times New Roman" w:hAnsi="Times New Roman"/>
          <w:sz w:val="16"/>
          <w:szCs w:val="16"/>
          <w:color w:val="auto"/>
        </w:rPr>
        <w:t xml:space="preserve"> of the Notes to Consolidated Financial Statements for details.</w:t>
      </w:r>
    </w:p>
    <w:p>
      <w:pPr>
        <w:ind w:left="660" w:hanging="652"/>
        <w:spacing w:after="0"/>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effect of the adjustments for the periods presented.</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Consideration paid in excess of the carrying value for the redemption of preferred stock of our Abbraccio subsidiary.</w:t>
      </w:r>
    </w:p>
    <w:p>
      <w:pPr>
        <w:spacing w:after="0" w:line="5" w:lineRule="exact"/>
        <w:rPr>
          <w:rFonts w:ascii="Times New Roman" w:cs="Times New Roman" w:eastAsia="Times New Roman" w:hAnsi="Times New Roman"/>
          <w:sz w:val="16"/>
          <w:szCs w:val="16"/>
          <w:color w:val="auto"/>
        </w:rPr>
      </w:pPr>
    </w:p>
    <w:p>
      <w:pPr>
        <w:ind w:left="660" w:right="20" w:hanging="652"/>
        <w:spacing w:after="0" w:line="257"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net loss, the effect of dilutive securities was excluded from the calculation of diluted and adjusted diluted loss per share for the thirteen and thirty-nine weeks ended September 27, 2020.</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LIQUIDITY</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Typically, cash flows generated from operating activities and availability under our revolving credit facility are our principal sources of liquidity, which we use for operating expenses, payments on our debt, remodeling or relocating older restaurants, obligations related to our deferred compensation plans and investment in technology. During 2020, the temporary closure of our dining rooms and the limitations on seating capacity due to the COVID-19 pandemic has resulted in significantly reduced traffic in our restaurants which has negatively impacted our operating cashflows.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response to the COVID-19 pandemic, we have tightly managed expenses while prioritizing support of our workforce, off-premises business and the safe reopening of our restaurant dining rooms. In addition, we have taken several precautionary measures to preserve liquidity, including the following:</w:t>
      </w:r>
    </w:p>
    <w:p>
      <w:pPr>
        <w:spacing w:after="0" w:line="201"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suspended our quarterly cash dividend and stock repurchases;</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significantly reduced marketing and tightly managed other expenses;</w:t>
      </w:r>
    </w:p>
    <w:p>
      <w:pPr>
        <w:ind w:left="660" w:hanging="328"/>
        <w:spacing w:after="0" w:line="239"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substantially limited capital expenditures to facility maintenance in support of our off-premises business and safe reopening of our restaurant dining rooms; and</w:t>
      </w:r>
    </w:p>
    <w:p>
      <w:pPr>
        <w:ind w:left="640" w:hanging="308"/>
        <w:spacing w:after="0"/>
        <w:tabs>
          <w:tab w:leader="none" w:pos="6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engaged in constructive dialogue with our landlords regarding rent abatements and deferrals.</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above actions are in addition to the significant cost cutting measures for fiscal 2020 that we announced and implemented earlier in the year.</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on March 16, 2020, in order to increase our cash position and preserve financial flexibility, we drew down substantially all remaining availability under our revolving credit facility.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May 2020, we issued $230.0 million aggregate principal amount of 5.00% convertible senior notes due 2025. Net proceeds from the 2025 Notes were approximately $221.6 million, after deducting the initial purchaser’s discounts and commissions and our offering expenses. See “</w:t>
      </w:r>
      <w:r>
        <w:rPr>
          <w:rFonts w:ascii="Times New Roman" w:cs="Times New Roman" w:eastAsia="Times New Roman" w:hAnsi="Times New Roman"/>
          <w:sz w:val="20"/>
          <w:szCs w:val="20"/>
          <w:i w:val="1"/>
          <w:iCs w:val="1"/>
          <w:color w:val="auto"/>
        </w:rPr>
        <w:t>2025 Notes”</w:t>
      </w:r>
      <w:r>
        <w:rPr>
          <w:rFonts w:ascii="Times New Roman" w:cs="Times New Roman" w:eastAsia="Times New Roman" w:hAnsi="Times New Roman"/>
          <w:sz w:val="20"/>
          <w:szCs w:val="20"/>
          <w:color w:val="auto"/>
        </w:rPr>
        <w:t xml:space="preserve"> below for additional details regarding the convertible senior notes.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June and August 2020, we repaid $360.0 million and $60.0 million, respectively, on our revolving credit facility with cash on hand, a portion of which was proceeds from the 2025 Notes. Subsequent to September 27, 2020, we repaid $23.0 million on our revolving credit facility.</w:t>
      </w:r>
    </w:p>
    <w:p>
      <w:pPr>
        <w:spacing w:after="0" w:line="1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As of September 27, 2020, we had $160.0 million in cash and cash equivalents, of which $26.7 million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held by foreign affiliates. The international jurisdictions in which we have significant cash do not have any known restrictions that would prohibit repatriation.</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September 27, 2020, we had aggregate accumulated foreign earnings of approximately $40.0 million. This amount consisted primarily of historical earnings from 2017 and prior that were previously taxed in the U.S. under the 2017 Tax Cuts and Jobs Act and post-2017 foreign earnings, which we may repatriate to the U.S. without additional U.S. federal income tax. These amounts are no longer considered indefinitely reinvested in our foreign subsidiaries.</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Closure and Restructuring Initiatives </w:t>
      </w:r>
      <w:r>
        <w:rPr>
          <w:rFonts w:ascii="Times New Roman" w:cs="Times New Roman" w:eastAsia="Times New Roman" w:hAnsi="Times New Roman"/>
          <w:sz w:val="20"/>
          <w:szCs w:val="20"/>
          <w:color w:val="auto"/>
        </w:rPr>
        <w:t>- Total aggregate future undiscounted cash expenditures of $11.0 million to $13.5 million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lease liabilities for certain closure and restructuring initiatives are expected to occur over the remaining lease terms through January 2029.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Capital Expenditures </w:t>
      </w:r>
      <w:r>
        <w:rPr>
          <w:rFonts w:ascii="Times New Roman" w:cs="Times New Roman" w:eastAsia="Times New Roman" w:hAnsi="Times New Roman"/>
          <w:sz w:val="20"/>
          <w:szCs w:val="20"/>
          <w:color w:val="auto"/>
        </w:rPr>
        <w:t>- We estimate that our capital expenditures will total approximately $100.0 million to $110.0 million in 2020.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of actual capital expenditures may be affected by general economic, financial, competitive, legislative and regulatory factors, among other things, including restrictions imposed by our borrowing arrangements. Under the Amended Credit Agreement, we are limited to $100.0 million of aggregate capital expenditures for the four fiscal quarters through March 28, 2021.</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Credit Facilities </w:t>
      </w:r>
      <w:r>
        <w:rPr>
          <w:rFonts w:ascii="Times New Roman" w:cs="Times New Roman" w:eastAsia="Times New Roman" w:hAnsi="Times New Roman"/>
          <w:sz w:val="20"/>
          <w:szCs w:val="20"/>
          <w:color w:val="auto"/>
        </w:rPr>
        <w:t>- As of September 27, 2020, we had $1.2 billion of outstanding borrowings under our Senior Secured Credit Facility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Notes. Following is a summary of our outstanding credit facilities as of the dates indicated and principal payments and debt issuance during the period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SENIOR SECURED CREDIT FACILITY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4"/>
                <w:szCs w:val="1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TERM LOAN A</w:t>
            </w:r>
          </w:p>
        </w:tc>
        <w:tc>
          <w:tcPr>
            <w:tcW w:w="19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REVOLVING FACILITY</w:t>
            </w:r>
          </w:p>
        </w:tc>
        <w:tc>
          <w:tcPr>
            <w:tcW w:w="240" w:type="dxa"/>
            <w:vAlign w:val="bottom"/>
          </w:tcPr>
          <w:p>
            <w:pPr>
              <w:spacing w:after="0"/>
              <w:rPr>
                <w:sz w:val="14"/>
                <w:szCs w:val="14"/>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CREDIT</w:t>
            </w: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2019</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w w:val="99"/>
              </w:rPr>
              <w:t>599,000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1,049,000</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 new debt</w:t>
            </w:r>
          </w:p>
        </w:tc>
        <w:tc>
          <w:tcPr>
            <w:tcW w:w="2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2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505,000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735,000</w:t>
            </w:r>
          </w:p>
        </w:tc>
        <w:tc>
          <w:tcPr>
            <w:tcW w:w="0" w:type="dxa"/>
            <w:vAlign w:val="bottom"/>
          </w:tcPr>
          <w:p>
            <w:pPr>
              <w:spacing w:after="0"/>
              <w:rPr>
                <w:sz w:val="1"/>
                <w:szCs w:val="1"/>
                <w:color w:val="auto"/>
              </w:rPr>
            </w:pPr>
          </w:p>
        </w:tc>
      </w:tr>
      <w:tr>
        <w:trPr>
          <w:trHeight w:val="22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payments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(18,750)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(549,000)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(567,750)</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September 27, 2020 (1)</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431,250</w:t>
            </w: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w w:val="99"/>
              </w:rPr>
              <w:t>555,000</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230,000</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1,216,250</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interest rate, as of September 27, 2020</w:t>
            </w:r>
          </w:p>
        </w:tc>
        <w:tc>
          <w:tcPr>
            <w:tcW w:w="22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2.89 %</w:t>
            </w:r>
          </w:p>
        </w:tc>
        <w:tc>
          <w:tcPr>
            <w:tcW w:w="1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2.88 %</w:t>
            </w:r>
          </w:p>
        </w:tc>
        <w:tc>
          <w:tcPr>
            <w:tcW w:w="248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rPr>
              <w:t>5.00 %</w:t>
            </w: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maturity date</w:t>
            </w:r>
          </w:p>
        </w:tc>
        <w:tc>
          <w:tcPr>
            <w:tcW w:w="22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November 2022</w:t>
            </w:r>
          </w:p>
        </w:tc>
        <w:tc>
          <w:tcPr>
            <w:tcW w:w="19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November 2022</w:t>
            </w:r>
          </w:p>
        </w:tc>
        <w:tc>
          <w:tcPr>
            <w:tcW w:w="248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rPr>
              <w:t>May 2025</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September 27, 2020, we made a payment of $23.0 million on our revolving credit facility.</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September 27, 2020, we had $425.8 million in available unused borrowing capacity under our revolving credit facility, net of letters of credit of $19.2 million.</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Amended Credit Agreement </w:t>
      </w:r>
      <w:r>
        <w:rPr>
          <w:rFonts w:ascii="Times New Roman" w:cs="Times New Roman" w:eastAsia="Times New Roman" w:hAnsi="Times New Roman"/>
          <w:sz w:val="20"/>
          <w:szCs w:val="20"/>
          <w:color w:val="auto"/>
        </w:rPr>
        <w:t>- On May 4, 2020, we and OSI, as co-borrowers, entered into the Amended Credit Agreement which provides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relief for the financial covenant to maintain a specified quarterly TNLR. Without such amendment, violation of financial covenants under the original credit agreement could have resulted in default. The Amended Credit Agreement waives the TNLR requirement for the remainder of fiscal year 2020 and requires a TNLR based on a seasonally annualized calculation of Consolidated EBITDA not to exceed the following thresholds for the periods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QUARTERLY PERIOD ENDED</w:t>
            </w:r>
          </w:p>
        </w:tc>
        <w:tc>
          <w:tcPr>
            <w:tcW w:w="188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MAXIMUM RATIO</w:t>
            </w:r>
          </w:p>
        </w:tc>
      </w:tr>
      <w:tr>
        <w:trPr>
          <w:trHeight w:val="216"/>
        </w:trPr>
        <w:tc>
          <w:tcPr>
            <w:tcW w:w="9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28, 2021 (1)</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w:t>
            </w:r>
          </w:p>
        </w:tc>
        <w:tc>
          <w:tcPr>
            <w:tcW w:w="8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27, 2021 (2)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w:t>
            </w: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26, 2021 and thereafter (3)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w:t>
            </w: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1.00</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Seasonally annualized Consolidated EBITDA calculated as Consolidated EBITDA for the fiscal quarter ending March 28, 2021 divided by 34.1%.</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Seasonally annualized Consolidated EBITDA calculated as Consolidated EBITDA for the two consecutive quarters ending June 27, 2021 divided by 58.5%.</w:t>
      </w:r>
    </w:p>
    <w:p>
      <w:pPr>
        <w:spacing w:after="0" w:line="5"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Seasonally annualized Consolidated EBITDA calculated as Consolidated EBITDA for the three consecutive quarters ending September 26, 2021 divided by 77.0%.</w:t>
      </w: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Under the terms of the Amended Credit Agreement, we are required to meet minimum monthly liquidity threshold of $125.0 million through March 28, 2021, calculated as the sum of available capacity under our revolving credit facility, unrestricted domestic cash on hand and up to $25.0 million of unrestricted cash held by foreign subsidiaries. We are also prohibited from making certain restricted payments, investments or acquisitions until after September 26, 2021, with an exception for investments in our foreign subsidiaries which are capped at $27.5 million. Repurchasing shares of our outstanding common stock and paying dividends are also restricted until after September 26, 2021.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Interest rates under the Amended Credit Agreement are 275 and 175 basis points above the Eurocurrency Rate and Base Rate, respectively, and letter of credit fees and fees for the daily unused availability under the revolving credit facility are 2.75% and 0.40%, respectively, subject to reversion to rates under the original credit agreement when we are in compliance with the TNLR covenant for the test period ending September 26, 2021. We are also subject to a 0% Eurocurrency floor under the Amended Credit Agreement.</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Amended Credit Agreement contains term loan mandatory prepayment requirements of 50% of our annual excess cash flow (as defined in the Amended Credit Agreement) after December 27, 2020. The amount outstanding required to be prepaid may vary based on our leverage ratio and year end results. Other than the annual required minimum amortization premiums of $34.4 million, we do not anticipate any other payments will be required through September 26, 2021.</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September 27, 2020 and December 29, 2019, we were in compliance with our debt covenants. We believe that we will remain in compliance with our debt covenants during the next 12 months.</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2025 Notes </w:t>
      </w:r>
      <w:r>
        <w:rPr>
          <w:rFonts w:ascii="Times New Roman" w:cs="Times New Roman" w:eastAsia="Times New Roman" w:hAnsi="Times New Roman"/>
          <w:sz w:val="20"/>
          <w:szCs w:val="20"/>
          <w:color w:val="auto"/>
        </w:rPr>
        <w:t>- On May 8, 2020, we completed a $200.0 million principal amount private offering of 5.00% convertible senior notes due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on May 12, 2020, issued an additional $30.0 million principal amount in connection with the option granted to the initial purchasers as part of the offering. The 2025 Notes will mature on May 1, 2025, unless earlier converted, redeemed or purchased by us. The 2025 Notes bear cash interest at an annual rate of 5.00%, payable semi-annually in arrears on May 1 and November 1 of each year, beginning on November 1, 2020.</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We will settle conversions by paying or delivering, as applicable, cash, shares of our common stock or a combination of cash and shares of our common stock, at our election, based on the applicable conversion rate. We expect to settle the principal amount of our outstanding convertible senior notes in cash and any excess in shares.</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Net proceeds from this offering were approximately $221.6 million, after deducting the initial purchaser’s discounts and commissions and our offering expenses.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Convertible Note Hedge and Warrant Transactions </w:t>
      </w:r>
      <w:r>
        <w:rPr>
          <w:rFonts w:ascii="Times New Roman" w:cs="Times New Roman" w:eastAsia="Times New Roman" w:hAnsi="Times New Roman"/>
          <w:sz w:val="20"/>
          <w:szCs w:val="20"/>
          <w:color w:val="252525"/>
        </w:rPr>
        <w:t>- In connection with the offering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Notes</w:t>
      </w:r>
      <w:r>
        <w:rPr>
          <w:rFonts w:ascii="Times New Roman" w:cs="Times New Roman" w:eastAsia="Times New Roman" w:hAnsi="Times New Roman"/>
          <w:sz w:val="20"/>
          <w:szCs w:val="20"/>
          <w:color w:val="252525"/>
        </w:rPr>
        <w:t>, we entered into Convertible Note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Hedge Transactions with the Hedge Counterparties. Concurrently with our entry into the Convertible Note Hedge Transactions, we also entered into separate Warrant Transactions with the Hedge Counterparties collectively relating to the same number of shares of our common stock.</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252525"/>
        </w:rPr>
        <w:t>The portion of the net proceeds from our offering of the 2025 Notes that was used to pay the premium on the Convertible Note Hedge Transactions (calculated after taking into account our proceeds from the Warrant Transactions) was approximately $19.6 million.</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See 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of the Notes to Consolidated Financial Statements for additional details regarding the convertible senior notes and related hedge and warrant transactions.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SUMMARY OF CASH FLOWS</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a summary of our cash flows provided by (used in) operating, investing and financing activities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9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16"/>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180,926</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(106,444)</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4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Operating activities </w:t>
      </w:r>
      <w:r>
        <w:rPr>
          <w:rFonts w:ascii="Times New Roman" w:cs="Times New Roman" w:eastAsia="Times New Roman" w:hAnsi="Times New Roman"/>
          <w:sz w:val="20"/>
          <w:szCs w:val="20"/>
          <w:color w:val="auto"/>
        </w:rPr>
        <w:t>- Net cash provided by operating activities decreased during the thirty-nine weeks ended September 27, 2020,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the thirty-nine weeks ended September 29, 2019 primarily due to a decrease in net restaurant sales and relief payments made to employees, net of employee retention tax credits as a result of the COVID-19 pandemic. These decreases were partially offset by: (i) decreased variable operating costs as a result of lower net restaurant sales, (ii) deferral of payroll tax payments as a result of the CARES Act, (iii) the timing of collections of receivables and payments made, (iv) lower inventory purchases and (v) lower income tax payments.</w:t>
      </w: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Investing activities - </w:t>
      </w:r>
      <w:r>
        <w:rPr>
          <w:rFonts w:ascii="Times New Roman" w:cs="Times New Roman" w:eastAsia="Times New Roman" w:hAnsi="Times New Roman"/>
          <w:sz w:val="20"/>
          <w:szCs w:val="20"/>
          <w:color w:val="auto"/>
        </w:rPr>
        <w:t>Net cash used in investing activities during the thirty-nine weeks ended September 27, 2020 primarily consisted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capital expenditures, partially offset by withdrawals from Company-owned life insurance policies.</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Net cash used in investing activities during the thirty-nine weeks ended September 29, 2019 primarily consisted of capital expenditures, partially offset by proceeds from the disposal of property, fixtures and equipment and proceeds from sale-leaseback transactions.</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Financing activities - </w:t>
      </w:r>
      <w:r>
        <w:rPr>
          <w:rFonts w:ascii="Times New Roman" w:cs="Times New Roman" w:eastAsia="Times New Roman" w:hAnsi="Times New Roman"/>
          <w:sz w:val="20"/>
          <w:szCs w:val="20"/>
          <w:color w:val="auto"/>
        </w:rPr>
        <w:t>Net cash provided by financing activities during the thirty-nine weeks ended September 27, 2020 primarily consisted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proceeds from issuance of convertible senior notes and related warrants transactions partially offset by: (i) premium payments for Convertible Note Hedge Transactions, (ii) repayments on our revolving credit facility, net of drawdowns, (iii) the repayments of long-term debt, (iv) payment of cash dividends on our common stock, (v) partner equity plan payments and (vi) issuance costs and financing fees in connection with our 2025 Notes and Amended Credit Agreement.</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cash used in financing activities during the thirty-nine weeks ended September 29, 2019 primarily consisted of: (i) the repurchase of common stock, (ii) payment of cash dividends on our common stock, (iii) the repayment of long-term debt and (iv) partner equity plan payments. Net cash used in financing activities was partially offset by drawdowns on our revolving credit facility, net of 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our current assets, current liabilities and working capital (deficit)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8"/>
                <w:szCs w:val="18"/>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2019</w:t>
            </w:r>
          </w:p>
        </w:tc>
      </w:tr>
      <w:tr>
        <w:trPr>
          <w:trHeight w:val="216"/>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center"/>
              <w:ind w:left="1041"/>
              <w:spacing w:after="0"/>
              <w:rPr>
                <w:sz w:val="20"/>
                <w:szCs w:val="20"/>
                <w:color w:val="auto"/>
              </w:rPr>
            </w:pPr>
            <w:r>
              <w:rPr>
                <w:rFonts w:ascii="Times New Roman" w:cs="Times New Roman" w:eastAsia="Times New Roman" w:hAnsi="Times New Roman"/>
                <w:sz w:val="16"/>
                <w:szCs w:val="16"/>
                <w:color w:val="auto"/>
              </w:rPr>
              <w:t>298,195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center"/>
              <w:ind w:left="1041"/>
              <w:spacing w:after="0"/>
              <w:rPr>
                <w:sz w:val="20"/>
                <w:szCs w:val="20"/>
                <w:color w:val="auto"/>
              </w:rPr>
            </w:pPr>
            <w:r>
              <w:rPr>
                <w:rFonts w:ascii="Times New Roman" w:cs="Times New Roman" w:eastAsia="Times New Roman" w:hAnsi="Times New Roman"/>
                <w:sz w:val="16"/>
                <w:szCs w:val="16"/>
                <w:color w:val="auto"/>
              </w:rPr>
              <w:t>340,468</w:t>
            </w:r>
          </w:p>
        </w:tc>
      </w:tr>
      <w:tr>
        <w:trPr>
          <w:trHeight w:val="22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041"/>
              <w:spacing w:after="0"/>
              <w:rPr>
                <w:sz w:val="20"/>
                <w:szCs w:val="20"/>
                <w:color w:val="auto"/>
              </w:rPr>
            </w:pPr>
            <w:r>
              <w:rPr>
                <w:rFonts w:ascii="Times New Roman" w:cs="Times New Roman" w:eastAsia="Times New Roman" w:hAnsi="Times New Roman"/>
                <w:sz w:val="16"/>
                <w:szCs w:val="16"/>
                <w:color w:val="auto"/>
              </w:rPr>
              <w:t>838,973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041"/>
              <w:spacing w:after="0"/>
              <w:rPr>
                <w:sz w:val="20"/>
                <w:szCs w:val="20"/>
                <w:color w:val="auto"/>
              </w:rPr>
            </w:pPr>
            <w:r>
              <w:rPr>
                <w:rFonts w:ascii="Times New Roman" w:cs="Times New Roman" w:eastAsia="Times New Roman" w:hAnsi="Times New Roman"/>
                <w:sz w:val="16"/>
                <w:szCs w:val="16"/>
                <w:color w:val="auto"/>
              </w:rPr>
              <w:t>962,021</w:t>
            </w:r>
          </w:p>
        </w:tc>
      </w:tr>
      <w:tr>
        <w:trPr>
          <w:trHeight w:val="241"/>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center"/>
              <w:ind w:left="1021"/>
              <w:spacing w:after="0"/>
              <w:rPr>
                <w:sz w:val="20"/>
                <w:szCs w:val="20"/>
                <w:color w:val="auto"/>
              </w:rPr>
            </w:pPr>
            <w:r>
              <w:rPr>
                <w:rFonts w:ascii="Times New Roman" w:cs="Times New Roman" w:eastAsia="Times New Roman" w:hAnsi="Times New Roman"/>
                <w:sz w:val="16"/>
                <w:szCs w:val="16"/>
                <w:color w:val="auto"/>
              </w:rPr>
              <w:t>(540,778)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center"/>
              <w:ind w:left="1021"/>
              <w:spacing w:after="0"/>
              <w:rPr>
                <w:sz w:val="20"/>
                <w:szCs w:val="20"/>
                <w:color w:val="auto"/>
              </w:rPr>
            </w:pPr>
            <w:r>
              <w:rPr>
                <w:rFonts w:ascii="Times New Roman" w:cs="Times New Roman" w:eastAsia="Times New Roman" w:hAnsi="Times New Roman"/>
                <w:sz w:val="16"/>
                <w:szCs w:val="16"/>
                <w:color w:val="auto"/>
              </w:rPr>
              <w:t>(621,553)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Working capital (deficit) includes: (i) Unearned revenue primarily from unredeemed gift cards of $280.1 million and $369.3 million as of September 27, 2020 and December 29, 2019, respectively, and (ii) current operating lease liabilities of $177.7 million and $171.9 million as of September 27, 2020 and December 29, 2019,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are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Deferred Compensation Programs - </w:t>
      </w:r>
      <w:r>
        <w:rPr>
          <w:rFonts w:ascii="Times New Roman" w:cs="Times New Roman" w:eastAsia="Times New Roman" w:hAnsi="Times New Roman"/>
          <w:sz w:val="20"/>
          <w:szCs w:val="20"/>
          <w:color w:val="auto"/>
        </w:rPr>
        <w:t>The deferred compensation obligation due to managing and chef partners was $32.7 million and $49.0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as of September 27, 2020 and December 29, 2019, respectively. We invest in various corporate-owned life insurance policies (“COLI assets”), which are held within an irrevocable grantor or “rabbi” trust account for settlement of our obligations under the deferred compensation plans. The rabbi trust is funded through our voluntary contributions. The obligation for managing and chef partners’ deferred compensation was fully funded as of September 27, 2020.</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use capital to fund deferred compensation obligations and currently expect cash funding of $9.5 million to $11.5 million for 2020. We also funded a portion of our 2020 obligation with $9.3 million withdrawn from our COLI assets.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Other Compensation Programs </w:t>
      </w:r>
      <w:r>
        <w:rPr>
          <w:rFonts w:ascii="Times New Roman" w:cs="Times New Roman" w:eastAsia="Times New Roman" w:hAnsi="Times New Roman"/>
          <w:sz w:val="20"/>
          <w:szCs w:val="20"/>
          <w:color w:val="auto"/>
        </w:rPr>
        <w:t>- Certain U.S. partners participate in a non-qualified long-term compensation program that we fund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for each participant becomes due.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DIVIDENDS AND SHARE REPURCHASES</w:t>
      </w:r>
    </w:p>
    <w:p>
      <w:pPr>
        <w:spacing w:after="0" w:line="24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did not pay dividends or repurchase any shares of our outstanding common stock during the thirteen weeks ended September 27, 2020. The terms of our Amended Credit Agreement contain certain restrictions on cash dividends and share repurchases until after September 26, 2021 and we are compliant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our dividends and share repurchases from fiscal year 2015 through September 27,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3"/>
                <w:szCs w:val="13"/>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DIVIDENDS PAID</w:t>
            </w: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 REPURCHASES</w:t>
            </w:r>
          </w:p>
        </w:tc>
        <w:tc>
          <w:tcPr>
            <w:tcW w:w="360" w:type="dxa"/>
            <w:vAlign w:val="bottom"/>
          </w:tcPr>
          <w:p>
            <w:pPr>
              <w:spacing w:after="0"/>
              <w:rPr>
                <w:sz w:val="13"/>
                <w:szCs w:val="13"/>
                <w:color w:val="auto"/>
              </w:rPr>
            </w:pPr>
          </w:p>
        </w:tc>
        <w:tc>
          <w:tcPr>
            <w:tcW w:w="140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2015</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169,999</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199,331</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2016</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341,266</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2017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303,724</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2018</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147,279</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2019</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142,726</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fiscal quarter 2020</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0" w:type="dxa"/>
            <w:vAlign w:val="bottom"/>
          </w:tcPr>
          <w:p>
            <w:pPr>
              <w:spacing w:after="0"/>
              <w:rPr>
                <w:sz w:val="1"/>
                <w:szCs w:val="1"/>
                <w:color w:val="auto"/>
              </w:rPr>
            </w:pPr>
          </w:p>
        </w:tc>
      </w:tr>
      <w:tr>
        <w:trPr>
          <w:trHeight w:val="241"/>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973,581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1,151,806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share repurchases for the settlement of taxes related to equity awards of $180, $447, and $770 for fiscal years 2017, 2016 and 2015,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Financial Accounting Standards</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a description of recently issued Financial Accounting Standards that we adopted during the thirty-nine weeks ended September 27, 2020 and, that are applicable to us and likely to have material effect on our consolidated financial statements, but have not yet been adopted, see Note 1 - </w:t>
      </w:r>
      <w:r>
        <w:rPr>
          <w:rFonts w:ascii="Times New Roman" w:cs="Times New Roman" w:eastAsia="Times New Roman" w:hAnsi="Times New Roman"/>
          <w:sz w:val="20"/>
          <w:szCs w:val="20"/>
          <w:i w:val="1"/>
          <w:iCs w:val="1"/>
          <w:color w:val="auto"/>
        </w:rPr>
        <w:t>Description of the Business and Basis of Presentation</w:t>
      </w:r>
      <w:r>
        <w:rPr>
          <w:rFonts w:ascii="Times New Roman" w:cs="Times New Roman" w:eastAsia="Times New Roman" w:hAnsi="Times New Roman"/>
          <w:sz w:val="20"/>
          <w:szCs w:val="20"/>
          <w:color w:val="auto"/>
        </w:rPr>
        <w:t xml:space="preserve"> of the Notes to Consolidated Financial Statements of this Quarterly Report on Form 10-Q.</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exposed to market risk from changes in interest rates, changes in foreign currency exchange rates and changes in commodity prices. We believe that there have been no material changes in our market risk since December 29, 2019, except as set forth below. See Part II, Item 7A., “Quantitative and Qualitative Disclosures about Market Risk,” in our Annual Report on Form 10-K for the year ended December 29, 2019 for further information regarding market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Rate Risk</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For the thirty-nine weeks ended September 27, 2020, a 10% change in average foreign currency rates against the U.S. dollar would have increased or decreased our Total revenues and Net (loss) income for our consolidated foreign entities by $22.0 million and $1.8 million, respectively. Currently, we do not enter into currency forward exchange or option contracts to hedge foreign currency exposures.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September 27,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during the thirteen weeks ended September 27,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4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4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 xml:space="preserve">For a description of our legal proceedings, see Note 20 -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of the Notes to Consolidated Financial Statements of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to the other information discussed in this Report, please consider the factors described in Part I, Item 1A., “Risk Factors” in our 2019 Form 10-K which could materially affect our business, financial condition or future results. Other than the risk factor discussed below, there have not been any material changes to the risk factors described in our 2019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COVID-19 pandemic has disrupted and is expected to continue to disrupt our business, and could continue to materially and adversely affect our business, revenues, financial condition and results of operations for an extended period of time.</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March 2020, the World Health Organization declared COVID-19 a global pandemic. Governmental authorities around the world have since implemented measures to reduce the spread of COVID-19, and COVID-19 and related preventative and protective measures have impacted, and are expected to continue to impact, our business globally, including through restaurant closures, reductions in operating hours, capacity restrictions and decreased restaurant traffic. In the United States and in foreign countries in which we operate, individuals are encouraged to practice social distancing, and numerous jurisdictions have imposed on a temporary or on-going basis, and others in the future may impose or reinstate, restrictions from gathering in groups, restriction from non-essential movements outside of ones’ home, shelter-in-place orders, quarantines, executive orders and similar governmental orders and restrictions for residents to control the spread of COVID-19. While certain of these restrictions have been lifted or reduced in the past few months, a resurgence of cases may cause governments to slow or roll back re-opening plans. These preventative and protective measures, which vary significantly across the jurisdictions where our restaurants are located, create a rapidly changing and complicated system for ensuring compliance and predicting our revenues and cost structure.</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response to the COVID-19 pandemic and these changing conditions, we have modified work hours for our team members, identified and implemented cost savings measures throughout our operations, shifted the majority of our corporate employees to remote working and temporarily limited our services in the U.S. to carry-out and delivery only beginning in March 2020. In early May 2020, we began to reopen our restaurant dining rooms with limited seating capacity in compliance with state and local regulations. As of September 27, 2020, our restaurant dining rooms have reopened but many are still subject to seating capacity restrictions. The temporary closure of our dining rooms and the limitations on seating capacity in our reopened dining rooms has resulted in significantly reduced traffic in our restaurants.</w:t>
      </w:r>
    </w:p>
    <w:p>
      <w:pPr>
        <w:spacing w:after="0" w:line="2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the normal course of business, the majority of our sales are generated through on-premises dining in our restaurants, and the COVID-19 pandemic has affected and will continue to adversely affect our guest traffic, sales and operating costs. Even with our restaurant dining rooms open for on-premises dining there can be no assurances that on-premises sales will return to prior levels given capacity restrictions, continued uncertainties surrounding the economic and public health impact of the COVID-19 pandemic, or that any of the restaurants we have reopened will not be subject to additional closures or limitations on our capacity or the services we may provide. We are unable to accurately predict with certainty the ultimate impact that COVID-19 will have on our operations going forward due to uncertainties including the currently unknowable duration of the COVID-19 pandemic and impact of further governmental regulations that might be imposed or reinstated in response to the pandemic. The longer our restaurants remain under restrictions for on-premises dining, however, the greater impact we expect it will have 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financial results. In addition, if we revert to solely or primarily off-premises sales, there can be no assurance that our off-premises sales will grow or remain at levels experienced while our dining rooms were previously closed.</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COVID-19 outbreak has also adversely affected our ability to open new restaurants and remodel and relocate existing restaurants. Due to the uncertainty in the economy and to preserve liquidity, we have paused activities with respect to new locations, remodels and relocations, and limited capital spending to maintenance necessary to support our off-premises business. In addition, we have closed certain restaurants where conditions were unlikely to support profitable operations for the foreseeable future. These changes may materially adversely affect our ability to grow our business, particularly if these pauses are in place for a significant amount of time or further closures are appropriate.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order to increase our cash position and preserve financial flexibility, we issued $230.0 million of convertible senior notes. Our resulting aggregate debt levels have significantly increased from levels prior to COVID-19. Given the uncertainty of the severity, extent and duration of the COVID-19 pandemic and its impacts on our business and results of operations, the general risks associated with increased debt levels are exacerbated. In addition, although we entered into an Amended Credit Agreement and obtained covenant relief, there can be no assurance we can continue to comply with the revised covenants during the relief period or thereafter when they revert to prior levels if the COVID-19 pandemic lasts longer than expected or our business does not quickly recover afterward.</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business is sensitive to changes in macroeconomic conditions that impact consumer spending. The rapid and diffuse spread of COVID-19 has had severe negative impacts on, among other things, real GDP growth, consumer confidence, financial markets, liquidity, economic conditions, employment levels, interest rates, tax rates, foreign currency exchange rate fluctuations, supply chain related costs and other macroeconomic trends and could continue to do so or could worsen for an unknown period of time. If the business interruptions caused by COVID-19 last longer than we expect or our assumptions regarding liquidity needs prove inaccurate, we may need to seek other sources of liquidity. At times, the COVID-19 pandemic adversely affected the availability of liquidity generally in the credit markets, and there can be no guarantee that additional liquidity will be readily available or available on favorable terms, especially the longer the COVID-19 pandemic lasts. In an effort to preserve liquidity, we have and may continue to take certain actions with respect to some or all of our leases, including negotiating with landlords to obtain rent abatement or deferrals, terminating certain leases or discontinuing payment. We can provide no assurances that forbearance of any lease obligations will be provided to us, or that, following the COVID-19 pandemic, we will be able to continue restaurant operations on the current terms of our existing leases, any of which could have an adverse effect on our business and results.</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restaurant operations could be further disrupted if any of our employees are diagnosed with COVID-19, since this could require further restaurant closures and some or all of a restaurant’s employees to self-quarantine. If the employees of any of our third-party delivery service providers are diagnosed with COVID-19, or if the operations of these service providers are otherwise significantly impaired, our off-premises sales would also be adversely impacted. Our supply chain could similarly be adversely impacted. If our customers become ill, a significant percentage of our or our suppliers’ or distributors’ workforce is unable to work, or if there are similar disruptions in the supply chain generally for certain products, whether because of illness, quarantine, limitations on travel or other government restrictions in connection with COVID-19, we could face disruptions to restaurant operations, cost increases and shortages of food or other supplies, or reputational harm or negative publicity directed at our brands that causes customers to avoid our restaurants, potentially materially adversely affecting our operations and sales. This is particularly true given our reliance on a small number of suppliers and distributors for the beef we serve in our U.S. and Brazil restaurants. In 2019, we purchased approximately 95% of our U.S. beef raw materials from four beef suppliers that represent more than 80% of the total beef marketplace in the U.S., and approximately 90% of our Brazil beef raw materials from two beef suppliers that represent approximately 45% of the total Brazil beef marketplace. We also primarily use one supplier in the U.S. and Brazil, respectively, to process beef raw materials to our specifications and we use one distribution company to provide distribution services in the U.S and Brazil, respectively. Consequently, our operations could be adversely affected if any of these suppliers or distributors were unable to fulfill their responsibilities and we were unable to locate substitutes in a timely manner. Although we have not experienced material adverse impacts to date, additional or prolonged closures of meat processing facilities that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occurred due to the effects of COVID-19 could adversely impact our supply chain and the products that we offer.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to decisions we have made and may make in the future relating to the compensation and benefits of our employees, additional government regulations or legislation as a result of COVID-19 could also have an adverse effect on our business. We cannot predict the types of government regulations or legislation that may be passed relating to employee compensation or benefits as a result of the COVID-19 pandemic. In order to support our off-premises business and ensure we would be prepared to re-open our restaurants to on-premises dining when permitted, we retained our restaurant management across all of our brands. We have taken compensation and benefit actions to support our restaurant team members during the COVID-19 business interruption, including relief pay to hourly employees and continued payments to employees who have been quarantined or who had a personal illness related to COVID-19. Those actions may be insufficient to compensate our team members for the entire duration of any business interruption resulting from COVID-19, and our team members might seek and find other employment during that interruption, which could adversely affect our ability to properly staff and reopen our restaurants with experienced team members when the business interruptions caused by COVID-19 abate or end.</w:t>
      </w: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the operations of our franchisees are subject to the same risks discussed above with respect to our business, and the COVID-19 pandemic could cause financial distress for the franchisees that have been or will be impacted. As a result of this distress, we have deferred certain of their payment obligations and, even with these actions, our franchisees may not be able to meet or will defer payment of their financial obligations as they come due, including the payment of royalties, rent or other amounts due to the Company. In addition, our franchisees may not be able to make payments to landlords and key suppliers, as well as payments to service any debt they have outstanding. In some cases, we are contingently liable for franchisee lease obligations, and a failure by a franchisee to perform its obligations under such lease could result in direct payment obligations for us.</w:t>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addition, we have and could continue to experience other material impacts as a result of COVID-19, including, but not limited to, impairment charges. We cannot accurately predict the amount and timing of any further impairment of assets. A significant amount of judgment is involved in determining if an indication of impairment exists and the COVID-19 pandemic has made developing forecasts for, and the accounting of, valuation of goodwill and certain other assets slower and more difficult. Should the value of goodwill or other intangible or long-lived assets become further impaired, there could be an adverse effect on our financial condition and consolidated results of operations. To the extent the COVID-19 pandemic adversely affects our business and financial results, it may also have the effect of heightening many of the other risks described in “Risk Factors” under Item 1A and “Management’s Discussion and Analysis of Financial Condition and Results of Operation” under Item 7 of our Annual Report on Form 10-K that we filed with the SEC on February 26, 2020, including without limitation risks relating to competition in the restaurant industry, consumer preferences and perceptions, our level of indebtedness, availability of adequate capital, our ability to execute business plans related to remodeling, relocation and expansions, our lease obligations, our franchisees, disruptions to our supply chain and third-party delivery service providers, foreign currency exchange rates, regulatory restrictions and compliance, government proceedings or litigation arising out of claims from our customers, employees, business partners and stockholders, vulnerability of our data systems and volatility in the price of our common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sales of equity securities during the third quarter of 2020 that were not registered under the Securities Act of 1933.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repurchase any shares of our outstanding common stock during the thirteen weeks ended September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6260" w:type="dxa"/>
            <w:vAlign w:val="bottom"/>
            <w:gridSpan w:val="6"/>
            <w:vMerge w:val="restart"/>
          </w:tcPr>
          <w:p>
            <w:pPr>
              <w:ind w:left="198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40" w:type="dxa"/>
            <w:vAlign w:val="bottom"/>
            <w:vMerge w:val="restart"/>
          </w:tcPr>
          <w:p>
            <w:pPr>
              <w:spacing w:after="0"/>
              <w:rPr>
                <w:sz w:val="16"/>
                <w:szCs w:val="16"/>
                <w:color w:val="auto"/>
              </w:rPr>
            </w:pPr>
          </w:p>
        </w:tc>
        <w:tc>
          <w:tcPr>
            <w:tcW w:w="372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6"/>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3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00" w:type="dxa"/>
            <w:vAlign w:val="bottom"/>
            <w:gridSpan w:val="7"/>
          </w:tcPr>
          <w:p>
            <w:pPr>
              <w:spacing w:after="0"/>
              <w:rPr>
                <w:rFonts w:ascii="Times New Roman" w:cs="Times New Roman" w:eastAsia="Times New Roman" w:hAnsi="Times New Roman"/>
                <w:sz w:val="20"/>
                <w:szCs w:val="20"/>
                <w:color w:val="0000FF"/>
              </w:rPr>
            </w:pPr>
            <w:hyperlink w:anchor="page64">
              <w:r>
                <w:rPr>
                  <w:rFonts w:ascii="Times New Roman" w:cs="Times New Roman" w:eastAsia="Times New Roman" w:hAnsi="Times New Roman"/>
                  <w:sz w:val="20"/>
                  <w:szCs w:val="20"/>
                  <w:color w:val="0000FF"/>
                </w:rPr>
                <w:t>Certification of Chief Executive Officer pursuant to Section 302 of the</w:t>
              </w:r>
            </w:hyperlink>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9"/>
                <w:szCs w:val="19"/>
                <w:color w:val="0000FF"/>
              </w:rPr>
            </w:pPr>
            <w:hyperlink w:anchor="page64">
              <w:r>
                <w:rPr>
                  <w:rFonts w:ascii="Times New Roman" w:cs="Times New Roman" w:eastAsia="Times New Roman" w:hAnsi="Times New Roman"/>
                  <w:sz w:val="19"/>
                  <w:szCs w:val="19"/>
                  <w:color w:val="0000FF"/>
                </w:rPr>
                <w:t>Sarbanes-Oxley Act of 2002</w:t>
              </w:r>
            </w:hyperlink>
          </w:p>
        </w:tc>
        <w:tc>
          <w:tcPr>
            <w:tcW w:w="39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7"/>
          </w:tcPr>
          <w:p>
            <w:pPr>
              <w:spacing w:after="0"/>
              <w:rPr>
                <w:rFonts w:ascii="Times New Roman" w:cs="Times New Roman" w:eastAsia="Times New Roman" w:hAnsi="Times New Roman"/>
                <w:sz w:val="20"/>
                <w:szCs w:val="20"/>
                <w:color w:val="0000FF"/>
              </w:rPr>
            </w:pPr>
            <w:hyperlink w:anchor="page65">
              <w:r>
                <w:rPr>
                  <w:rFonts w:ascii="Times New Roman" w:cs="Times New Roman" w:eastAsia="Times New Roman" w:hAnsi="Times New Roman"/>
                  <w:sz w:val="20"/>
                  <w:szCs w:val="20"/>
                  <w:color w:val="0000FF"/>
                </w:rPr>
                <w:t>Certification of Chief Financial Officer pursuant to Section 302 of the</w:t>
              </w:r>
            </w:hyperlink>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9"/>
                <w:szCs w:val="19"/>
                <w:color w:val="0000FF"/>
              </w:rPr>
            </w:pPr>
            <w:hyperlink w:anchor="page65">
              <w:r>
                <w:rPr>
                  <w:rFonts w:ascii="Times New Roman" w:cs="Times New Roman" w:eastAsia="Times New Roman" w:hAnsi="Times New Roman"/>
                  <w:sz w:val="19"/>
                  <w:szCs w:val="19"/>
                  <w:color w:val="0000FF"/>
                </w:rPr>
                <w:t>Sarbanes-Oxley Act of 2002</w:t>
              </w:r>
            </w:hyperlink>
          </w:p>
        </w:tc>
        <w:tc>
          <w:tcPr>
            <w:tcW w:w="39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7"/>
          </w:tcPr>
          <w:p>
            <w:pPr>
              <w:spacing w:after="0"/>
              <w:rPr>
                <w:rFonts w:ascii="Times New Roman" w:cs="Times New Roman" w:eastAsia="Times New Roman" w:hAnsi="Times New Roman"/>
                <w:sz w:val="20"/>
                <w:szCs w:val="20"/>
                <w:color w:val="0000FF"/>
              </w:rPr>
            </w:pPr>
            <w:hyperlink w:anchor="page66">
              <w:r>
                <w:rPr>
                  <w:rFonts w:ascii="Times New Roman" w:cs="Times New Roman" w:eastAsia="Times New Roman" w:hAnsi="Times New Roman"/>
                  <w:sz w:val="20"/>
                  <w:szCs w:val="20"/>
                  <w:color w:val="0000FF"/>
                </w:rPr>
                <w:t>Certification of Chief Executive Officer pursuant to 18 U.S.C. Section 1350,</w:t>
              </w:r>
            </w:hyperlink>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252"/>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Borders>
              <w:top w:val="single" w:sz="8" w:color="0000FF"/>
            </w:tcBorders>
            <w:gridSpan w:val="5"/>
          </w:tcPr>
          <w:p>
            <w:pPr>
              <w:spacing w:after="0"/>
              <w:rPr>
                <w:rFonts w:ascii="Times New Roman" w:cs="Times New Roman" w:eastAsia="Times New Roman" w:hAnsi="Times New Roman"/>
                <w:sz w:val="20"/>
                <w:szCs w:val="20"/>
                <w:u w:val="single" w:color="auto"/>
                <w:color w:val="0000FF"/>
              </w:rPr>
            </w:pPr>
            <w:hyperlink w:anchor="page66">
              <w:r>
                <w:rPr>
                  <w:rFonts w:ascii="Times New Roman" w:cs="Times New Roman" w:eastAsia="Times New Roman" w:hAnsi="Times New Roman"/>
                  <w:sz w:val="20"/>
                  <w:szCs w:val="20"/>
                  <w:u w:val="single" w:color="auto"/>
                  <w:color w:val="0000FF"/>
                </w:rPr>
                <w:t>as adopted pursuant to Section 906 of the Sarbanes-Oxley Act of 2002 (1)</w:t>
              </w:r>
            </w:hyperlink>
          </w:p>
        </w:tc>
        <w:tc>
          <w:tcPr>
            <w:tcW w:w="60" w:type="dxa"/>
            <w:vAlign w:val="bottom"/>
            <w:gridSpan w:val="2"/>
          </w:tcPr>
          <w:p>
            <w:pPr>
              <w:spacing w:after="0"/>
              <w:rPr>
                <w:sz w:val="21"/>
                <w:szCs w:val="21"/>
                <w:color w:val="auto"/>
              </w:rPr>
            </w:pPr>
          </w:p>
        </w:tc>
        <w:tc>
          <w:tcPr>
            <w:tcW w:w="3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10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7"/>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7"/>
          </w:tcPr>
          <w:p>
            <w:pPr>
              <w:spacing w:after="0" w:line="214" w:lineRule="exact"/>
              <w:rPr>
                <w:rFonts w:ascii="Times New Roman" w:cs="Times New Roman" w:eastAsia="Times New Roman" w:hAnsi="Times New Roman"/>
                <w:sz w:val="20"/>
                <w:szCs w:val="20"/>
                <w:color w:val="0000FF"/>
              </w:rPr>
            </w:pPr>
            <w:hyperlink w:anchor="page67">
              <w:r>
                <w:rPr>
                  <w:rFonts w:ascii="Times New Roman" w:cs="Times New Roman" w:eastAsia="Times New Roman" w:hAnsi="Times New Roman"/>
                  <w:sz w:val="20"/>
                  <w:szCs w:val="20"/>
                  <w:color w:val="0000FF"/>
                </w:rPr>
                <w:t>Certification of Chief Financial Officer pursuant to 18 U.S.C. Section 1350,</w:t>
              </w:r>
            </w:hyperlink>
          </w:p>
        </w:tc>
        <w:tc>
          <w:tcPr>
            <w:tcW w:w="3720" w:type="dxa"/>
            <w:vAlign w:val="bottom"/>
          </w:tcPr>
          <w:p>
            <w:pPr>
              <w:ind w:left="20"/>
              <w:spacing w:after="0" w:line="214" w:lineRule="exact"/>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252"/>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Borders>
              <w:top w:val="single" w:sz="8" w:color="0000FF"/>
            </w:tcBorders>
            <w:gridSpan w:val="3"/>
          </w:tcPr>
          <w:p>
            <w:pPr>
              <w:spacing w:after="0"/>
              <w:rPr>
                <w:rFonts w:ascii="Times New Roman" w:cs="Times New Roman" w:eastAsia="Times New Roman" w:hAnsi="Times New Roman"/>
                <w:sz w:val="20"/>
                <w:szCs w:val="20"/>
                <w:u w:val="single" w:color="auto"/>
                <w:color w:val="0000FF"/>
              </w:rPr>
            </w:pPr>
            <w:hyperlink w:anchor="page67">
              <w:r>
                <w:rPr>
                  <w:rFonts w:ascii="Times New Roman" w:cs="Times New Roman" w:eastAsia="Times New Roman" w:hAnsi="Times New Roman"/>
                  <w:sz w:val="20"/>
                  <w:szCs w:val="20"/>
                  <w:u w:val="single" w:color="auto"/>
                  <w:color w:val="0000FF"/>
                </w:rPr>
                <w:t>as adopted pursuant to Section 906 of the Sarbanes-Oxley Act of 2002 (1)</w:t>
              </w:r>
            </w:hyperlink>
          </w:p>
        </w:tc>
        <w:tc>
          <w:tcPr>
            <w:tcW w:w="100" w:type="dxa"/>
            <w:vAlign w:val="bottom"/>
            <w:gridSpan w:val="4"/>
          </w:tcPr>
          <w:p>
            <w:pPr>
              <w:spacing w:after="0"/>
              <w:rPr>
                <w:sz w:val="21"/>
                <w:szCs w:val="21"/>
                <w:color w:val="auto"/>
              </w:rPr>
            </w:pPr>
          </w:p>
        </w:tc>
        <w:tc>
          <w:tcPr>
            <w:tcW w:w="3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2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101.INS</w:t>
            </w:r>
          </w:p>
        </w:tc>
        <w:tc>
          <w:tcPr>
            <w:tcW w:w="20" w:type="dxa"/>
            <w:vAlign w:val="bottom"/>
          </w:tcPr>
          <w:p>
            <w:pPr>
              <w:spacing w:after="0"/>
              <w:rPr>
                <w:sz w:val="22"/>
                <w:szCs w:val="22"/>
                <w:color w:val="auto"/>
              </w:rPr>
            </w:pPr>
          </w:p>
        </w:tc>
        <w:tc>
          <w:tcPr>
            <w:tcW w:w="6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101.SCH</w:t>
            </w:r>
          </w:p>
        </w:tc>
        <w:tc>
          <w:tcPr>
            <w:tcW w:w="20" w:type="dxa"/>
            <w:vAlign w:val="bottom"/>
          </w:tcPr>
          <w:p>
            <w:pPr>
              <w:spacing w:after="0"/>
              <w:rPr>
                <w:sz w:val="24"/>
                <w:szCs w:val="24"/>
                <w:color w:val="auto"/>
              </w:rPr>
            </w:pPr>
          </w:p>
        </w:tc>
        <w:tc>
          <w:tcPr>
            <w:tcW w:w="6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101.CAL</w:t>
            </w:r>
          </w:p>
        </w:tc>
        <w:tc>
          <w:tcPr>
            <w:tcW w:w="20" w:type="dxa"/>
            <w:vAlign w:val="bottom"/>
          </w:tcPr>
          <w:p>
            <w:pPr>
              <w:spacing w:after="0"/>
              <w:rPr>
                <w:sz w:val="24"/>
                <w:szCs w:val="24"/>
                <w:color w:val="auto"/>
              </w:rPr>
            </w:pPr>
          </w:p>
        </w:tc>
        <w:tc>
          <w:tcPr>
            <w:tcW w:w="6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101.DEF</w:t>
            </w:r>
          </w:p>
        </w:tc>
        <w:tc>
          <w:tcPr>
            <w:tcW w:w="20" w:type="dxa"/>
            <w:vAlign w:val="bottom"/>
          </w:tcPr>
          <w:p>
            <w:pPr>
              <w:spacing w:after="0"/>
              <w:rPr>
                <w:sz w:val="24"/>
                <w:szCs w:val="24"/>
                <w:color w:val="auto"/>
              </w:rPr>
            </w:pPr>
          </w:p>
        </w:tc>
        <w:tc>
          <w:tcPr>
            <w:tcW w:w="6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101.LAB</w:t>
            </w:r>
          </w:p>
        </w:tc>
        <w:tc>
          <w:tcPr>
            <w:tcW w:w="20" w:type="dxa"/>
            <w:vAlign w:val="bottom"/>
          </w:tcPr>
          <w:p>
            <w:pPr>
              <w:spacing w:after="0"/>
              <w:rPr>
                <w:sz w:val="24"/>
                <w:szCs w:val="24"/>
                <w:color w:val="auto"/>
              </w:rPr>
            </w:pPr>
          </w:p>
        </w:tc>
        <w:tc>
          <w:tcPr>
            <w:tcW w:w="6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101.PRE</w:t>
            </w:r>
          </w:p>
        </w:tc>
        <w:tc>
          <w:tcPr>
            <w:tcW w:w="20" w:type="dxa"/>
            <w:vAlign w:val="bottom"/>
          </w:tcPr>
          <w:p>
            <w:pPr>
              <w:spacing w:after="0"/>
              <w:rPr>
                <w:sz w:val="24"/>
                <w:szCs w:val="24"/>
                <w:color w:val="auto"/>
              </w:rPr>
            </w:pPr>
          </w:p>
        </w:tc>
        <w:tc>
          <w:tcPr>
            <w:tcW w:w="6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37"/>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Exhibit 101)</w:t>
            </w: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left="20" w:right="20" w:firstLine="6"/>
        <w:spacing w:after="0" w:line="221" w:lineRule="auto"/>
        <w:tabs>
          <w:tab w:leader="none" w:pos="30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20"/>
        <w:spacing w:after="0"/>
        <w:tabs>
          <w:tab w:leader="none" w:pos="660" w:val="left"/>
          <w:tab w:leader="none" w:pos="4640" w:val="left"/>
        </w:tabs>
        <w:rPr>
          <w:sz w:val="20"/>
          <w:szCs w:val="20"/>
          <w:color w:val="auto"/>
        </w:rPr>
      </w:pPr>
      <w:r>
        <w:rPr>
          <w:rFonts w:ascii="Times New Roman" w:cs="Times New Roman" w:eastAsia="Times New Roman" w:hAnsi="Times New Roman"/>
          <w:sz w:val="20"/>
          <w:szCs w:val="20"/>
          <w:color w:val="auto"/>
        </w:rPr>
        <w:t>Date:</w:t>
        <w:tab/>
        <w:t>October 30, 2020</w:t>
      </w:r>
      <w:r>
        <w:rPr>
          <w:sz w:val="20"/>
          <w:szCs w:val="20"/>
          <w:color w:val="auto"/>
        </w:rPr>
        <w:tab/>
      </w:r>
      <w:r>
        <w:rPr>
          <w:rFonts w:ascii="Times New Roman" w:cs="Times New Roman" w:eastAsia="Times New Roman" w:hAnsi="Times New Roman"/>
          <w:sz w:val="19"/>
          <w:szCs w:val="19"/>
          <w:color w:val="auto"/>
        </w:rPr>
        <w:t>BLOOMIN’ BRANDS, INC.</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(Registrant)</w:t>
      </w:r>
    </w:p>
    <w:p>
      <w:pPr>
        <w:spacing w:after="0" w:line="10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13970</wp:posOffset>
            </wp:positionV>
            <wp:extent cx="41662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66235" cy="17145"/>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Christopher Meyer</w:t>
      </w:r>
    </w:p>
    <w:p>
      <w:pPr>
        <w:ind w:left="5140"/>
        <w:spacing w:after="0" w:line="197" w:lineRule="auto"/>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514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ectPr>
          <w:pgSz w:w="11900" w:h="16838" w:orient="portrait"/>
          <w:cols w:equalWidth="0" w:num="1">
            <w:col w:w="11240"/>
          </w:cols>
          <w:pgMar w:left="320" w:top="11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J. Deno, certify that:</w:t>
      </w:r>
    </w:p>
    <w:p>
      <w:pPr>
        <w:spacing w:after="0" w:line="243" w:lineRule="exact"/>
        <w:rPr>
          <w:sz w:val="20"/>
          <w:szCs w:val="20"/>
          <w:color w:val="auto"/>
        </w:rPr>
      </w:pPr>
    </w:p>
    <w:p>
      <w:pPr>
        <w:ind w:left="580" w:hanging="572"/>
        <w:spacing w:after="0"/>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42"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9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8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9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8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9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October 30, 2020</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13970</wp:posOffset>
            </wp:positionV>
            <wp:extent cx="40119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David J. Deno</w:t>
      </w:r>
    </w:p>
    <w:p>
      <w:pPr>
        <w:ind w:left="4920"/>
        <w:spacing w:after="0" w:line="231" w:lineRule="auto"/>
        <w:rPr>
          <w:sz w:val="20"/>
          <w:szCs w:val="20"/>
          <w:color w:val="auto"/>
        </w:rPr>
      </w:pPr>
      <w:r>
        <w:rPr>
          <w:rFonts w:ascii="Times New Roman" w:cs="Times New Roman" w:eastAsia="Times New Roman" w:hAnsi="Times New Roman"/>
          <w:sz w:val="20"/>
          <w:szCs w:val="20"/>
          <w:color w:val="auto"/>
        </w:rPr>
        <w:t>Chief Executive Officer</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35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Christopher Meyer, certify that:</w:t>
      </w:r>
    </w:p>
    <w:p>
      <w:pPr>
        <w:spacing w:after="0" w:line="243" w:lineRule="exact"/>
        <w:rPr>
          <w:sz w:val="20"/>
          <w:szCs w:val="20"/>
          <w:color w:val="auto"/>
        </w:rPr>
      </w:pPr>
    </w:p>
    <w:p>
      <w:pPr>
        <w:ind w:left="580" w:hanging="572"/>
        <w:spacing w:after="0"/>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42"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9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8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9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8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29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October 30, 2020</w:t>
      </w:r>
      <w:r>
        <w:rPr>
          <w:sz w:val="20"/>
          <w:szCs w:val="20"/>
          <w:color w:val="auto"/>
        </w:rPr>
        <w:tab/>
      </w:r>
      <w:r>
        <w:rPr>
          <w:rFonts w:ascii="Times New Roman" w:cs="Times New Roman" w:eastAsia="Times New Roman" w:hAnsi="Times New Roman"/>
          <w:sz w:val="19"/>
          <w:szCs w:val="19"/>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13970</wp:posOffset>
            </wp:positionV>
            <wp:extent cx="40119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Christopher Meyer</w:t>
      </w:r>
    </w:p>
    <w:p>
      <w:pPr>
        <w:ind w:left="4920"/>
        <w:spacing w:after="0" w:line="231" w:lineRule="auto"/>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1900" w:h="16838" w:orient="portrait"/>
          <w:cols w:equalWidth="0" w:num="1">
            <w:col w:w="11240"/>
          </w:cols>
          <w:pgMar w:left="320" w:top="356"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September 27, 2020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07"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78"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October 30, 2020</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13970</wp:posOffset>
            </wp:positionV>
            <wp:extent cx="40119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David J. Deno</w:t>
      </w:r>
    </w:p>
    <w:p>
      <w:pPr>
        <w:ind w:left="4920"/>
        <w:spacing w:after="0" w:line="231" w:lineRule="auto"/>
        <w:rPr>
          <w:sz w:val="20"/>
          <w:szCs w:val="20"/>
          <w:color w:val="auto"/>
        </w:rPr>
      </w:pPr>
      <w:r>
        <w:rPr>
          <w:rFonts w:ascii="Times New Roman" w:cs="Times New Roman" w:eastAsia="Times New Roman" w:hAnsi="Times New Roman"/>
          <w:sz w:val="20"/>
          <w:szCs w:val="20"/>
          <w:color w:val="auto"/>
        </w:rPr>
        <w:t>Chief Executive Officer</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882"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September 27, 2020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07"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78"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October 30, 2020</w:t>
      </w:r>
      <w:r>
        <w:rPr>
          <w:sz w:val="20"/>
          <w:szCs w:val="20"/>
          <w:color w:val="auto"/>
        </w:rPr>
        <w:tab/>
      </w:r>
      <w:r>
        <w:rPr>
          <w:rFonts w:ascii="Times New Roman" w:cs="Times New Roman" w:eastAsia="Times New Roman" w:hAnsi="Times New Roman"/>
          <w:sz w:val="19"/>
          <w:szCs w:val="19"/>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13970</wp:posOffset>
            </wp:positionV>
            <wp:extent cx="40119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Christopher Meyer</w:t>
      </w:r>
    </w:p>
    <w:p>
      <w:pPr>
        <w:ind w:left="4920"/>
        <w:spacing w:after="0" w:line="231" w:lineRule="auto"/>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3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lowerRoman"/>
      <w:start w:val="1"/>
    </w:lvl>
  </w:abstractNum>
  <w:abstractNum w:abstractNumId="22">
    <w:nsid w:val="5072367"/>
    <w:multiLevelType w:val="hybridMultilevel"/>
    <w:lvl w:ilvl="0">
      <w:lvlJc w:val="left"/>
      <w:lvlText w:val="(%1)"/>
      <w:numFmt w:val="lowerRoman"/>
      <w:start w:val="7"/>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lvl w:ilvl="1">
      <w:lvlJc w:val="left"/>
      <w:lvlText w:val="(%2)"/>
      <w:numFmt w:val="lowerRoman"/>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lowerRoman"/>
      <w:start w:val="3"/>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lowerRoman"/>
      <w:start w:val="3"/>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2020-10-30T15:25:02Z</dcterms:created>
  <dcterms:modified xsi:type="dcterms:W3CDTF">2020-10-30T15:25:02Z</dcterms:modified>
</cp:coreProperties>
</file>