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0"/>
          <w:szCs w:val="20"/>
          <w:color w:val="auto"/>
        </w:rPr>
        <w:t>SECURITIES AND EXCHANGE COMMISSION</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20"/>
          <w:szCs w:val="20"/>
          <w:color w:val="auto"/>
        </w:rPr>
        <w:t>Washington, D.C. 20549</w:t>
      </w:r>
    </w:p>
    <w:p>
      <w:pPr>
        <w:spacing w:after="0" w:line="16" w:lineRule="exact"/>
        <w:rPr>
          <w:sz w:val="24"/>
          <w:szCs w:val="24"/>
          <w:color w:val="auto"/>
        </w:rPr>
      </w:pPr>
    </w:p>
    <w:p>
      <w:pPr>
        <w:ind w:left="4920"/>
        <w:spacing w:after="0"/>
        <w:rPr>
          <w:sz w:val="20"/>
          <w:szCs w:val="20"/>
          <w:color w:val="auto"/>
        </w:rPr>
      </w:pPr>
      <w:r>
        <w:rPr>
          <w:rFonts w:ascii="Arial" w:cs="Arial" w:eastAsia="Arial" w:hAnsi="Arial"/>
          <w:sz w:val="20"/>
          <w:szCs w:val="20"/>
          <w:color w:val="auto"/>
        </w:rPr>
        <w:t>_______________</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SCHEDULE 13D</w:t>
      </w:r>
    </w:p>
    <w:p>
      <w:pPr>
        <w:spacing w:after="0" w:line="229" w:lineRule="exact"/>
        <w:rPr>
          <w:sz w:val="24"/>
          <w:szCs w:val="24"/>
          <w:color w:val="auto"/>
        </w:rPr>
      </w:pPr>
    </w:p>
    <w:p>
      <w:pPr>
        <w:jc w:val="center"/>
        <w:ind w:left="320" w:right="2420"/>
        <w:spacing w:after="0" w:line="250" w:lineRule="auto"/>
        <w:rPr>
          <w:sz w:val="20"/>
          <w:szCs w:val="20"/>
          <w:color w:val="auto"/>
        </w:rPr>
      </w:pPr>
      <w:r>
        <w:rPr>
          <w:rFonts w:ascii="Arial" w:cs="Arial" w:eastAsia="Arial" w:hAnsi="Arial"/>
          <w:sz w:val="20"/>
          <w:szCs w:val="20"/>
          <w:color w:val="auto"/>
        </w:rPr>
        <w:t>INFORMATION TO BE INCLUDED IN STATEMENTS FILED PURSUANT TO RULE 13d-1(a) AND AMENDMENTS THERETO FILED PURSUANT TO RULE 13d-2(a)</w:t>
      </w:r>
    </w:p>
    <w:p>
      <w:pPr>
        <w:spacing w:after="0" w:line="200"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(Amendment No. )</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Bloomin'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094235108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Eleazer Klein, Esq.</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Marc Weingarten, Esq.</w:t>
      </w:r>
    </w:p>
    <w:p>
      <w:pPr>
        <w:jc w:val="center"/>
        <w:ind w:right="-59"/>
        <w:spacing w:after="0"/>
        <w:rPr>
          <w:sz w:val="20"/>
          <w:szCs w:val="20"/>
          <w:color w:val="auto"/>
        </w:rPr>
      </w:pPr>
      <w:r>
        <w:rPr>
          <w:rFonts w:ascii="Arial" w:cs="Arial" w:eastAsia="Arial" w:hAnsi="Arial"/>
          <w:sz w:val="20"/>
          <w:szCs w:val="20"/>
          <w:color w:val="auto"/>
        </w:rPr>
        <w:t>919 Third Avenue</w:t>
      </w:r>
    </w:p>
    <w:p>
      <w:pPr>
        <w:jc w:val="center"/>
        <w:ind w:right="-59"/>
        <w:spacing w:after="0"/>
        <w:rPr>
          <w:sz w:val="20"/>
          <w:szCs w:val="20"/>
          <w:color w:val="auto"/>
        </w:rPr>
      </w:pPr>
      <w:r>
        <w:rPr>
          <w:rFonts w:ascii="Arial" w:cs="Arial" w:eastAsia="Arial" w:hAnsi="Arial"/>
          <w:sz w:val="20"/>
          <w:szCs w:val="20"/>
          <w:color w:val="auto"/>
        </w:rPr>
        <w:t>New York, New York 10022</w:t>
      </w:r>
    </w:p>
    <w:p>
      <w:pPr>
        <w:jc w:val="center"/>
        <w:ind w:right="-59"/>
        <w:spacing w:after="0"/>
        <w:rPr>
          <w:sz w:val="20"/>
          <w:szCs w:val="20"/>
          <w:color w:val="auto"/>
        </w:rPr>
      </w:pPr>
      <w:r>
        <w:rPr>
          <w:rFonts w:ascii="Arial" w:cs="Arial" w:eastAsia="Arial" w:hAnsi="Arial"/>
          <w:sz w:val="20"/>
          <w:szCs w:val="20"/>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(Name, Address and Telephone Number of Person</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Authorized to Receive Notices and Communications)</w:t>
      </w:r>
    </w:p>
    <w:p>
      <w:pPr>
        <w:spacing w:after="0" w:line="213" w:lineRule="exact"/>
        <w:rPr>
          <w:sz w:val="24"/>
          <w:szCs w:val="24"/>
          <w:color w:val="auto"/>
        </w:rPr>
      </w:pPr>
    </w:p>
    <w:p>
      <w:pPr>
        <w:ind w:left="4920"/>
        <w:spacing w:after="0"/>
        <w:rPr>
          <w:sz w:val="20"/>
          <w:szCs w:val="20"/>
          <w:color w:val="auto"/>
        </w:rPr>
      </w:pPr>
      <w:r>
        <w:rPr>
          <w:rFonts w:ascii="Arial" w:cs="Arial" w:eastAsia="Arial" w:hAnsi="Arial"/>
          <w:sz w:val="20"/>
          <w:szCs w:val="20"/>
          <w:color w:val="auto"/>
        </w:rPr>
        <w:t>November 10,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20"/>
          <w:szCs w:val="20"/>
          <w:color w:val="auto"/>
        </w:rPr>
        <w:t>(Date of Event which Requires</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Filing of this Schedule)</w:t>
      </w:r>
    </w:p>
    <w:p>
      <w:pPr>
        <w:spacing w:after="0" w:line="216"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13d-1(f) or 13d-1(g), check the following box. [ ]</w:t>
      </w:r>
    </w:p>
    <w:p>
      <w:pPr>
        <w:spacing w:after="0" w:line="166"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(Page 1 of 9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ind w:right="60"/>
        <w:spacing w:after="0" w:line="323"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60"/>
          </w:cols>
          <w:pgMar w:left="240" w:top="231"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6"/>
        </w:trPr>
        <w:tc>
          <w:tcPr>
            <w:tcW w:w="188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CUSIP No. </w:t>
            </w:r>
            <w:r>
              <w:rPr>
                <w:rFonts w:ascii="Arial" w:cs="Arial" w:eastAsia="Arial" w:hAnsi="Arial"/>
                <w:sz w:val="19"/>
                <w:szCs w:val="19"/>
                <w:b w:val="1"/>
                <w:bCs w:val="1"/>
                <w:color w:val="auto"/>
                <w:w w:val="94"/>
              </w:rPr>
              <w:t>094235108</w:t>
            </w:r>
          </w:p>
        </w:tc>
        <w:tc>
          <w:tcPr>
            <w:tcW w:w="6400" w:type="dxa"/>
            <w:vAlign w:val="bottom"/>
          </w:tcPr>
          <w:p>
            <w:pPr>
              <w:ind w:left="3160"/>
              <w:spacing w:after="0"/>
              <w:rPr>
                <w:sz w:val="20"/>
                <w:szCs w:val="20"/>
                <w:color w:val="auto"/>
              </w:rPr>
            </w:pPr>
            <w:r>
              <w:rPr>
                <w:rFonts w:ascii="Arial" w:cs="Arial" w:eastAsia="Arial" w:hAnsi="Arial"/>
                <w:sz w:val="18"/>
                <w:szCs w:val="18"/>
                <w:b w:val="1"/>
                <w:bCs w:val="1"/>
                <w:color w:val="auto"/>
              </w:rPr>
              <w:t>SCHEDULE 13D</w:t>
            </w:r>
          </w:p>
        </w:tc>
        <w:tc>
          <w:tcPr>
            <w:tcW w:w="3140" w:type="dxa"/>
            <w:vAlign w:val="bottom"/>
          </w:tcPr>
          <w:p>
            <w:pPr>
              <w:ind w:left="1820"/>
              <w:spacing w:after="0"/>
              <w:rPr>
                <w:sz w:val="20"/>
                <w:szCs w:val="20"/>
                <w:color w:val="auto"/>
              </w:rPr>
            </w:pPr>
            <w:r>
              <w:rPr>
                <w:rFonts w:ascii="Arial" w:cs="Arial" w:eastAsia="Arial" w:hAnsi="Arial"/>
                <w:sz w:val="18"/>
                <w:szCs w:val="18"/>
                <w:b w:val="1"/>
                <w:bCs w:val="1"/>
                <w:color w:val="auto"/>
                <w:w w:val="84"/>
              </w:rPr>
              <w:t>Page 2 of 9 Pages</w:t>
            </w:r>
          </w:p>
        </w:tc>
        <w:tc>
          <w:tcPr>
            <w:tcW w:w="0" w:type="dxa"/>
            <w:vAlign w:val="bottom"/>
          </w:tcPr>
          <w:p>
            <w:pPr>
              <w:spacing w:after="0"/>
              <w:rPr>
                <w:sz w:val="1"/>
                <w:szCs w:val="1"/>
                <w:color w:val="auto"/>
              </w:rPr>
            </w:pPr>
          </w:p>
        </w:tc>
      </w:tr>
      <w:tr>
        <w:trPr>
          <w:trHeight w:val="334"/>
        </w:trPr>
        <w:tc>
          <w:tcPr>
            <w:tcW w:w="188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1</w:t>
            </w:r>
          </w:p>
        </w:tc>
        <w:tc>
          <w:tcPr>
            <w:tcW w:w="640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6400" w:type="dxa"/>
            <w:vAlign w:val="bottom"/>
            <w:vMerge w:val="restart"/>
          </w:tcPr>
          <w:p>
            <w:pPr>
              <w:ind w:left="420"/>
              <w:spacing w:after="0"/>
              <w:rPr>
                <w:sz w:val="20"/>
                <w:szCs w:val="20"/>
                <w:color w:val="auto"/>
              </w:rPr>
            </w:pPr>
            <w:r>
              <w:rPr>
                <w:rFonts w:ascii="Arial" w:cs="Arial" w:eastAsia="Arial" w:hAnsi="Arial"/>
                <w:sz w:val="20"/>
                <w:szCs w:val="20"/>
                <w:color w:val="auto"/>
              </w:rPr>
              <w:t>JANA PARTNERS LLC</w:t>
            </w: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8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right"/>
              <w:ind w:right="754"/>
              <w:spacing w:after="0" w:line="296" w:lineRule="exact"/>
              <w:rPr>
                <w:sz w:val="20"/>
                <w:szCs w:val="20"/>
                <w:color w:val="auto"/>
              </w:rPr>
            </w:pPr>
            <w:r>
              <w:rPr>
                <w:rFonts w:ascii="Arial" w:cs="Arial" w:eastAsia="Arial" w:hAnsi="Arial"/>
                <w:sz w:val="29"/>
                <w:szCs w:val="29"/>
                <w:b w:val="1"/>
                <w:bCs w:val="1"/>
                <w:color w:val="auto"/>
              </w:rPr>
              <w:t>2</w:t>
            </w:r>
          </w:p>
        </w:tc>
        <w:tc>
          <w:tcPr>
            <w:tcW w:w="640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140" w:type="dxa"/>
            <w:vAlign w:val="bottom"/>
            <w:vMerge w:val="restart"/>
          </w:tcPr>
          <w:p>
            <w:pPr>
              <w:ind w:left="188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52"/>
        </w:trPr>
        <w:tc>
          <w:tcPr>
            <w:tcW w:w="1880" w:type="dxa"/>
            <w:vAlign w:val="bottom"/>
            <w:vMerge w:val="continue"/>
          </w:tcPr>
          <w:p>
            <w:pPr>
              <w:spacing w:after="0"/>
              <w:rPr>
                <w:sz w:val="4"/>
                <w:szCs w:val="4"/>
                <w:color w:val="auto"/>
              </w:rPr>
            </w:pPr>
          </w:p>
        </w:tc>
        <w:tc>
          <w:tcPr>
            <w:tcW w:w="6400" w:type="dxa"/>
            <w:vAlign w:val="bottom"/>
          </w:tcPr>
          <w:p>
            <w:pPr>
              <w:spacing w:after="0"/>
              <w:rPr>
                <w:sz w:val="4"/>
                <w:szCs w:val="4"/>
                <w:color w:val="auto"/>
              </w:rPr>
            </w:pPr>
          </w:p>
        </w:tc>
        <w:tc>
          <w:tcPr>
            <w:tcW w:w="3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8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140" w:type="dxa"/>
            <w:vAlign w:val="bottom"/>
          </w:tcPr>
          <w:p>
            <w:pPr>
              <w:ind w:left="188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246620" cy="5222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222875"/>
                    </a:xfrm>
                    <a:prstGeom prst="rect">
                      <a:avLst/>
                    </a:prstGeom>
                    <a:noFill/>
                  </pic:spPr>
                </pic:pic>
              </a:graphicData>
            </a:graphic>
          </wp:anchor>
        </w:drawing>
      </w:r>
    </w:p>
    <w:p>
      <w:pPr>
        <w:ind w:left="1960" w:hanging="1099"/>
        <w:spacing w:after="0" w:line="182" w:lineRule="auto"/>
        <w:tabs>
          <w:tab w:leader="none" w:pos="1960" w:val="left"/>
        </w:tabs>
        <w:numPr>
          <w:ilvl w:val="0"/>
          <w:numId w:val="1"/>
        </w:numPr>
        <w:rPr>
          <w:rFonts w:ascii="Arial" w:cs="Arial" w:eastAsia="Arial" w:hAnsi="Arial"/>
          <w:sz w:val="22"/>
          <w:szCs w:val="22"/>
          <w:b w:val="1"/>
          <w:bCs w:val="1"/>
          <w:color w:val="auto"/>
          <w:vertAlign w:val="subscript"/>
        </w:rPr>
      </w:pPr>
      <w:r>
        <w:rPr>
          <w:rFonts w:ascii="Arial" w:cs="Arial" w:eastAsia="Arial" w:hAnsi="Arial"/>
          <w:sz w:val="12"/>
          <w:szCs w:val="12"/>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600" w:type="dxa"/>
            <w:vAlign w:val="bottom"/>
            <w:gridSpan w:val="2"/>
          </w:tcPr>
          <w:p>
            <w:pPr>
              <w:ind w:left="120"/>
              <w:spacing w:after="0"/>
              <w:rPr>
                <w:sz w:val="20"/>
                <w:szCs w:val="20"/>
                <w:color w:val="auto"/>
              </w:rPr>
            </w:pPr>
            <w:r>
              <w:rPr>
                <w:rFonts w:ascii="Arial" w:cs="Arial" w:eastAsia="Arial" w:hAnsi="Arial"/>
                <w:sz w:val="16"/>
                <w:szCs w:val="16"/>
                <w:color w:val="auto"/>
                <w:w w:val="94"/>
              </w:rPr>
              <w:t>SOURCE OF FUNDS</w:t>
            </w:r>
          </w:p>
        </w:tc>
        <w:tc>
          <w:tcPr>
            <w:tcW w:w="6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AF</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8000" w:type="dxa"/>
            <w:vAlign w:val="bottom"/>
            <w:tcBorders>
              <w:bottom w:val="single" w:sz="8" w:color="auto"/>
            </w:tcBorders>
            <w:gridSpan w:val="3"/>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5</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CHECK BOX IF DISCLOSURE OF LEGAL PROCEEDING IS REQUIRED PURSUANT TO ITEMS 2(d) or 2(e)</w:t>
            </w:r>
          </w:p>
        </w:tc>
        <w:tc>
          <w:tcPr>
            <w:tcW w:w="1580" w:type="dxa"/>
            <w:vAlign w:val="bottom"/>
            <w:vMerge w:val="restart"/>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40" w:type="dxa"/>
            <w:vAlign w:val="bottom"/>
            <w:tcBorders>
              <w:bottom w:val="single" w:sz="8" w:color="auto"/>
            </w:tcBorders>
          </w:tcPr>
          <w:p>
            <w:pPr>
              <w:spacing w:after="0"/>
              <w:rPr>
                <w:sz w:val="8"/>
                <w:szCs w:val="8"/>
                <w:color w:val="auto"/>
              </w:rPr>
            </w:pPr>
          </w:p>
        </w:tc>
        <w:tc>
          <w:tcPr>
            <w:tcW w:w="8000" w:type="dxa"/>
            <w:vAlign w:val="bottom"/>
            <w:tcBorders>
              <w:bottom w:val="single" w:sz="8" w:color="auto"/>
            </w:tcBorders>
            <w:gridSpan w:val="3"/>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Delaware</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8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7,980,480 Shares</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40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40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7,980,480 Shares</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4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6480" w:type="dxa"/>
            <w:vAlign w:val="bottom"/>
            <w:tcBorders>
              <w:bottom w:val="single" w:sz="8" w:color="auto"/>
            </w:tcBorders>
            <w:gridSpan w:val="2"/>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000" w:type="dxa"/>
            <w:vAlign w:val="bottom"/>
            <w:gridSpan w:val="3"/>
            <w:vMerge w:val="restart"/>
          </w:tcPr>
          <w:p>
            <w:pPr>
              <w:ind w:left="460"/>
              <w:spacing w:after="0"/>
              <w:rPr>
                <w:sz w:val="20"/>
                <w:szCs w:val="20"/>
                <w:color w:val="auto"/>
              </w:rPr>
            </w:pPr>
            <w:r>
              <w:rPr>
                <w:rFonts w:ascii="Arial" w:cs="Arial" w:eastAsia="Arial" w:hAnsi="Arial"/>
                <w:sz w:val="20"/>
                <w:szCs w:val="20"/>
                <w:color w:val="auto"/>
              </w:rPr>
              <w:t>7,980,480 Shares</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00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80" w:type="dxa"/>
            <w:vAlign w:val="bottom"/>
            <w:tcBorders>
              <w:bottom w:val="single" w:sz="8" w:color="auto"/>
            </w:tcBorders>
            <w:gridSpan w:val="2"/>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80" w:type="dxa"/>
            <w:vAlign w:val="bottom"/>
            <w:vMerge w:val="restart"/>
          </w:tcPr>
          <w:p>
            <w:pPr>
              <w:ind w:left="44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480" w:type="dxa"/>
            <w:vAlign w:val="bottom"/>
            <w:tcBorders>
              <w:bottom w:val="single" w:sz="8" w:color="auto"/>
            </w:tcBorders>
            <w:gridSpan w:val="2"/>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13</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(11) (see Item 5)</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8.74%</w:t>
            </w:r>
          </w:p>
        </w:tc>
        <w:tc>
          <w:tcPr>
            <w:tcW w:w="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80" w:type="dxa"/>
            <w:vAlign w:val="bottom"/>
            <w:tcBorders>
              <w:bottom w:val="single" w:sz="8" w:color="auto"/>
            </w:tcBorders>
            <w:gridSpan w:val="2"/>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14</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IA</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5"/>
              </w:rPr>
              <w:t xml:space="preserve">CUSIP No. </w:t>
            </w:r>
            <w:r>
              <w:rPr>
                <w:rFonts w:ascii="Arial" w:cs="Arial" w:eastAsia="Arial" w:hAnsi="Arial"/>
                <w:sz w:val="19"/>
                <w:szCs w:val="19"/>
                <w:b w:val="1"/>
                <w:bCs w:val="1"/>
                <w:color w:val="auto"/>
                <w:w w:val="95"/>
              </w:rPr>
              <w:t>094235108</w:t>
            </w:r>
          </w:p>
        </w:tc>
        <w:tc>
          <w:tcPr>
            <w:tcW w:w="6400" w:type="dxa"/>
            <w:vAlign w:val="bottom"/>
          </w:tcPr>
          <w:p>
            <w:pPr>
              <w:ind w:left="3160"/>
              <w:spacing w:after="0"/>
              <w:rPr>
                <w:sz w:val="20"/>
                <w:szCs w:val="20"/>
                <w:color w:val="auto"/>
              </w:rPr>
            </w:pPr>
            <w:r>
              <w:rPr>
                <w:rFonts w:ascii="Arial" w:cs="Arial" w:eastAsia="Arial" w:hAnsi="Arial"/>
                <w:sz w:val="18"/>
                <w:szCs w:val="18"/>
                <w:b w:val="1"/>
                <w:bCs w:val="1"/>
                <w:color w:val="auto"/>
              </w:rPr>
              <w:t>SCHEDULE 13D</w:t>
            </w:r>
          </w:p>
        </w:tc>
        <w:tc>
          <w:tcPr>
            <w:tcW w:w="3140" w:type="dxa"/>
            <w:vAlign w:val="bottom"/>
          </w:tcPr>
          <w:p>
            <w:pPr>
              <w:ind w:left="1820"/>
              <w:spacing w:after="0"/>
              <w:rPr>
                <w:sz w:val="20"/>
                <w:szCs w:val="20"/>
                <w:color w:val="auto"/>
              </w:rPr>
            </w:pPr>
            <w:r>
              <w:rPr>
                <w:rFonts w:ascii="Arial" w:cs="Arial" w:eastAsia="Arial" w:hAnsi="Arial"/>
                <w:sz w:val="18"/>
                <w:szCs w:val="18"/>
                <w:b w:val="1"/>
                <w:bCs w:val="1"/>
                <w:color w:val="auto"/>
                <w:w w:val="84"/>
              </w:rPr>
              <w:t>Page 3 of 9 Pages</w:t>
            </w:r>
          </w:p>
        </w:tc>
        <w:tc>
          <w:tcPr>
            <w:tcW w:w="0" w:type="dxa"/>
            <w:vAlign w:val="bottom"/>
          </w:tcPr>
          <w:p>
            <w:pPr>
              <w:spacing w:after="0"/>
              <w:rPr>
                <w:sz w:val="1"/>
                <w:szCs w:val="1"/>
                <w:color w:val="auto"/>
              </w:rPr>
            </w:pPr>
          </w:p>
        </w:tc>
      </w:tr>
      <w:tr>
        <w:trPr>
          <w:trHeight w:val="334"/>
        </w:trPr>
        <w:tc>
          <w:tcPr>
            <w:tcW w:w="188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400" w:type="dxa"/>
            <w:vAlign w:val="bottom"/>
          </w:tcPr>
          <w:p>
            <w:pPr>
              <w:ind w:left="80"/>
              <w:spacing w:after="0"/>
              <w:rPr>
                <w:sz w:val="20"/>
                <w:szCs w:val="20"/>
                <w:color w:val="auto"/>
              </w:rPr>
            </w:pPr>
            <w:r>
              <w:rPr>
                <w:rFonts w:ascii="Arial" w:cs="Arial" w:eastAsia="Arial" w:hAnsi="Arial"/>
                <w:sz w:val="16"/>
                <w:szCs w:val="16"/>
                <w:color w:val="auto"/>
              </w:rPr>
              <w:t>NAME OF REPORTING PERSONS</w:t>
            </w: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80" w:type="dxa"/>
            <w:vAlign w:val="bottom"/>
            <w:vMerge w:val="continue"/>
          </w:tcPr>
          <w:p>
            <w:pPr>
              <w:spacing w:after="0"/>
              <w:rPr>
                <w:sz w:val="13"/>
                <w:szCs w:val="13"/>
                <w:color w:val="auto"/>
              </w:rPr>
            </w:pPr>
          </w:p>
        </w:tc>
        <w:tc>
          <w:tcPr>
            <w:tcW w:w="6400" w:type="dxa"/>
            <w:vAlign w:val="bottom"/>
            <w:vMerge w:val="restart"/>
          </w:tcPr>
          <w:p>
            <w:pPr>
              <w:ind w:left="80"/>
              <w:spacing w:after="0"/>
              <w:rPr>
                <w:sz w:val="20"/>
                <w:szCs w:val="20"/>
                <w:color w:val="auto"/>
              </w:rPr>
            </w:pPr>
            <w:r>
              <w:rPr>
                <w:rFonts w:ascii="Arial" w:cs="Arial" w:eastAsia="Arial" w:hAnsi="Arial"/>
                <w:sz w:val="20"/>
                <w:szCs w:val="20"/>
                <w:color w:val="auto"/>
              </w:rPr>
              <w:t>GLENN K. MURPHY</w:t>
            </w:r>
          </w:p>
        </w:tc>
        <w:tc>
          <w:tcPr>
            <w:tcW w:w="3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880" w:type="dxa"/>
            <w:vAlign w:val="bottom"/>
            <w:tcBorders>
              <w:bottom w:val="single" w:sz="8" w:color="auto"/>
            </w:tcBorders>
          </w:tcPr>
          <w:p>
            <w:pPr>
              <w:spacing w:after="0"/>
              <w:rPr>
                <w:sz w:val="11"/>
                <w:szCs w:val="11"/>
                <w:color w:val="auto"/>
              </w:rPr>
            </w:pPr>
          </w:p>
        </w:tc>
        <w:tc>
          <w:tcPr>
            <w:tcW w:w="6400" w:type="dxa"/>
            <w:vAlign w:val="bottom"/>
            <w:tcBorders>
              <w:bottom w:val="single" w:sz="8" w:color="auto"/>
            </w:tcBorders>
            <w:vMerge w:val="continue"/>
          </w:tcPr>
          <w:p>
            <w:pPr>
              <w:spacing w:after="0"/>
              <w:rPr>
                <w:sz w:val="11"/>
                <w:szCs w:val="11"/>
                <w:color w:val="auto"/>
              </w:rPr>
            </w:pPr>
          </w:p>
        </w:tc>
        <w:tc>
          <w:tcPr>
            <w:tcW w:w="3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center"/>
              <w:spacing w:after="0" w:line="296" w:lineRule="exact"/>
              <w:rPr>
                <w:sz w:val="20"/>
                <w:szCs w:val="20"/>
                <w:color w:val="auto"/>
              </w:rPr>
            </w:pPr>
            <w:r>
              <w:rPr>
                <w:rFonts w:ascii="Arial" w:cs="Arial" w:eastAsia="Arial" w:hAnsi="Arial"/>
                <w:sz w:val="29"/>
                <w:szCs w:val="29"/>
                <w:b w:val="1"/>
                <w:bCs w:val="1"/>
                <w:color w:val="auto"/>
                <w:w w:val="86"/>
              </w:rPr>
              <w:t>2</w:t>
            </w:r>
          </w:p>
        </w:tc>
        <w:tc>
          <w:tcPr>
            <w:tcW w:w="640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140" w:type="dxa"/>
            <w:vAlign w:val="bottom"/>
            <w:vMerge w:val="restart"/>
          </w:tcPr>
          <w:p>
            <w:pPr>
              <w:ind w:left="188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52"/>
        </w:trPr>
        <w:tc>
          <w:tcPr>
            <w:tcW w:w="1880" w:type="dxa"/>
            <w:vAlign w:val="bottom"/>
            <w:vMerge w:val="continue"/>
          </w:tcPr>
          <w:p>
            <w:pPr>
              <w:spacing w:after="0"/>
              <w:rPr>
                <w:sz w:val="4"/>
                <w:szCs w:val="4"/>
                <w:color w:val="auto"/>
              </w:rPr>
            </w:pPr>
          </w:p>
        </w:tc>
        <w:tc>
          <w:tcPr>
            <w:tcW w:w="6400" w:type="dxa"/>
            <w:vAlign w:val="bottom"/>
          </w:tcPr>
          <w:p>
            <w:pPr>
              <w:spacing w:after="0"/>
              <w:rPr>
                <w:sz w:val="4"/>
                <w:szCs w:val="4"/>
                <w:color w:val="auto"/>
              </w:rPr>
            </w:pPr>
          </w:p>
        </w:tc>
        <w:tc>
          <w:tcPr>
            <w:tcW w:w="3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8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140" w:type="dxa"/>
            <w:vAlign w:val="bottom"/>
          </w:tcPr>
          <w:p>
            <w:pPr>
              <w:ind w:left="188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-748030</wp:posOffset>
            </wp:positionV>
            <wp:extent cx="7246620" cy="5188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188585"/>
                    </a:xfrm>
                    <a:prstGeom prst="rect">
                      <a:avLst/>
                    </a:prstGeom>
                    <a:noFill/>
                  </pic:spPr>
                </pic:pic>
              </a:graphicData>
            </a:graphic>
          </wp:anchor>
        </w:drawing>
      </w:r>
    </w:p>
    <w:p>
      <w:pPr>
        <w:ind w:left="1960" w:hanging="1099"/>
        <w:spacing w:after="0" w:line="182" w:lineRule="auto"/>
        <w:tabs>
          <w:tab w:leader="none" w:pos="1960" w:val="left"/>
        </w:tabs>
        <w:numPr>
          <w:ilvl w:val="0"/>
          <w:numId w:val="2"/>
        </w:numPr>
        <w:rPr>
          <w:rFonts w:ascii="Arial" w:cs="Arial" w:eastAsia="Arial" w:hAnsi="Arial"/>
          <w:sz w:val="22"/>
          <w:szCs w:val="22"/>
          <w:b w:val="1"/>
          <w:bCs w:val="1"/>
          <w:color w:val="auto"/>
          <w:vertAlign w:val="subscript"/>
        </w:rPr>
      </w:pPr>
      <w:r>
        <w:rPr>
          <w:rFonts w:ascii="Arial" w:cs="Arial" w:eastAsia="Arial" w:hAnsi="Arial"/>
          <w:sz w:val="12"/>
          <w:szCs w:val="12"/>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600" w:type="dxa"/>
            <w:vAlign w:val="bottom"/>
            <w:gridSpan w:val="2"/>
          </w:tcPr>
          <w:p>
            <w:pPr>
              <w:ind w:left="120"/>
              <w:spacing w:after="0"/>
              <w:rPr>
                <w:sz w:val="20"/>
                <w:szCs w:val="20"/>
                <w:color w:val="auto"/>
              </w:rPr>
            </w:pPr>
            <w:r>
              <w:rPr>
                <w:rFonts w:ascii="Arial" w:cs="Arial" w:eastAsia="Arial" w:hAnsi="Arial"/>
                <w:sz w:val="16"/>
                <w:szCs w:val="16"/>
                <w:color w:val="auto"/>
                <w:w w:val="94"/>
              </w:rPr>
              <w:t>SOURCE OF FUNDS</w:t>
            </w:r>
          </w:p>
        </w:tc>
        <w:tc>
          <w:tcPr>
            <w:tcW w:w="6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960" w:type="dxa"/>
            <w:vAlign w:val="bottom"/>
            <w:gridSpan w:val="3"/>
            <w:vMerge w:val="restart"/>
          </w:tcPr>
          <w:p>
            <w:pPr>
              <w:ind w:left="460"/>
              <w:spacing w:after="0"/>
              <w:rPr>
                <w:sz w:val="20"/>
                <w:szCs w:val="20"/>
                <w:color w:val="auto"/>
              </w:rPr>
            </w:pPr>
            <w:r>
              <w:rPr>
                <w:rFonts w:ascii="Arial" w:cs="Arial" w:eastAsia="Arial" w:hAnsi="Arial"/>
                <w:sz w:val="20"/>
                <w:szCs w:val="20"/>
                <w:color w:val="auto"/>
              </w:rPr>
              <w:t>PF (See Item 3)</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796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7960" w:type="dxa"/>
            <w:vAlign w:val="bottom"/>
            <w:tcBorders>
              <w:bottom w:val="single" w:sz="8" w:color="auto"/>
            </w:tcBorders>
            <w:gridSpan w:val="3"/>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5</w:t>
            </w:r>
          </w:p>
        </w:tc>
        <w:tc>
          <w:tcPr>
            <w:tcW w:w="7960" w:type="dxa"/>
            <w:vAlign w:val="bottom"/>
            <w:gridSpan w:val="3"/>
          </w:tcPr>
          <w:p>
            <w:pPr>
              <w:ind w:left="120"/>
              <w:spacing w:after="0"/>
              <w:rPr>
                <w:sz w:val="20"/>
                <w:szCs w:val="20"/>
                <w:color w:val="auto"/>
              </w:rPr>
            </w:pPr>
            <w:r>
              <w:rPr>
                <w:rFonts w:ascii="Arial" w:cs="Arial" w:eastAsia="Arial" w:hAnsi="Arial"/>
                <w:sz w:val="16"/>
                <w:szCs w:val="16"/>
                <w:color w:val="auto"/>
              </w:rPr>
              <w:t>CHECK BOX IF DISCLOSURE OF LEGAL PROCEEDING IS REQUIRED PURSUANT TO ITEM 2(d) or 2(e)</w:t>
            </w:r>
          </w:p>
        </w:tc>
        <w:tc>
          <w:tcPr>
            <w:tcW w:w="162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40" w:type="dxa"/>
            <w:vAlign w:val="bottom"/>
            <w:tcBorders>
              <w:bottom w:val="single" w:sz="8" w:color="auto"/>
            </w:tcBorders>
          </w:tcPr>
          <w:p>
            <w:pPr>
              <w:spacing w:after="0"/>
              <w:rPr>
                <w:sz w:val="8"/>
                <w:szCs w:val="8"/>
                <w:color w:val="auto"/>
              </w:rPr>
            </w:pPr>
          </w:p>
        </w:tc>
        <w:tc>
          <w:tcPr>
            <w:tcW w:w="7960" w:type="dxa"/>
            <w:vAlign w:val="bottom"/>
            <w:tcBorders>
              <w:bottom w:val="single" w:sz="8" w:color="auto"/>
            </w:tcBorders>
            <w:gridSpan w:val="3"/>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796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Canada</w:t>
            </w:r>
          </w:p>
        </w:tc>
        <w:tc>
          <w:tcPr>
            <w:tcW w:w="6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80" w:type="dxa"/>
            <w:vAlign w:val="bottom"/>
          </w:tcPr>
          <w:p>
            <w:pPr>
              <w:spacing w:after="0"/>
              <w:rPr>
                <w:sz w:val="20"/>
                <w:szCs w:val="20"/>
                <w:color w:val="auto"/>
              </w:rPr>
            </w:pPr>
          </w:p>
        </w:tc>
        <w:tc>
          <w:tcPr>
            <w:tcW w:w="636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150,000 Shares</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150,000 Shares</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6440" w:type="dxa"/>
            <w:vAlign w:val="bottom"/>
            <w:tcBorders>
              <w:bottom w:val="single" w:sz="8" w:color="auto"/>
            </w:tcBorders>
            <w:gridSpan w:val="2"/>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96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960" w:type="dxa"/>
            <w:vAlign w:val="bottom"/>
            <w:gridSpan w:val="3"/>
            <w:vMerge w:val="restart"/>
          </w:tcPr>
          <w:p>
            <w:pPr>
              <w:ind w:left="460"/>
              <w:spacing w:after="0"/>
              <w:rPr>
                <w:sz w:val="20"/>
                <w:szCs w:val="20"/>
                <w:color w:val="auto"/>
              </w:rPr>
            </w:pPr>
            <w:r>
              <w:rPr>
                <w:rFonts w:ascii="Arial" w:cs="Arial" w:eastAsia="Arial" w:hAnsi="Arial"/>
                <w:sz w:val="20"/>
                <w:szCs w:val="20"/>
                <w:color w:val="auto"/>
              </w:rPr>
              <w:t>150,000 Shares</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796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gridSpan w:val="2"/>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960" w:type="dxa"/>
            <w:vAlign w:val="bottom"/>
            <w:gridSpan w:val="3"/>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620" w:type="dxa"/>
            <w:vAlign w:val="bottom"/>
            <w:vMerge w:val="restart"/>
          </w:tcPr>
          <w:p>
            <w:pPr>
              <w:ind w:left="48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440" w:type="dxa"/>
            <w:vAlign w:val="bottom"/>
            <w:tcBorders>
              <w:bottom w:val="single" w:sz="8" w:color="auto"/>
            </w:tcBorders>
            <w:gridSpan w:val="2"/>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13</w:t>
            </w:r>
          </w:p>
        </w:tc>
        <w:tc>
          <w:tcPr>
            <w:tcW w:w="796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(11) (see Item 5)</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0.16%</w:t>
            </w:r>
          </w:p>
        </w:tc>
        <w:tc>
          <w:tcPr>
            <w:tcW w:w="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gridSpan w:val="2"/>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14</w:t>
            </w:r>
          </w:p>
        </w:tc>
        <w:tc>
          <w:tcPr>
            <w:tcW w:w="796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IN</w:t>
            </w:r>
          </w:p>
        </w:tc>
        <w:tc>
          <w:tcPr>
            <w:tcW w:w="6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5"/>
              </w:rPr>
              <w:t xml:space="preserve">CUSIP No. </w:t>
            </w:r>
            <w:r>
              <w:rPr>
                <w:rFonts w:ascii="Arial" w:cs="Arial" w:eastAsia="Arial" w:hAnsi="Arial"/>
                <w:sz w:val="19"/>
                <w:szCs w:val="19"/>
                <w:b w:val="1"/>
                <w:bCs w:val="1"/>
                <w:color w:val="auto"/>
                <w:w w:val="95"/>
              </w:rPr>
              <w:t>094235108</w:t>
            </w:r>
          </w:p>
        </w:tc>
        <w:tc>
          <w:tcPr>
            <w:tcW w:w="6400" w:type="dxa"/>
            <w:vAlign w:val="bottom"/>
          </w:tcPr>
          <w:p>
            <w:pPr>
              <w:ind w:left="3160"/>
              <w:spacing w:after="0"/>
              <w:rPr>
                <w:sz w:val="20"/>
                <w:szCs w:val="20"/>
                <w:color w:val="auto"/>
              </w:rPr>
            </w:pPr>
            <w:r>
              <w:rPr>
                <w:rFonts w:ascii="Arial" w:cs="Arial" w:eastAsia="Arial" w:hAnsi="Arial"/>
                <w:sz w:val="18"/>
                <w:szCs w:val="18"/>
                <w:b w:val="1"/>
                <w:bCs w:val="1"/>
                <w:color w:val="auto"/>
              </w:rPr>
              <w:t>SCHEDULE 13D</w:t>
            </w:r>
          </w:p>
        </w:tc>
        <w:tc>
          <w:tcPr>
            <w:tcW w:w="3140" w:type="dxa"/>
            <w:vAlign w:val="bottom"/>
          </w:tcPr>
          <w:p>
            <w:pPr>
              <w:ind w:left="1820"/>
              <w:spacing w:after="0"/>
              <w:rPr>
                <w:sz w:val="20"/>
                <w:szCs w:val="20"/>
                <w:color w:val="auto"/>
              </w:rPr>
            </w:pPr>
            <w:r>
              <w:rPr>
                <w:rFonts w:ascii="Arial" w:cs="Arial" w:eastAsia="Arial" w:hAnsi="Arial"/>
                <w:sz w:val="18"/>
                <w:szCs w:val="18"/>
                <w:b w:val="1"/>
                <w:bCs w:val="1"/>
                <w:color w:val="auto"/>
                <w:w w:val="84"/>
              </w:rPr>
              <w:t>Page 4 of 9 Pages</w:t>
            </w:r>
          </w:p>
        </w:tc>
        <w:tc>
          <w:tcPr>
            <w:tcW w:w="0" w:type="dxa"/>
            <w:vAlign w:val="bottom"/>
          </w:tcPr>
          <w:p>
            <w:pPr>
              <w:spacing w:after="0"/>
              <w:rPr>
                <w:sz w:val="1"/>
                <w:szCs w:val="1"/>
                <w:color w:val="auto"/>
              </w:rPr>
            </w:pPr>
          </w:p>
        </w:tc>
      </w:tr>
      <w:tr>
        <w:trPr>
          <w:trHeight w:val="334"/>
        </w:trPr>
        <w:tc>
          <w:tcPr>
            <w:tcW w:w="188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400" w:type="dxa"/>
            <w:vAlign w:val="bottom"/>
          </w:tcPr>
          <w:p>
            <w:pPr>
              <w:ind w:left="80"/>
              <w:spacing w:after="0"/>
              <w:rPr>
                <w:sz w:val="20"/>
                <w:szCs w:val="20"/>
                <w:color w:val="auto"/>
              </w:rPr>
            </w:pPr>
            <w:r>
              <w:rPr>
                <w:rFonts w:ascii="Arial" w:cs="Arial" w:eastAsia="Arial" w:hAnsi="Arial"/>
                <w:sz w:val="16"/>
                <w:szCs w:val="16"/>
                <w:color w:val="auto"/>
              </w:rPr>
              <w:t>NAME OF REPORTING PERSONS</w:t>
            </w: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80" w:type="dxa"/>
            <w:vAlign w:val="bottom"/>
            <w:vMerge w:val="continue"/>
          </w:tcPr>
          <w:p>
            <w:pPr>
              <w:spacing w:after="0"/>
              <w:rPr>
                <w:sz w:val="13"/>
                <w:szCs w:val="13"/>
                <w:color w:val="auto"/>
              </w:rPr>
            </w:pPr>
          </w:p>
        </w:tc>
        <w:tc>
          <w:tcPr>
            <w:tcW w:w="6400" w:type="dxa"/>
            <w:vAlign w:val="bottom"/>
            <w:vMerge w:val="restart"/>
          </w:tcPr>
          <w:p>
            <w:pPr>
              <w:ind w:left="80"/>
              <w:spacing w:after="0"/>
              <w:rPr>
                <w:sz w:val="20"/>
                <w:szCs w:val="20"/>
                <w:color w:val="auto"/>
              </w:rPr>
            </w:pPr>
            <w:r>
              <w:rPr>
                <w:rFonts w:ascii="Arial" w:cs="Arial" w:eastAsia="Arial" w:hAnsi="Arial"/>
                <w:sz w:val="20"/>
                <w:szCs w:val="20"/>
                <w:color w:val="auto"/>
              </w:rPr>
              <w:t>NEAL J. YANOFSKY</w:t>
            </w:r>
          </w:p>
        </w:tc>
        <w:tc>
          <w:tcPr>
            <w:tcW w:w="3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880" w:type="dxa"/>
            <w:vAlign w:val="bottom"/>
            <w:tcBorders>
              <w:bottom w:val="single" w:sz="8" w:color="auto"/>
            </w:tcBorders>
          </w:tcPr>
          <w:p>
            <w:pPr>
              <w:spacing w:after="0"/>
              <w:rPr>
                <w:sz w:val="11"/>
                <w:szCs w:val="11"/>
                <w:color w:val="auto"/>
              </w:rPr>
            </w:pPr>
          </w:p>
        </w:tc>
        <w:tc>
          <w:tcPr>
            <w:tcW w:w="6400" w:type="dxa"/>
            <w:vAlign w:val="bottom"/>
            <w:tcBorders>
              <w:bottom w:val="single" w:sz="8" w:color="auto"/>
            </w:tcBorders>
            <w:vMerge w:val="continue"/>
          </w:tcPr>
          <w:p>
            <w:pPr>
              <w:spacing w:after="0"/>
              <w:rPr>
                <w:sz w:val="11"/>
                <w:szCs w:val="11"/>
                <w:color w:val="auto"/>
              </w:rPr>
            </w:pPr>
          </w:p>
        </w:tc>
        <w:tc>
          <w:tcPr>
            <w:tcW w:w="3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center"/>
              <w:spacing w:after="0" w:line="296" w:lineRule="exact"/>
              <w:rPr>
                <w:sz w:val="20"/>
                <w:szCs w:val="20"/>
                <w:color w:val="auto"/>
              </w:rPr>
            </w:pPr>
            <w:r>
              <w:rPr>
                <w:rFonts w:ascii="Arial" w:cs="Arial" w:eastAsia="Arial" w:hAnsi="Arial"/>
                <w:sz w:val="29"/>
                <w:szCs w:val="29"/>
                <w:b w:val="1"/>
                <w:bCs w:val="1"/>
                <w:color w:val="auto"/>
                <w:w w:val="86"/>
              </w:rPr>
              <w:t>2</w:t>
            </w:r>
          </w:p>
        </w:tc>
        <w:tc>
          <w:tcPr>
            <w:tcW w:w="640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140" w:type="dxa"/>
            <w:vAlign w:val="bottom"/>
            <w:vMerge w:val="restart"/>
          </w:tcPr>
          <w:p>
            <w:pPr>
              <w:ind w:left="188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52"/>
        </w:trPr>
        <w:tc>
          <w:tcPr>
            <w:tcW w:w="1880" w:type="dxa"/>
            <w:vAlign w:val="bottom"/>
            <w:vMerge w:val="continue"/>
          </w:tcPr>
          <w:p>
            <w:pPr>
              <w:spacing w:after="0"/>
              <w:rPr>
                <w:sz w:val="4"/>
                <w:szCs w:val="4"/>
                <w:color w:val="auto"/>
              </w:rPr>
            </w:pPr>
          </w:p>
        </w:tc>
        <w:tc>
          <w:tcPr>
            <w:tcW w:w="6400" w:type="dxa"/>
            <w:vAlign w:val="bottom"/>
          </w:tcPr>
          <w:p>
            <w:pPr>
              <w:spacing w:after="0"/>
              <w:rPr>
                <w:sz w:val="4"/>
                <w:szCs w:val="4"/>
                <w:color w:val="auto"/>
              </w:rPr>
            </w:pPr>
          </w:p>
        </w:tc>
        <w:tc>
          <w:tcPr>
            <w:tcW w:w="3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8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140" w:type="dxa"/>
            <w:vAlign w:val="bottom"/>
          </w:tcPr>
          <w:p>
            <w:pPr>
              <w:ind w:left="188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-748030</wp:posOffset>
            </wp:positionV>
            <wp:extent cx="7246620" cy="51885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188585"/>
                    </a:xfrm>
                    <a:prstGeom prst="rect">
                      <a:avLst/>
                    </a:prstGeom>
                    <a:noFill/>
                  </pic:spPr>
                </pic:pic>
              </a:graphicData>
            </a:graphic>
          </wp:anchor>
        </w:drawing>
      </w:r>
    </w:p>
    <w:p>
      <w:pPr>
        <w:ind w:left="1960" w:hanging="1099"/>
        <w:spacing w:after="0" w:line="182" w:lineRule="auto"/>
        <w:tabs>
          <w:tab w:leader="none" w:pos="1960" w:val="left"/>
        </w:tabs>
        <w:numPr>
          <w:ilvl w:val="0"/>
          <w:numId w:val="3"/>
        </w:numPr>
        <w:rPr>
          <w:rFonts w:ascii="Arial" w:cs="Arial" w:eastAsia="Arial" w:hAnsi="Arial"/>
          <w:sz w:val="22"/>
          <w:szCs w:val="22"/>
          <w:b w:val="1"/>
          <w:bCs w:val="1"/>
          <w:color w:val="auto"/>
          <w:vertAlign w:val="subscript"/>
        </w:rPr>
      </w:pPr>
      <w:r>
        <w:rPr>
          <w:rFonts w:ascii="Arial" w:cs="Arial" w:eastAsia="Arial" w:hAnsi="Arial"/>
          <w:sz w:val="12"/>
          <w:szCs w:val="12"/>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600" w:type="dxa"/>
            <w:vAlign w:val="bottom"/>
            <w:gridSpan w:val="2"/>
          </w:tcPr>
          <w:p>
            <w:pPr>
              <w:ind w:left="120"/>
              <w:spacing w:after="0"/>
              <w:rPr>
                <w:sz w:val="20"/>
                <w:szCs w:val="20"/>
                <w:color w:val="auto"/>
              </w:rPr>
            </w:pPr>
            <w:r>
              <w:rPr>
                <w:rFonts w:ascii="Arial" w:cs="Arial" w:eastAsia="Arial" w:hAnsi="Arial"/>
                <w:sz w:val="16"/>
                <w:szCs w:val="16"/>
                <w:color w:val="auto"/>
                <w:w w:val="94"/>
              </w:rPr>
              <w:t>SOURCE OF FUNDS</w:t>
            </w:r>
          </w:p>
        </w:tc>
        <w:tc>
          <w:tcPr>
            <w:tcW w:w="6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960" w:type="dxa"/>
            <w:vAlign w:val="bottom"/>
            <w:gridSpan w:val="3"/>
            <w:vMerge w:val="restart"/>
          </w:tcPr>
          <w:p>
            <w:pPr>
              <w:ind w:left="460"/>
              <w:spacing w:after="0"/>
              <w:rPr>
                <w:sz w:val="20"/>
                <w:szCs w:val="20"/>
                <w:color w:val="auto"/>
              </w:rPr>
            </w:pPr>
            <w:r>
              <w:rPr>
                <w:rFonts w:ascii="Arial" w:cs="Arial" w:eastAsia="Arial" w:hAnsi="Arial"/>
                <w:sz w:val="20"/>
                <w:szCs w:val="20"/>
                <w:color w:val="auto"/>
              </w:rPr>
              <w:t>PF (See Item 3)</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796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7960" w:type="dxa"/>
            <w:vAlign w:val="bottom"/>
            <w:tcBorders>
              <w:bottom w:val="single" w:sz="8" w:color="auto"/>
            </w:tcBorders>
            <w:gridSpan w:val="3"/>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5</w:t>
            </w:r>
          </w:p>
        </w:tc>
        <w:tc>
          <w:tcPr>
            <w:tcW w:w="7960" w:type="dxa"/>
            <w:vAlign w:val="bottom"/>
            <w:gridSpan w:val="3"/>
          </w:tcPr>
          <w:p>
            <w:pPr>
              <w:ind w:left="120"/>
              <w:spacing w:after="0"/>
              <w:rPr>
                <w:sz w:val="20"/>
                <w:szCs w:val="20"/>
                <w:color w:val="auto"/>
              </w:rPr>
            </w:pPr>
            <w:r>
              <w:rPr>
                <w:rFonts w:ascii="Arial" w:cs="Arial" w:eastAsia="Arial" w:hAnsi="Arial"/>
                <w:sz w:val="16"/>
                <w:szCs w:val="16"/>
                <w:color w:val="auto"/>
              </w:rPr>
              <w:t>CHECK BOX IF DISCLOSURE OF LEGAL PROCEEDING IS REQUIRED PURSUANT TO ITEM 2(d) or 2(e)</w:t>
            </w:r>
          </w:p>
        </w:tc>
        <w:tc>
          <w:tcPr>
            <w:tcW w:w="162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40" w:type="dxa"/>
            <w:vAlign w:val="bottom"/>
            <w:tcBorders>
              <w:bottom w:val="single" w:sz="8" w:color="auto"/>
            </w:tcBorders>
          </w:tcPr>
          <w:p>
            <w:pPr>
              <w:spacing w:after="0"/>
              <w:rPr>
                <w:sz w:val="8"/>
                <w:szCs w:val="8"/>
                <w:color w:val="auto"/>
              </w:rPr>
            </w:pPr>
          </w:p>
        </w:tc>
        <w:tc>
          <w:tcPr>
            <w:tcW w:w="7960" w:type="dxa"/>
            <w:vAlign w:val="bottom"/>
            <w:tcBorders>
              <w:bottom w:val="single" w:sz="8" w:color="auto"/>
            </w:tcBorders>
            <w:gridSpan w:val="3"/>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796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w w:val="93"/>
              </w:rPr>
              <w:t>United States</w:t>
            </w:r>
          </w:p>
        </w:tc>
        <w:tc>
          <w:tcPr>
            <w:tcW w:w="6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80" w:type="dxa"/>
            <w:vAlign w:val="bottom"/>
          </w:tcPr>
          <w:p>
            <w:pPr>
              <w:spacing w:after="0"/>
              <w:rPr>
                <w:sz w:val="20"/>
                <w:szCs w:val="20"/>
                <w:color w:val="auto"/>
              </w:rPr>
            </w:pPr>
          </w:p>
        </w:tc>
        <w:tc>
          <w:tcPr>
            <w:tcW w:w="636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5,000 Shares</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5,000 Shares</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6440" w:type="dxa"/>
            <w:vAlign w:val="bottom"/>
            <w:tcBorders>
              <w:bottom w:val="single" w:sz="8" w:color="auto"/>
            </w:tcBorders>
            <w:gridSpan w:val="2"/>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96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w w:val="94"/>
              </w:rPr>
              <w:t>5,000 Shares</w:t>
            </w:r>
          </w:p>
        </w:tc>
        <w:tc>
          <w:tcPr>
            <w:tcW w:w="6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gridSpan w:val="2"/>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960" w:type="dxa"/>
            <w:vAlign w:val="bottom"/>
            <w:gridSpan w:val="3"/>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620" w:type="dxa"/>
            <w:vAlign w:val="bottom"/>
            <w:vMerge w:val="restart"/>
          </w:tcPr>
          <w:p>
            <w:pPr>
              <w:ind w:left="48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440" w:type="dxa"/>
            <w:vAlign w:val="bottom"/>
            <w:tcBorders>
              <w:bottom w:val="single" w:sz="8" w:color="auto"/>
            </w:tcBorders>
            <w:gridSpan w:val="2"/>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13</w:t>
            </w:r>
          </w:p>
        </w:tc>
        <w:tc>
          <w:tcPr>
            <w:tcW w:w="796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(11) (see Item 5)</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960" w:type="dxa"/>
            <w:vAlign w:val="bottom"/>
            <w:gridSpan w:val="3"/>
            <w:vMerge w:val="restart"/>
          </w:tcPr>
          <w:p>
            <w:pPr>
              <w:ind w:left="460"/>
              <w:spacing w:after="0"/>
              <w:rPr>
                <w:sz w:val="20"/>
                <w:szCs w:val="20"/>
                <w:color w:val="auto"/>
              </w:rPr>
            </w:pPr>
            <w:r>
              <w:rPr>
                <w:rFonts w:ascii="Arial" w:cs="Arial" w:eastAsia="Arial" w:hAnsi="Arial"/>
                <w:sz w:val="20"/>
                <w:szCs w:val="20"/>
                <w:color w:val="auto"/>
              </w:rPr>
              <w:t>Less than 0.1%</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796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gridSpan w:val="2"/>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14</w:t>
            </w:r>
          </w:p>
        </w:tc>
        <w:tc>
          <w:tcPr>
            <w:tcW w:w="796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IN</w:t>
            </w:r>
          </w:p>
        </w:tc>
        <w:tc>
          <w:tcPr>
            <w:tcW w:w="6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4" w:name="page5"/>
    <w:bookmarkEnd w:id="4"/>
    <w:p>
      <w:pPr>
        <w:spacing w:after="0"/>
        <w:tabs>
          <w:tab w:leader="none" w:pos="5020" w:val="left"/>
          <w:tab w:leader="none" w:pos="1008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094235108</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5 of 9 Pages</w:t>
      </w:r>
    </w:p>
    <w:p>
      <w:pPr>
        <w:spacing w:after="0" w:line="349"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SECURITY AND ISSUER.</w:t>
      </w:r>
    </w:p>
    <w:p>
      <w:pPr>
        <w:spacing w:after="0" w:line="235"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This statement on Schedule 13D relates to the shares ("</w:t>
      </w:r>
      <w:r>
        <w:rPr>
          <w:rFonts w:ascii="Arial" w:cs="Arial" w:eastAsia="Arial" w:hAnsi="Arial"/>
          <w:sz w:val="20"/>
          <w:szCs w:val="20"/>
          <w:u w:val="single" w:color="auto"/>
          <w:color w:val="auto"/>
        </w:rPr>
        <w:t>Shares</w:t>
      </w:r>
      <w:r>
        <w:rPr>
          <w:rFonts w:ascii="Arial" w:cs="Arial" w:eastAsia="Arial" w:hAnsi="Arial"/>
          <w:sz w:val="20"/>
          <w:szCs w:val="20"/>
          <w:color w:val="auto"/>
        </w:rPr>
        <w:t>") of common stock, par value $0.01 per share, of Bloomin' Brands, Inc., a Delaware corporation (the "</w:t>
      </w:r>
      <w:r>
        <w:rPr>
          <w:rFonts w:ascii="Arial" w:cs="Arial" w:eastAsia="Arial" w:hAnsi="Arial"/>
          <w:sz w:val="20"/>
          <w:szCs w:val="20"/>
          <w:u w:val="single" w:color="auto"/>
          <w:color w:val="auto"/>
        </w:rPr>
        <w:t>Issuer</w:t>
      </w:r>
      <w:r>
        <w:rPr>
          <w:rFonts w:ascii="Arial" w:cs="Arial" w:eastAsia="Arial" w:hAnsi="Arial"/>
          <w:sz w:val="20"/>
          <w:szCs w:val="20"/>
          <w:color w:val="auto"/>
        </w:rPr>
        <w:t>"). The principal executive office of the Issuer is located at 2202 North West Shore Boulevard, Suite 500, Tampa, Florida 33607.</w:t>
      </w:r>
    </w:p>
    <w:p>
      <w:pPr>
        <w:spacing w:after="0" w:line="180"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20"/>
          <w:szCs w:val="20"/>
          <w:b w:val="1"/>
          <w:bCs w:val="1"/>
          <w:color w:val="auto"/>
        </w:rPr>
        <w:t>IDENTITY AND BACKGROUND.</w:t>
      </w:r>
    </w:p>
    <w:p>
      <w:pPr>
        <w:spacing w:after="0" w:line="235" w:lineRule="exact"/>
        <w:rPr>
          <w:sz w:val="20"/>
          <w:szCs w:val="20"/>
          <w:color w:val="auto"/>
        </w:rPr>
      </w:pPr>
    </w:p>
    <w:p>
      <w:pPr>
        <w:ind w:right="20" w:firstLine="656"/>
        <w:spacing w:after="0" w:line="246" w:lineRule="auto"/>
        <w:tabs>
          <w:tab w:leader="none" w:pos="917"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This statement is filed by (i) JANA Partners LLC, a Delaware limited liability company ("</w:t>
      </w:r>
      <w:r>
        <w:rPr>
          <w:rFonts w:ascii="Arial" w:cs="Arial" w:eastAsia="Arial" w:hAnsi="Arial"/>
          <w:sz w:val="20"/>
          <w:szCs w:val="20"/>
          <w:u w:val="single" w:color="auto"/>
          <w:color w:val="auto"/>
        </w:rPr>
        <w:t>JANA</w:t>
      </w:r>
      <w:r>
        <w:rPr>
          <w:rFonts w:ascii="Arial" w:cs="Arial" w:eastAsia="Arial" w:hAnsi="Arial"/>
          <w:sz w:val="20"/>
          <w:szCs w:val="20"/>
          <w:color w:val="auto"/>
        </w:rPr>
        <w:t>"); (ii) Glenn K. Murphy ("</w:t>
      </w:r>
      <w:r>
        <w:rPr>
          <w:rFonts w:ascii="Arial" w:cs="Arial" w:eastAsia="Arial" w:hAnsi="Arial"/>
          <w:sz w:val="20"/>
          <w:szCs w:val="20"/>
          <w:u w:val="single" w:color="auto"/>
          <w:color w:val="auto"/>
        </w:rPr>
        <w:t>Mr.</w:t>
      </w:r>
      <w:r>
        <w:rPr>
          <w:rFonts w:ascii="Arial" w:cs="Arial" w:eastAsia="Arial" w:hAnsi="Arial"/>
          <w:sz w:val="20"/>
          <w:szCs w:val="20"/>
          <w:color w:val="auto"/>
        </w:rPr>
        <w:t xml:space="preserve"> </w:t>
      </w:r>
      <w:r>
        <w:rPr>
          <w:rFonts w:ascii="Arial" w:cs="Arial" w:eastAsia="Arial" w:hAnsi="Arial"/>
          <w:sz w:val="20"/>
          <w:szCs w:val="20"/>
          <w:u w:val="single" w:color="auto"/>
          <w:color w:val="auto"/>
        </w:rPr>
        <w:t>Murphy</w:t>
      </w:r>
      <w:r>
        <w:rPr>
          <w:rFonts w:ascii="Arial" w:cs="Arial" w:eastAsia="Arial" w:hAnsi="Arial"/>
          <w:sz w:val="20"/>
          <w:szCs w:val="20"/>
          <w:color w:val="auto"/>
        </w:rPr>
        <w:t>"); and (iii) Neal J. Yanofsky ("</w:t>
      </w:r>
      <w:r>
        <w:rPr>
          <w:rFonts w:ascii="Arial" w:cs="Arial" w:eastAsia="Arial" w:hAnsi="Arial"/>
          <w:sz w:val="20"/>
          <w:szCs w:val="20"/>
          <w:u w:val="single" w:color="auto"/>
          <w:color w:val="auto"/>
        </w:rPr>
        <w:t>Mr. Yanofsky,</w:t>
      </w:r>
      <w:r>
        <w:rPr>
          <w:rFonts w:ascii="Arial" w:cs="Arial" w:eastAsia="Arial" w:hAnsi="Arial"/>
          <w:sz w:val="20"/>
          <w:szCs w:val="20"/>
          <w:color w:val="auto"/>
        </w:rPr>
        <w:t>" and together with JANA and Mr. Murphy, the "</w:t>
      </w:r>
      <w:r>
        <w:rPr>
          <w:rFonts w:ascii="Arial" w:cs="Arial" w:eastAsia="Arial" w:hAnsi="Arial"/>
          <w:sz w:val="20"/>
          <w:szCs w:val="20"/>
          <w:u w:val="single" w:color="auto"/>
          <w:color w:val="auto"/>
        </w:rPr>
        <w:t>Reporting Persons</w:t>
      </w:r>
      <w:r>
        <w:rPr>
          <w:rFonts w:ascii="Arial" w:cs="Arial" w:eastAsia="Arial" w:hAnsi="Arial"/>
          <w:sz w:val="20"/>
          <w:szCs w:val="20"/>
          <w:color w:val="auto"/>
        </w:rPr>
        <w:t>"). JANA is a private money management firm which holds Shares of the Issuer in various accounts under its management and control. The principal owner of JANA is Barry Rosenstein ("</w:t>
      </w:r>
      <w:r>
        <w:rPr>
          <w:rFonts w:ascii="Arial" w:cs="Arial" w:eastAsia="Arial" w:hAnsi="Arial"/>
          <w:sz w:val="20"/>
          <w:szCs w:val="20"/>
          <w:u w:val="single" w:color="auto"/>
          <w:color w:val="auto"/>
        </w:rPr>
        <w:t>Mr. Rosenstein</w:t>
      </w:r>
      <w:r>
        <w:rPr>
          <w:rFonts w:ascii="Arial" w:cs="Arial" w:eastAsia="Arial" w:hAnsi="Arial"/>
          <w:sz w:val="20"/>
          <w:szCs w:val="20"/>
          <w:color w:val="auto"/>
        </w:rPr>
        <w:t>" or the "</w:t>
      </w:r>
      <w:r>
        <w:rPr>
          <w:rFonts w:ascii="Arial" w:cs="Arial" w:eastAsia="Arial" w:hAnsi="Arial"/>
          <w:sz w:val="20"/>
          <w:szCs w:val="20"/>
          <w:u w:val="single" w:color="auto"/>
          <w:color w:val="auto"/>
        </w:rPr>
        <w:t>Principal</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right="60" w:firstLine="656"/>
        <w:spacing w:after="0" w:line="250" w:lineRule="auto"/>
        <w:tabs>
          <w:tab w:leader="none" w:pos="929"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principal business address of JANA and the Principal is 767 Fifth Avenue, 8th Floor, New York, New York 10153. The address of Mr. Murphy is c/o FIS Holdings, Ltd., 95 St. Clair Avenue West, Suite 1400, Toronto, Ontario M4V 1X2. The address of Mr. Yanofsky is 11816 Inwood Road, #1077, Dallas, Texas 75244.</w:t>
      </w:r>
    </w:p>
    <w:p>
      <w:pPr>
        <w:spacing w:after="0" w:line="186" w:lineRule="exact"/>
        <w:rPr>
          <w:rFonts w:ascii="Arial" w:cs="Arial" w:eastAsia="Arial" w:hAnsi="Arial"/>
          <w:sz w:val="20"/>
          <w:szCs w:val="20"/>
          <w:color w:val="auto"/>
        </w:rPr>
      </w:pPr>
    </w:p>
    <w:p>
      <w:pPr>
        <w:jc w:val="both"/>
        <w:ind w:right="180" w:firstLine="656"/>
        <w:spacing w:after="0" w:line="246" w:lineRule="auto"/>
        <w:tabs>
          <w:tab w:leader="none" w:pos="917"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principal business of JANA and the Principal is investing for accounts under their management. The principal business of Mr. Murphy is serving as Founder and CEO of FIS-Holdings, Ltd., a consumer focused investment firm that invests to unlock value operationally in high quality businesses. The principal business of Mr. Yanofsky is as an investor and consultant to restaurant companies and private equity investors in the industry following a career in senior industry roles.</w:t>
      </w:r>
    </w:p>
    <w:p>
      <w:pPr>
        <w:spacing w:after="0" w:line="191" w:lineRule="exact"/>
        <w:rPr>
          <w:rFonts w:ascii="Arial" w:cs="Arial" w:eastAsia="Arial" w:hAnsi="Arial"/>
          <w:sz w:val="20"/>
          <w:szCs w:val="20"/>
          <w:color w:val="auto"/>
        </w:rPr>
      </w:pPr>
    </w:p>
    <w:p>
      <w:pPr>
        <w:ind w:right="140" w:firstLine="656"/>
        <w:spacing w:after="0" w:line="260" w:lineRule="auto"/>
        <w:tabs>
          <w:tab w:leader="none" w:pos="929" w:val="left"/>
        </w:tabs>
        <w:numPr>
          <w:ilvl w:val="0"/>
          <w:numId w:val="4"/>
        </w:numPr>
        <w:rPr>
          <w:rFonts w:ascii="Arial" w:cs="Arial" w:eastAsia="Arial" w:hAnsi="Arial"/>
          <w:sz w:val="20"/>
          <w:szCs w:val="20"/>
          <w:color w:val="auto"/>
        </w:rPr>
      </w:pPr>
      <w:r>
        <w:rPr>
          <w:rFonts w:ascii="Arial" w:cs="Arial" w:eastAsia="Arial" w:hAnsi="Arial"/>
          <w:sz w:val="20"/>
          <w:szCs w:val="20"/>
          <w:color w:val="auto"/>
        </w:rPr>
        <w:t>None of the Reporting Persons nor the Principal has, during the last five years, been convicted in a criminal proceeding (excluding traffic violations or similar misdemeanors).</w:t>
      </w:r>
    </w:p>
    <w:p>
      <w:pPr>
        <w:spacing w:after="0" w:line="176" w:lineRule="exact"/>
        <w:rPr>
          <w:rFonts w:ascii="Arial" w:cs="Arial" w:eastAsia="Arial" w:hAnsi="Arial"/>
          <w:sz w:val="20"/>
          <w:szCs w:val="20"/>
          <w:color w:val="auto"/>
        </w:rPr>
      </w:pPr>
    </w:p>
    <w:p>
      <w:pPr>
        <w:ind w:right="60" w:firstLine="656"/>
        <w:spacing w:after="0" w:line="246" w:lineRule="auto"/>
        <w:tabs>
          <w:tab w:leader="none" w:pos="917" w:val="left"/>
        </w:tabs>
        <w:numPr>
          <w:ilvl w:val="0"/>
          <w:numId w:val="4"/>
        </w:numPr>
        <w:rPr>
          <w:rFonts w:ascii="Arial" w:cs="Arial" w:eastAsia="Arial" w:hAnsi="Arial"/>
          <w:sz w:val="20"/>
          <w:szCs w:val="20"/>
          <w:color w:val="auto"/>
        </w:rPr>
      </w:pPr>
      <w:r>
        <w:rPr>
          <w:rFonts w:ascii="Arial" w:cs="Arial" w:eastAsia="Arial" w:hAnsi="Arial"/>
          <w:sz w:val="20"/>
          <w:szCs w:val="20"/>
          <w:color w:val="auto"/>
        </w:rPr>
        <w:t>None of the Reporting Persons nor the Principal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91" w:lineRule="exact"/>
        <w:rPr>
          <w:rFonts w:ascii="Arial" w:cs="Arial" w:eastAsia="Arial" w:hAnsi="Arial"/>
          <w:sz w:val="20"/>
          <w:szCs w:val="20"/>
          <w:color w:val="auto"/>
        </w:rPr>
      </w:pPr>
    </w:p>
    <w:p>
      <w:pPr>
        <w:ind w:right="60" w:firstLine="656"/>
        <w:spacing w:after="0" w:line="260" w:lineRule="auto"/>
        <w:tabs>
          <w:tab w:leader="none" w:pos="896" w:val="left"/>
        </w:tabs>
        <w:numPr>
          <w:ilvl w:val="0"/>
          <w:numId w:val="4"/>
        </w:numPr>
        <w:rPr>
          <w:rFonts w:ascii="Arial" w:cs="Arial" w:eastAsia="Arial" w:hAnsi="Arial"/>
          <w:sz w:val="20"/>
          <w:szCs w:val="20"/>
          <w:color w:val="auto"/>
        </w:rPr>
      </w:pPr>
      <w:r>
        <w:rPr>
          <w:rFonts w:ascii="Arial" w:cs="Arial" w:eastAsia="Arial" w:hAnsi="Arial"/>
          <w:sz w:val="20"/>
          <w:szCs w:val="20"/>
          <w:color w:val="auto"/>
        </w:rPr>
        <w:t>JANA is a limited liability company organized in Delaware. Each of the Principal and Mr. Yanofsky is a citizen of the United States of America. Mr. Murphy is a Canadian citizen.</w:t>
      </w:r>
    </w:p>
    <w:p>
      <w:pPr>
        <w:spacing w:after="0" w:line="171"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SOURCE AND AMOUNT OF FUNDS OR OTHER CONSIDERATION.</w:t>
      </w:r>
    </w:p>
    <w:p>
      <w:pPr>
        <w:spacing w:after="0" w:line="235"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The 8,135,480 Shares reported herein as beneficially owned by the Reporting Persons were acquired at an aggregate purchase price of approximately $139.8 million.</w:t>
      </w:r>
    </w:p>
    <w:p>
      <w:pPr>
        <w:spacing w:after="0" w:line="177" w:lineRule="exact"/>
        <w:rPr>
          <w:sz w:val="20"/>
          <w:szCs w:val="20"/>
          <w:color w:val="auto"/>
        </w:rPr>
      </w:pPr>
    </w:p>
    <w:p>
      <w:pPr>
        <w:ind w:right="60" w:firstLine="648"/>
        <w:spacing w:after="0" w:line="274" w:lineRule="auto"/>
        <w:rPr>
          <w:sz w:val="20"/>
          <w:szCs w:val="20"/>
          <w:color w:val="auto"/>
        </w:rPr>
      </w:pPr>
      <w:r>
        <w:rPr>
          <w:rFonts w:ascii="Arial" w:cs="Arial" w:eastAsia="Arial" w:hAnsi="Arial"/>
          <w:sz w:val="18"/>
          <w:szCs w:val="18"/>
          <w:color w:val="auto"/>
        </w:rPr>
        <w:t>The 7,980,480 Shares reported herein by JANA were acquired at an aggregate purchase price of approximately $137.1 million. Such Shares were acquired with investment funds in accounts managed by JANA and margin borrowings described in the following sentence. Such Shares are held by the investment funds managed by JANA in commingled margin accounts, which may extend margin credit to JANA from time to time, subject to applicable federal margin regulations, stock exchange rules and credit policies. In such instances, the positions held in the margin accounts are pledged as collateral security for the repayment of debit balances in the account. The margin accounts bear interest at a rate based upon the broker's call rate from time to time in effect. Because other securities are held in the margin accounts, it is not possible to determine the amounts, if any, of margin used to purchase the Shares reported herein.</w:t>
      </w:r>
    </w:p>
    <w:p>
      <w:pPr>
        <w:sectPr>
          <w:pgSz w:w="11900" w:h="16838" w:orient="portrait"/>
          <w:cols w:equalWidth="0" w:num="1">
            <w:col w:w="11420"/>
          </w:cols>
          <w:pgMar w:left="240" w:top="225" w:right="239" w:bottom="1440" w:gutter="0" w:footer="0" w:header="0"/>
        </w:sectPr>
      </w:pPr>
    </w:p>
    <w:bookmarkStart w:id="5" w:name="page6"/>
    <w:bookmarkEnd w:id="5"/>
    <w:p>
      <w:pPr>
        <w:spacing w:after="0"/>
        <w:tabs>
          <w:tab w:leader="none" w:pos="5020" w:val="left"/>
          <w:tab w:leader="none" w:pos="1008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094235108</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6 of 9 Pages</w:t>
      </w:r>
    </w:p>
    <w:p>
      <w:pPr>
        <w:spacing w:after="0" w:line="233"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Mr. Murphy used a total of approximately $2.6 million in the aggregate to acquire the 150,000 Shares reported herein as beneficially owned by him.</w:t>
      </w:r>
    </w:p>
    <w:p>
      <w:pPr>
        <w:spacing w:after="0" w:line="177"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Mr. Yanofksy used a total of approximately $84.3 thousand in the aggregate to acquire the 5,000 Shares reported herein as beneficially owned by him.</w:t>
      </w:r>
    </w:p>
    <w:p>
      <w:pPr>
        <w:spacing w:after="0" w:line="177"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Funds for the purchase of the Shares reported herein as beneficially owned by each of the foregoing individuals were derived from the respective personal funds of each such individual.</w:t>
      </w:r>
    </w:p>
    <w:p>
      <w:pPr>
        <w:spacing w:after="0" w:line="171"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PURPOSE OF TRANSACTION.</w:t>
      </w:r>
    </w:p>
    <w:p>
      <w:pPr>
        <w:spacing w:after="0" w:line="235" w:lineRule="exact"/>
        <w:rPr>
          <w:sz w:val="20"/>
          <w:szCs w:val="20"/>
          <w:color w:val="auto"/>
        </w:rPr>
      </w:pPr>
    </w:p>
    <w:p>
      <w:pPr>
        <w:ind w:right="220" w:firstLine="720"/>
        <w:spacing w:after="0" w:line="259" w:lineRule="auto"/>
        <w:rPr>
          <w:sz w:val="20"/>
          <w:szCs w:val="20"/>
          <w:color w:val="auto"/>
        </w:rPr>
      </w:pPr>
      <w:r>
        <w:rPr>
          <w:rFonts w:ascii="Arial" w:cs="Arial" w:eastAsia="Arial" w:hAnsi="Arial"/>
          <w:sz w:val="19"/>
          <w:szCs w:val="19"/>
          <w:color w:val="auto"/>
        </w:rPr>
        <w:t>The Reporting Persons acquired the Shares because they believe the Shares are undervalued and represent an attractive investment opportunity. JANA, with the assistance of the other Reporting Persons, intends to have discussions with the Issuer's board of directors and management regarding topics including a review of strategic alternatives including exploring a sale of the Issuer; portfolio composition; operating performance and cost management; capital allocation; board composition; and governance. JANA expects to have discussions with the Issuer’s management and board of directors, shareholders and other interested parties relating to such matters. JANA has also signed agreements with the other Reporting Persons as described in Item 6.</w:t>
      </w:r>
    </w:p>
    <w:p>
      <w:pPr>
        <w:spacing w:after="0" w:line="192" w:lineRule="exact"/>
        <w:rPr>
          <w:sz w:val="20"/>
          <w:szCs w:val="20"/>
          <w:color w:val="auto"/>
        </w:rPr>
      </w:pPr>
    </w:p>
    <w:p>
      <w:pPr>
        <w:ind w:right="20" w:firstLine="720"/>
        <w:spacing w:after="0" w:line="273" w:lineRule="auto"/>
        <w:rPr>
          <w:sz w:val="20"/>
          <w:szCs w:val="20"/>
          <w:color w:val="auto"/>
        </w:rPr>
      </w:pPr>
      <w:r>
        <w:rPr>
          <w:rFonts w:ascii="Arial" w:cs="Arial" w:eastAsia="Arial" w:hAnsi="Arial"/>
          <w:sz w:val="18"/>
          <w:szCs w:val="18"/>
          <w:color w:val="auto"/>
        </w:rPr>
        <w:t>JANA, potentially with the assistance of the other Reporting Persons, may also take other steps to increase shareholder value as well as pursue other plans or proposals that relate to or would result in any of the matters set forth in subparagraphs (a)-(j) of Item 4 of Schedule 13D, excluding (i) acquiring a control stake in the Issuer's Shares, or grouping with any other party or parties to do so, (ii) engaging in an extraordinary transaction, such as a merger, with the Issuer, or acquiring a material amount of the Issuer's assets, or grouping with any other party or parties to do either, or (iii) seeking to exert negative control over the important corporate actions of the Issuer, or grouping with any other party or parties to do so, although the Reporting Persons may seek to influence such actions through customary means including presenting its views for consideration to the Issuer, shareholders and other interested parties, privately or publicly, and, if necessary, through the exercise of its shareholder rights including the right to propose new directors for the Issuer's board of directors.</w:t>
      </w:r>
    </w:p>
    <w:p>
      <w:pPr>
        <w:spacing w:after="0" w:line="183" w:lineRule="exact"/>
        <w:rPr>
          <w:sz w:val="20"/>
          <w:szCs w:val="20"/>
          <w:color w:val="auto"/>
        </w:rPr>
      </w:pPr>
    </w:p>
    <w:p>
      <w:pPr>
        <w:ind w:right="20" w:firstLine="720"/>
        <w:spacing w:after="0" w:line="243" w:lineRule="auto"/>
        <w:rPr>
          <w:sz w:val="20"/>
          <w:szCs w:val="20"/>
          <w:color w:val="auto"/>
        </w:rPr>
      </w:pPr>
      <w:r>
        <w:rPr>
          <w:rFonts w:ascii="Arial" w:cs="Arial" w:eastAsia="Arial" w:hAnsi="Arial"/>
          <w:sz w:val="20"/>
          <w:szCs w:val="20"/>
          <w:color w:val="auto"/>
        </w:rPr>
        <w:t>Depending on various factors including, without limitation, the Issuer's financial position and strategic direction, the outcome of the discussions and actions referenced above, actions taken by the Issuer's board of directors, price levels of the Shares, other investment opportunities available to the Reporting Persons, conditions in the securities market and general economic and industry conditions, the Reporting Persons may in the future take such actions with respect to their investment position in the Issuer as they deem appropriate including, without limitation, purchasing additional Shares or selling some or all of their Shares, and/or engaging in short selling of or hedging or similar transactions with respect to the Shares.</w:t>
      </w:r>
    </w:p>
    <w:p>
      <w:pPr>
        <w:spacing w:after="0" w:line="190"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INTEREST IN SECURITIES OF THE COMPANY.</w:t>
      </w:r>
    </w:p>
    <w:p>
      <w:pPr>
        <w:spacing w:after="0" w:line="235" w:lineRule="exact"/>
        <w:rPr>
          <w:sz w:val="20"/>
          <w:szCs w:val="20"/>
          <w:color w:val="auto"/>
        </w:rPr>
      </w:pPr>
    </w:p>
    <w:p>
      <w:pPr>
        <w:ind w:right="280" w:firstLine="656"/>
        <w:spacing w:after="0" w:line="250" w:lineRule="auto"/>
        <w:tabs>
          <w:tab w:leader="none" w:pos="917"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aggregate percentage of Shares reported to be beneficially owned by the Reporting Persons is based upon 91,269,593 Shares outstanding as of October 31, 2017, as reported in the Issuer's Quarterly Report on Form 10-Q for the quarterly period ended September 24, 2017 filed with the Securities and Exchange Commission on November 3, 2017.</w:t>
      </w:r>
    </w:p>
    <w:p>
      <w:pPr>
        <w:spacing w:after="0" w:line="18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As of the close of business on the date hereof, JANA may be deemed to beneficially own 7,980,480 Shares, representing approximately 8.74% of the Shares outstanding.</w:t>
      </w:r>
    </w:p>
    <w:p>
      <w:pPr>
        <w:spacing w:after="0" w:line="177" w:lineRule="exact"/>
        <w:rPr>
          <w:sz w:val="20"/>
          <w:szCs w:val="20"/>
          <w:color w:val="auto"/>
        </w:rPr>
      </w:pPr>
    </w:p>
    <w:p>
      <w:pPr>
        <w:ind w:right="900" w:firstLine="648"/>
        <w:spacing w:after="0" w:line="260" w:lineRule="auto"/>
        <w:rPr>
          <w:sz w:val="20"/>
          <w:szCs w:val="20"/>
          <w:color w:val="auto"/>
        </w:rPr>
      </w:pPr>
      <w:r>
        <w:rPr>
          <w:rFonts w:ascii="Arial" w:cs="Arial" w:eastAsia="Arial" w:hAnsi="Arial"/>
          <w:sz w:val="20"/>
          <w:szCs w:val="20"/>
          <w:color w:val="auto"/>
        </w:rPr>
        <w:t>As of the close of business on the date hereof, Mr. Murphy may be deemed to beneficially own 150,000 Shares, representing approximately 0.16% of the Shares outstanding.</w:t>
      </w:r>
    </w:p>
    <w:p>
      <w:pPr>
        <w:sectPr>
          <w:pgSz w:w="11900" w:h="16838" w:orient="portrait"/>
          <w:cols w:equalWidth="0" w:num="1">
            <w:col w:w="11420"/>
          </w:cols>
          <w:pgMar w:left="240" w:top="225" w:right="239" w:bottom="1440" w:gutter="0" w:footer="0" w:header="0"/>
        </w:sectPr>
      </w:pPr>
    </w:p>
    <w:bookmarkStart w:id="6" w:name="page7"/>
    <w:bookmarkEnd w:id="6"/>
    <w:p>
      <w:pPr>
        <w:spacing w:after="0"/>
        <w:tabs>
          <w:tab w:leader="none" w:pos="5020" w:val="left"/>
          <w:tab w:leader="none" w:pos="1008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094235108</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7 of 9 Pages</w:t>
      </w:r>
    </w:p>
    <w:p>
      <w:pPr>
        <w:spacing w:after="0" w:line="233"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As of the close of business on the date hereof, Mr. Yanofksy may be deemed to beneficially own 5,000 Shares, representing less than 0.1% of the Shares outstanding.</w:t>
      </w:r>
    </w:p>
    <w:p>
      <w:pPr>
        <w:spacing w:after="0" w:line="177" w:lineRule="exact"/>
        <w:rPr>
          <w:sz w:val="20"/>
          <w:szCs w:val="20"/>
          <w:color w:val="auto"/>
        </w:rPr>
      </w:pPr>
    </w:p>
    <w:p>
      <w:pPr>
        <w:ind w:right="80" w:firstLine="648"/>
        <w:spacing w:after="0" w:line="260" w:lineRule="auto"/>
        <w:rPr>
          <w:sz w:val="20"/>
          <w:szCs w:val="20"/>
          <w:color w:val="auto"/>
        </w:rPr>
      </w:pPr>
      <w:r>
        <w:rPr>
          <w:rFonts w:ascii="Arial" w:cs="Arial" w:eastAsia="Arial" w:hAnsi="Arial"/>
          <w:sz w:val="19"/>
          <w:szCs w:val="19"/>
          <w:color w:val="auto"/>
        </w:rPr>
        <w:t>By virtue of the Nominee Agreement (as defined in Item 6 below) and Cooperation Agreement (as defined in Item 6 below), JANA, Mr. Murphy and Mr. Yanofsky may be deemed to have formed a "group" within the meaning of Section 13(d)(3) of the Exchange Act and may be deemed to beneficially own an aggregate of 8,135,480 Shares, representing approximately 8.91% of the outstanding Shares. Each of Mr. Murphy and Mr. Yanofsky expressly disclaims beneficial ownership of the Shares beneficially owned by JANA and each other. JANA expressly disclaims beneficial ownership of the Shares beneficially owned by each of Mr. Murphy and Mr. Yanofsky.</w:t>
      </w:r>
    </w:p>
    <w:p>
      <w:pPr>
        <w:spacing w:after="0" w:line="181" w:lineRule="exact"/>
        <w:rPr>
          <w:sz w:val="20"/>
          <w:szCs w:val="20"/>
          <w:color w:val="auto"/>
        </w:rPr>
      </w:pPr>
    </w:p>
    <w:p>
      <w:pPr>
        <w:ind w:right="20" w:firstLine="656"/>
        <w:spacing w:after="0" w:line="250" w:lineRule="auto"/>
        <w:tabs>
          <w:tab w:leader="none" w:pos="929" w:val="left"/>
        </w:tabs>
        <w:numPr>
          <w:ilvl w:val="0"/>
          <w:numId w:val="6"/>
        </w:numPr>
        <w:rPr>
          <w:rFonts w:ascii="Arial" w:cs="Arial" w:eastAsia="Arial" w:hAnsi="Arial"/>
          <w:sz w:val="20"/>
          <w:szCs w:val="20"/>
          <w:color w:val="auto"/>
        </w:rPr>
      </w:pPr>
      <w:r>
        <w:rPr>
          <w:rFonts w:ascii="Arial" w:cs="Arial" w:eastAsia="Arial" w:hAnsi="Arial"/>
          <w:sz w:val="20"/>
          <w:szCs w:val="20"/>
          <w:color w:val="auto"/>
        </w:rPr>
        <w:t>JANA has sole voting and dispositive power over 7,980,480 Shares, which power is exercised by the Principal. Mr. Murphy has sole voting and dispositive power over the 150,000 Shares beneficially owned by him. Mr. Yanofksy has sole voting and dispositive power over the 5,000 Shares beneficially owned by him.</w:t>
      </w:r>
    </w:p>
    <w:p>
      <w:pPr>
        <w:spacing w:after="0" w:line="186" w:lineRule="exact"/>
        <w:rPr>
          <w:rFonts w:ascii="Arial" w:cs="Arial" w:eastAsia="Arial" w:hAnsi="Arial"/>
          <w:sz w:val="20"/>
          <w:szCs w:val="20"/>
          <w:color w:val="auto"/>
        </w:rPr>
      </w:pPr>
    </w:p>
    <w:p>
      <w:pPr>
        <w:ind w:right="40" w:firstLine="656"/>
        <w:spacing w:after="0" w:line="250" w:lineRule="auto"/>
        <w:tabs>
          <w:tab w:leader="none" w:pos="917"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Information concerning transactions in the Shares effected by the Reporting Persons during the past sixty days is set forth in </w:t>
      </w:r>
      <w:r>
        <w:rPr>
          <w:rFonts w:ascii="Arial" w:cs="Arial" w:eastAsia="Arial" w:hAnsi="Arial"/>
          <w:sz w:val="20"/>
          <w:szCs w:val="20"/>
          <w:u w:val="single" w:color="auto"/>
          <w:color w:val="auto"/>
        </w:rPr>
        <w:t>Exhibit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w:t>
      </w:r>
      <w:r>
        <w:rPr>
          <w:rFonts w:ascii="Arial" w:cs="Arial" w:eastAsia="Arial" w:hAnsi="Arial"/>
          <w:sz w:val="20"/>
          <w:szCs w:val="20"/>
          <w:color w:val="auto"/>
        </w:rPr>
        <w:t xml:space="preserve"> hereto and is incorporated herein by reference. All of the transactions in Shares listed hereto were effected in the open market through various brokerage entities.</w:t>
      </w:r>
    </w:p>
    <w:p>
      <w:pPr>
        <w:spacing w:after="0" w:line="186" w:lineRule="exact"/>
        <w:rPr>
          <w:rFonts w:ascii="Arial" w:cs="Arial" w:eastAsia="Arial" w:hAnsi="Arial"/>
          <w:sz w:val="20"/>
          <w:szCs w:val="20"/>
          <w:color w:val="auto"/>
        </w:rPr>
      </w:pPr>
    </w:p>
    <w:p>
      <w:pPr>
        <w:ind w:right="280" w:firstLine="656"/>
        <w:spacing w:after="0" w:line="260" w:lineRule="auto"/>
        <w:tabs>
          <w:tab w:leader="none" w:pos="929" w:val="left"/>
        </w:tabs>
        <w:numPr>
          <w:ilvl w:val="0"/>
          <w:numId w:val="6"/>
        </w:numPr>
        <w:rPr>
          <w:rFonts w:ascii="Arial" w:cs="Arial" w:eastAsia="Arial" w:hAnsi="Arial"/>
          <w:sz w:val="20"/>
          <w:szCs w:val="20"/>
          <w:color w:val="auto"/>
        </w:rPr>
      </w:pPr>
      <w:r>
        <w:rPr>
          <w:rFonts w:ascii="Arial" w:cs="Arial" w:eastAsia="Arial" w:hAnsi="Arial"/>
          <w:sz w:val="20"/>
          <w:szCs w:val="20"/>
          <w:color w:val="auto"/>
        </w:rPr>
        <w:t>No person (other than the Reporting Persons) is known to have the right to receive or the power to direct the receipt of dividends from, or the proceeds from the sale of, the Shares.</w:t>
      </w:r>
    </w:p>
    <w:p>
      <w:pPr>
        <w:spacing w:after="0" w:line="176" w:lineRule="exact"/>
        <w:rPr>
          <w:rFonts w:ascii="Arial" w:cs="Arial" w:eastAsia="Arial" w:hAnsi="Arial"/>
          <w:sz w:val="20"/>
          <w:szCs w:val="20"/>
          <w:color w:val="auto"/>
        </w:rPr>
      </w:pPr>
    </w:p>
    <w:p>
      <w:pPr>
        <w:ind w:left="920" w:hanging="264"/>
        <w:spacing w:after="0"/>
        <w:tabs>
          <w:tab w:leader="none" w:pos="920" w:val="left"/>
        </w:tabs>
        <w:numPr>
          <w:ilvl w:val="0"/>
          <w:numId w:val="6"/>
        </w:numPr>
        <w:rPr>
          <w:rFonts w:ascii="Arial" w:cs="Arial" w:eastAsia="Arial" w:hAnsi="Arial"/>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360" w:right="1160" w:hanging="1255"/>
        <w:spacing w:after="0" w:line="267" w:lineRule="auto"/>
        <w:tabs>
          <w:tab w:leader="none" w:pos="134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CONTRACTS, ARRANGEMENTS, UNDERSTANDINGS OR RELATIONSHIPS WITH RESPECT TO SECURITIES OF THE ISSUER.</w:t>
      </w:r>
    </w:p>
    <w:p>
      <w:pPr>
        <w:spacing w:after="0" w:line="183" w:lineRule="exact"/>
        <w:rPr>
          <w:sz w:val="20"/>
          <w:szCs w:val="20"/>
          <w:color w:val="auto"/>
        </w:rPr>
      </w:pPr>
    </w:p>
    <w:p>
      <w:pPr>
        <w:ind w:right="20" w:firstLine="648"/>
        <w:spacing w:after="0" w:line="255" w:lineRule="auto"/>
        <w:rPr>
          <w:sz w:val="20"/>
          <w:szCs w:val="20"/>
          <w:color w:val="auto"/>
        </w:rPr>
      </w:pPr>
      <w:r>
        <w:rPr>
          <w:rFonts w:ascii="Arial" w:cs="Arial" w:eastAsia="Arial" w:hAnsi="Arial"/>
          <w:sz w:val="19"/>
          <w:szCs w:val="19"/>
          <w:color w:val="auto"/>
        </w:rPr>
        <w:t>Mr. Yanofsky has entered into a nominee agreement (the "</w:t>
      </w:r>
      <w:r>
        <w:rPr>
          <w:rFonts w:ascii="Arial" w:cs="Arial" w:eastAsia="Arial" w:hAnsi="Arial"/>
          <w:sz w:val="19"/>
          <w:szCs w:val="19"/>
          <w:u w:val="single" w:color="auto"/>
          <w:color w:val="auto"/>
        </w:rPr>
        <w:t>Nominee Agreement</w:t>
      </w:r>
      <w:r>
        <w:rPr>
          <w:rFonts w:ascii="Arial" w:cs="Arial" w:eastAsia="Arial" w:hAnsi="Arial"/>
          <w:sz w:val="19"/>
          <w:szCs w:val="19"/>
          <w:color w:val="auto"/>
        </w:rPr>
        <w:t xml:space="preserve">") with JANA substantially in the form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this Schedule 13D whereby he agreed to become a member of a slate of nominees (the "</w:t>
      </w:r>
      <w:r>
        <w:rPr>
          <w:rFonts w:ascii="Arial" w:cs="Arial" w:eastAsia="Arial" w:hAnsi="Arial"/>
          <w:sz w:val="19"/>
          <w:szCs w:val="19"/>
          <w:u w:val="single" w:color="auto"/>
          <w:color w:val="auto"/>
        </w:rPr>
        <w:t>Slate</w:t>
      </w:r>
      <w:r>
        <w:rPr>
          <w:rFonts w:ascii="Arial" w:cs="Arial" w:eastAsia="Arial" w:hAnsi="Arial"/>
          <w:sz w:val="19"/>
          <w:szCs w:val="19"/>
          <w:color w:val="auto"/>
        </w:rPr>
        <w:t>") and stand for election as a director of the Issuer in connection with a proxy solicitation (the "</w:t>
      </w:r>
      <w:r>
        <w:rPr>
          <w:rFonts w:ascii="Arial" w:cs="Arial" w:eastAsia="Arial" w:hAnsi="Arial"/>
          <w:sz w:val="19"/>
          <w:szCs w:val="19"/>
          <w:u w:val="single" w:color="auto"/>
          <w:color w:val="auto"/>
        </w:rPr>
        <w:t>Proxy Solicitation</w:t>
      </w:r>
      <w:r>
        <w:rPr>
          <w:rFonts w:ascii="Arial" w:cs="Arial" w:eastAsia="Arial" w:hAnsi="Arial"/>
          <w:sz w:val="19"/>
          <w:szCs w:val="19"/>
          <w:color w:val="auto"/>
        </w:rPr>
        <w:t>") which may be conducted by JANA in respect of the 2018 or 2019 annual meeting of stockholders of the Issuer (such applicable meeting, the "</w:t>
      </w:r>
      <w:r>
        <w:rPr>
          <w:rFonts w:ascii="Arial" w:cs="Arial" w:eastAsia="Arial" w:hAnsi="Arial"/>
          <w:sz w:val="19"/>
          <w:szCs w:val="19"/>
          <w:u w:val="single" w:color="auto"/>
          <w:color w:val="auto"/>
        </w:rPr>
        <w:t>Annual Meeting</w:t>
      </w:r>
      <w:r>
        <w:rPr>
          <w:rFonts w:ascii="Arial" w:cs="Arial" w:eastAsia="Arial" w:hAnsi="Arial"/>
          <w:sz w:val="19"/>
          <w:szCs w:val="19"/>
          <w:color w:val="auto"/>
        </w:rPr>
        <w:t xml:space="preserve">"). Pursuant to the Nominee Agreement, JANA has agreed to pay the costs of soliciting proxies in connection with each Annual Meeting, and to defend and indemnify Mr. Yanofsky against, and with respect to, any losses that may be incurred by him in the event he becomes a party to litigation based on his nomination as a candidate for election to the Issuer's board and the solicitation of proxies in support of his election. Mr. Yanofsky received compensation under the Nominee Agreement in the amount of $90,000, and an additional $100,000 in the event of his appointment or election. Mr. Yanofsky agreed to hold Shares with a market-value equal to $190,000 (adjusted for taxes) as of the date of his election or appointment, subject to certain exceptions, until the later of when he is no longer a director of the Issuer and three years. A copy of the form of the Nominee Agreement is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and is incorporated by reference herein.</w:t>
      </w:r>
    </w:p>
    <w:p>
      <w:pPr>
        <w:spacing w:after="0" w:line="188"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JANA also entered into a cooperation agreement with Mr. Murphy (the "</w:t>
      </w:r>
      <w:r>
        <w:rPr>
          <w:rFonts w:ascii="Arial" w:cs="Arial" w:eastAsia="Arial" w:hAnsi="Arial"/>
          <w:sz w:val="19"/>
          <w:szCs w:val="19"/>
          <w:u w:val="single" w:color="auto"/>
          <w:color w:val="auto"/>
        </w:rPr>
        <w:t>Cooperation Agreement</w:t>
      </w:r>
      <w:r>
        <w:rPr>
          <w:rFonts w:ascii="Arial" w:cs="Arial" w:eastAsia="Arial" w:hAnsi="Arial"/>
          <w:sz w:val="19"/>
          <w:szCs w:val="19"/>
          <w:color w:val="auto"/>
        </w:rPr>
        <w:t xml:space="preserve">") substantially in the form attached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to this Schedule 13D whereby Mr. Murphy has agreed to comply with certain confidentiality obligations and trading restrictions. A copy of the form of the Cooperation Agreement is attached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and is incorporated by reference herein.</w:t>
      </w:r>
    </w:p>
    <w:p>
      <w:pPr>
        <w:spacing w:after="0" w:line="170" w:lineRule="exact"/>
        <w:rPr>
          <w:sz w:val="20"/>
          <w:szCs w:val="20"/>
          <w:color w:val="auto"/>
        </w:rPr>
      </w:pPr>
    </w:p>
    <w:p>
      <w:pPr>
        <w:ind w:right="740" w:firstLine="648"/>
        <w:spacing w:after="0" w:line="287" w:lineRule="auto"/>
        <w:rPr>
          <w:sz w:val="20"/>
          <w:szCs w:val="20"/>
          <w:color w:val="auto"/>
        </w:rPr>
      </w:pPr>
      <w:r>
        <w:rPr>
          <w:rFonts w:ascii="Arial" w:cs="Arial" w:eastAsia="Arial" w:hAnsi="Arial"/>
          <w:sz w:val="19"/>
          <w:szCs w:val="19"/>
          <w:color w:val="auto"/>
        </w:rPr>
        <w:t xml:space="preserve">Except as otherwise set forth herein and the joint filing agreement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 the Reporting Persons have no contracts, arrangements, understandings or relationships with any person with respect to the securities of the Issuer.</w:t>
      </w:r>
    </w:p>
    <w:p>
      <w:pPr>
        <w:sectPr>
          <w:pgSz w:w="11900" w:h="16838" w:orient="portrait"/>
          <w:cols w:equalWidth="0" w:num="1">
            <w:col w:w="11420"/>
          </w:cols>
          <w:pgMar w:left="240" w:top="225" w:right="239" w:bottom="1440" w:gutter="0" w:footer="0" w:header="0"/>
        </w:sectPr>
      </w:pPr>
    </w:p>
    <w:bookmarkStart w:id="7" w:name="page8"/>
    <w:bookmarkEnd w:id="7"/>
    <w:p>
      <w:pPr>
        <w:spacing w:after="0"/>
        <w:tabs>
          <w:tab w:leader="none" w:pos="5020" w:val="left"/>
          <w:tab w:leader="none" w:pos="1008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094235108</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8 of 9 Pages</w:t>
      </w:r>
    </w:p>
    <w:p>
      <w:pPr>
        <w:sectPr>
          <w:pgSz w:w="11900" w:h="16838" w:orient="portrait"/>
          <w:cols w:equalWidth="0" w:num="1">
            <w:col w:w="11420"/>
          </w:cols>
          <w:pgMar w:left="240" w:top="225" w:right="239" w:bottom="1440" w:gutter="0" w:footer="0" w:header="0"/>
        </w:sectPr>
      </w:pPr>
    </w:p>
    <w:p>
      <w:pPr>
        <w:spacing w:after="0" w:line="227"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MATERIAL TO BE FILED AS EXHIBITS.</w:t>
      </w:r>
    </w:p>
    <w:p>
      <w:pPr>
        <w:spacing w:after="0" w:line="343" w:lineRule="exact"/>
        <w:rPr>
          <w:sz w:val="20"/>
          <w:szCs w:val="20"/>
          <w:color w:val="auto"/>
        </w:rPr>
      </w:pPr>
    </w:p>
    <w:p>
      <w:pPr>
        <w:ind w:left="400"/>
        <w:spacing w:after="0"/>
        <w:tabs>
          <w:tab w:leader="none" w:pos="160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6"/>
          <w:szCs w:val="16"/>
          <w:color w:val="auto"/>
        </w:rPr>
        <w:t>Transactions in the Shares of the Issuer During the Last 60 Days</w:t>
      </w:r>
    </w:p>
    <w:p>
      <w:pPr>
        <w:spacing w:after="0" w:line="216" w:lineRule="exact"/>
        <w:rPr>
          <w:sz w:val="20"/>
          <w:szCs w:val="20"/>
          <w:color w:val="auto"/>
        </w:rPr>
      </w:pPr>
    </w:p>
    <w:p>
      <w:pPr>
        <w:ind w:left="400"/>
        <w:spacing w:after="0"/>
        <w:tabs>
          <w:tab w:leader="none" w:pos="160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8"/>
          <w:szCs w:val="18"/>
          <w:color w:val="auto"/>
        </w:rPr>
        <w:t>Form of Nominee Agreement</w:t>
      </w:r>
    </w:p>
    <w:p>
      <w:pPr>
        <w:spacing w:after="0" w:line="216" w:lineRule="exact"/>
        <w:rPr>
          <w:sz w:val="20"/>
          <w:szCs w:val="20"/>
          <w:color w:val="auto"/>
        </w:rPr>
      </w:pPr>
    </w:p>
    <w:p>
      <w:pPr>
        <w:ind w:left="400"/>
        <w:spacing w:after="0"/>
        <w:tabs>
          <w:tab w:leader="none" w:pos="160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8"/>
          <w:szCs w:val="18"/>
          <w:color w:val="auto"/>
        </w:rPr>
        <w:t>Form of Cooperation Agreement</w:t>
      </w:r>
    </w:p>
    <w:p>
      <w:pPr>
        <w:spacing w:after="0" w:line="216" w:lineRule="exact"/>
        <w:rPr>
          <w:sz w:val="20"/>
          <w:szCs w:val="20"/>
          <w:color w:val="auto"/>
        </w:rPr>
      </w:pPr>
    </w:p>
    <w:p>
      <w:pPr>
        <w:ind w:left="400"/>
        <w:spacing w:after="0"/>
        <w:tabs>
          <w:tab w:leader="none" w:pos="1600" w:val="left"/>
        </w:tabs>
        <w:rPr>
          <w:sz w:val="20"/>
          <w:szCs w:val="20"/>
          <w:color w:val="auto"/>
        </w:rPr>
      </w:pPr>
      <w:r>
        <w:rPr>
          <w:rFonts w:ascii="Arial" w:cs="Arial" w:eastAsia="Arial" w:hAnsi="Arial"/>
          <w:sz w:val="20"/>
          <w:szCs w:val="20"/>
          <w:color w:val="auto"/>
        </w:rPr>
        <w:t>Exhibit D:</w:t>
      </w:r>
      <w:r>
        <w:rPr>
          <w:sz w:val="20"/>
          <w:szCs w:val="20"/>
          <w:color w:val="auto"/>
        </w:rPr>
        <w:tab/>
      </w:r>
      <w:r>
        <w:rPr>
          <w:rFonts w:ascii="Arial" w:cs="Arial" w:eastAsia="Arial" w:hAnsi="Arial"/>
          <w:sz w:val="18"/>
          <w:szCs w:val="18"/>
          <w:color w:val="auto"/>
        </w:rPr>
        <w:t>Joint Filing Agreement, dated November 20, 2017</w:t>
      </w:r>
    </w:p>
    <w:p>
      <w:pPr>
        <w:sectPr>
          <w:pgSz w:w="11900" w:h="16838" w:orient="portrait"/>
          <w:cols w:equalWidth="0" w:num="1">
            <w:col w:w="11420"/>
          </w:cols>
          <w:pgMar w:left="240" w:top="225" w:right="239" w:bottom="1440" w:gutter="0" w:footer="0" w:header="0"/>
          <w:type w:val="continuous"/>
        </w:sectPr>
      </w:pPr>
    </w:p>
    <w:bookmarkStart w:id="8" w:name="page9"/>
    <w:bookmarkEnd w:id="8"/>
    <w:p>
      <w:pPr>
        <w:spacing w:after="0"/>
        <w:tabs>
          <w:tab w:leader="none" w:pos="5020" w:val="left"/>
          <w:tab w:leader="none" w:pos="1008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094235108</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9 of 9 Pages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November 20, 2017</w:t>
      </w:r>
    </w:p>
    <w:p>
      <w:pPr>
        <w:spacing w:after="0" w:line="200" w:lineRule="exact"/>
        <w:rPr>
          <w:sz w:val="20"/>
          <w:szCs w:val="20"/>
          <w:color w:val="auto"/>
        </w:rPr>
      </w:pPr>
    </w:p>
    <w:p>
      <w:pPr>
        <w:spacing w:after="0" w:line="253" w:lineRule="exact"/>
        <w:rPr>
          <w:sz w:val="20"/>
          <w:szCs w:val="20"/>
          <w:color w:val="auto"/>
        </w:rPr>
      </w:pPr>
    </w:p>
    <w:p>
      <w:pPr>
        <w:ind w:left="7080"/>
        <w:spacing w:after="0"/>
        <w:rPr>
          <w:sz w:val="20"/>
          <w:szCs w:val="20"/>
          <w:color w:val="auto"/>
        </w:rPr>
      </w:pPr>
      <w:r>
        <w:rPr>
          <w:rFonts w:ascii="Arial" w:cs="Arial" w:eastAsia="Arial" w:hAnsi="Arial"/>
          <w:sz w:val="20"/>
          <w:szCs w:val="20"/>
          <w:b w:val="1"/>
          <w:bCs w:val="1"/>
          <w:color w:val="auto"/>
        </w:rPr>
        <w:t>JANA PARTNERS LLC</w:t>
      </w:r>
    </w:p>
    <w:p>
      <w:pPr>
        <w:spacing w:after="0" w:line="200" w:lineRule="exact"/>
        <w:rPr>
          <w:sz w:val="20"/>
          <w:szCs w:val="20"/>
          <w:color w:val="auto"/>
        </w:rPr>
      </w:pPr>
    </w:p>
    <w:p>
      <w:pPr>
        <w:spacing w:after="0" w:line="264" w:lineRule="exact"/>
        <w:rPr>
          <w:sz w:val="20"/>
          <w:szCs w:val="20"/>
          <w:color w:val="auto"/>
        </w:rPr>
      </w:pPr>
    </w:p>
    <w:tbl>
      <w:tblPr>
        <w:tblLayout w:type="fixed"/>
        <w:tblInd w:w="7080" w:type="dxa"/>
        <w:tblCellMar>
          <w:top w:w="0" w:type="dxa"/>
          <w:left w:w="0" w:type="dxa"/>
          <w:bottom w:w="0" w:type="dxa"/>
          <w:right w:w="0" w:type="dxa"/>
        </w:tblCellMar>
      </w:tblPr>
      <w:tr>
        <w:trPr>
          <w:trHeight w:val="24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3680" w:type="dxa"/>
            <w:vAlign w:val="bottom"/>
            <w:gridSpan w:val="2"/>
          </w:tcPr>
          <w:p>
            <w:pPr>
              <w:ind w:left="160"/>
              <w:spacing w:after="0"/>
              <w:rPr>
                <w:sz w:val="20"/>
                <w:szCs w:val="20"/>
                <w:color w:val="auto"/>
              </w:rPr>
            </w:pPr>
            <w:r>
              <w:rPr>
                <w:rFonts w:ascii="Arial" w:cs="Arial" w:eastAsia="Arial" w:hAnsi="Arial"/>
                <w:sz w:val="20"/>
                <w:szCs w:val="20"/>
                <w:color w:val="auto"/>
              </w:rPr>
              <w:t>/s/ Jennifer Fanjiang</w:t>
            </w:r>
          </w:p>
        </w:tc>
      </w:tr>
      <w:tr>
        <w:trPr>
          <w:trHeight w:val="213"/>
        </w:trPr>
        <w:tc>
          <w:tcPr>
            <w:tcW w:w="660" w:type="dxa"/>
            <w:vAlign w:val="bottom"/>
          </w:tcPr>
          <w:p>
            <w:pPr>
              <w:spacing w:after="0" w:line="213" w:lineRule="exact"/>
              <w:rPr>
                <w:sz w:val="20"/>
                <w:szCs w:val="20"/>
                <w:color w:val="auto"/>
              </w:rPr>
            </w:pPr>
            <w:r>
              <w:rPr>
                <w:rFonts w:ascii="Arial" w:cs="Arial" w:eastAsia="Arial" w:hAnsi="Arial"/>
                <w:sz w:val="20"/>
                <w:szCs w:val="20"/>
                <w:color w:val="auto"/>
              </w:rPr>
              <w:t>Name:</w:t>
            </w:r>
          </w:p>
        </w:tc>
        <w:tc>
          <w:tcPr>
            <w:tcW w:w="160" w:type="dxa"/>
            <w:vAlign w:val="bottom"/>
          </w:tcPr>
          <w:p>
            <w:pPr>
              <w:spacing w:after="0"/>
              <w:rPr>
                <w:sz w:val="18"/>
                <w:szCs w:val="18"/>
                <w:color w:val="auto"/>
              </w:rPr>
            </w:pPr>
          </w:p>
        </w:tc>
        <w:tc>
          <w:tcPr>
            <w:tcW w:w="3520" w:type="dxa"/>
            <w:vAlign w:val="bottom"/>
            <w:tcBorders>
              <w:top w:val="single" w:sz="8" w:color="auto"/>
            </w:tcBorders>
          </w:tcPr>
          <w:p>
            <w:pPr>
              <w:ind w:left="100"/>
              <w:spacing w:after="0" w:line="213" w:lineRule="exact"/>
              <w:rPr>
                <w:sz w:val="20"/>
                <w:szCs w:val="20"/>
                <w:color w:val="auto"/>
              </w:rPr>
            </w:pPr>
            <w:r>
              <w:rPr>
                <w:rFonts w:ascii="Arial" w:cs="Arial" w:eastAsia="Arial" w:hAnsi="Arial"/>
                <w:sz w:val="20"/>
                <w:szCs w:val="20"/>
                <w:color w:val="auto"/>
              </w:rPr>
              <w:t>Jennifer Fanjiang</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160" w:type="dxa"/>
            <w:vAlign w:val="bottom"/>
          </w:tcPr>
          <w:p>
            <w:pPr>
              <w:spacing w:after="0"/>
              <w:rPr>
                <w:sz w:val="21"/>
                <w:szCs w:val="21"/>
                <w:color w:val="auto"/>
              </w:rPr>
            </w:pPr>
          </w:p>
        </w:tc>
        <w:tc>
          <w:tcPr>
            <w:tcW w:w="3520" w:type="dxa"/>
            <w:vAlign w:val="bottom"/>
          </w:tcPr>
          <w:p>
            <w:pPr>
              <w:ind w:left="100"/>
              <w:spacing w:after="0"/>
              <w:rPr>
                <w:sz w:val="20"/>
                <w:szCs w:val="20"/>
                <w:color w:val="auto"/>
              </w:rPr>
            </w:pPr>
            <w:r>
              <w:rPr>
                <w:rFonts w:ascii="Arial" w:cs="Arial" w:eastAsia="Arial" w:hAnsi="Arial"/>
                <w:sz w:val="20"/>
                <w:szCs w:val="20"/>
                <w:color w:val="auto"/>
              </w:rPr>
              <w:t>General Counsel</w:t>
            </w:r>
          </w:p>
        </w:tc>
      </w:tr>
    </w:tbl>
    <w:p>
      <w:pPr>
        <w:spacing w:after="0" w:line="209"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/s/ Glenn 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10160</wp:posOffset>
            </wp:positionV>
            <wp:extent cx="2821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7080"/>
        <w:spacing w:after="0"/>
        <w:rPr>
          <w:sz w:val="20"/>
          <w:szCs w:val="20"/>
          <w:color w:val="auto"/>
        </w:rPr>
      </w:pPr>
      <w:r>
        <w:rPr>
          <w:rFonts w:ascii="Arial" w:cs="Arial" w:eastAsia="Arial" w:hAnsi="Arial"/>
          <w:sz w:val="20"/>
          <w:szCs w:val="20"/>
          <w:b w:val="1"/>
          <w:bCs w:val="1"/>
          <w:color w:val="auto"/>
        </w:rPr>
        <w:t>GLENN K. MURPHY</w:t>
      </w:r>
    </w:p>
    <w:p>
      <w:pPr>
        <w:spacing w:after="0" w:line="222"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/s/ Neal J. Yanofsky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10160</wp:posOffset>
            </wp:positionV>
            <wp:extent cx="2821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7080"/>
        <w:spacing w:after="0"/>
        <w:rPr>
          <w:sz w:val="20"/>
          <w:szCs w:val="20"/>
          <w:color w:val="auto"/>
        </w:rPr>
      </w:pPr>
      <w:r>
        <w:rPr>
          <w:rFonts w:ascii="Arial" w:cs="Arial" w:eastAsia="Arial" w:hAnsi="Arial"/>
          <w:sz w:val="20"/>
          <w:szCs w:val="20"/>
          <w:b w:val="1"/>
          <w:bCs w:val="1"/>
          <w:color w:val="auto"/>
        </w:rPr>
        <w:t>NEAL J. YANOFSKY</w:t>
      </w:r>
    </w:p>
    <w:p>
      <w:pPr>
        <w:sectPr>
          <w:pgSz w:w="11900" w:h="16838" w:orient="portrait"/>
          <w:cols w:equalWidth="0" w:num="1">
            <w:col w:w="11420"/>
          </w:cols>
          <w:pgMar w:left="240" w:top="2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Transactions in the Shares of the Issuer During the Last 60 Days</w:t>
      </w:r>
    </w:p>
    <w:p>
      <w:pPr>
        <w:spacing w:after="0" w:line="235" w:lineRule="exact"/>
        <w:rPr>
          <w:sz w:val="20"/>
          <w:szCs w:val="20"/>
          <w:color w:val="auto"/>
        </w:rPr>
      </w:pPr>
    </w:p>
    <w:p>
      <w:pPr>
        <w:ind w:right="320" w:firstLine="648"/>
        <w:spacing w:after="0" w:line="316" w:lineRule="auto"/>
        <w:rPr>
          <w:sz w:val="20"/>
          <w:szCs w:val="20"/>
          <w:color w:val="auto"/>
        </w:rPr>
      </w:pPr>
      <w:r>
        <w:rPr>
          <w:rFonts w:ascii="Arial" w:cs="Arial" w:eastAsia="Arial" w:hAnsi="Arial"/>
          <w:sz w:val="18"/>
          <w:szCs w:val="18"/>
          <w:color w:val="auto"/>
        </w:rPr>
        <w:t>The following tables set forth all transactions in the Shares effected in the past sixty days by the Reporting Persons. Except as noted below, all such transactions were effected in the open market through brokers and the price per share is net of commissions.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JANA</w:t>
      </w:r>
    </w:p>
    <w:p>
      <w:pPr>
        <w:spacing w:after="0" w:line="229" w:lineRule="exact"/>
        <w:rPr>
          <w:sz w:val="20"/>
          <w:szCs w:val="20"/>
          <w:color w:val="auto"/>
        </w:rPr>
      </w:pPr>
    </w:p>
    <w:tbl>
      <w:tblPr>
        <w:tblLayout w:type="fixed"/>
        <w:tblInd w:w="1300" w:type="dxa"/>
        <w:tblCellMar>
          <w:top w:w="0" w:type="dxa"/>
          <w:left w:w="0" w:type="dxa"/>
          <w:bottom w:w="0" w:type="dxa"/>
          <w:right w:w="0" w:type="dxa"/>
        </w:tblCellMar>
      </w:tblPr>
      <w:tr>
        <w:trPr>
          <w:trHeight w:val="236"/>
        </w:trPr>
        <w:tc>
          <w:tcPr>
            <w:tcW w:w="2080" w:type="dxa"/>
            <w:vAlign w:val="bottom"/>
          </w:tcPr>
          <w:p>
            <w:pPr>
              <w:spacing w:after="0"/>
              <w:rPr>
                <w:sz w:val="20"/>
                <w:szCs w:val="20"/>
                <w:color w:val="auto"/>
              </w:rPr>
            </w:pPr>
            <w:r>
              <w:rPr>
                <w:rFonts w:ascii="Arial" w:cs="Arial" w:eastAsia="Arial" w:hAnsi="Arial"/>
                <w:sz w:val="20"/>
                <w:szCs w:val="20"/>
                <w:b w:val="1"/>
                <w:bCs w:val="1"/>
                <w:color w:val="auto"/>
              </w:rPr>
              <w:t>Trade Date</w:t>
            </w:r>
          </w:p>
        </w:tc>
        <w:tc>
          <w:tcPr>
            <w:tcW w:w="4240" w:type="dxa"/>
            <w:vAlign w:val="bottom"/>
          </w:tcPr>
          <w:p>
            <w:pPr>
              <w:ind w:left="1140"/>
              <w:spacing w:after="0"/>
              <w:rPr>
                <w:sz w:val="20"/>
                <w:szCs w:val="20"/>
                <w:color w:val="auto"/>
              </w:rPr>
            </w:pPr>
            <w:r>
              <w:rPr>
                <w:rFonts w:ascii="Arial" w:cs="Arial" w:eastAsia="Arial" w:hAnsi="Arial"/>
                <w:sz w:val="20"/>
                <w:szCs w:val="20"/>
                <w:b w:val="1"/>
                <w:bCs w:val="1"/>
                <w:color w:val="auto"/>
              </w:rPr>
              <w:t>Shares Purchased (Sold)</w:t>
            </w:r>
          </w:p>
        </w:tc>
        <w:tc>
          <w:tcPr>
            <w:tcW w:w="2660" w:type="dxa"/>
            <w:vAlign w:val="bottom"/>
          </w:tcPr>
          <w:p>
            <w:pPr>
              <w:jc w:val="center"/>
              <w:ind w:left="961"/>
              <w:spacing w:after="0"/>
              <w:rPr>
                <w:sz w:val="20"/>
                <w:szCs w:val="20"/>
                <w:color w:val="auto"/>
              </w:rPr>
            </w:pPr>
            <w:r>
              <w:rPr>
                <w:rFonts w:ascii="Arial" w:cs="Arial" w:eastAsia="Arial" w:hAnsi="Arial"/>
                <w:sz w:val="20"/>
                <w:szCs w:val="20"/>
                <w:b w:val="1"/>
                <w:bCs w:val="1"/>
                <w:color w:val="auto"/>
                <w:w w:val="89"/>
              </w:rPr>
              <w:t>Price Per Share ($)</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9"/>
              </w:rPr>
              <w:t>10/4/2017</w:t>
            </w:r>
          </w:p>
        </w:tc>
        <w:tc>
          <w:tcPr>
            <w:tcW w:w="4240" w:type="dxa"/>
            <w:vAlign w:val="bottom"/>
          </w:tcPr>
          <w:p>
            <w:pPr>
              <w:jc w:val="center"/>
              <w:ind w:left="1"/>
              <w:spacing w:after="0"/>
              <w:rPr>
                <w:sz w:val="20"/>
                <w:szCs w:val="20"/>
                <w:color w:val="auto"/>
              </w:rPr>
            </w:pPr>
            <w:r>
              <w:rPr>
                <w:rFonts w:ascii="Arial" w:cs="Arial" w:eastAsia="Arial" w:hAnsi="Arial"/>
                <w:sz w:val="20"/>
                <w:szCs w:val="20"/>
                <w:color w:val="auto"/>
                <w:w w:val="88"/>
              </w:rPr>
              <w:t>95,437</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17.06</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9"/>
              </w:rPr>
              <w:t>10/4/2017</w:t>
            </w:r>
          </w:p>
        </w:tc>
        <w:tc>
          <w:tcPr>
            <w:tcW w:w="4240" w:type="dxa"/>
            <w:vAlign w:val="bottom"/>
          </w:tcPr>
          <w:p>
            <w:pPr>
              <w:jc w:val="center"/>
              <w:spacing w:after="0"/>
              <w:rPr>
                <w:sz w:val="20"/>
                <w:szCs w:val="20"/>
                <w:color w:val="auto"/>
              </w:rPr>
            </w:pPr>
            <w:r>
              <w:rPr>
                <w:rFonts w:ascii="Arial" w:cs="Arial" w:eastAsia="Arial" w:hAnsi="Arial"/>
                <w:sz w:val="20"/>
                <w:szCs w:val="20"/>
                <w:color w:val="auto"/>
                <w:w w:val="91"/>
              </w:rPr>
              <w:t>(95,437)</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17.05</w:t>
            </w:r>
          </w:p>
        </w:tc>
      </w:tr>
      <w:tr>
        <w:trPr>
          <w:trHeight w:val="230"/>
        </w:trPr>
        <w:tc>
          <w:tcPr>
            <w:tcW w:w="2080" w:type="dxa"/>
            <w:vAlign w:val="bottom"/>
          </w:tcPr>
          <w:p>
            <w:pPr>
              <w:jc w:val="center"/>
              <w:ind w:right="1041"/>
              <w:spacing w:after="0"/>
              <w:rPr>
                <w:sz w:val="20"/>
                <w:szCs w:val="20"/>
                <w:color w:val="auto"/>
              </w:rPr>
            </w:pPr>
            <w:r>
              <w:rPr>
                <w:rFonts w:ascii="Arial" w:cs="Arial" w:eastAsia="Arial" w:hAnsi="Arial"/>
                <w:sz w:val="20"/>
                <w:szCs w:val="20"/>
                <w:color w:val="auto"/>
                <w:w w:val="89"/>
              </w:rPr>
              <w:t>10/18/2017</w:t>
            </w:r>
          </w:p>
        </w:tc>
        <w:tc>
          <w:tcPr>
            <w:tcW w:w="4240" w:type="dxa"/>
            <w:vAlign w:val="bottom"/>
          </w:tcPr>
          <w:p>
            <w:pPr>
              <w:jc w:val="center"/>
              <w:spacing w:after="0"/>
              <w:rPr>
                <w:sz w:val="20"/>
                <w:szCs w:val="20"/>
                <w:color w:val="auto"/>
              </w:rPr>
            </w:pPr>
            <w:r>
              <w:rPr>
                <w:rFonts w:ascii="Arial" w:cs="Arial" w:eastAsia="Arial" w:hAnsi="Arial"/>
                <w:sz w:val="20"/>
                <w:szCs w:val="20"/>
                <w:color w:val="auto"/>
                <w:w w:val="87"/>
              </w:rPr>
              <w:t>2,024</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17.74</w:t>
            </w:r>
          </w:p>
        </w:tc>
      </w:tr>
      <w:tr>
        <w:trPr>
          <w:trHeight w:val="230"/>
        </w:trPr>
        <w:tc>
          <w:tcPr>
            <w:tcW w:w="2080" w:type="dxa"/>
            <w:vAlign w:val="bottom"/>
          </w:tcPr>
          <w:p>
            <w:pPr>
              <w:jc w:val="center"/>
              <w:ind w:right="1041"/>
              <w:spacing w:after="0"/>
              <w:rPr>
                <w:sz w:val="20"/>
                <w:szCs w:val="20"/>
                <w:color w:val="auto"/>
              </w:rPr>
            </w:pPr>
            <w:r>
              <w:rPr>
                <w:rFonts w:ascii="Arial" w:cs="Arial" w:eastAsia="Arial" w:hAnsi="Arial"/>
                <w:sz w:val="20"/>
                <w:szCs w:val="20"/>
                <w:color w:val="auto"/>
                <w:w w:val="89"/>
              </w:rPr>
              <w:t>10/18/2017</w:t>
            </w:r>
          </w:p>
        </w:tc>
        <w:tc>
          <w:tcPr>
            <w:tcW w:w="4240" w:type="dxa"/>
            <w:vAlign w:val="bottom"/>
          </w:tcPr>
          <w:p>
            <w:pPr>
              <w:jc w:val="center"/>
              <w:ind w:left="1"/>
              <w:spacing w:after="0"/>
              <w:rPr>
                <w:sz w:val="20"/>
                <w:szCs w:val="20"/>
                <w:color w:val="auto"/>
              </w:rPr>
            </w:pPr>
            <w:r>
              <w:rPr>
                <w:rFonts w:ascii="Arial" w:cs="Arial" w:eastAsia="Arial" w:hAnsi="Arial"/>
                <w:sz w:val="20"/>
                <w:szCs w:val="20"/>
                <w:color w:val="auto"/>
                <w:w w:val="91"/>
              </w:rPr>
              <w:t>(2,024)</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17.73</w:t>
            </w:r>
          </w:p>
        </w:tc>
      </w:tr>
      <w:tr>
        <w:trPr>
          <w:trHeight w:val="230"/>
        </w:trPr>
        <w:tc>
          <w:tcPr>
            <w:tcW w:w="2080" w:type="dxa"/>
            <w:vAlign w:val="bottom"/>
          </w:tcPr>
          <w:p>
            <w:pPr>
              <w:jc w:val="center"/>
              <w:ind w:right="1041"/>
              <w:spacing w:after="0"/>
              <w:rPr>
                <w:sz w:val="20"/>
                <w:szCs w:val="20"/>
                <w:color w:val="auto"/>
              </w:rPr>
            </w:pPr>
            <w:r>
              <w:rPr>
                <w:rFonts w:ascii="Arial" w:cs="Arial" w:eastAsia="Arial" w:hAnsi="Arial"/>
                <w:sz w:val="20"/>
                <w:szCs w:val="20"/>
                <w:color w:val="auto"/>
                <w:w w:val="89"/>
              </w:rPr>
              <w:t>10/20/2017</w:t>
            </w:r>
          </w:p>
        </w:tc>
        <w:tc>
          <w:tcPr>
            <w:tcW w:w="4240" w:type="dxa"/>
            <w:vAlign w:val="bottom"/>
          </w:tcPr>
          <w:p>
            <w:pPr>
              <w:jc w:val="center"/>
              <w:ind w:left="1"/>
              <w:spacing w:after="0"/>
              <w:rPr>
                <w:sz w:val="20"/>
                <w:szCs w:val="20"/>
                <w:color w:val="auto"/>
              </w:rPr>
            </w:pPr>
            <w:r>
              <w:rPr>
                <w:rFonts w:ascii="Arial" w:cs="Arial" w:eastAsia="Arial" w:hAnsi="Arial"/>
                <w:sz w:val="20"/>
                <w:szCs w:val="20"/>
                <w:color w:val="auto"/>
                <w:w w:val="91"/>
              </w:rPr>
              <w:t>(4,700)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18.29</w:t>
            </w:r>
          </w:p>
        </w:tc>
      </w:tr>
      <w:tr>
        <w:trPr>
          <w:trHeight w:val="230"/>
        </w:trPr>
        <w:tc>
          <w:tcPr>
            <w:tcW w:w="2080" w:type="dxa"/>
            <w:vAlign w:val="bottom"/>
          </w:tcPr>
          <w:p>
            <w:pPr>
              <w:jc w:val="center"/>
              <w:ind w:right="1041"/>
              <w:spacing w:after="0"/>
              <w:rPr>
                <w:sz w:val="20"/>
                <w:szCs w:val="20"/>
                <w:color w:val="auto"/>
              </w:rPr>
            </w:pPr>
            <w:r>
              <w:rPr>
                <w:rFonts w:ascii="Arial" w:cs="Arial" w:eastAsia="Arial" w:hAnsi="Arial"/>
                <w:sz w:val="20"/>
                <w:szCs w:val="20"/>
                <w:color w:val="auto"/>
                <w:w w:val="89"/>
              </w:rPr>
              <w:t>10/20/2017</w:t>
            </w:r>
          </w:p>
        </w:tc>
        <w:tc>
          <w:tcPr>
            <w:tcW w:w="4240" w:type="dxa"/>
            <w:vAlign w:val="bottom"/>
          </w:tcPr>
          <w:p>
            <w:pPr>
              <w:jc w:val="center"/>
              <w:spacing w:after="0"/>
              <w:rPr>
                <w:sz w:val="20"/>
                <w:szCs w:val="20"/>
                <w:color w:val="auto"/>
              </w:rPr>
            </w:pPr>
            <w:r>
              <w:rPr>
                <w:rFonts w:ascii="Arial" w:cs="Arial" w:eastAsia="Arial" w:hAnsi="Arial"/>
                <w:sz w:val="20"/>
                <w:szCs w:val="20"/>
                <w:color w:val="auto"/>
                <w:w w:val="91"/>
              </w:rPr>
              <w:t>(50,000)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18.26</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9"/>
              </w:rPr>
              <w:t>11/3/2017</w:t>
            </w:r>
          </w:p>
        </w:tc>
        <w:tc>
          <w:tcPr>
            <w:tcW w:w="4240" w:type="dxa"/>
            <w:vAlign w:val="bottom"/>
          </w:tcPr>
          <w:p>
            <w:pPr>
              <w:jc w:val="center"/>
              <w:spacing w:after="0"/>
              <w:rPr>
                <w:sz w:val="20"/>
                <w:szCs w:val="20"/>
                <w:color w:val="auto"/>
              </w:rPr>
            </w:pPr>
            <w:r>
              <w:rPr>
                <w:rFonts w:ascii="Arial" w:cs="Arial" w:eastAsia="Arial" w:hAnsi="Arial"/>
                <w:sz w:val="20"/>
                <w:szCs w:val="20"/>
                <w:color w:val="auto"/>
                <w:w w:val="91"/>
              </w:rPr>
              <w:t>(25,983)</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18.19</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9"/>
              </w:rPr>
              <w:t>11/3/2017</w:t>
            </w:r>
          </w:p>
        </w:tc>
        <w:tc>
          <w:tcPr>
            <w:tcW w:w="4240" w:type="dxa"/>
            <w:vAlign w:val="bottom"/>
          </w:tcPr>
          <w:p>
            <w:pPr>
              <w:jc w:val="center"/>
              <w:spacing w:after="0"/>
              <w:rPr>
                <w:sz w:val="20"/>
                <w:szCs w:val="20"/>
                <w:color w:val="auto"/>
              </w:rPr>
            </w:pPr>
            <w:r>
              <w:rPr>
                <w:rFonts w:ascii="Arial" w:cs="Arial" w:eastAsia="Arial" w:hAnsi="Arial"/>
                <w:sz w:val="20"/>
                <w:szCs w:val="20"/>
                <w:color w:val="auto"/>
                <w:w w:val="91"/>
              </w:rPr>
              <w:t>(12,100)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18.28</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9"/>
              </w:rPr>
              <w:t>11/3/2017</w:t>
            </w:r>
          </w:p>
        </w:tc>
        <w:tc>
          <w:tcPr>
            <w:tcW w:w="4240" w:type="dxa"/>
            <w:vAlign w:val="bottom"/>
          </w:tcPr>
          <w:p>
            <w:pPr>
              <w:jc w:val="center"/>
              <w:spacing w:after="0"/>
              <w:rPr>
                <w:sz w:val="20"/>
                <w:szCs w:val="20"/>
                <w:color w:val="auto"/>
              </w:rPr>
            </w:pPr>
            <w:r>
              <w:rPr>
                <w:rFonts w:ascii="Arial" w:cs="Arial" w:eastAsia="Arial" w:hAnsi="Arial"/>
                <w:sz w:val="20"/>
                <w:szCs w:val="20"/>
                <w:color w:val="auto"/>
                <w:w w:val="91"/>
              </w:rPr>
              <w:t>(22,000)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18.45</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9"/>
              </w:rPr>
              <w:t>11/6/2017</w:t>
            </w:r>
          </w:p>
        </w:tc>
        <w:tc>
          <w:tcPr>
            <w:tcW w:w="4240" w:type="dxa"/>
            <w:vAlign w:val="bottom"/>
          </w:tcPr>
          <w:p>
            <w:pPr>
              <w:jc w:val="center"/>
              <w:ind w:left="1"/>
              <w:spacing w:after="0"/>
              <w:rPr>
                <w:sz w:val="20"/>
                <w:szCs w:val="20"/>
                <w:color w:val="auto"/>
              </w:rPr>
            </w:pPr>
            <w:r>
              <w:rPr>
                <w:rFonts w:ascii="Arial" w:cs="Arial" w:eastAsia="Arial" w:hAnsi="Arial"/>
                <w:sz w:val="20"/>
                <w:szCs w:val="20"/>
                <w:color w:val="auto"/>
                <w:w w:val="88"/>
              </w:rPr>
              <w:t>65,110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16.95</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9"/>
              </w:rPr>
              <w:t>11/6/2017</w:t>
            </w:r>
          </w:p>
        </w:tc>
        <w:tc>
          <w:tcPr>
            <w:tcW w:w="4240" w:type="dxa"/>
            <w:vAlign w:val="bottom"/>
          </w:tcPr>
          <w:p>
            <w:pPr>
              <w:jc w:val="center"/>
              <w:spacing w:after="0"/>
              <w:rPr>
                <w:sz w:val="20"/>
                <w:szCs w:val="20"/>
                <w:color w:val="auto"/>
              </w:rPr>
            </w:pPr>
            <w:r>
              <w:rPr>
                <w:rFonts w:ascii="Arial" w:cs="Arial" w:eastAsia="Arial" w:hAnsi="Arial"/>
                <w:sz w:val="20"/>
                <w:szCs w:val="20"/>
                <w:color w:val="auto"/>
                <w:w w:val="87"/>
              </w:rPr>
              <w:t>4,668</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16.89</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9"/>
              </w:rPr>
              <w:t>11/7/2017</w:t>
            </w:r>
          </w:p>
        </w:tc>
        <w:tc>
          <w:tcPr>
            <w:tcW w:w="4240" w:type="dxa"/>
            <w:vAlign w:val="bottom"/>
          </w:tcPr>
          <w:p>
            <w:pPr>
              <w:jc w:val="center"/>
              <w:ind w:left="1"/>
              <w:spacing w:after="0"/>
              <w:rPr>
                <w:sz w:val="20"/>
                <w:szCs w:val="20"/>
                <w:color w:val="auto"/>
              </w:rPr>
            </w:pPr>
            <w:r>
              <w:rPr>
                <w:rFonts w:ascii="Arial" w:cs="Arial" w:eastAsia="Arial" w:hAnsi="Arial"/>
                <w:sz w:val="20"/>
                <w:szCs w:val="20"/>
                <w:color w:val="auto"/>
                <w:w w:val="88"/>
              </w:rPr>
              <w:t>84,320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16.65</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9"/>
              </w:rPr>
              <w:t>11/7/2017</w:t>
            </w:r>
          </w:p>
        </w:tc>
        <w:tc>
          <w:tcPr>
            <w:tcW w:w="4240" w:type="dxa"/>
            <w:vAlign w:val="bottom"/>
          </w:tcPr>
          <w:p>
            <w:pPr>
              <w:jc w:val="center"/>
              <w:spacing w:after="0"/>
              <w:rPr>
                <w:sz w:val="20"/>
                <w:szCs w:val="20"/>
                <w:color w:val="auto"/>
              </w:rPr>
            </w:pPr>
            <w:r>
              <w:rPr>
                <w:rFonts w:ascii="Arial" w:cs="Arial" w:eastAsia="Arial" w:hAnsi="Arial"/>
                <w:sz w:val="20"/>
                <w:szCs w:val="20"/>
                <w:color w:val="auto"/>
                <w:w w:val="88"/>
              </w:rPr>
              <w:t>290,902</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16.89</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9"/>
              </w:rPr>
              <w:t>11/8/2017</w:t>
            </w:r>
          </w:p>
        </w:tc>
        <w:tc>
          <w:tcPr>
            <w:tcW w:w="4240" w:type="dxa"/>
            <w:vAlign w:val="bottom"/>
          </w:tcPr>
          <w:p>
            <w:pPr>
              <w:jc w:val="center"/>
              <w:spacing w:after="0"/>
              <w:rPr>
                <w:sz w:val="20"/>
                <w:szCs w:val="20"/>
                <w:color w:val="auto"/>
              </w:rPr>
            </w:pPr>
            <w:r>
              <w:rPr>
                <w:rFonts w:ascii="Arial" w:cs="Arial" w:eastAsia="Arial" w:hAnsi="Arial"/>
                <w:sz w:val="20"/>
                <w:szCs w:val="20"/>
                <w:color w:val="auto"/>
                <w:w w:val="88"/>
              </w:rPr>
              <w:t>148,600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16.79</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9"/>
              </w:rPr>
              <w:t>11/8/2017</w:t>
            </w:r>
          </w:p>
        </w:tc>
        <w:tc>
          <w:tcPr>
            <w:tcW w:w="4240" w:type="dxa"/>
            <w:vAlign w:val="bottom"/>
          </w:tcPr>
          <w:p>
            <w:pPr>
              <w:jc w:val="center"/>
              <w:spacing w:after="0"/>
              <w:rPr>
                <w:sz w:val="20"/>
                <w:szCs w:val="20"/>
                <w:color w:val="auto"/>
              </w:rPr>
            </w:pPr>
            <w:r>
              <w:rPr>
                <w:rFonts w:ascii="Arial" w:cs="Arial" w:eastAsia="Arial" w:hAnsi="Arial"/>
                <w:sz w:val="20"/>
                <w:szCs w:val="20"/>
                <w:color w:val="auto"/>
                <w:w w:val="89"/>
              </w:rPr>
              <w:t>1,010,000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16.96</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9"/>
              </w:rPr>
              <w:t>11/8/2017</w:t>
            </w:r>
          </w:p>
        </w:tc>
        <w:tc>
          <w:tcPr>
            <w:tcW w:w="4240" w:type="dxa"/>
            <w:vAlign w:val="bottom"/>
          </w:tcPr>
          <w:p>
            <w:pPr>
              <w:jc w:val="center"/>
              <w:ind w:left="1"/>
              <w:spacing w:after="0"/>
              <w:rPr>
                <w:sz w:val="20"/>
                <w:szCs w:val="20"/>
                <w:color w:val="auto"/>
              </w:rPr>
            </w:pPr>
            <w:r>
              <w:rPr>
                <w:rFonts w:ascii="Arial" w:cs="Arial" w:eastAsia="Arial" w:hAnsi="Arial"/>
                <w:sz w:val="20"/>
                <w:szCs w:val="20"/>
                <w:color w:val="auto"/>
                <w:w w:val="88"/>
              </w:rPr>
              <w:t>12,900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16.58</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9"/>
              </w:rPr>
              <w:t>11/8/2017</w:t>
            </w:r>
          </w:p>
        </w:tc>
        <w:tc>
          <w:tcPr>
            <w:tcW w:w="4240" w:type="dxa"/>
            <w:vAlign w:val="bottom"/>
          </w:tcPr>
          <w:p>
            <w:pPr>
              <w:jc w:val="center"/>
              <w:ind w:left="1"/>
              <w:spacing w:after="0"/>
              <w:rPr>
                <w:sz w:val="20"/>
                <w:szCs w:val="20"/>
                <w:color w:val="auto"/>
              </w:rPr>
            </w:pPr>
            <w:r>
              <w:rPr>
                <w:rFonts w:ascii="Arial" w:cs="Arial" w:eastAsia="Arial" w:hAnsi="Arial"/>
                <w:sz w:val="20"/>
                <w:szCs w:val="20"/>
                <w:color w:val="auto"/>
                <w:w w:val="88"/>
              </w:rPr>
              <w:t>20,000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16.85</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9"/>
              </w:rPr>
              <w:t>11/8/2017</w:t>
            </w:r>
          </w:p>
        </w:tc>
        <w:tc>
          <w:tcPr>
            <w:tcW w:w="4240" w:type="dxa"/>
            <w:vAlign w:val="bottom"/>
          </w:tcPr>
          <w:p>
            <w:pPr>
              <w:jc w:val="center"/>
              <w:ind w:left="1"/>
              <w:spacing w:after="0"/>
              <w:rPr>
                <w:sz w:val="20"/>
                <w:szCs w:val="20"/>
                <w:color w:val="auto"/>
              </w:rPr>
            </w:pPr>
            <w:r>
              <w:rPr>
                <w:rFonts w:ascii="Arial" w:cs="Arial" w:eastAsia="Arial" w:hAnsi="Arial"/>
                <w:sz w:val="20"/>
                <w:szCs w:val="20"/>
                <w:color w:val="auto"/>
                <w:w w:val="88"/>
              </w:rPr>
              <w:t>48,198</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16.67</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9"/>
              </w:rPr>
              <w:t>11/9/2017</w:t>
            </w:r>
          </w:p>
        </w:tc>
        <w:tc>
          <w:tcPr>
            <w:tcW w:w="4240" w:type="dxa"/>
            <w:vAlign w:val="bottom"/>
          </w:tcPr>
          <w:p>
            <w:pPr>
              <w:jc w:val="center"/>
              <w:ind w:left="1"/>
              <w:spacing w:after="0"/>
              <w:rPr>
                <w:sz w:val="20"/>
                <w:szCs w:val="20"/>
                <w:color w:val="auto"/>
              </w:rPr>
            </w:pPr>
            <w:r>
              <w:rPr>
                <w:rFonts w:ascii="Arial" w:cs="Arial" w:eastAsia="Arial" w:hAnsi="Arial"/>
                <w:sz w:val="20"/>
                <w:szCs w:val="20"/>
                <w:color w:val="auto"/>
                <w:w w:val="88"/>
              </w:rPr>
              <w:t>12,071</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17.01</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7"/>
              </w:rPr>
              <w:t>11/10/2017</w:t>
            </w:r>
          </w:p>
        </w:tc>
        <w:tc>
          <w:tcPr>
            <w:tcW w:w="4240" w:type="dxa"/>
            <w:vAlign w:val="bottom"/>
          </w:tcPr>
          <w:p>
            <w:pPr>
              <w:jc w:val="center"/>
              <w:ind w:left="1"/>
              <w:spacing w:after="0"/>
              <w:rPr>
                <w:sz w:val="20"/>
                <w:szCs w:val="20"/>
                <w:color w:val="auto"/>
              </w:rPr>
            </w:pPr>
            <w:r>
              <w:rPr>
                <w:rFonts w:ascii="Arial" w:cs="Arial" w:eastAsia="Arial" w:hAnsi="Arial"/>
                <w:sz w:val="20"/>
                <w:szCs w:val="20"/>
                <w:color w:val="auto"/>
                <w:w w:val="88"/>
              </w:rPr>
              <w:t>22,073</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16.95</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7"/>
              </w:rPr>
              <w:t>11/13/2017</w:t>
            </w:r>
          </w:p>
        </w:tc>
        <w:tc>
          <w:tcPr>
            <w:tcW w:w="4240" w:type="dxa"/>
            <w:vAlign w:val="bottom"/>
          </w:tcPr>
          <w:p>
            <w:pPr>
              <w:jc w:val="center"/>
              <w:ind w:left="1"/>
              <w:spacing w:after="0"/>
              <w:rPr>
                <w:sz w:val="20"/>
                <w:szCs w:val="20"/>
                <w:color w:val="auto"/>
              </w:rPr>
            </w:pPr>
            <w:r>
              <w:rPr>
                <w:rFonts w:ascii="Arial" w:cs="Arial" w:eastAsia="Arial" w:hAnsi="Arial"/>
                <w:sz w:val="20"/>
                <w:szCs w:val="20"/>
                <w:color w:val="auto"/>
                <w:w w:val="88"/>
              </w:rPr>
              <w:t>12,613</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16.96</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7"/>
              </w:rPr>
              <w:t>11/13/2017</w:t>
            </w:r>
          </w:p>
        </w:tc>
        <w:tc>
          <w:tcPr>
            <w:tcW w:w="4240" w:type="dxa"/>
            <w:vAlign w:val="bottom"/>
          </w:tcPr>
          <w:p>
            <w:pPr>
              <w:jc w:val="center"/>
              <w:spacing w:after="0"/>
              <w:rPr>
                <w:sz w:val="20"/>
                <w:szCs w:val="20"/>
                <w:color w:val="auto"/>
              </w:rPr>
            </w:pPr>
            <w:r>
              <w:rPr>
                <w:rFonts w:ascii="Arial" w:cs="Arial" w:eastAsia="Arial" w:hAnsi="Arial"/>
                <w:sz w:val="20"/>
                <w:szCs w:val="20"/>
                <w:color w:val="auto"/>
                <w:w w:val="87"/>
              </w:rPr>
              <w:t>8,827</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17.11</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7"/>
              </w:rPr>
              <w:t>11/13/2017</w:t>
            </w:r>
          </w:p>
        </w:tc>
        <w:tc>
          <w:tcPr>
            <w:tcW w:w="4240" w:type="dxa"/>
            <w:vAlign w:val="bottom"/>
          </w:tcPr>
          <w:p>
            <w:pPr>
              <w:jc w:val="center"/>
              <w:ind w:left="1"/>
              <w:spacing w:after="0"/>
              <w:rPr>
                <w:sz w:val="20"/>
                <w:szCs w:val="20"/>
                <w:color w:val="auto"/>
              </w:rPr>
            </w:pPr>
            <w:r>
              <w:rPr>
                <w:rFonts w:ascii="Arial" w:cs="Arial" w:eastAsia="Arial" w:hAnsi="Arial"/>
                <w:sz w:val="20"/>
                <w:szCs w:val="20"/>
                <w:color w:val="auto"/>
                <w:w w:val="88"/>
              </w:rPr>
              <w:t>25,000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16.90</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7"/>
              </w:rPr>
              <w:t>11/14/2017</w:t>
            </w:r>
          </w:p>
        </w:tc>
        <w:tc>
          <w:tcPr>
            <w:tcW w:w="4240" w:type="dxa"/>
            <w:vAlign w:val="bottom"/>
          </w:tcPr>
          <w:p>
            <w:pPr>
              <w:jc w:val="center"/>
              <w:spacing w:after="0"/>
              <w:rPr>
                <w:sz w:val="20"/>
                <w:szCs w:val="20"/>
                <w:color w:val="auto"/>
              </w:rPr>
            </w:pPr>
            <w:r>
              <w:rPr>
                <w:rFonts w:ascii="Arial" w:cs="Arial" w:eastAsia="Arial" w:hAnsi="Arial"/>
                <w:sz w:val="20"/>
                <w:szCs w:val="20"/>
                <w:color w:val="auto"/>
                <w:w w:val="88"/>
              </w:rPr>
              <w:t>200,683</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17.70</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7"/>
              </w:rPr>
              <w:t>11/14/2017</w:t>
            </w:r>
          </w:p>
        </w:tc>
        <w:tc>
          <w:tcPr>
            <w:tcW w:w="4240" w:type="dxa"/>
            <w:vAlign w:val="bottom"/>
          </w:tcPr>
          <w:p>
            <w:pPr>
              <w:jc w:val="center"/>
              <w:spacing w:after="0"/>
              <w:rPr>
                <w:sz w:val="20"/>
                <w:szCs w:val="20"/>
                <w:color w:val="auto"/>
              </w:rPr>
            </w:pPr>
            <w:r>
              <w:rPr>
                <w:rFonts w:ascii="Arial" w:cs="Arial" w:eastAsia="Arial" w:hAnsi="Arial"/>
                <w:sz w:val="20"/>
                <w:szCs w:val="20"/>
                <w:color w:val="auto"/>
                <w:w w:val="89"/>
              </w:rPr>
              <w:t>1,275,000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17.66</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7"/>
              </w:rPr>
              <w:t>11/15/2017</w:t>
            </w:r>
          </w:p>
        </w:tc>
        <w:tc>
          <w:tcPr>
            <w:tcW w:w="4240" w:type="dxa"/>
            <w:vAlign w:val="bottom"/>
          </w:tcPr>
          <w:p>
            <w:pPr>
              <w:jc w:val="center"/>
              <w:spacing w:after="0"/>
              <w:rPr>
                <w:sz w:val="20"/>
                <w:szCs w:val="20"/>
                <w:color w:val="auto"/>
              </w:rPr>
            </w:pPr>
            <w:r>
              <w:rPr>
                <w:rFonts w:ascii="Arial" w:cs="Arial" w:eastAsia="Arial" w:hAnsi="Arial"/>
                <w:sz w:val="20"/>
                <w:szCs w:val="20"/>
                <w:color w:val="auto"/>
                <w:w w:val="88"/>
              </w:rPr>
              <w:t>100,000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17.67</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7"/>
              </w:rPr>
              <w:t>11/15/2017</w:t>
            </w:r>
          </w:p>
        </w:tc>
        <w:tc>
          <w:tcPr>
            <w:tcW w:w="4240" w:type="dxa"/>
            <w:vAlign w:val="bottom"/>
          </w:tcPr>
          <w:p>
            <w:pPr>
              <w:jc w:val="center"/>
              <w:ind w:left="1"/>
              <w:spacing w:after="0"/>
              <w:rPr>
                <w:sz w:val="20"/>
                <w:szCs w:val="20"/>
                <w:color w:val="auto"/>
              </w:rPr>
            </w:pPr>
            <w:r>
              <w:rPr>
                <w:rFonts w:ascii="Arial" w:cs="Arial" w:eastAsia="Arial" w:hAnsi="Arial"/>
                <w:sz w:val="20"/>
                <w:szCs w:val="20"/>
                <w:color w:val="auto"/>
                <w:w w:val="85"/>
              </w:rPr>
              <w:t>111,349</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17.75</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7"/>
              </w:rPr>
              <w:t>11/16/2017</w:t>
            </w:r>
          </w:p>
        </w:tc>
        <w:tc>
          <w:tcPr>
            <w:tcW w:w="4240" w:type="dxa"/>
            <w:vAlign w:val="bottom"/>
          </w:tcPr>
          <w:p>
            <w:pPr>
              <w:jc w:val="center"/>
              <w:ind w:left="1"/>
              <w:spacing w:after="0"/>
              <w:rPr>
                <w:sz w:val="20"/>
                <w:szCs w:val="20"/>
                <w:color w:val="auto"/>
              </w:rPr>
            </w:pPr>
            <w:r>
              <w:rPr>
                <w:rFonts w:ascii="Arial" w:cs="Arial" w:eastAsia="Arial" w:hAnsi="Arial"/>
                <w:sz w:val="20"/>
                <w:szCs w:val="20"/>
                <w:color w:val="auto"/>
                <w:w w:val="88"/>
              </w:rPr>
              <w:t>49,424</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17.81</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7"/>
              </w:rPr>
              <w:t>11/16/2017</w:t>
            </w:r>
          </w:p>
        </w:tc>
        <w:tc>
          <w:tcPr>
            <w:tcW w:w="4240" w:type="dxa"/>
            <w:vAlign w:val="bottom"/>
          </w:tcPr>
          <w:p>
            <w:pPr>
              <w:jc w:val="center"/>
              <w:ind w:left="1"/>
              <w:spacing w:after="0"/>
              <w:rPr>
                <w:sz w:val="20"/>
                <w:szCs w:val="20"/>
                <w:color w:val="auto"/>
              </w:rPr>
            </w:pPr>
            <w:r>
              <w:rPr>
                <w:rFonts w:ascii="Arial" w:cs="Arial" w:eastAsia="Arial" w:hAnsi="Arial"/>
                <w:sz w:val="20"/>
                <w:szCs w:val="20"/>
                <w:color w:val="auto"/>
                <w:w w:val="88"/>
              </w:rPr>
              <w:t>11,180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17.78</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7"/>
              </w:rPr>
              <w:t>11/16/2017</w:t>
            </w:r>
          </w:p>
        </w:tc>
        <w:tc>
          <w:tcPr>
            <w:tcW w:w="4240" w:type="dxa"/>
            <w:vAlign w:val="bottom"/>
          </w:tcPr>
          <w:p>
            <w:pPr>
              <w:jc w:val="center"/>
              <w:spacing w:after="0"/>
              <w:rPr>
                <w:sz w:val="20"/>
                <w:szCs w:val="20"/>
                <w:color w:val="auto"/>
              </w:rPr>
            </w:pPr>
            <w:r>
              <w:rPr>
                <w:rFonts w:ascii="Arial" w:cs="Arial" w:eastAsia="Arial" w:hAnsi="Arial"/>
                <w:sz w:val="20"/>
                <w:szCs w:val="20"/>
                <w:color w:val="auto"/>
                <w:w w:val="88"/>
              </w:rPr>
              <w:t>244,000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17.80</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7"/>
              </w:rPr>
              <w:t>11/17/2017</w:t>
            </w:r>
          </w:p>
        </w:tc>
        <w:tc>
          <w:tcPr>
            <w:tcW w:w="4240" w:type="dxa"/>
            <w:vAlign w:val="bottom"/>
          </w:tcPr>
          <w:p>
            <w:pPr>
              <w:jc w:val="center"/>
              <w:ind w:left="1"/>
              <w:spacing w:after="0"/>
              <w:rPr>
                <w:sz w:val="20"/>
                <w:szCs w:val="20"/>
                <w:color w:val="auto"/>
              </w:rPr>
            </w:pPr>
            <w:r>
              <w:rPr>
                <w:rFonts w:ascii="Arial" w:cs="Arial" w:eastAsia="Arial" w:hAnsi="Arial"/>
                <w:sz w:val="20"/>
                <w:szCs w:val="20"/>
                <w:color w:val="auto"/>
                <w:w w:val="88"/>
              </w:rPr>
              <w:t>50,000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18.19</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7"/>
              </w:rPr>
              <w:t>11/20/2017</w:t>
            </w:r>
          </w:p>
        </w:tc>
        <w:tc>
          <w:tcPr>
            <w:tcW w:w="4240" w:type="dxa"/>
            <w:vAlign w:val="bottom"/>
          </w:tcPr>
          <w:p>
            <w:pPr>
              <w:jc w:val="center"/>
              <w:ind w:left="1"/>
              <w:spacing w:after="0"/>
              <w:rPr>
                <w:sz w:val="20"/>
                <w:szCs w:val="20"/>
                <w:color w:val="auto"/>
              </w:rPr>
            </w:pPr>
            <w:r>
              <w:rPr>
                <w:rFonts w:ascii="Arial" w:cs="Arial" w:eastAsia="Arial" w:hAnsi="Arial"/>
                <w:sz w:val="20"/>
                <w:szCs w:val="20"/>
                <w:color w:val="auto"/>
                <w:w w:val="88"/>
              </w:rPr>
              <w:t>13,345</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18.04</w:t>
            </w:r>
          </w:p>
        </w:tc>
      </w:tr>
      <w:tr>
        <w:trPr>
          <w:trHeight w:val="25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7"/>
              </w:rPr>
              <w:t>11/20/2017</w:t>
            </w:r>
          </w:p>
        </w:tc>
        <w:tc>
          <w:tcPr>
            <w:tcW w:w="4240" w:type="dxa"/>
            <w:vAlign w:val="bottom"/>
          </w:tcPr>
          <w:p>
            <w:pPr>
              <w:jc w:val="center"/>
              <w:spacing w:after="0"/>
              <w:rPr>
                <w:sz w:val="20"/>
                <w:szCs w:val="20"/>
                <w:color w:val="auto"/>
              </w:rPr>
            </w:pPr>
            <w:r>
              <w:rPr>
                <w:rFonts w:ascii="Arial" w:cs="Arial" w:eastAsia="Arial" w:hAnsi="Arial"/>
                <w:sz w:val="20"/>
                <w:szCs w:val="20"/>
                <w:color w:val="auto"/>
                <w:w w:val="88"/>
              </w:rPr>
              <w:t>100,000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17.94</w:t>
            </w:r>
          </w:p>
        </w:tc>
      </w:tr>
    </w:tbl>
    <w:p>
      <w:pPr>
        <w:sectPr>
          <w:pgSz w:w="11900" w:h="16838" w:orient="portrait"/>
          <w:cols w:equalWidth="0" w:num="1">
            <w:col w:w="11420"/>
          </w:cols>
          <w:pgMar w:left="240" w:top="346" w:right="2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Mr. Murphy</w:t>
      </w:r>
    </w:p>
    <w:p>
      <w:pPr>
        <w:spacing w:after="0" w:line="229" w:lineRule="exact"/>
        <w:rPr>
          <w:sz w:val="20"/>
          <w:szCs w:val="20"/>
          <w:color w:val="auto"/>
        </w:rPr>
      </w:pPr>
    </w:p>
    <w:tbl>
      <w:tblPr>
        <w:tblLayout w:type="fixed"/>
        <w:tblInd w:w="1300" w:type="dxa"/>
        <w:tblCellMar>
          <w:top w:w="0" w:type="dxa"/>
          <w:left w:w="0" w:type="dxa"/>
          <w:bottom w:w="0" w:type="dxa"/>
          <w:right w:w="0" w:type="dxa"/>
        </w:tblCellMar>
      </w:tblPr>
      <w:tr>
        <w:trPr>
          <w:trHeight w:val="236"/>
        </w:trPr>
        <w:tc>
          <w:tcPr>
            <w:tcW w:w="2080" w:type="dxa"/>
            <w:vAlign w:val="bottom"/>
          </w:tcPr>
          <w:p>
            <w:pPr>
              <w:jc w:val="center"/>
              <w:ind w:right="1021"/>
              <w:spacing w:after="0"/>
              <w:rPr>
                <w:sz w:val="20"/>
                <w:szCs w:val="20"/>
                <w:color w:val="auto"/>
              </w:rPr>
            </w:pPr>
            <w:r>
              <w:rPr>
                <w:rFonts w:ascii="Arial" w:cs="Arial" w:eastAsia="Arial" w:hAnsi="Arial"/>
                <w:sz w:val="20"/>
                <w:szCs w:val="20"/>
                <w:b w:val="1"/>
                <w:bCs w:val="1"/>
                <w:color w:val="auto"/>
                <w:w w:val="92"/>
              </w:rPr>
              <w:t>Trade Date</w:t>
            </w:r>
          </w:p>
        </w:tc>
        <w:tc>
          <w:tcPr>
            <w:tcW w:w="4240" w:type="dxa"/>
            <w:vAlign w:val="bottom"/>
          </w:tcPr>
          <w:p>
            <w:pPr>
              <w:ind w:left="1140"/>
              <w:spacing w:after="0"/>
              <w:rPr>
                <w:sz w:val="20"/>
                <w:szCs w:val="20"/>
                <w:color w:val="auto"/>
              </w:rPr>
            </w:pPr>
            <w:r>
              <w:rPr>
                <w:rFonts w:ascii="Arial" w:cs="Arial" w:eastAsia="Arial" w:hAnsi="Arial"/>
                <w:sz w:val="20"/>
                <w:szCs w:val="20"/>
                <w:b w:val="1"/>
                <w:bCs w:val="1"/>
                <w:color w:val="auto"/>
              </w:rPr>
              <w:t>Shares Purchased (Sold)</w:t>
            </w:r>
          </w:p>
        </w:tc>
        <w:tc>
          <w:tcPr>
            <w:tcW w:w="2660" w:type="dxa"/>
            <w:vAlign w:val="bottom"/>
          </w:tcPr>
          <w:p>
            <w:pPr>
              <w:jc w:val="center"/>
              <w:ind w:left="961"/>
              <w:spacing w:after="0"/>
              <w:rPr>
                <w:sz w:val="20"/>
                <w:szCs w:val="20"/>
                <w:color w:val="auto"/>
              </w:rPr>
            </w:pPr>
            <w:r>
              <w:rPr>
                <w:rFonts w:ascii="Arial" w:cs="Arial" w:eastAsia="Arial" w:hAnsi="Arial"/>
                <w:sz w:val="20"/>
                <w:szCs w:val="20"/>
                <w:b w:val="1"/>
                <w:bCs w:val="1"/>
                <w:color w:val="auto"/>
                <w:w w:val="89"/>
              </w:rPr>
              <w:t>Price Per Share ($)</w:t>
            </w:r>
          </w:p>
        </w:tc>
      </w:tr>
      <w:tr>
        <w:trPr>
          <w:trHeight w:val="23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7"/>
              </w:rPr>
              <w:t>11/13/2017</w:t>
            </w:r>
          </w:p>
        </w:tc>
        <w:tc>
          <w:tcPr>
            <w:tcW w:w="4240" w:type="dxa"/>
            <w:vAlign w:val="bottom"/>
          </w:tcPr>
          <w:p>
            <w:pPr>
              <w:jc w:val="right"/>
              <w:ind w:right="1661"/>
              <w:spacing w:after="0"/>
              <w:rPr>
                <w:sz w:val="20"/>
                <w:szCs w:val="20"/>
                <w:color w:val="auto"/>
              </w:rPr>
            </w:pPr>
            <w:r>
              <w:rPr>
                <w:rFonts w:ascii="Arial" w:cs="Arial" w:eastAsia="Arial" w:hAnsi="Arial"/>
                <w:sz w:val="20"/>
                <w:szCs w:val="20"/>
                <w:color w:val="auto"/>
              </w:rPr>
              <w:t>100,000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16.99</w:t>
            </w:r>
          </w:p>
        </w:tc>
      </w:tr>
      <w:tr>
        <w:trPr>
          <w:trHeight w:val="250"/>
        </w:trPr>
        <w:tc>
          <w:tcPr>
            <w:tcW w:w="2080" w:type="dxa"/>
            <w:vAlign w:val="bottom"/>
          </w:tcPr>
          <w:p>
            <w:pPr>
              <w:jc w:val="center"/>
              <w:ind w:right="1021"/>
              <w:spacing w:after="0"/>
              <w:rPr>
                <w:sz w:val="20"/>
                <w:szCs w:val="20"/>
                <w:color w:val="auto"/>
              </w:rPr>
            </w:pPr>
            <w:r>
              <w:rPr>
                <w:rFonts w:ascii="Arial" w:cs="Arial" w:eastAsia="Arial" w:hAnsi="Arial"/>
                <w:sz w:val="20"/>
                <w:szCs w:val="20"/>
                <w:color w:val="auto"/>
                <w:w w:val="87"/>
              </w:rPr>
              <w:t>11/17/2017</w:t>
            </w:r>
          </w:p>
        </w:tc>
        <w:tc>
          <w:tcPr>
            <w:tcW w:w="4240" w:type="dxa"/>
            <w:vAlign w:val="bottom"/>
          </w:tcPr>
          <w:p>
            <w:pPr>
              <w:jc w:val="right"/>
              <w:ind w:right="1701"/>
              <w:spacing w:after="0"/>
              <w:rPr>
                <w:sz w:val="20"/>
                <w:szCs w:val="20"/>
                <w:color w:val="auto"/>
              </w:rPr>
            </w:pPr>
            <w:r>
              <w:rPr>
                <w:rFonts w:ascii="Arial" w:cs="Arial" w:eastAsia="Arial" w:hAnsi="Arial"/>
                <w:sz w:val="20"/>
                <w:szCs w:val="20"/>
                <w:color w:val="auto"/>
              </w:rPr>
              <w:t>50,000</w:t>
            </w:r>
          </w:p>
        </w:tc>
        <w:tc>
          <w:tcPr>
            <w:tcW w:w="2660" w:type="dxa"/>
            <w:vAlign w:val="bottom"/>
          </w:tcPr>
          <w:p>
            <w:pPr>
              <w:jc w:val="center"/>
              <w:ind w:left="961"/>
              <w:spacing w:after="0"/>
              <w:rPr>
                <w:sz w:val="20"/>
                <w:szCs w:val="20"/>
                <w:color w:val="auto"/>
              </w:rPr>
            </w:pPr>
            <w:r>
              <w:rPr>
                <w:rFonts w:ascii="Arial" w:cs="Arial" w:eastAsia="Arial" w:hAnsi="Arial"/>
                <w:sz w:val="20"/>
                <w:szCs w:val="20"/>
                <w:color w:val="auto"/>
                <w:w w:val="87"/>
              </w:rPr>
              <w:t>18.07</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Mr. Yanofsky</w:t>
      </w:r>
    </w:p>
    <w:p>
      <w:pPr>
        <w:sectPr>
          <w:pgSz w:w="11900" w:h="16838" w:orient="portrait"/>
          <w:cols w:equalWidth="0" w:num="1">
            <w:col w:w="10280"/>
          </w:cols>
          <w:pgMar w:left="240" w:top="792" w:right="1379" w:bottom="1440" w:gutter="0" w:footer="0" w:header="0"/>
        </w:sectPr>
      </w:pPr>
    </w:p>
    <w:p>
      <w:pPr>
        <w:spacing w:after="0" w:line="229"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Trade Date</w:t>
      </w:r>
    </w:p>
    <w:p>
      <w:pPr>
        <w:spacing w:after="0" w:line="45"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11/7/2017</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380"/>
        <w:spacing w:after="0"/>
        <w:rPr>
          <w:sz w:val="20"/>
          <w:szCs w:val="20"/>
          <w:color w:val="auto"/>
        </w:rPr>
      </w:pPr>
      <w:r>
        <w:rPr>
          <w:rFonts w:ascii="Arial" w:cs="Arial" w:eastAsia="Arial" w:hAnsi="Arial"/>
          <w:sz w:val="16"/>
          <w:szCs w:val="16"/>
          <w:b w:val="1"/>
          <w:bCs w:val="1"/>
          <w:color w:val="auto"/>
        </w:rPr>
        <w:t>Shares Purchased (Sold)</w:t>
      </w:r>
    </w:p>
    <w:p>
      <w:pPr>
        <w:spacing w:after="0" w:line="68" w:lineRule="exact"/>
        <w:rPr>
          <w:sz w:val="20"/>
          <w:szCs w:val="20"/>
          <w:color w:val="auto"/>
        </w:rPr>
      </w:pPr>
    </w:p>
    <w:p>
      <w:pPr>
        <w:jc w:val="center"/>
        <w:ind w:right="1380"/>
        <w:spacing w:after="0"/>
        <w:rPr>
          <w:sz w:val="20"/>
          <w:szCs w:val="20"/>
          <w:color w:val="auto"/>
        </w:rPr>
      </w:pPr>
      <w:r>
        <w:rPr>
          <w:rFonts w:ascii="Arial" w:cs="Arial" w:eastAsia="Arial" w:hAnsi="Arial"/>
          <w:sz w:val="20"/>
          <w:szCs w:val="20"/>
          <w:color w:val="auto"/>
        </w:rPr>
        <w:t>5,000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Price Per Share ($)</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16.86</w:t>
      </w:r>
    </w:p>
    <w:p>
      <w:pPr>
        <w:sectPr>
          <w:pgSz w:w="11900" w:h="16838" w:orient="portrait"/>
          <w:cols w:equalWidth="0" w:num="3">
            <w:col w:w="3800" w:space="720"/>
            <w:col w:w="3440" w:space="720"/>
            <w:col w:w="1600"/>
          </w:cols>
          <w:pgMar w:left="240" w:top="792" w:right="1379"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20"/>
          <w:szCs w:val="20"/>
          <w:b w:val="1"/>
          <w:bCs w:val="1"/>
          <w:color w:val="auto"/>
        </w:rPr>
        <w:t>EXHIBIT B</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Form of Nominee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22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This Nomination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is by and between JANA Partners LLC ("</w:t>
      </w:r>
      <w:r>
        <w:rPr>
          <w:rFonts w:ascii="Arial" w:cs="Arial" w:eastAsia="Arial" w:hAnsi="Arial"/>
          <w:sz w:val="20"/>
          <w:szCs w:val="20"/>
          <w:u w:val="single" w:color="auto"/>
          <w:color w:val="auto"/>
        </w:rPr>
        <w:t>JANA</w:t>
      </w:r>
      <w:r>
        <w:rPr>
          <w:rFonts w:ascii="Arial" w:cs="Arial" w:eastAsia="Arial" w:hAnsi="Arial"/>
          <w:sz w:val="20"/>
          <w:szCs w:val="20"/>
          <w:color w:val="auto"/>
        </w:rPr>
        <w:t>," "</w:t>
      </w:r>
      <w:r>
        <w:rPr>
          <w:rFonts w:ascii="Arial" w:cs="Arial" w:eastAsia="Arial" w:hAnsi="Arial"/>
          <w:sz w:val="20"/>
          <w:szCs w:val="20"/>
          <w:u w:val="single" w:color="auto"/>
          <w:color w:val="auto"/>
        </w:rPr>
        <w:t>we</w:t>
      </w:r>
      <w:r>
        <w:rPr>
          <w:rFonts w:ascii="Arial" w:cs="Arial" w:eastAsia="Arial" w:hAnsi="Arial"/>
          <w:sz w:val="20"/>
          <w:szCs w:val="20"/>
          <w:color w:val="auto"/>
        </w:rPr>
        <w:t>" or "</w:t>
      </w:r>
      <w:r>
        <w:rPr>
          <w:rFonts w:ascii="Arial" w:cs="Arial" w:eastAsia="Arial" w:hAnsi="Arial"/>
          <w:sz w:val="20"/>
          <w:szCs w:val="20"/>
          <w:u w:val="single" w:color="auto"/>
          <w:color w:val="auto"/>
        </w:rPr>
        <w:t>us</w:t>
      </w:r>
      <w:r>
        <w:rPr>
          <w:rFonts w:ascii="Arial" w:cs="Arial" w:eastAsia="Arial" w:hAnsi="Arial"/>
          <w:sz w:val="20"/>
          <w:szCs w:val="20"/>
          <w:color w:val="auto"/>
        </w:rPr>
        <w:t>") and [NOMINEE] ("</w:t>
      </w:r>
      <w:r>
        <w:rPr>
          <w:rFonts w:ascii="Arial" w:cs="Arial" w:eastAsia="Arial" w:hAnsi="Arial"/>
          <w:sz w:val="20"/>
          <w:szCs w:val="20"/>
          <w:u w:val="single" w:color="auto"/>
          <w:color w:val="auto"/>
        </w:rPr>
        <w:t>you</w:t>
      </w:r>
      <w:r>
        <w:rPr>
          <w:rFonts w:ascii="Arial" w:cs="Arial" w:eastAsia="Arial" w:hAnsi="Arial"/>
          <w:sz w:val="20"/>
          <w:szCs w:val="20"/>
          <w:color w:val="auto"/>
        </w:rPr>
        <w:t>").</w:t>
      </w:r>
    </w:p>
    <w:p>
      <w:pPr>
        <w:spacing w:after="0" w:line="19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You agree that you are willing, should we so elect, to become a member of a slate of nominees (the "</w:t>
      </w:r>
      <w:r>
        <w:rPr>
          <w:rFonts w:ascii="Arial" w:cs="Arial" w:eastAsia="Arial" w:hAnsi="Arial"/>
          <w:sz w:val="18"/>
          <w:szCs w:val="18"/>
          <w:u w:val="single" w:color="auto"/>
          <w:color w:val="auto"/>
        </w:rPr>
        <w:t>Slate</w:t>
      </w:r>
      <w:r>
        <w:rPr>
          <w:rFonts w:ascii="Arial" w:cs="Arial" w:eastAsia="Arial" w:hAnsi="Arial"/>
          <w:sz w:val="18"/>
          <w:szCs w:val="18"/>
          <w:color w:val="auto"/>
        </w:rPr>
        <w:t>") of a JANA affiliate (the "</w:t>
      </w:r>
      <w:r>
        <w:rPr>
          <w:rFonts w:ascii="Arial" w:cs="Arial" w:eastAsia="Arial" w:hAnsi="Arial"/>
          <w:sz w:val="18"/>
          <w:szCs w:val="18"/>
          <w:u w:val="single" w:color="auto"/>
          <w:color w:val="auto"/>
        </w:rPr>
        <w:t>Nominating Party</w:t>
      </w:r>
      <w:r>
        <w:rPr>
          <w:rFonts w:ascii="Arial" w:cs="Arial" w:eastAsia="Arial" w:hAnsi="Arial"/>
          <w:sz w:val="18"/>
          <w:szCs w:val="18"/>
          <w:color w:val="auto"/>
        </w:rPr>
        <w:t>") which nominees shall stand for election as directors of Bloomin' Brands, Inc. ("</w:t>
      </w:r>
      <w:r>
        <w:rPr>
          <w:rFonts w:ascii="Arial" w:cs="Arial" w:eastAsia="Arial" w:hAnsi="Arial"/>
          <w:sz w:val="18"/>
          <w:szCs w:val="18"/>
          <w:u w:val="single" w:color="auto"/>
          <w:color w:val="auto"/>
        </w:rPr>
        <w:t>Bloomin' Brands</w:t>
      </w:r>
      <w:r>
        <w:rPr>
          <w:rFonts w:ascii="Arial" w:cs="Arial" w:eastAsia="Arial" w:hAnsi="Arial"/>
          <w:sz w:val="18"/>
          <w:szCs w:val="18"/>
          <w:color w:val="auto"/>
        </w:rPr>
        <w:t>") in connection with a proxy solicitation (the "</w:t>
      </w:r>
      <w:r>
        <w:rPr>
          <w:rFonts w:ascii="Arial" w:cs="Arial" w:eastAsia="Arial" w:hAnsi="Arial"/>
          <w:sz w:val="18"/>
          <w:szCs w:val="18"/>
          <w:u w:val="single" w:color="auto"/>
          <w:color w:val="auto"/>
        </w:rPr>
        <w:t>Proxy Solicitation</w:t>
      </w:r>
      <w:r>
        <w:rPr>
          <w:rFonts w:ascii="Arial" w:cs="Arial" w:eastAsia="Arial" w:hAnsi="Arial"/>
          <w:sz w:val="18"/>
          <w:szCs w:val="18"/>
          <w:color w:val="auto"/>
        </w:rPr>
        <w:t>") which may be conducted in respect of the 2018 or 2019 annual meeting of stockholders of Bloomin' Brands (such applicable meeting, including any adjournment or postponement thereof or any special meeting held in lieu thereof, the "</w:t>
      </w:r>
      <w:r>
        <w:rPr>
          <w:rFonts w:ascii="Arial" w:cs="Arial" w:eastAsia="Arial" w:hAnsi="Arial"/>
          <w:sz w:val="18"/>
          <w:szCs w:val="18"/>
          <w:u w:val="single" w:color="auto"/>
          <w:color w:val="auto"/>
        </w:rPr>
        <w:t>Annual Meeting</w:t>
      </w:r>
      <w:r>
        <w:rPr>
          <w:rFonts w:ascii="Arial" w:cs="Arial" w:eastAsia="Arial" w:hAnsi="Arial"/>
          <w:sz w:val="18"/>
          <w:szCs w:val="18"/>
          <w:color w:val="auto"/>
        </w:rPr>
        <w:t>") or appointment or election by other means. You further agree to serve as a director of Bloomin' Brands if so elected or appointed. JANA agrees on behalf of the Nominating Party to pay the costs of the Proxy Solicitation. JANA also agrees on behalf of the Nominating Party to pay you, (i) $90,000 within three (3) business days of the date hereof and (ii) in the event that you are elected or appointed as a director of Bloomin' Brands, $100,000 within three (3) business days of such election or appointment, provided that to the extent that you do not own on the date of such election or appointment shares of common stock of Bloomin' Brands ("</w:t>
      </w:r>
      <w:r>
        <w:rPr>
          <w:rFonts w:ascii="Arial" w:cs="Arial" w:eastAsia="Arial" w:hAnsi="Arial"/>
          <w:sz w:val="18"/>
          <w:szCs w:val="18"/>
          <w:u w:val="single" w:color="auto"/>
          <w:color w:val="auto"/>
        </w:rPr>
        <w:t>Shares</w:t>
      </w:r>
      <w:r>
        <w:rPr>
          <w:rFonts w:ascii="Arial" w:cs="Arial" w:eastAsia="Arial" w:hAnsi="Arial"/>
          <w:sz w:val="18"/>
          <w:szCs w:val="18"/>
          <w:color w:val="auto"/>
        </w:rPr>
        <w:t>") with a market value (based on the closing price of the Shares on the date of such election or appointment) equal to at least the estimated after-tax proceeds of $190,000 (assuming a combined federal, state and city tax rate of 45%, rounded to the nearest whole dollar), you agree to purchase an amount of Shares with a market value (based on the closing price of the Shares on the date of such election or appointment) equivalent to or greater than such after-tax amount within five (5) business days of receipt of such payment (or such longer period as may be required to comply with any legal or regulatory requirements or policies of the Board). You agree to hold any Shares purchased by you in accordance with this paragraph (and any other Shares purchased by you which were taken into account in satisfying the share ownership obligation set forth in the prior sentence) until at least the later of (A) the first date as of which you are no longer a director of Bloomin' Brands and (B) three (3) years from the date of such appointment or election (or if earlier, the date of the consummation of any merger or sale of Bloomin' Brands which has been approved if applicable by the Board and the holders of the requisite number of Shares).</w:t>
      </w:r>
    </w:p>
    <w:p>
      <w:pPr>
        <w:spacing w:after="0" w:line="186"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JANA agrees on behalf of the Nominating Party that, so long as you actually serve on the Slate, JANA will defend, indemnify and hold you harmless from and against any and all losses, claims, damages, penalties, judgments, awards, settlements, liabilities, costs, expenses and disbursements (including, without limitation, reasonable attorneys' fees, costs, expenses and disbursements) incurred by you in the event that you become a party, or are threatened to be made a party, to any civil, criminal, administrative or arbitrative action, suit or proceeding, and any appeal thereof, (i) relating to your role as a nominee for director of Bloomin' Brands on the Slate, or (ii) otherwise arising from or in connection with or relating to the Proxy Solicitation. Your right of indemnification hereunder shall continue after the Annual Meeting has taken place but only for events that occurred prior to the Annual Meeting and subsequent to the date hereof. Anything to the contrary herein notwithstanding, JANA is not indemnifying you for any action taken by you or on your behalf that occurs prior to the date hereof or subsequent to the conclusion of the Proxy Solicitation or such earlier time as you are no longer a nominee on the Slate or for any actions taken by you as a director of Bloomin' Brands, if you are elected. Nothing herein shall be construed to provide you with indemnification</w:t>
      </w:r>
    </w:p>
    <w:p>
      <w:pPr>
        <w:spacing w:after="0" w:line="1" w:lineRule="exact"/>
        <w:rPr>
          <w:sz w:val="20"/>
          <w:szCs w:val="20"/>
          <w:color w:val="auto"/>
        </w:rPr>
      </w:pPr>
    </w:p>
    <w:p>
      <w:pPr>
        <w:jc w:val="both"/>
        <w:ind w:firstLine="8"/>
        <w:spacing w:after="0" w:line="241" w:lineRule="auto"/>
        <w:tabs>
          <w:tab w:leader="none" w:pos="241" w:val="left"/>
        </w:tabs>
        <w:numPr>
          <w:ilvl w:val="0"/>
          <w:numId w:val="7"/>
        </w:numPr>
        <w:rPr>
          <w:rFonts w:ascii="Arial" w:cs="Arial" w:eastAsia="Arial" w:hAnsi="Arial"/>
          <w:sz w:val="20"/>
          <w:szCs w:val="20"/>
          <w:color w:val="auto"/>
        </w:rPr>
      </w:pPr>
      <w:r>
        <w:rPr>
          <w:rFonts w:ascii="Arial" w:cs="Arial" w:eastAsia="Arial" w:hAnsi="Arial"/>
          <w:sz w:val="20"/>
          <w:szCs w:val="20"/>
          <w:color w:val="auto"/>
        </w:rPr>
        <w:t>if you are found to have engaged in a violation of any provision of state or federal law in connection with the Proxy Solicitation, unless you demonstrate that your action was taken in good faith and in a manner you reasonably believed to be in or not opposed to the best interests of electing the Slate; (ii) if you acted in a manner that constitutes gross negligence or willful</w:t>
      </w:r>
    </w:p>
    <w:p>
      <w:pPr>
        <w:sectPr>
          <w:pgSz w:w="11900" w:h="16838" w:orient="portrait"/>
          <w:cols w:equalWidth="0" w:num="1">
            <w:col w:w="11420"/>
          </w:cols>
          <w:pgMar w:left="240" w:top="346" w:right="239" w:bottom="1440" w:gutter="0" w:footer="0" w:header="0"/>
        </w:sectPr>
      </w:pPr>
    </w:p>
    <w:bookmarkStart w:id="12" w:name="page13"/>
    <w:bookmarkEnd w:id="12"/>
    <w:p>
      <w:pPr>
        <w:jc w:val="both"/>
        <w:spacing w:after="0" w:line="254" w:lineRule="auto"/>
        <w:rPr>
          <w:sz w:val="20"/>
          <w:szCs w:val="20"/>
          <w:color w:val="auto"/>
        </w:rPr>
      </w:pPr>
      <w:r>
        <w:rPr>
          <w:rFonts w:ascii="Arial" w:cs="Arial" w:eastAsia="Arial" w:hAnsi="Arial"/>
          <w:sz w:val="19"/>
          <w:szCs w:val="19"/>
          <w:color w:val="auto"/>
        </w:rPr>
        <w:t>misconduct; or (iii) if you provided false or misleading information, or omitted material information, in the JANA Questionnaire (as defined below) or otherwise in connection with the Proxy Solicitation. You shall promptly notify JANA in writing in the event of any third-party claims actually made against you or known by you to be threatened if you intend to seek indemnification hereunder in respect of such claims; provided, however, that any failure by you to notify JANA of any claim shall not relieve JANA of any liability which JANA may have to you except only to the extent that any such delay in giving of failure to give notice as required materially prejudices the defense of such claim. In addition, upon your delivery of notice with respect to any such claim, JANA shall promptly assume control of the defense of such claim with counsel chosen by JANA and shall advise you of the progress thereof and all significant actions proposed. JANA shall not be responsible for any settlement of any claim against you covered by this indemnity without its prior written consent. However, JANA may not enter into any settlement of any such claim without your consent unless such settlement includes (i) no admission of liability or guilt by you, and (ii) an unconditional release of you from any and all liability or obligation in respect of such claim. If you are required to enforce the obligations of JANA in this agreement in a court of competent jurisdiction, or to recover damages for breach of this agreement, JANA will pay on your behalf, in advance, any and all expenses (including, without limitation, reasonable attorneys' fees, costs, expenses and disbursements) actually and reasonably incurred by you in such action, regardless of whether you are ultimately determined to be entitled to such indemnification or advancement of expenses.</w:t>
      </w:r>
    </w:p>
    <w:p>
      <w:pPr>
        <w:spacing w:after="0" w:line="20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You understand that it may be difficult, if not impossible, to replace a nominee who, such as yourself, has agreed to serve on the Slate and, if elected, as a director of Bloomin' Brands if such nominee later changes his mind and determines not to serve on the Slate or, if elected, as a director of Bloomin' Brands. Accordingly, JANA is relying upon your agreement to serve on the Slate and, if elected, as a director of Bloomin' Brands. In that regard, you may be supplied with a questionnaire (the "</w:t>
      </w:r>
      <w:r>
        <w:rPr>
          <w:rFonts w:ascii="Arial" w:cs="Arial" w:eastAsia="Arial" w:hAnsi="Arial"/>
          <w:sz w:val="19"/>
          <w:szCs w:val="19"/>
          <w:u w:val="single" w:color="auto"/>
          <w:color w:val="auto"/>
        </w:rPr>
        <w:t>JANA Questionnaire</w:t>
      </w:r>
      <w:r>
        <w:rPr>
          <w:rFonts w:ascii="Arial" w:cs="Arial" w:eastAsia="Arial" w:hAnsi="Arial"/>
          <w:sz w:val="19"/>
          <w:szCs w:val="19"/>
          <w:color w:val="auto"/>
        </w:rPr>
        <w:t>") in which you will provide JANA with information necessary for the Nominating Party to make appropriate disclosure to Bloomin' Brands and to use in creating the proxy solicitation materials to be sent to stockholders of Bloomin' Brands and filed with the Securities and Exchange Commission in connection with the Proxy Solicitation. In the event that the Nominating Party files with the Securities and Exchange Commission any proxy solicitation materials, the Nominating Party agrees to provide you with an opportunity to comment on those sections of the proxy solicitation materials that relate to any personal information concerning you contained in such materials.</w:t>
      </w:r>
    </w:p>
    <w:p>
      <w:pPr>
        <w:spacing w:after="0" w:line="19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You agree that (i) upon request you will promptly complete, sign and return the JANA Questionnaire, (ii) your responses in the JANA Questionnaire will be true, complete and correct in all respects, and (iii) you will provide any additional information as may be reasonably requested by JANA. In addition, you agree that upon our request you will execute and return a separate instrument confirming that you consent to being nominated for election as a director of Bloomin' Brands and, if elected, consent to serving as a director of Bloomin' Brands. Upon being notified that you have been chosen, we and the Nominating Party may forward your consent and completed JANA Questionnaire (or summary thereof), to Bloomin' Brands, and we and the Nominating Party may at any time, in our and their discretion, disclose the information contained therein, as well as the existence and contents of this agreement. Furthermore, you understand that we may elect, at our expense, to conduct a background and reference check on you and you agree to complete and execute any necessary authorization forms or other documents required in connection therewith.</w:t>
      </w:r>
    </w:p>
    <w:p>
      <w:pPr>
        <w:spacing w:after="0" w:line="198"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You further agree that (i) you will treat confidentially all information relating to the Proxy Solicitation which is non-public, confidential or proprietary in nature; (ii) you will not issue, publish or otherwise make any public statement or any other form of communication relating to Bloomin' Brands or the Proxy Solicitation without the prior approval of JANA; and (iii) you will not agree to serve, or agree to be nominated to stand for election by Bloomin' Brands or any other stockholder of Bloomin' Brands (other than JANA), as a director of Bloomin' Brands without the prior approval of JANA.</w:t>
      </w:r>
    </w:p>
    <w:p>
      <w:pPr>
        <w:sectPr>
          <w:pgSz w:w="11900" w:h="16838" w:orient="portrait"/>
          <w:cols w:equalWidth="0" w:num="1">
            <w:col w:w="11420"/>
          </w:cols>
          <w:pgMar w:left="240" w:top="474" w:right="239" w:bottom="1440" w:gutter="0" w:footer="0" w:header="0"/>
        </w:sectPr>
      </w:pPr>
    </w:p>
    <w:bookmarkStart w:id="13" w:name="page14"/>
    <w:bookmarkEnd w:id="13"/>
    <w:p>
      <w:pPr>
        <w:jc w:val="both"/>
        <w:ind w:firstLine="1297"/>
        <w:spacing w:after="0" w:line="272" w:lineRule="auto"/>
        <w:rPr>
          <w:sz w:val="20"/>
          <w:szCs w:val="20"/>
          <w:color w:val="auto"/>
        </w:rPr>
      </w:pPr>
      <w:r>
        <w:rPr>
          <w:rFonts w:ascii="Arial" w:cs="Arial" w:eastAsia="Arial" w:hAnsi="Arial"/>
          <w:sz w:val="18"/>
          <w:szCs w:val="18"/>
          <w:color w:val="auto"/>
        </w:rPr>
        <w:t>In addition to the purchases of Shares required by the second paragraph above, you or your affiliates may invest in securities of Bloomin' Brands. With respect to any such purchases during the term of this agreement, (i) you agree to consult with JANA and provide necessary information so that we may comply with any applicable disclosure or other obligations which may result from such investment and</w:t>
      </w:r>
    </w:p>
    <w:p>
      <w:pPr>
        <w:spacing w:after="0" w:line="1" w:lineRule="exact"/>
        <w:rPr>
          <w:sz w:val="20"/>
          <w:szCs w:val="20"/>
          <w:color w:val="auto"/>
        </w:rPr>
      </w:pPr>
    </w:p>
    <w:p>
      <w:pPr>
        <w:jc w:val="both"/>
        <w:ind w:firstLine="8"/>
        <w:spacing w:after="0"/>
        <w:tabs>
          <w:tab w:leader="none" w:pos="308" w:val="left"/>
        </w:tabs>
        <w:numPr>
          <w:ilvl w:val="0"/>
          <w:numId w:val="8"/>
        </w:numPr>
        <w:rPr>
          <w:rFonts w:ascii="Arial" w:cs="Arial" w:eastAsia="Arial" w:hAnsi="Arial"/>
          <w:sz w:val="20"/>
          <w:szCs w:val="20"/>
          <w:color w:val="auto"/>
        </w:rPr>
      </w:pPr>
      <w:r>
        <w:rPr>
          <w:rFonts w:ascii="Arial" w:cs="Arial" w:eastAsia="Arial" w:hAnsi="Arial"/>
          <w:sz w:val="20"/>
          <w:szCs w:val="20"/>
          <w:color w:val="auto"/>
        </w:rPr>
        <w:t>JANA or its affiliates shall prepare and complete any required disclosures including all regulatory filings related thereto. With respect to any purchases made pursuant to this paragraph you agree on behalf of yourself and your affiliates not to dispose of any such securities prior to the termination of this agreement, provided, however, that in the event that the Nominating Party or any of its affiliates dispose of any Shares during the term of this Agreement, of which dispositions you shall be promptly notified, you and your family members or affiliates will be permitted to sell in the aggregate a pro rata amount.</w:t>
      </w:r>
    </w:p>
    <w:p>
      <w:pPr>
        <w:spacing w:after="0" w:line="21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Each of us recognizes that should you be elected to the Board of Directors of Bloomin' Brands all of your activities and decisions as a director will be governed by applicable law and subject to your fiduciary duties, as applicable, to Bloomin' Brands and to the stockholders of Bloomin' Brands and, as a result, that there is, and can be, no agreement between you and JANA that governs the decisions which you will make as a director of Bloomin' Brands.</w:t>
      </w:r>
    </w:p>
    <w:p>
      <w:pPr>
        <w:spacing w:after="0" w:line="20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This agreement shall automatically terminate on the earliest to occur of (i) the conclusion of the Annual Meeting, (ii) your election or appointment to the Board of Directors of Bloomin' Brands or (iii) the termination of the Proxy Solicitation, provided, however, that the first, second, third, your confidentiality obligations in the sixth, eighth, and tenth paragraphs of this agreement shall survive such termination.</w:t>
      </w:r>
    </w:p>
    <w:p>
      <w:pPr>
        <w:spacing w:after="0" w:line="20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This agreement sets forth the entire agreement between JANA and you as to the subject matter contained herein, and cannot be amended, modified or terminated except by a writing executed by JANA and you. Any prior agreements with respect to this subject matter are hereby terminated. This agreement shall be governed by and construed in accordance with the laws of the State of New York, without giving effect to principles of conflicts of law.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420"/>
          </w:cols>
          <w:pgMar w:left="240" w:top="703"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Agreed to as of the date both parties have signed:</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JANA PARTNERS LLC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[NOMINEE]</w:t>
      </w:r>
    </w:p>
    <w:p>
      <w:pPr>
        <w:spacing w:after="0"/>
        <w:rPr>
          <w:sz w:val="20"/>
          <w:szCs w:val="20"/>
          <w:color w:val="auto"/>
        </w:rPr>
      </w:pPr>
      <w:r>
        <w:rPr>
          <w:rFonts w:ascii="Arial" w:cs="Arial" w:eastAsia="Arial" w:hAnsi="Arial"/>
          <w:sz w:val="20"/>
          <w:szCs w:val="20"/>
          <w:color w:val="auto"/>
        </w:rPr>
        <w:t>Date:</w:t>
      </w:r>
    </w:p>
    <w:p>
      <w:pPr>
        <w:sectPr>
          <w:pgSz w:w="11900" w:h="16838" w:orient="portrait"/>
          <w:cols w:equalWidth="0" w:num="1">
            <w:col w:w="10219"/>
          </w:cols>
          <w:pgMar w:left="240" w:top="474" w:right="1440" w:bottom="1440" w:gutter="0" w:footer="0" w:header="0"/>
        </w:sectPr>
      </w:pPr>
    </w:p>
    <w:bookmarkStart w:id="15" w:name="page16"/>
    <w:bookmarkEnd w:id="15"/>
    <w:p>
      <w:pPr>
        <w:jc w:val="right"/>
        <w:spacing w:after="0"/>
        <w:rPr>
          <w:sz w:val="20"/>
          <w:szCs w:val="20"/>
          <w:color w:val="auto"/>
        </w:rPr>
      </w:pPr>
      <w:r>
        <w:rPr>
          <w:rFonts w:ascii="Arial" w:cs="Arial" w:eastAsia="Arial" w:hAnsi="Arial"/>
          <w:sz w:val="20"/>
          <w:szCs w:val="20"/>
          <w:b w:val="1"/>
          <w:bCs w:val="1"/>
          <w:color w:val="auto"/>
        </w:rPr>
        <w:t>EXHIBIT 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Form of Cooperation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AGREEMENT</w:t>
      </w:r>
    </w:p>
    <w:p>
      <w:pPr>
        <w:spacing w:after="0" w:line="245" w:lineRule="exact"/>
        <w:rPr>
          <w:sz w:val="20"/>
          <w:szCs w:val="20"/>
          <w:color w:val="auto"/>
        </w:rPr>
      </w:pPr>
    </w:p>
    <w:p>
      <w:pPr>
        <w:ind w:firstLine="8"/>
        <w:spacing w:after="0" w:line="264" w:lineRule="auto"/>
        <w:tabs>
          <w:tab w:leader="none" w:pos="219" w:val="left"/>
        </w:tabs>
        <w:numPr>
          <w:ilvl w:val="0"/>
          <w:numId w:val="9"/>
        </w:numPr>
        <w:rPr>
          <w:rFonts w:ascii="Arial" w:cs="Arial" w:eastAsia="Arial" w:hAnsi="Arial"/>
          <w:sz w:val="21"/>
          <w:szCs w:val="21"/>
          <w:color w:val="auto"/>
        </w:rPr>
      </w:pPr>
      <w:r>
        <w:rPr>
          <w:rFonts w:ascii="Arial" w:cs="Arial" w:eastAsia="Arial" w:hAnsi="Arial"/>
          <w:sz w:val="21"/>
          <w:szCs w:val="21"/>
          <w:color w:val="auto"/>
        </w:rPr>
        <w:t>This Agreement (the "Agreement"), is by and between JANA Partners LLC ("</w:t>
      </w:r>
      <w:r>
        <w:rPr>
          <w:rFonts w:ascii="Arial" w:cs="Arial" w:eastAsia="Arial" w:hAnsi="Arial"/>
          <w:sz w:val="21"/>
          <w:szCs w:val="21"/>
          <w:u w:val="single" w:color="auto"/>
          <w:color w:val="auto"/>
        </w:rPr>
        <w:t>JANA</w:t>
      </w:r>
      <w:r>
        <w:rPr>
          <w:rFonts w:ascii="Arial" w:cs="Arial" w:eastAsia="Arial" w:hAnsi="Arial"/>
          <w:sz w:val="21"/>
          <w:szCs w:val="21"/>
          <w:color w:val="auto"/>
        </w:rPr>
        <w:t>," "</w:t>
      </w:r>
      <w:r>
        <w:rPr>
          <w:rFonts w:ascii="Arial" w:cs="Arial" w:eastAsia="Arial" w:hAnsi="Arial"/>
          <w:sz w:val="21"/>
          <w:szCs w:val="21"/>
          <w:u w:val="single" w:color="auto"/>
          <w:color w:val="auto"/>
        </w:rPr>
        <w:t>we</w:t>
      </w:r>
      <w:r>
        <w:rPr>
          <w:rFonts w:ascii="Arial" w:cs="Arial" w:eastAsia="Arial" w:hAnsi="Arial"/>
          <w:sz w:val="21"/>
          <w:szCs w:val="21"/>
          <w:color w:val="auto"/>
        </w:rPr>
        <w:t>" or "</w:t>
      </w:r>
      <w:r>
        <w:rPr>
          <w:rFonts w:ascii="Arial" w:cs="Arial" w:eastAsia="Arial" w:hAnsi="Arial"/>
          <w:sz w:val="21"/>
          <w:szCs w:val="21"/>
          <w:u w:val="single" w:color="auto"/>
          <w:color w:val="auto"/>
        </w:rPr>
        <w:t>us</w:t>
      </w:r>
      <w:r>
        <w:rPr>
          <w:rFonts w:ascii="Arial" w:cs="Arial" w:eastAsia="Arial" w:hAnsi="Arial"/>
          <w:sz w:val="21"/>
          <w:szCs w:val="21"/>
          <w:color w:val="auto"/>
        </w:rPr>
        <w:t>") and [COOPERATING PARTY] ("</w:t>
      </w:r>
      <w:r>
        <w:rPr>
          <w:rFonts w:ascii="Arial" w:cs="Arial" w:eastAsia="Arial" w:hAnsi="Arial"/>
          <w:sz w:val="21"/>
          <w:szCs w:val="21"/>
          <w:u w:val="single" w:color="auto"/>
          <w:color w:val="auto"/>
        </w:rPr>
        <w:t>you</w:t>
      </w:r>
      <w:r>
        <w:rPr>
          <w:rFonts w:ascii="Arial" w:cs="Arial" w:eastAsia="Arial" w:hAnsi="Arial"/>
          <w:sz w:val="21"/>
          <w:szCs w:val="21"/>
          <w:color w:val="auto"/>
        </w:rPr>
        <w:t>").</w:t>
      </w:r>
    </w:p>
    <w:p>
      <w:pPr>
        <w:spacing w:after="0" w:line="198" w:lineRule="exact"/>
        <w:rPr>
          <w:rFonts w:ascii="Arial" w:cs="Arial" w:eastAsia="Arial" w:hAnsi="Arial"/>
          <w:sz w:val="21"/>
          <w:szCs w:val="21"/>
          <w:color w:val="auto"/>
        </w:rPr>
      </w:pPr>
    </w:p>
    <w:p>
      <w:pPr>
        <w:jc w:val="both"/>
        <w:ind w:firstLine="8"/>
        <w:spacing w:after="0" w:line="275" w:lineRule="auto"/>
        <w:tabs>
          <w:tab w:leader="none" w:pos="212" w:val="left"/>
        </w:tabs>
        <w:numPr>
          <w:ilvl w:val="0"/>
          <w:numId w:val="9"/>
        </w:numPr>
        <w:rPr>
          <w:rFonts w:ascii="Arial" w:cs="Arial" w:eastAsia="Arial" w:hAnsi="Arial"/>
          <w:sz w:val="19"/>
          <w:szCs w:val="19"/>
          <w:color w:val="auto"/>
        </w:rPr>
      </w:pPr>
      <w:r>
        <w:rPr>
          <w:rFonts w:ascii="Arial" w:cs="Arial" w:eastAsia="Arial" w:hAnsi="Arial"/>
          <w:sz w:val="19"/>
          <w:szCs w:val="19"/>
          <w:color w:val="auto"/>
        </w:rPr>
        <w:t>You agree that (i) you will treat confidentially all information relating to a possible proxy solicitation (the “</w:t>
      </w:r>
      <w:r>
        <w:rPr>
          <w:rFonts w:ascii="Arial" w:cs="Arial" w:eastAsia="Arial" w:hAnsi="Arial"/>
          <w:sz w:val="19"/>
          <w:szCs w:val="19"/>
          <w:u w:val="single" w:color="auto"/>
          <w:color w:val="auto"/>
        </w:rPr>
        <w:t>Proxy Solicitation</w:t>
      </w:r>
      <w:r>
        <w:rPr>
          <w:rFonts w:ascii="Arial" w:cs="Arial" w:eastAsia="Arial" w:hAnsi="Arial"/>
          <w:sz w:val="19"/>
          <w:szCs w:val="19"/>
          <w:color w:val="auto"/>
        </w:rPr>
        <w:t>”) which may be conducted by JANA and its affiliates in respect of the 2018 annual meeting of stockholders (including any adjournment or postponement thereof or any special meeting held in lieu thereof, the "</w:t>
      </w:r>
      <w:r>
        <w:rPr>
          <w:rFonts w:ascii="Arial" w:cs="Arial" w:eastAsia="Arial" w:hAnsi="Arial"/>
          <w:sz w:val="19"/>
          <w:szCs w:val="19"/>
          <w:u w:val="single" w:color="auto"/>
          <w:color w:val="auto"/>
        </w:rPr>
        <w:t>Annual Meeting</w:t>
      </w:r>
      <w:r>
        <w:rPr>
          <w:rFonts w:ascii="Arial" w:cs="Arial" w:eastAsia="Arial" w:hAnsi="Arial"/>
          <w:sz w:val="19"/>
          <w:szCs w:val="19"/>
          <w:color w:val="auto"/>
        </w:rPr>
        <w:t>") of Bloomin' Brands, Inc. ("</w:t>
      </w:r>
      <w:r>
        <w:rPr>
          <w:rFonts w:ascii="Arial" w:cs="Arial" w:eastAsia="Arial" w:hAnsi="Arial"/>
          <w:sz w:val="19"/>
          <w:szCs w:val="19"/>
          <w:u w:val="single" w:color="auto"/>
          <w:color w:val="auto"/>
        </w:rPr>
        <w:t>Bloomin' Brands</w:t>
      </w:r>
      <w:r>
        <w:rPr>
          <w:rFonts w:ascii="Arial" w:cs="Arial" w:eastAsia="Arial" w:hAnsi="Arial"/>
          <w:sz w:val="19"/>
          <w:szCs w:val="19"/>
          <w:color w:val="auto"/>
        </w:rPr>
        <w:t>") which information is non-public, confidential or proprietary in nature; (ii) you will not issue, publish or otherwise make any public statement or any other form of communication relating to Bloomin' Brands or the Proxy Solicitation without the prior approval of JANA; and (iii) you will not agree to serve, or agree to be nominated to stand for election by Bloomin' Brands or any other stockholder of Bloomin' Brands (other than JANA), as a director of Bloomin' Brands without the prior approval of JANA.</w:t>
      </w:r>
    </w:p>
    <w:p>
      <w:pPr>
        <w:spacing w:after="0" w:line="192" w:lineRule="exact"/>
        <w:rPr>
          <w:rFonts w:ascii="Arial" w:cs="Arial" w:eastAsia="Arial" w:hAnsi="Arial"/>
          <w:sz w:val="19"/>
          <w:szCs w:val="19"/>
          <w:color w:val="auto"/>
        </w:rPr>
      </w:pPr>
    </w:p>
    <w:p>
      <w:pPr>
        <w:jc w:val="both"/>
        <w:ind w:firstLine="8"/>
        <w:spacing w:after="0" w:line="258" w:lineRule="auto"/>
        <w:tabs>
          <w:tab w:leader="none" w:pos="209" w:val="left"/>
        </w:tabs>
        <w:numPr>
          <w:ilvl w:val="0"/>
          <w:numId w:val="9"/>
        </w:numPr>
        <w:rPr>
          <w:rFonts w:ascii="Arial" w:cs="Arial" w:eastAsia="Arial" w:hAnsi="Arial"/>
          <w:sz w:val="20"/>
          <w:szCs w:val="20"/>
          <w:color w:val="auto"/>
        </w:rPr>
      </w:pPr>
      <w:r>
        <w:rPr>
          <w:rFonts w:ascii="Arial" w:cs="Arial" w:eastAsia="Arial" w:hAnsi="Arial"/>
          <w:sz w:val="20"/>
          <w:szCs w:val="20"/>
          <w:color w:val="auto"/>
        </w:rPr>
        <w:t>You, your family members or your affiliates may invest in shares of common stock of Bloomin' Brands ("</w:t>
      </w:r>
      <w:r>
        <w:rPr>
          <w:rFonts w:ascii="Arial" w:cs="Arial" w:eastAsia="Arial" w:hAnsi="Arial"/>
          <w:sz w:val="20"/>
          <w:szCs w:val="20"/>
          <w:u w:val="single" w:color="auto"/>
          <w:color w:val="auto"/>
        </w:rPr>
        <w:t>Shares</w:t>
      </w:r>
      <w:r>
        <w:rPr>
          <w:rFonts w:ascii="Arial" w:cs="Arial" w:eastAsia="Arial" w:hAnsi="Arial"/>
          <w:sz w:val="20"/>
          <w:szCs w:val="20"/>
          <w:color w:val="auto"/>
        </w:rPr>
        <w:t>"). With respect to any such purchases during the term of this Agreement, (i) you agree to consult with JANA and provide necessary information so that we may comply with any applicable disclosure or other obligations which may result from such investment and (ii) JANA or its affiliates shall prepare and complete any required disclosures including all regulatory filings related thereto. With respect to any purchases made pursuant to this paragraph you agree on behalf of yourself and your family and affiliates not to dispose of any such Shares prior to the termination of this Agreement, provided, however, that in the event that JANA or any of its affiliates dispose of any Shares during the term of this Agreement, of which dispositions you shall be promptly notified, you and your family members or affiliates will be permitted to sell in the aggregate a pro rata amount.</w:t>
      </w:r>
    </w:p>
    <w:p>
      <w:pPr>
        <w:spacing w:after="0" w:line="210" w:lineRule="exact"/>
        <w:rPr>
          <w:rFonts w:ascii="Arial" w:cs="Arial" w:eastAsia="Arial" w:hAnsi="Arial"/>
          <w:sz w:val="20"/>
          <w:szCs w:val="20"/>
          <w:color w:val="auto"/>
        </w:rPr>
      </w:pPr>
    </w:p>
    <w:p>
      <w:pPr>
        <w:jc w:val="both"/>
        <w:ind w:firstLine="8"/>
        <w:spacing w:after="0" w:line="253" w:lineRule="auto"/>
        <w:tabs>
          <w:tab w:leader="none" w:pos="253" w:val="left"/>
        </w:tabs>
        <w:numPr>
          <w:ilvl w:val="0"/>
          <w:numId w:val="9"/>
        </w:numPr>
        <w:rPr>
          <w:rFonts w:ascii="Arial" w:cs="Arial" w:eastAsia="Arial" w:hAnsi="Arial"/>
          <w:sz w:val="21"/>
          <w:szCs w:val="21"/>
          <w:color w:val="auto"/>
        </w:rPr>
      </w:pPr>
      <w:r>
        <w:rPr>
          <w:rFonts w:ascii="Arial" w:cs="Arial" w:eastAsia="Arial" w:hAnsi="Arial"/>
          <w:sz w:val="21"/>
          <w:szCs w:val="21"/>
          <w:color w:val="auto"/>
        </w:rPr>
        <w:t>This Agreement shall automatically terminate on the earliest to occur of (i) the conclusion of the Annual Meeting or (ii) the termination of the Proxy Solicitation, provided, however, that your confidentiality obligations in the second paragraph of this Agreement shall survive such termination.</w:t>
      </w:r>
    </w:p>
    <w:p>
      <w:pPr>
        <w:spacing w:after="0" w:line="195" w:lineRule="exact"/>
        <w:rPr>
          <w:rFonts w:ascii="Arial" w:cs="Arial" w:eastAsia="Arial" w:hAnsi="Arial"/>
          <w:sz w:val="21"/>
          <w:szCs w:val="21"/>
          <w:color w:val="auto"/>
        </w:rPr>
      </w:pPr>
    </w:p>
    <w:p>
      <w:pPr>
        <w:jc w:val="both"/>
        <w:ind w:firstLine="8"/>
        <w:spacing w:after="0" w:line="249" w:lineRule="auto"/>
        <w:tabs>
          <w:tab w:leader="none" w:pos="237" w:val="left"/>
        </w:tabs>
        <w:numPr>
          <w:ilvl w:val="0"/>
          <w:numId w:val="9"/>
        </w:numPr>
        <w:rPr>
          <w:rFonts w:ascii="Arial" w:cs="Arial" w:eastAsia="Arial" w:hAnsi="Arial"/>
          <w:sz w:val="21"/>
          <w:szCs w:val="21"/>
          <w:color w:val="auto"/>
        </w:rPr>
      </w:pPr>
      <w:r>
        <w:rPr>
          <w:rFonts w:ascii="Arial" w:cs="Arial" w:eastAsia="Arial" w:hAnsi="Arial"/>
          <w:sz w:val="21"/>
          <w:szCs w:val="21"/>
          <w:color w:val="auto"/>
        </w:rPr>
        <w:t>This Agreement sets forth the entire agreement between JANA and you as to the subject matter contained herein, and cannot be amended, modified or terminated except by a writing executed by JANA and you. Any prior agreements with respect to this subject matter are hereby terminated. This Agreement shall be governed by and construed in accordance with the laws of the State of New York, without giving effect to principles of conflicts of law.</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ectPr>
          <w:pgSz w:w="11900" w:h="16838" w:orient="portrait"/>
          <w:cols w:equalWidth="0" w:num="1">
            <w:col w:w="11420"/>
          </w:cols>
          <w:pgMar w:left="240" w:top="116"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Agreed to as of the date both parties have signed:</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JANA PARTNERS LLC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[COOPERATING PARTY]</w:t>
      </w:r>
    </w:p>
    <w:p>
      <w:pPr>
        <w:spacing w:after="0"/>
        <w:rPr>
          <w:sz w:val="20"/>
          <w:szCs w:val="20"/>
          <w:color w:val="auto"/>
        </w:rPr>
      </w:pPr>
      <w:r>
        <w:rPr>
          <w:rFonts w:ascii="Arial" w:cs="Arial" w:eastAsia="Arial" w:hAnsi="Arial"/>
          <w:sz w:val="20"/>
          <w:szCs w:val="20"/>
          <w:color w:val="auto"/>
        </w:rPr>
        <w:t>Date:</w:t>
      </w:r>
    </w:p>
    <w:p>
      <w:pPr>
        <w:sectPr>
          <w:pgSz w:w="11900" w:h="16838" w:orient="portrait"/>
          <w:cols w:equalWidth="0" w:num="1">
            <w:col w:w="10219"/>
          </w:cols>
          <w:pgMar w:left="240" w:top="811"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20"/>
          <w:szCs w:val="20"/>
          <w:b w:val="1"/>
          <w:bCs w:val="1"/>
          <w:color w:val="auto"/>
        </w:rPr>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Joint Filing Agreement, dated November 20, 2017</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PURSUANT TO RULE 13d-1(k)</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13D is filed on behalf of each of the undersigned and that all subsequent amendments to this statement on Schedule 13D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her or it contained herein and therein, but shall not be responsible for the completeness and accuracy of the information concerning the others, except to the extent that he, she or it knows that such information is inaccurate.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9"/>
          <w:szCs w:val="19"/>
          <w:color w:val="auto"/>
        </w:rPr>
        <w:t>November 20, 2017</w:t>
      </w:r>
    </w:p>
    <w:p>
      <w:pPr>
        <w:spacing w:after="0" w:line="200" w:lineRule="exact"/>
        <w:rPr>
          <w:sz w:val="20"/>
          <w:szCs w:val="20"/>
          <w:color w:val="auto"/>
        </w:rPr>
      </w:pPr>
    </w:p>
    <w:p>
      <w:pPr>
        <w:spacing w:after="0" w:line="264" w:lineRule="exact"/>
        <w:rPr>
          <w:sz w:val="20"/>
          <w:szCs w:val="20"/>
          <w:color w:val="auto"/>
        </w:rPr>
      </w:pPr>
    </w:p>
    <w:p>
      <w:pPr>
        <w:ind w:left="7080"/>
        <w:spacing w:after="0"/>
        <w:rPr>
          <w:sz w:val="20"/>
          <w:szCs w:val="20"/>
          <w:color w:val="auto"/>
        </w:rPr>
      </w:pPr>
      <w:r>
        <w:rPr>
          <w:rFonts w:ascii="Arial" w:cs="Arial" w:eastAsia="Arial" w:hAnsi="Arial"/>
          <w:sz w:val="20"/>
          <w:szCs w:val="20"/>
          <w:b w:val="1"/>
          <w:bCs w:val="1"/>
          <w:color w:val="auto"/>
        </w:rPr>
        <w:t>JANA PARTNERS LLC</w:t>
      </w:r>
    </w:p>
    <w:p>
      <w:pPr>
        <w:spacing w:after="0" w:line="200" w:lineRule="exact"/>
        <w:rPr>
          <w:sz w:val="20"/>
          <w:szCs w:val="20"/>
          <w:color w:val="auto"/>
        </w:rPr>
      </w:pPr>
    </w:p>
    <w:p>
      <w:pPr>
        <w:spacing w:after="0" w:line="264" w:lineRule="exact"/>
        <w:rPr>
          <w:sz w:val="20"/>
          <w:szCs w:val="20"/>
          <w:color w:val="auto"/>
        </w:rPr>
      </w:pPr>
    </w:p>
    <w:tbl>
      <w:tblPr>
        <w:tblLayout w:type="fixed"/>
        <w:tblInd w:w="7080" w:type="dxa"/>
        <w:tblCellMar>
          <w:top w:w="0" w:type="dxa"/>
          <w:left w:w="0" w:type="dxa"/>
          <w:bottom w:w="0" w:type="dxa"/>
          <w:right w:w="0" w:type="dxa"/>
        </w:tblCellMar>
      </w:tblPr>
      <w:tr>
        <w:trPr>
          <w:trHeight w:val="24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3680" w:type="dxa"/>
            <w:vAlign w:val="bottom"/>
            <w:gridSpan w:val="2"/>
          </w:tcPr>
          <w:p>
            <w:pPr>
              <w:ind w:left="160"/>
              <w:spacing w:after="0"/>
              <w:rPr>
                <w:sz w:val="20"/>
                <w:szCs w:val="20"/>
                <w:color w:val="auto"/>
              </w:rPr>
            </w:pPr>
            <w:r>
              <w:rPr>
                <w:rFonts w:ascii="Arial" w:cs="Arial" w:eastAsia="Arial" w:hAnsi="Arial"/>
                <w:sz w:val="20"/>
                <w:szCs w:val="20"/>
                <w:color w:val="auto"/>
              </w:rPr>
              <w:t>/s/ Jennifer Fanjiang</w:t>
            </w:r>
          </w:p>
        </w:tc>
      </w:tr>
      <w:tr>
        <w:trPr>
          <w:trHeight w:val="213"/>
        </w:trPr>
        <w:tc>
          <w:tcPr>
            <w:tcW w:w="660" w:type="dxa"/>
            <w:vAlign w:val="bottom"/>
          </w:tcPr>
          <w:p>
            <w:pPr>
              <w:spacing w:after="0" w:line="213" w:lineRule="exact"/>
              <w:rPr>
                <w:sz w:val="20"/>
                <w:szCs w:val="20"/>
                <w:color w:val="auto"/>
              </w:rPr>
            </w:pPr>
            <w:r>
              <w:rPr>
                <w:rFonts w:ascii="Arial" w:cs="Arial" w:eastAsia="Arial" w:hAnsi="Arial"/>
                <w:sz w:val="20"/>
                <w:szCs w:val="20"/>
                <w:color w:val="auto"/>
              </w:rPr>
              <w:t>Name:</w:t>
            </w:r>
          </w:p>
        </w:tc>
        <w:tc>
          <w:tcPr>
            <w:tcW w:w="160" w:type="dxa"/>
            <w:vAlign w:val="bottom"/>
          </w:tcPr>
          <w:p>
            <w:pPr>
              <w:spacing w:after="0"/>
              <w:rPr>
                <w:sz w:val="18"/>
                <w:szCs w:val="18"/>
                <w:color w:val="auto"/>
              </w:rPr>
            </w:pPr>
          </w:p>
        </w:tc>
        <w:tc>
          <w:tcPr>
            <w:tcW w:w="3520" w:type="dxa"/>
            <w:vAlign w:val="bottom"/>
            <w:tcBorders>
              <w:top w:val="single" w:sz="8" w:color="auto"/>
            </w:tcBorders>
          </w:tcPr>
          <w:p>
            <w:pPr>
              <w:ind w:left="100"/>
              <w:spacing w:after="0" w:line="213" w:lineRule="exact"/>
              <w:rPr>
                <w:sz w:val="20"/>
                <w:szCs w:val="20"/>
                <w:color w:val="auto"/>
              </w:rPr>
            </w:pPr>
            <w:r>
              <w:rPr>
                <w:rFonts w:ascii="Arial" w:cs="Arial" w:eastAsia="Arial" w:hAnsi="Arial"/>
                <w:sz w:val="20"/>
                <w:szCs w:val="20"/>
                <w:color w:val="auto"/>
              </w:rPr>
              <w:t>Jennifer Fanjiang</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160" w:type="dxa"/>
            <w:vAlign w:val="bottom"/>
          </w:tcPr>
          <w:p>
            <w:pPr>
              <w:spacing w:after="0"/>
              <w:rPr>
                <w:sz w:val="21"/>
                <w:szCs w:val="21"/>
                <w:color w:val="auto"/>
              </w:rPr>
            </w:pPr>
          </w:p>
        </w:tc>
        <w:tc>
          <w:tcPr>
            <w:tcW w:w="3520" w:type="dxa"/>
            <w:vAlign w:val="bottom"/>
          </w:tcPr>
          <w:p>
            <w:pPr>
              <w:ind w:left="100"/>
              <w:spacing w:after="0"/>
              <w:rPr>
                <w:sz w:val="20"/>
                <w:szCs w:val="20"/>
                <w:color w:val="auto"/>
              </w:rPr>
            </w:pPr>
            <w:r>
              <w:rPr>
                <w:rFonts w:ascii="Arial" w:cs="Arial" w:eastAsia="Arial" w:hAnsi="Arial"/>
                <w:sz w:val="20"/>
                <w:szCs w:val="20"/>
                <w:color w:val="auto"/>
              </w:rPr>
              <w:t>General Counsel</w:t>
            </w:r>
          </w:p>
        </w:tc>
      </w:tr>
    </w:tbl>
    <w:p>
      <w:pPr>
        <w:spacing w:after="0" w:line="209"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/s/ Glenn 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10160</wp:posOffset>
            </wp:positionV>
            <wp:extent cx="28213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7080"/>
        <w:spacing w:after="0"/>
        <w:rPr>
          <w:sz w:val="20"/>
          <w:szCs w:val="20"/>
          <w:color w:val="auto"/>
        </w:rPr>
      </w:pPr>
      <w:r>
        <w:rPr>
          <w:rFonts w:ascii="Arial" w:cs="Arial" w:eastAsia="Arial" w:hAnsi="Arial"/>
          <w:sz w:val="20"/>
          <w:szCs w:val="20"/>
          <w:b w:val="1"/>
          <w:bCs w:val="1"/>
          <w:color w:val="auto"/>
        </w:rPr>
        <w:t>GLENN K. MURPHY</w:t>
      </w:r>
    </w:p>
    <w:p>
      <w:pPr>
        <w:spacing w:after="0" w:line="222"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/s/ Neal J. Yanofsky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10160</wp:posOffset>
            </wp:positionV>
            <wp:extent cx="28213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7080"/>
        <w:spacing w:after="0"/>
        <w:rPr>
          <w:sz w:val="20"/>
          <w:szCs w:val="20"/>
          <w:color w:val="auto"/>
        </w:rPr>
      </w:pPr>
      <w:r>
        <w:rPr>
          <w:rFonts w:ascii="Arial" w:cs="Arial" w:eastAsia="Arial" w:hAnsi="Arial"/>
          <w:sz w:val="20"/>
          <w:szCs w:val="20"/>
          <w:b w:val="1"/>
          <w:bCs w:val="1"/>
          <w:color w:val="auto"/>
        </w:rPr>
        <w:t>NEAL J. YANOFSKY</w:t>
      </w:r>
    </w:p>
    <w:sectPr>
      <w:pgSz w:w="11900" w:h="16838" w:orient="portrait"/>
      <w:cols w:equalWidth="0" w:num="1">
        <w:col w:w="11420"/>
      </w:cols>
      <w:pgMar w:left="240" w:top="3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3"/>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2019-12-16T08:32:18Z</dcterms:created>
  <dcterms:modified xsi:type="dcterms:W3CDTF">2019-12-16T08:32:18Z</dcterms:modified>
</cp:coreProperties>
</file>