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4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10-K</w:t>
      </w:r>
    </w:p>
    <w:p>
      <w:pPr>
        <w:spacing w:after="0" w:line="148" w:lineRule="exact"/>
        <w:rPr>
          <w:sz w:val="24"/>
          <w:szCs w:val="24"/>
          <w:color w:val="auto"/>
        </w:rPr>
      </w:pPr>
    </w:p>
    <w:p>
      <w:pPr>
        <w:ind w:left="160"/>
        <w:spacing w:after="0"/>
        <w:rPr>
          <w:sz w:val="20"/>
          <w:szCs w:val="20"/>
          <w:color w:val="auto"/>
        </w:rPr>
      </w:pPr>
      <w:r>
        <w:rPr>
          <w:rFonts w:ascii="Arial" w:cs="Arial" w:eastAsia="Arial" w:hAnsi="Arial"/>
          <w:sz w:val="20"/>
          <w:szCs w:val="20"/>
          <w:b w:val="1"/>
          <w:bCs w:val="1"/>
          <w:color w:val="auto"/>
        </w:rPr>
        <w:t>(Mark One)</w:t>
      </w:r>
    </w:p>
    <w:p>
      <w:pPr>
        <w:ind w:left="1340" w:hanging="826"/>
        <w:spacing w:after="0" w:line="208" w:lineRule="auto"/>
        <w:tabs>
          <w:tab w:leader="none" w:pos="1340" w:val="left"/>
        </w:tabs>
        <w:numPr>
          <w:ilvl w:val="0"/>
          <w:numId w:val="1"/>
        </w:numPr>
        <w:rPr>
          <w:rFonts w:ascii="MS PGothic" w:cs="MS PGothic" w:eastAsia="MS PGothic" w:hAnsi="MS PGothic"/>
          <w:sz w:val="31"/>
          <w:szCs w:val="31"/>
          <w:color w:val="auto"/>
        </w:rPr>
      </w:pPr>
      <w:r>
        <w:rPr>
          <w:rFonts w:ascii="Arial" w:cs="Arial" w:eastAsia="Arial" w:hAnsi="Arial"/>
          <w:sz w:val="19"/>
          <w:szCs w:val="19"/>
          <w:b w:val="1"/>
          <w:bCs w:val="1"/>
          <w:color w:val="auto"/>
        </w:rPr>
        <w:t>ANNUAL REPORT PURSUANT TO SECTION 13 OR 15(d) OF THE SECURITIES EXCHANGE ACT OF 1934</w:t>
      </w:r>
    </w:p>
    <w:p>
      <w:pPr>
        <w:spacing w:after="0" w:line="144" w:lineRule="exact"/>
        <w:rPr>
          <w:sz w:val="24"/>
          <w:szCs w:val="24"/>
          <w:color w:val="auto"/>
        </w:rPr>
      </w:pPr>
    </w:p>
    <w:p>
      <w:pPr>
        <w:ind w:left="1340"/>
        <w:spacing w:after="0"/>
        <w:tabs>
          <w:tab w:leader="none" w:pos="3700" w:val="left"/>
        </w:tabs>
        <w:rPr>
          <w:sz w:val="20"/>
          <w:szCs w:val="20"/>
          <w:color w:val="auto"/>
        </w:rPr>
      </w:pPr>
      <w:r>
        <w:rPr>
          <w:rFonts w:ascii="Arial" w:cs="Arial" w:eastAsia="Arial" w:hAnsi="Arial"/>
          <w:sz w:val="20"/>
          <w:szCs w:val="20"/>
          <w:color w:val="auto"/>
        </w:rPr>
        <w:t>For the fiscal year ended</w:t>
      </w:r>
      <w:r>
        <w:rPr>
          <w:sz w:val="20"/>
          <w:szCs w:val="20"/>
          <w:color w:val="auto"/>
        </w:rPr>
        <w:tab/>
      </w:r>
      <w:r>
        <w:rPr>
          <w:rFonts w:ascii="Arial" w:cs="Arial" w:eastAsia="Arial" w:hAnsi="Arial"/>
          <w:sz w:val="16"/>
          <w:szCs w:val="16"/>
          <w:color w:val="auto"/>
        </w:rPr>
        <w:t>December 27, 2020</w:t>
      </w:r>
    </w:p>
    <w:p>
      <w:pPr>
        <w:spacing w:after="0" w:line="4" w:lineRule="exact"/>
        <w:rPr>
          <w:sz w:val="24"/>
          <w:szCs w:val="24"/>
          <w:color w:val="auto"/>
        </w:rPr>
      </w:pPr>
    </w:p>
    <w:p>
      <w:pPr>
        <w:ind w:left="6200"/>
        <w:spacing w:after="0"/>
        <w:rPr>
          <w:sz w:val="20"/>
          <w:szCs w:val="20"/>
          <w:color w:val="auto"/>
        </w:rPr>
      </w:pPr>
      <w:r>
        <w:rPr>
          <w:rFonts w:ascii="Arial" w:cs="Arial" w:eastAsia="Arial" w:hAnsi="Arial"/>
          <w:sz w:val="20"/>
          <w:szCs w:val="20"/>
          <w:color w:val="auto"/>
        </w:rPr>
        <w:t>or</w:t>
      </w:r>
    </w:p>
    <w:p>
      <w:pPr>
        <w:spacing w:after="0" w:line="5" w:lineRule="exact"/>
        <w:rPr>
          <w:sz w:val="24"/>
          <w:szCs w:val="24"/>
          <w:color w:val="auto"/>
        </w:rPr>
      </w:pPr>
    </w:p>
    <w:p>
      <w:pPr>
        <w:ind w:left="1340" w:hanging="826"/>
        <w:spacing w:after="0"/>
        <w:tabs>
          <w:tab w:leader="none" w:pos="1340" w:val="left"/>
        </w:tabs>
        <w:numPr>
          <w:ilvl w:val="0"/>
          <w:numId w:val="2"/>
        </w:numPr>
        <w:rPr>
          <w:rFonts w:ascii="MS PGothic" w:cs="MS PGothic" w:eastAsia="MS PGothic" w:hAnsi="MS PGothic"/>
          <w:sz w:val="29"/>
          <w:szCs w:val="29"/>
          <w:color w:val="auto"/>
        </w:rPr>
      </w:pPr>
      <w:r>
        <w:rPr>
          <w:rFonts w:ascii="Arial" w:cs="Arial" w:eastAsia="Arial" w:hAnsi="Arial"/>
          <w:sz w:val="18"/>
          <w:szCs w:val="18"/>
          <w:b w:val="1"/>
          <w:bCs w:val="1"/>
          <w:color w:val="auto"/>
        </w:rPr>
        <w:t>TRANSITION</w:t>
      </w:r>
      <w:r>
        <w:rPr>
          <w:rFonts w:ascii="Arial" w:cs="Arial" w:eastAsia="Arial" w:hAnsi="Arial"/>
          <w:sz w:val="35"/>
          <w:szCs w:val="35"/>
          <w:b w:val="1"/>
          <w:bCs w:val="1"/>
          <w:color w:val="auto"/>
          <w:vertAlign w:val="subscript"/>
        </w:rPr>
        <w:t>1934</w:t>
      </w:r>
      <w:r>
        <w:rPr>
          <w:rFonts w:ascii="Arial" w:cs="Arial" w:eastAsia="Arial" w:hAnsi="Arial"/>
          <w:sz w:val="18"/>
          <w:szCs w:val="18"/>
          <w:b w:val="1"/>
          <w:bCs w:val="1"/>
          <w:color w:val="auto"/>
        </w:rPr>
        <w:t xml:space="preserve"> REPORT PURSUANT TO SECTION 13 OR 15(d) OF THE SECURITIES EXCHANGE ACT OF</w:t>
      </w:r>
    </w:p>
    <w:p>
      <w:pPr>
        <w:spacing w:after="0" w:line="37" w:lineRule="exact"/>
        <w:rPr>
          <w:sz w:val="24"/>
          <w:szCs w:val="24"/>
          <w:color w:val="auto"/>
        </w:rPr>
      </w:pPr>
    </w:p>
    <w:p>
      <w:pPr>
        <w:ind w:left="1340"/>
        <w:spacing w:after="0"/>
        <w:rPr>
          <w:sz w:val="20"/>
          <w:szCs w:val="20"/>
          <w:color w:val="auto"/>
        </w:rPr>
      </w:pPr>
      <w:r>
        <w:rPr>
          <w:rFonts w:ascii="Arial" w:cs="Arial" w:eastAsia="Arial" w:hAnsi="Arial"/>
          <w:sz w:val="20"/>
          <w:szCs w:val="20"/>
          <w:color w:val="auto"/>
        </w:rPr>
        <w:t>For the transition period from ______ to ______</w:t>
      </w:r>
    </w:p>
    <w:p>
      <w:pPr>
        <w:spacing w:after="0" w:line="89"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7"/>
          <w:szCs w:val="17"/>
          <w:color w:val="auto"/>
        </w:rPr>
        <w:t>001-35625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176530</wp:posOffset>
            </wp:positionV>
            <wp:extent cx="865505" cy="1379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5505" cy="13798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BLOOMIN’ BRANDS, INC.</w:t>
      </w:r>
    </w:p>
    <w:p>
      <w:pPr>
        <w:spacing w:after="0" w:line="70"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120"/>
          </w:cols>
          <w:pgMar w:left="320" w:top="792" w:right="459" w:bottom="0" w:gutter="0" w:footer="0" w:header="0"/>
        </w:sectPr>
      </w:pPr>
    </w:p>
    <w:p>
      <w:pPr>
        <w:spacing w:after="0" w:line="150" w:lineRule="exact"/>
        <w:rPr>
          <w:sz w:val="24"/>
          <w:szCs w:val="24"/>
          <w:color w:val="auto"/>
        </w:rPr>
      </w:pPr>
    </w:p>
    <w:p>
      <w:pPr>
        <w:ind w:left="21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20-8023465</w:t>
      </w:r>
    </w:p>
    <w:p>
      <w:pPr>
        <w:spacing w:after="0" w:line="43" w:lineRule="exact"/>
        <w:rPr>
          <w:sz w:val="24"/>
          <w:szCs w:val="24"/>
          <w:color w:val="auto"/>
        </w:rPr>
      </w:pPr>
    </w:p>
    <w:p>
      <w:pPr>
        <w:sectPr>
          <w:pgSz w:w="11900" w:h="16838" w:orient="portrait"/>
          <w:cols w:equalWidth="0" w:num="2">
            <w:col w:w="7540" w:space="720"/>
            <w:col w:w="2860"/>
          </w:cols>
          <w:pgMar w:left="320" w:top="792" w:right="459" w:bottom="0" w:gutter="0" w:footer="0" w:header="0"/>
          <w:type w:val="continuous"/>
        </w:sectPr>
      </w:pPr>
    </w:p>
    <w:p>
      <w:pPr>
        <w:spacing w:after="0" w:line="7" w:lineRule="exact"/>
        <w:rPr>
          <w:sz w:val="24"/>
          <w:szCs w:val="24"/>
          <w:color w:val="auto"/>
        </w:rPr>
      </w:pPr>
    </w:p>
    <w:p>
      <w:pPr>
        <w:ind w:left="82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3"/>
          <w:szCs w:val="13"/>
          <w:color w:val="auto"/>
        </w:rPr>
        <w:t>(I.R.S. Employer</w:t>
      </w:r>
    </w:p>
    <w:p>
      <w:pPr>
        <w:spacing w:after="0"/>
        <w:rPr>
          <w:sz w:val="20"/>
          <w:szCs w:val="20"/>
          <w:color w:val="auto"/>
        </w:rPr>
      </w:pPr>
      <w:r>
        <w:rPr>
          <w:rFonts w:ascii="Arial" w:cs="Arial" w:eastAsia="Arial" w:hAnsi="Arial"/>
          <w:sz w:val="13"/>
          <w:szCs w:val="13"/>
          <w:color w:val="auto"/>
        </w:rPr>
        <w:t>Identification No.)</w:t>
      </w:r>
    </w:p>
    <w:p>
      <w:pPr>
        <w:spacing w:after="0" w:line="95" w:lineRule="exact"/>
        <w:rPr>
          <w:sz w:val="24"/>
          <w:szCs w:val="24"/>
          <w:color w:val="auto"/>
        </w:rPr>
      </w:pPr>
    </w:p>
    <w:p>
      <w:pPr>
        <w:sectPr>
          <w:pgSz w:w="11900" w:h="16838" w:orient="portrait"/>
          <w:cols w:equalWidth="0" w:num="2">
            <w:col w:w="7440" w:space="720"/>
            <w:col w:w="2960"/>
          </w:cols>
          <w:pgMar w:left="320" w:top="792" w:right="459" w:bottom="0" w:gutter="0" w:footer="0" w:header="0"/>
          <w:type w:val="continuous"/>
        </w:sectPr>
      </w:pPr>
    </w:p>
    <w:p>
      <w:pPr>
        <w:jc w:val="center"/>
        <w:ind w:right="-139"/>
        <w:spacing w:after="0"/>
        <w:rPr>
          <w:sz w:val="20"/>
          <w:szCs w:val="20"/>
          <w:color w:val="auto"/>
        </w:rPr>
      </w:pPr>
      <w:r>
        <w:rPr>
          <w:rFonts w:ascii="Arial" w:cs="Arial" w:eastAsia="Arial" w:hAnsi="Arial"/>
          <w:sz w:val="16"/>
          <w:szCs w:val="16"/>
          <w:b w:val="1"/>
          <w:bCs w:val="1"/>
          <w:color w:val="auto"/>
        </w:rPr>
        <w:t>2202 North West Shore Boulevard, Suite 500, Tampa, FL 33607</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(813) 282-1225</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120"/>
          </w:cols>
          <w:pgMar w:left="320" w:top="792" w:right="459" w:bottom="0" w:gutter="0" w:footer="0" w:header="0"/>
          <w:type w:val="continuous"/>
        </w:sectPr>
      </w:pPr>
    </w:p>
    <w:p>
      <w:pPr>
        <w:spacing w:after="0" w:line="200" w:lineRule="exact"/>
        <w:rPr>
          <w:sz w:val="24"/>
          <w:szCs w:val="24"/>
          <w:color w:val="auto"/>
        </w:rPr>
      </w:pPr>
    </w:p>
    <w:p>
      <w:pPr>
        <w:spacing w:after="0" w:line="362" w:lineRule="exact"/>
        <w:rPr>
          <w:sz w:val="24"/>
          <w:szCs w:val="24"/>
          <w:color w:val="auto"/>
        </w:rPr>
      </w:pPr>
    </w:p>
    <w:p>
      <w:pPr>
        <w:ind w:left="840" w:right="40" w:firstLine="527"/>
        <w:spacing w:after="0" w:line="389" w:lineRule="auto"/>
        <w:rPr>
          <w:sz w:val="20"/>
          <w:szCs w:val="20"/>
          <w:color w:val="auto"/>
        </w:rPr>
      </w:pPr>
      <w:r>
        <w:rPr>
          <w:rFonts w:ascii="Arial" w:cs="Arial" w:eastAsia="Arial" w:hAnsi="Arial"/>
          <w:sz w:val="14"/>
          <w:szCs w:val="14"/>
          <w:color w:val="auto"/>
        </w:rPr>
        <w:t xml:space="preserve">Title of each class </w:t>
      </w:r>
      <w:r>
        <w:rPr>
          <w:rFonts w:ascii="Arial" w:cs="Arial" w:eastAsia="Arial" w:hAnsi="Arial"/>
          <w:sz w:val="14"/>
          <w:szCs w:val="14"/>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63"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Trading Symbol(s)</w:t>
      </w:r>
    </w:p>
    <w:p>
      <w:pPr>
        <w:spacing w:after="0" w:line="28" w:lineRule="exact"/>
        <w:rPr>
          <w:sz w:val="24"/>
          <w:szCs w:val="24"/>
          <w:color w:val="auto"/>
        </w:rPr>
      </w:pPr>
    </w:p>
    <w:p>
      <w:pPr>
        <w:jc w:val="center"/>
        <w:ind w:right="200"/>
        <w:spacing w:after="0"/>
        <w:rPr>
          <w:sz w:val="20"/>
          <w:szCs w:val="20"/>
          <w:color w:val="auto"/>
        </w:rPr>
      </w:pPr>
      <w:r>
        <w:rPr>
          <w:rFonts w:ascii="Arial" w:cs="Arial" w:eastAsia="Arial" w:hAnsi="Arial"/>
          <w:sz w:val="16"/>
          <w:szCs w:val="16"/>
          <w:b w:val="1"/>
          <w:bCs w:val="1"/>
          <w:color w:val="auto"/>
        </w:rPr>
        <w:t>BLMN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2" w:lineRule="exact"/>
        <w:rPr>
          <w:sz w:val="24"/>
          <w:szCs w:val="24"/>
          <w:color w:val="auto"/>
        </w:rPr>
      </w:pPr>
    </w:p>
    <w:p>
      <w:pPr>
        <w:jc w:val="center"/>
        <w:ind w:right="500"/>
        <w:spacing w:after="0" w:line="261" w:lineRule="auto"/>
        <w:rPr>
          <w:sz w:val="20"/>
          <w:szCs w:val="20"/>
          <w:color w:val="auto"/>
        </w:rPr>
      </w:pPr>
      <w:r>
        <w:rPr>
          <w:rFonts w:ascii="Arial" w:cs="Arial" w:eastAsia="Arial" w:hAnsi="Arial"/>
          <w:sz w:val="16"/>
          <w:szCs w:val="16"/>
          <w:color w:val="auto"/>
        </w:rPr>
        <w:t xml:space="preserve">Name of each exchange on which registered </w:t>
      </w:r>
      <w:r>
        <w:rPr>
          <w:rFonts w:ascii="Arial" w:cs="Arial" w:eastAsia="Arial" w:hAnsi="Arial"/>
          <w:sz w:val="16"/>
          <w:szCs w:val="16"/>
          <w:b w:val="1"/>
          <w:bCs w:val="1"/>
          <w:color w:val="auto"/>
        </w:rPr>
        <w:t>The Nasdaq Stock Market LLC (Nasdaq Global Select Market)</w:t>
      </w:r>
    </w:p>
    <w:p>
      <w:pPr>
        <w:spacing w:after="0" w:line="71" w:lineRule="exact"/>
        <w:rPr>
          <w:sz w:val="24"/>
          <w:szCs w:val="24"/>
          <w:color w:val="auto"/>
        </w:rPr>
      </w:pPr>
    </w:p>
    <w:p>
      <w:pPr>
        <w:sectPr>
          <w:pgSz w:w="11900" w:h="16838" w:orient="portrait"/>
          <w:cols w:equalWidth="0" w:num="3">
            <w:col w:w="3040" w:space="720"/>
            <w:col w:w="3740" w:space="260"/>
            <w:col w:w="3360"/>
          </w:cols>
          <w:pgMar w:left="320" w:top="792" w:right="459" w:bottom="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198" w:lineRule="exact"/>
        <w:rPr>
          <w:sz w:val="24"/>
          <w:szCs w:val="24"/>
          <w:color w:val="auto"/>
        </w:rPr>
      </w:pPr>
    </w:p>
    <w:p>
      <w:pPr>
        <w:ind w:right="1320"/>
        <w:spacing w:after="0" w:line="468"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22"/>
          <w:szCs w:val="22"/>
          <w:color w:val="auto"/>
        </w:rPr>
        <w:t>☒</w:t>
      </w:r>
      <w:r>
        <w:rPr>
          <w:rFonts w:ascii="Arial" w:cs="Arial" w:eastAsia="Arial" w:hAnsi="Arial"/>
          <w:sz w:val="16"/>
          <w:szCs w:val="16"/>
          <w:color w:val="auto"/>
        </w:rPr>
        <w:t xml:space="preserve"> No </w:t>
      </w:r>
      <w:r>
        <w:rPr>
          <w:rFonts w:ascii="MS PGothic" w:cs="MS PGothic" w:eastAsia="MS PGothic" w:hAnsi="MS PGothic"/>
          <w:sz w:val="22"/>
          <w:szCs w:val="22"/>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22"/>
          <w:szCs w:val="22"/>
          <w:color w:val="auto"/>
        </w:rPr>
        <w:t>☐</w:t>
      </w:r>
      <w:r>
        <w:rPr>
          <w:rFonts w:ascii="Arial" w:cs="Arial" w:eastAsia="Arial" w:hAnsi="Arial"/>
          <w:sz w:val="16"/>
          <w:szCs w:val="16"/>
          <w:color w:val="auto"/>
        </w:rPr>
        <w:t xml:space="preserve"> No </w:t>
      </w:r>
      <w:r>
        <w:rPr>
          <w:rFonts w:ascii="MS PGothic" w:cs="MS PGothic" w:eastAsia="MS PGothic" w:hAnsi="MS PGothic"/>
          <w:sz w:val="22"/>
          <w:szCs w:val="22"/>
          <w:color w:val="auto"/>
        </w:rPr>
        <w:t>☒</w:t>
      </w:r>
    </w:p>
    <w:p>
      <w:pPr>
        <w:spacing w:after="0" w:line="194" w:lineRule="exact"/>
        <w:rPr>
          <w:sz w:val="24"/>
          <w:szCs w:val="24"/>
          <w:color w:val="auto"/>
        </w:rPr>
      </w:pPr>
    </w:p>
    <w:p>
      <w:pPr>
        <w:ind w:right="180"/>
        <w:spacing w:after="0" w:line="28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88" w:lineRule="exact"/>
        <w:rPr>
          <w:sz w:val="20"/>
          <w:szCs w:val="20"/>
          <w:color w:val="auto"/>
        </w:rPr>
      </w:pPr>
      <w:r>
        <w:rPr>
          <w:rFonts w:ascii="Arial" w:cs="Arial" w:eastAsia="Arial" w:hAnsi="Arial"/>
          <w:sz w:val="18"/>
          <w:szCs w:val="18"/>
          <w:color w:val="auto"/>
        </w:rPr>
        <w:t xml:space="preserve">requirements for the past 90 days. Yes </w:t>
      </w:r>
      <w:r>
        <w:rPr>
          <w:rFonts w:ascii="MS PGothic" w:cs="MS PGothic" w:eastAsia="MS PGothic" w:hAnsi="MS PGothic"/>
          <w:sz w:val="25"/>
          <w:szCs w:val="25"/>
          <w:color w:val="auto"/>
        </w:rPr>
        <w:t>☒</w:t>
      </w:r>
      <w:r>
        <w:rPr>
          <w:rFonts w:ascii="Arial" w:cs="Arial" w:eastAsia="Arial" w:hAnsi="Arial"/>
          <w:sz w:val="18"/>
          <w:szCs w:val="18"/>
          <w:color w:val="auto"/>
        </w:rPr>
        <w:t xml:space="preserve"> No </w:t>
      </w:r>
      <w:r>
        <w:rPr>
          <w:rFonts w:ascii="MS PGothic" w:cs="MS PGothic" w:eastAsia="MS PGothic" w:hAnsi="MS PGothic"/>
          <w:sz w:val="25"/>
          <w:szCs w:val="25"/>
          <w:color w:val="auto"/>
        </w:rPr>
        <w:t>☐</w:t>
      </w:r>
    </w:p>
    <w:p>
      <w:pPr>
        <w:spacing w:after="0" w:line="242" w:lineRule="exact"/>
        <w:rPr>
          <w:sz w:val="24"/>
          <w:szCs w:val="24"/>
          <w:color w:val="auto"/>
        </w:rPr>
      </w:pPr>
    </w:p>
    <w:p>
      <w:pPr>
        <w:spacing w:after="0" w:line="288"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288"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25"/>
          <w:szCs w:val="25"/>
          <w:color w:val="auto"/>
        </w:rPr>
        <w:t>☒</w:t>
      </w:r>
      <w:r>
        <w:rPr>
          <w:rFonts w:ascii="Arial" w:cs="Arial" w:eastAsia="Arial" w:hAnsi="Arial"/>
          <w:sz w:val="18"/>
          <w:szCs w:val="18"/>
          <w:color w:val="auto"/>
        </w:rPr>
        <w:t xml:space="preserve"> No </w:t>
      </w:r>
      <w:r>
        <w:rPr>
          <w:rFonts w:ascii="MS PGothic" w:cs="MS PGothic" w:eastAsia="MS PGothic" w:hAnsi="MS PGothic"/>
          <w:sz w:val="25"/>
          <w:szCs w:val="25"/>
          <w:color w:val="auto"/>
        </w:rPr>
        <w:t>☐</w:t>
      </w:r>
    </w:p>
    <w:p>
      <w:pPr>
        <w:spacing w:after="0" w:line="242" w:lineRule="exact"/>
        <w:rPr>
          <w:sz w:val="24"/>
          <w:szCs w:val="24"/>
          <w:color w:val="auto"/>
        </w:rPr>
      </w:pPr>
    </w:p>
    <w:p>
      <w:pPr>
        <w:ind w:right="2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1" w:lineRule="exact"/>
        <w:rPr>
          <w:sz w:val="24"/>
          <w:szCs w:val="24"/>
          <w:color w:val="auto"/>
        </w:rPr>
      </w:pPr>
    </w:p>
    <w:p>
      <w:pPr>
        <w:jc w:val="center"/>
        <w:ind w:right="-119"/>
        <w:spacing w:after="0" w:line="288"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25"/>
          <w:szCs w:val="25"/>
          <w:color w:val="auto"/>
        </w:rPr>
        <w:t>☒</w:t>
      </w:r>
      <w:r>
        <w:rPr>
          <w:rFonts w:ascii="Arial" w:cs="Arial" w:eastAsia="Arial" w:hAnsi="Arial"/>
          <w:sz w:val="18"/>
          <w:szCs w:val="18"/>
          <w:color w:val="auto"/>
        </w:rPr>
        <w:t xml:space="preserve"> Accelerated Filer </w:t>
      </w:r>
      <w:r>
        <w:rPr>
          <w:rFonts w:ascii="MS PGothic" w:cs="MS PGothic" w:eastAsia="MS PGothic" w:hAnsi="MS PGothic"/>
          <w:sz w:val="25"/>
          <w:szCs w:val="25"/>
          <w:color w:val="auto"/>
        </w:rPr>
        <w:t>☐</w:t>
      </w:r>
      <w:r>
        <w:rPr>
          <w:rFonts w:ascii="Arial" w:cs="Arial" w:eastAsia="Arial" w:hAnsi="Arial"/>
          <w:sz w:val="18"/>
          <w:szCs w:val="18"/>
          <w:color w:val="auto"/>
        </w:rPr>
        <w:t xml:space="preserve"> Non-accelerated Filer </w:t>
      </w:r>
      <w:r>
        <w:rPr>
          <w:rFonts w:ascii="MS PGothic" w:cs="MS PGothic" w:eastAsia="MS PGothic" w:hAnsi="MS PGothic"/>
          <w:sz w:val="25"/>
          <w:szCs w:val="25"/>
          <w:color w:val="auto"/>
        </w:rPr>
        <w:t>☐</w:t>
      </w:r>
    </w:p>
    <w:p>
      <w:pPr>
        <w:spacing w:after="0" w:line="70" w:lineRule="exact"/>
        <w:rPr>
          <w:sz w:val="24"/>
          <w:szCs w:val="24"/>
          <w:color w:val="auto"/>
        </w:rPr>
      </w:pPr>
    </w:p>
    <w:p>
      <w:pPr>
        <w:jc w:val="center"/>
        <w:ind w:right="-119"/>
        <w:spacing w:after="0" w:line="288"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25"/>
          <w:szCs w:val="25"/>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25"/>
          <w:szCs w:val="25"/>
          <w:color w:val="auto"/>
        </w:rPr>
        <w:t>☐</w:t>
      </w:r>
    </w:p>
    <w:p>
      <w:pPr>
        <w:spacing w:after="0" w:line="242" w:lineRule="exact"/>
        <w:rPr>
          <w:sz w:val="24"/>
          <w:szCs w:val="24"/>
          <w:color w:val="auto"/>
        </w:rPr>
      </w:pPr>
    </w:p>
    <w:p>
      <w:pPr>
        <w:ind w:right="40"/>
        <w:spacing w:after="0" w:line="28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5"/>
          <w:szCs w:val="25"/>
          <w:color w:val="auto"/>
        </w:rPr>
        <w:t>☐</w:t>
      </w:r>
    </w:p>
    <w:p>
      <w:pPr>
        <w:sectPr>
          <w:pgSz w:w="11900" w:h="16838" w:orient="portrait"/>
          <w:cols w:equalWidth="0" w:num="1">
            <w:col w:w="11120"/>
          </w:cols>
          <w:pgMar w:left="320" w:top="792" w:right="459" w:bottom="0" w:gutter="0" w:footer="0" w:header="0"/>
          <w:type w:val="continuous"/>
        </w:sectPr>
      </w:pPr>
    </w:p>
    <w:bookmarkStart w:id="1" w:name="page2"/>
    <w:bookmarkEnd w:id="1"/>
    <w:p>
      <w:pPr>
        <w:spacing w:after="0" w:line="288" w:lineRule="auto"/>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pacing w:after="0" w:line="1" w:lineRule="exact"/>
        <w:rPr>
          <w:sz w:val="20"/>
          <w:szCs w:val="20"/>
          <w:color w:val="auto"/>
        </w:rPr>
      </w:pPr>
    </w:p>
    <w:p>
      <w:pPr>
        <w:spacing w:after="0" w:line="288" w:lineRule="exact"/>
        <w:rPr>
          <w:sz w:val="20"/>
          <w:szCs w:val="20"/>
          <w:color w:val="auto"/>
        </w:rPr>
      </w:pPr>
      <w:r>
        <w:rPr>
          <w:rFonts w:ascii="Arial" w:cs="Arial" w:eastAsia="Arial" w:hAnsi="Arial"/>
          <w:sz w:val="18"/>
          <w:szCs w:val="18"/>
          <w:color w:val="auto"/>
        </w:rPr>
        <w:t xml:space="preserve">issued its audit report. </w:t>
      </w:r>
      <w:r>
        <w:rPr>
          <w:rFonts w:ascii="MS PGothic" w:cs="MS PGothic" w:eastAsia="MS PGothic" w:hAnsi="MS PGothic"/>
          <w:sz w:val="25"/>
          <w:szCs w:val="25"/>
          <w:color w:val="auto"/>
        </w:rPr>
        <w:t>☒</w:t>
      </w:r>
    </w:p>
    <w:p>
      <w:pPr>
        <w:spacing w:after="0" w:line="193" w:lineRule="exact"/>
        <w:rPr>
          <w:sz w:val="20"/>
          <w:szCs w:val="20"/>
          <w:color w:val="auto"/>
        </w:rPr>
      </w:pPr>
    </w:p>
    <w:p>
      <w:pPr>
        <w:spacing w:after="0" w:line="288"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25"/>
          <w:szCs w:val="25"/>
          <w:color w:val="auto"/>
        </w:rPr>
        <w:t>☐</w:t>
      </w:r>
      <w:r>
        <w:rPr>
          <w:rFonts w:ascii="Arial" w:cs="Arial" w:eastAsia="Arial" w:hAnsi="Arial"/>
          <w:sz w:val="18"/>
          <w:szCs w:val="18"/>
          <w:color w:val="auto"/>
        </w:rPr>
        <w:t xml:space="preserve"> No </w:t>
      </w:r>
      <w:r>
        <w:rPr>
          <w:rFonts w:ascii="MS PGothic" w:cs="MS PGothic" w:eastAsia="MS PGothic" w:hAnsi="MS PGothic"/>
          <w:sz w:val="25"/>
          <w:szCs w:val="25"/>
          <w:color w:val="auto"/>
        </w:rPr>
        <w:t>☒</w:t>
      </w:r>
    </w:p>
    <w:p>
      <w:pPr>
        <w:spacing w:after="0" w:line="3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aggregate market value of common stock held by non-affiliates (based on the closing price on the last business day of the registrant’s most recently completed second fiscal quarter as reported on the Nasdaq Global Select Market) was $754.9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19, 2021, 88,220,284 shares of common stock of the registrant were outstanding.</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0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Portions of the registrant’s definitive Proxy Statement for its 2021 Annual Meeting of Stockholders are incorporated by reference into Part III, Items 10-14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9920" w:type="dxa"/>
            <w:vAlign w:val="bottom"/>
          </w:tcPr>
          <w:p>
            <w:pPr>
              <w:jc w:val="center"/>
              <w:ind w:left="1217"/>
              <w:spacing w:after="0"/>
              <w:rPr>
                <w:sz w:val="20"/>
                <w:szCs w:val="20"/>
                <w:color w:val="auto"/>
              </w:rPr>
            </w:pPr>
            <w:r>
              <w:rPr>
                <w:rFonts w:ascii="Arial" w:cs="Arial" w:eastAsia="Arial" w:hAnsi="Arial"/>
                <w:sz w:val="20"/>
                <w:szCs w:val="20"/>
                <w:b w:val="1"/>
                <w:bCs w:val="1"/>
                <w:color w:val="auto"/>
                <w:w w:val="99"/>
              </w:rPr>
              <w:t>BLOOMIN’ BRANDS, INC.</w:t>
            </w:r>
          </w:p>
        </w:tc>
        <w:tc>
          <w:tcPr>
            <w:tcW w:w="1260" w:type="dxa"/>
            <w:vAlign w:val="bottom"/>
          </w:tcPr>
          <w:p>
            <w:pPr>
              <w:spacing w:after="0"/>
              <w:rPr>
                <w:sz w:val="22"/>
                <w:szCs w:val="22"/>
                <w:color w:val="auto"/>
              </w:rPr>
            </w:pPr>
          </w:p>
        </w:tc>
      </w:tr>
      <w:tr>
        <w:trPr>
          <w:trHeight w:val="923"/>
        </w:trPr>
        <w:tc>
          <w:tcPr>
            <w:tcW w:w="9920" w:type="dxa"/>
            <w:vAlign w:val="bottom"/>
          </w:tcPr>
          <w:p>
            <w:pPr>
              <w:jc w:val="center"/>
              <w:ind w:left="1197"/>
              <w:spacing w:after="0"/>
              <w:rPr>
                <w:sz w:val="20"/>
                <w:szCs w:val="20"/>
                <w:color w:val="auto"/>
              </w:rPr>
            </w:pPr>
            <w:r>
              <w:rPr>
                <w:rFonts w:ascii="Arial" w:cs="Arial" w:eastAsia="Arial" w:hAnsi="Arial"/>
                <w:sz w:val="20"/>
                <w:szCs w:val="20"/>
                <w:b w:val="1"/>
                <w:bCs w:val="1"/>
                <w:color w:val="auto"/>
                <w:w w:val="99"/>
              </w:rPr>
              <w:t>INDEX TO ANNUAL REPORT ON FORM 10-K</w:t>
            </w:r>
          </w:p>
        </w:tc>
        <w:tc>
          <w:tcPr>
            <w:tcW w:w="1260" w:type="dxa"/>
            <w:vAlign w:val="bottom"/>
          </w:tcPr>
          <w:p>
            <w:pPr>
              <w:spacing w:after="0"/>
              <w:rPr>
                <w:sz w:val="24"/>
                <w:szCs w:val="24"/>
                <w:color w:val="auto"/>
              </w:rPr>
            </w:pPr>
          </w:p>
        </w:tc>
      </w:tr>
      <w:tr>
        <w:trPr>
          <w:trHeight w:val="256"/>
        </w:trPr>
        <w:tc>
          <w:tcPr>
            <w:tcW w:w="9920" w:type="dxa"/>
            <w:vAlign w:val="bottom"/>
          </w:tcPr>
          <w:p>
            <w:pPr>
              <w:jc w:val="center"/>
              <w:ind w:left="1217"/>
              <w:spacing w:after="0"/>
              <w:rPr>
                <w:sz w:val="20"/>
                <w:szCs w:val="20"/>
                <w:color w:val="auto"/>
              </w:rPr>
            </w:pPr>
            <w:r>
              <w:rPr>
                <w:rFonts w:ascii="Arial" w:cs="Arial" w:eastAsia="Arial" w:hAnsi="Arial"/>
                <w:sz w:val="20"/>
                <w:szCs w:val="20"/>
                <w:b w:val="1"/>
                <w:bCs w:val="1"/>
                <w:color w:val="auto"/>
                <w:w w:val="89"/>
              </w:rPr>
              <w:t>For Fiscal Year 2020</w:t>
            </w:r>
          </w:p>
        </w:tc>
        <w:tc>
          <w:tcPr>
            <w:tcW w:w="1260" w:type="dxa"/>
            <w:vAlign w:val="bottom"/>
          </w:tcPr>
          <w:p>
            <w:pPr>
              <w:spacing w:after="0"/>
              <w:rPr>
                <w:sz w:val="22"/>
                <w:szCs w:val="22"/>
                <w:color w:val="auto"/>
              </w:rPr>
            </w:pPr>
          </w:p>
        </w:tc>
      </w:tr>
      <w:tr>
        <w:trPr>
          <w:trHeight w:val="473"/>
        </w:trPr>
        <w:tc>
          <w:tcPr>
            <w:tcW w:w="9920" w:type="dxa"/>
            <w:vAlign w:val="bottom"/>
          </w:tcPr>
          <w:p>
            <w:pPr>
              <w:jc w:val="center"/>
              <w:ind w:left="1197"/>
              <w:spacing w:after="0"/>
              <w:rPr>
                <w:sz w:val="20"/>
                <w:szCs w:val="20"/>
                <w:color w:val="auto"/>
              </w:rPr>
            </w:pPr>
            <w:r>
              <w:rPr>
                <w:rFonts w:ascii="Arial" w:cs="Arial" w:eastAsia="Arial" w:hAnsi="Arial"/>
                <w:sz w:val="20"/>
                <w:szCs w:val="20"/>
                <w:b w:val="1"/>
                <w:bCs w:val="1"/>
                <w:color w:val="auto"/>
                <w:w w:val="98"/>
              </w:rPr>
              <w:t>TABLE OF CONTENTS</w:t>
            </w:r>
          </w:p>
        </w:tc>
        <w:tc>
          <w:tcPr>
            <w:tcW w:w="1260" w:type="dxa"/>
            <w:vAlign w:val="bottom"/>
          </w:tcPr>
          <w:p>
            <w:pPr>
              <w:spacing w:after="0"/>
              <w:rPr>
                <w:sz w:val="24"/>
                <w:szCs w:val="24"/>
                <w:color w:val="auto"/>
              </w:rPr>
            </w:pPr>
          </w:p>
        </w:tc>
      </w:tr>
      <w:tr>
        <w:trPr>
          <w:trHeight w:val="328"/>
        </w:trPr>
        <w:tc>
          <w:tcPr>
            <w:tcW w:w="9920" w:type="dxa"/>
            <w:vAlign w:val="bottom"/>
          </w:tcPr>
          <w:p>
            <w:pPr>
              <w:spacing w:after="0"/>
              <w:rPr>
                <w:sz w:val="24"/>
                <w:szCs w:val="24"/>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PAGE NO.</w:t>
            </w:r>
          </w:p>
        </w:tc>
      </w:tr>
      <w:tr>
        <w:trPr>
          <w:trHeight w:val="196"/>
        </w:trPr>
        <w:tc>
          <w:tcPr>
            <w:tcW w:w="9920" w:type="dxa"/>
            <w:vAlign w:val="bottom"/>
          </w:tcPr>
          <w:p>
            <w:pPr>
              <w:jc w:val="center"/>
              <w:spacing w:after="0"/>
              <w:rPr>
                <w:sz w:val="20"/>
                <w:szCs w:val="20"/>
                <w:color w:val="auto"/>
              </w:rPr>
            </w:pPr>
            <w:r>
              <w:rPr>
                <w:rFonts w:ascii="Arial" w:cs="Arial" w:eastAsia="Arial" w:hAnsi="Arial"/>
                <w:sz w:val="16"/>
                <w:szCs w:val="16"/>
                <w:b w:val="1"/>
                <w:bCs w:val="1"/>
                <w:color w:val="auto"/>
              </w:rPr>
              <w:t>PART I</w:t>
            </w:r>
          </w:p>
        </w:tc>
        <w:tc>
          <w:tcPr>
            <w:tcW w:w="1260" w:type="dxa"/>
            <w:vAlign w:val="bottom"/>
          </w:tcPr>
          <w:p>
            <w:pPr>
              <w:spacing w:after="0"/>
              <w:rPr>
                <w:sz w:val="17"/>
                <w:szCs w:val="17"/>
                <w:color w:val="auto"/>
              </w:rPr>
            </w:pPr>
          </w:p>
        </w:tc>
      </w:tr>
      <w:tr>
        <w:trPr>
          <w:trHeight w:val="216"/>
        </w:trPr>
        <w:tc>
          <w:tcPr>
            <w:tcW w:w="9920" w:type="dxa"/>
            <w:vAlign w:val="bottom"/>
          </w:tcPr>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Item 1. Business</w:t>
              </w:r>
            </w:hyperlink>
          </w:p>
        </w:tc>
        <w:tc>
          <w:tcPr>
            <w:tcW w:w="1260" w:type="dxa"/>
            <w:vAlign w:val="bottom"/>
          </w:tcPr>
          <w:p>
            <w:pPr>
              <w:jc w:val="right"/>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5</w:t>
              </w:r>
            </w:hyperlink>
          </w:p>
        </w:tc>
      </w:tr>
      <w:tr>
        <w:trPr>
          <w:trHeight w:val="216"/>
        </w:trPr>
        <w:tc>
          <w:tcPr>
            <w:tcW w:w="9920" w:type="dxa"/>
            <w:vAlign w:val="bottom"/>
          </w:tcPr>
          <w:p>
            <w:pPr>
              <w:ind w:left="340"/>
              <w:spacing w:after="0"/>
              <w:rPr>
                <w:rFonts w:ascii="Arial" w:cs="Arial" w:eastAsia="Arial" w:hAnsi="Arial"/>
                <w:sz w:val="16"/>
                <w:szCs w:val="16"/>
                <w:u w:val="single" w:color="auto"/>
                <w:color w:val="0000FF"/>
              </w:rPr>
            </w:pPr>
            <w:hyperlink w:anchor="page16">
              <w:r>
                <w:rPr>
                  <w:rFonts w:ascii="Arial" w:cs="Arial" w:eastAsia="Arial" w:hAnsi="Arial"/>
                  <w:sz w:val="16"/>
                  <w:szCs w:val="16"/>
                  <w:u w:val="single" w:color="auto"/>
                  <w:color w:val="0000FF"/>
                </w:rPr>
                <w:t>Item 1A. Risk Factors</w:t>
              </w:r>
            </w:hyperlink>
          </w:p>
        </w:tc>
        <w:tc>
          <w:tcPr>
            <w:tcW w:w="1260" w:type="dxa"/>
            <w:vAlign w:val="bottom"/>
          </w:tcPr>
          <w:p>
            <w:pPr>
              <w:jc w:val="right"/>
              <w:spacing w:after="0"/>
              <w:rPr>
                <w:rFonts w:ascii="Arial" w:cs="Arial" w:eastAsia="Arial" w:hAnsi="Arial"/>
                <w:sz w:val="16"/>
                <w:szCs w:val="16"/>
                <w:u w:val="single" w:color="auto"/>
                <w:color w:val="0000FF"/>
              </w:rPr>
            </w:pPr>
            <w:hyperlink w:anchor="page16">
              <w:r>
                <w:rPr>
                  <w:rFonts w:ascii="Arial" w:cs="Arial" w:eastAsia="Arial" w:hAnsi="Arial"/>
                  <w:sz w:val="16"/>
                  <w:szCs w:val="16"/>
                  <w:u w:val="single" w:color="auto"/>
                  <w:color w:val="0000FF"/>
                </w:rPr>
                <w:t>15</w:t>
              </w:r>
            </w:hyperlink>
          </w:p>
        </w:tc>
      </w:tr>
      <w:tr>
        <w:trPr>
          <w:trHeight w:val="216"/>
        </w:trPr>
        <w:tc>
          <w:tcPr>
            <w:tcW w:w="9920" w:type="dxa"/>
            <w:vAlign w:val="bottom"/>
          </w:tcPr>
          <w:p>
            <w:pPr>
              <w:ind w:left="340"/>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Item 1B. Unresolved Staff Comments</w:t>
              </w:r>
            </w:hyperlink>
          </w:p>
        </w:tc>
        <w:tc>
          <w:tcPr>
            <w:tcW w:w="1260" w:type="dxa"/>
            <w:vAlign w:val="bottom"/>
          </w:tcPr>
          <w:p>
            <w:pPr>
              <w:jc w:val="right"/>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28</w:t>
              </w:r>
            </w:hyperlink>
          </w:p>
        </w:tc>
      </w:tr>
      <w:tr>
        <w:trPr>
          <w:trHeight w:val="216"/>
        </w:trPr>
        <w:tc>
          <w:tcPr>
            <w:tcW w:w="9920" w:type="dxa"/>
            <w:vAlign w:val="bottom"/>
          </w:tcPr>
          <w:p>
            <w:pPr>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Item 2. Properties</w:t>
              </w:r>
            </w:hyperlink>
          </w:p>
        </w:tc>
        <w:tc>
          <w:tcPr>
            <w:tcW w:w="1260" w:type="dxa"/>
            <w:vAlign w:val="bottom"/>
          </w:tcPr>
          <w:p>
            <w:pPr>
              <w:jc w:val="right"/>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29</w:t>
              </w:r>
            </w:hyperlink>
          </w:p>
        </w:tc>
      </w:tr>
      <w:tr>
        <w:trPr>
          <w:trHeight w:val="216"/>
        </w:trPr>
        <w:tc>
          <w:tcPr>
            <w:tcW w:w="9920" w:type="dxa"/>
            <w:vAlign w:val="bottom"/>
          </w:tcPr>
          <w:p>
            <w:pPr>
              <w:spacing w:after="0"/>
              <w:rPr>
                <w:rFonts w:ascii="Arial" w:cs="Arial" w:eastAsia="Arial" w:hAnsi="Arial"/>
                <w:sz w:val="16"/>
                <w:szCs w:val="16"/>
                <w:u w:val="single" w:color="auto"/>
                <w:color w:val="0000FF"/>
              </w:rPr>
            </w:pPr>
            <w:hyperlink w:anchor="page30">
              <w:r>
                <w:rPr>
                  <w:rFonts w:ascii="Arial" w:cs="Arial" w:eastAsia="Arial" w:hAnsi="Arial"/>
                  <w:sz w:val="16"/>
                  <w:szCs w:val="16"/>
                  <w:u w:val="single" w:color="auto"/>
                  <w:color w:val="0000FF"/>
                </w:rPr>
                <w:t>Item 3. Legal Proceedings</w:t>
              </w:r>
            </w:hyperlink>
          </w:p>
        </w:tc>
        <w:tc>
          <w:tcPr>
            <w:tcW w:w="1260" w:type="dxa"/>
            <w:vAlign w:val="bottom"/>
          </w:tcPr>
          <w:p>
            <w:pPr>
              <w:jc w:val="right"/>
              <w:spacing w:after="0"/>
              <w:rPr>
                <w:rFonts w:ascii="Arial" w:cs="Arial" w:eastAsia="Arial" w:hAnsi="Arial"/>
                <w:sz w:val="16"/>
                <w:szCs w:val="16"/>
                <w:u w:val="single" w:color="auto"/>
                <w:color w:val="0000FF"/>
              </w:rPr>
            </w:pPr>
            <w:hyperlink w:anchor="page30">
              <w:r>
                <w:rPr>
                  <w:rFonts w:ascii="Arial" w:cs="Arial" w:eastAsia="Arial" w:hAnsi="Arial"/>
                  <w:sz w:val="16"/>
                  <w:szCs w:val="16"/>
                  <w:u w:val="single" w:color="auto"/>
                  <w:color w:val="0000FF"/>
                </w:rPr>
                <w:t>29</w:t>
              </w:r>
            </w:hyperlink>
          </w:p>
        </w:tc>
      </w:tr>
      <w:tr>
        <w:trPr>
          <w:trHeight w:val="216"/>
        </w:trPr>
        <w:tc>
          <w:tcPr>
            <w:tcW w:w="9920" w:type="dxa"/>
            <w:vAlign w:val="bottom"/>
          </w:tcPr>
          <w:p>
            <w:pPr>
              <w:spacing w:after="0"/>
              <w:rPr>
                <w:rFonts w:ascii="Arial" w:cs="Arial" w:eastAsia="Arial" w:hAnsi="Arial"/>
                <w:sz w:val="16"/>
                <w:szCs w:val="16"/>
                <w:u w:val="single" w:color="auto"/>
                <w:color w:val="0000FF"/>
              </w:rPr>
            </w:pPr>
            <w:hyperlink w:anchor="page30">
              <w:r>
                <w:rPr>
                  <w:rFonts w:ascii="Arial" w:cs="Arial" w:eastAsia="Arial" w:hAnsi="Arial"/>
                  <w:sz w:val="16"/>
                  <w:szCs w:val="16"/>
                  <w:u w:val="single" w:color="auto"/>
                  <w:color w:val="0000FF"/>
                </w:rPr>
                <w:t>Item 4. Mine Safety Disclosures</w:t>
              </w:r>
            </w:hyperlink>
          </w:p>
        </w:tc>
        <w:tc>
          <w:tcPr>
            <w:tcW w:w="1260" w:type="dxa"/>
            <w:vAlign w:val="bottom"/>
          </w:tcPr>
          <w:p>
            <w:pPr>
              <w:jc w:val="right"/>
              <w:spacing w:after="0"/>
              <w:rPr>
                <w:rFonts w:ascii="Arial" w:cs="Arial" w:eastAsia="Arial" w:hAnsi="Arial"/>
                <w:sz w:val="16"/>
                <w:szCs w:val="16"/>
                <w:u w:val="single" w:color="auto"/>
                <w:color w:val="0000FF"/>
              </w:rPr>
            </w:pPr>
            <w:hyperlink w:anchor="page30">
              <w:r>
                <w:rPr>
                  <w:rFonts w:ascii="Arial" w:cs="Arial" w:eastAsia="Arial" w:hAnsi="Arial"/>
                  <w:sz w:val="16"/>
                  <w:szCs w:val="16"/>
                  <w:u w:val="single" w:color="auto"/>
                  <w:color w:val="0000FF"/>
                </w:rPr>
                <w:t>29</w:t>
              </w:r>
            </w:hyperlink>
          </w:p>
        </w:tc>
      </w:tr>
      <w:tr>
        <w:trPr>
          <w:trHeight w:val="216"/>
        </w:trPr>
        <w:tc>
          <w:tcPr>
            <w:tcW w:w="9920" w:type="dxa"/>
            <w:vAlign w:val="bottom"/>
          </w:tcPr>
          <w:p>
            <w:pPr>
              <w:jc w:val="center"/>
              <w:spacing w:after="0"/>
              <w:rPr>
                <w:sz w:val="20"/>
                <w:szCs w:val="20"/>
                <w:color w:val="auto"/>
              </w:rPr>
            </w:pPr>
            <w:r>
              <w:rPr>
                <w:rFonts w:ascii="Arial" w:cs="Arial" w:eastAsia="Arial" w:hAnsi="Arial"/>
                <w:sz w:val="16"/>
                <w:szCs w:val="16"/>
                <w:b w:val="1"/>
                <w:bCs w:val="1"/>
                <w:color w:val="auto"/>
              </w:rPr>
              <w:t>PART II</w:t>
            </w:r>
          </w:p>
        </w:tc>
        <w:tc>
          <w:tcPr>
            <w:tcW w:w="1260" w:type="dxa"/>
            <w:vAlign w:val="bottom"/>
          </w:tcPr>
          <w:p>
            <w:pPr>
              <w:spacing w:after="0"/>
              <w:rPr>
                <w:sz w:val="18"/>
                <w:szCs w:val="18"/>
                <w:color w:val="auto"/>
              </w:rPr>
            </w:pPr>
          </w:p>
        </w:tc>
      </w:tr>
      <w:tr>
        <w:trPr>
          <w:trHeight w:val="216"/>
        </w:trPr>
        <w:tc>
          <w:tcPr>
            <w:tcW w:w="9920" w:type="dxa"/>
            <w:vAlign w:val="bottom"/>
          </w:tcPr>
          <w:p>
            <w:pPr>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Item 5. Market for Registrant’s Common Equity, Related Stockholder Matters and Issuer Purchases of Equity Securities</w:t>
              </w:r>
            </w:hyperlink>
          </w:p>
        </w:tc>
        <w:tc>
          <w:tcPr>
            <w:tcW w:w="1260" w:type="dxa"/>
            <w:vAlign w:val="bottom"/>
          </w:tcPr>
          <w:p>
            <w:pPr>
              <w:jc w:val="right"/>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30</w:t>
              </w:r>
            </w:hyperlink>
          </w:p>
        </w:tc>
      </w:tr>
      <w:tr>
        <w:trPr>
          <w:trHeight w:val="216"/>
        </w:trPr>
        <w:tc>
          <w:tcPr>
            <w:tcW w:w="9920" w:type="dxa"/>
            <w:vAlign w:val="bottom"/>
          </w:tcPr>
          <w:p>
            <w:pPr>
              <w:spacing w:after="0"/>
              <w:rPr>
                <w:rFonts w:ascii="Arial" w:cs="Arial" w:eastAsia="Arial" w:hAnsi="Arial"/>
                <w:sz w:val="16"/>
                <w:szCs w:val="16"/>
                <w:u w:val="single" w:color="auto"/>
                <w:color w:val="0000FF"/>
              </w:rPr>
            </w:pPr>
            <w:hyperlink w:anchor="page32">
              <w:r>
                <w:rPr>
                  <w:rFonts w:ascii="Arial" w:cs="Arial" w:eastAsia="Arial" w:hAnsi="Arial"/>
                  <w:sz w:val="16"/>
                  <w:szCs w:val="16"/>
                  <w:u w:val="single" w:color="auto"/>
                  <w:color w:val="0000FF"/>
                </w:rPr>
                <w:t>Item 6. Selected Financial Data</w:t>
              </w:r>
            </w:hyperlink>
          </w:p>
        </w:tc>
        <w:tc>
          <w:tcPr>
            <w:tcW w:w="1260" w:type="dxa"/>
            <w:vAlign w:val="bottom"/>
          </w:tcPr>
          <w:p>
            <w:pPr>
              <w:jc w:val="right"/>
              <w:spacing w:after="0"/>
              <w:rPr>
                <w:rFonts w:ascii="Arial" w:cs="Arial" w:eastAsia="Arial" w:hAnsi="Arial"/>
                <w:sz w:val="16"/>
                <w:szCs w:val="16"/>
                <w:u w:val="single" w:color="auto"/>
                <w:color w:val="0000FF"/>
              </w:rPr>
            </w:pPr>
            <w:hyperlink w:anchor="page32">
              <w:r>
                <w:rPr>
                  <w:rFonts w:ascii="Arial" w:cs="Arial" w:eastAsia="Arial" w:hAnsi="Arial"/>
                  <w:sz w:val="16"/>
                  <w:szCs w:val="16"/>
                  <w:u w:val="single" w:color="auto"/>
                  <w:color w:val="0000FF"/>
                </w:rPr>
                <w:t>32</w:t>
              </w:r>
            </w:hyperlink>
          </w:p>
        </w:tc>
      </w:tr>
      <w:tr>
        <w:trPr>
          <w:trHeight w:val="216"/>
        </w:trPr>
        <w:tc>
          <w:tcPr>
            <w:tcW w:w="9920" w:type="dxa"/>
            <w:vAlign w:val="bottom"/>
          </w:tcPr>
          <w:p>
            <w:pPr>
              <w:spacing w:after="0"/>
              <w:rPr>
                <w:rFonts w:ascii="Arial" w:cs="Arial" w:eastAsia="Arial" w:hAnsi="Arial"/>
                <w:sz w:val="16"/>
                <w:szCs w:val="16"/>
                <w:u w:val="single" w:color="auto"/>
                <w:color w:val="0000FF"/>
              </w:rPr>
            </w:pPr>
            <w:hyperlink w:anchor="page33">
              <w:r>
                <w:rPr>
                  <w:rFonts w:ascii="Arial" w:cs="Arial" w:eastAsia="Arial" w:hAnsi="Arial"/>
                  <w:sz w:val="16"/>
                  <w:szCs w:val="16"/>
                  <w:u w:val="single" w:color="auto"/>
                  <w:color w:val="0000FF"/>
                </w:rPr>
                <w:t>Item 7. Management’s Discussion and Analysis of Financial Condition and Results of Operations</w:t>
              </w:r>
            </w:hyperlink>
          </w:p>
        </w:tc>
        <w:tc>
          <w:tcPr>
            <w:tcW w:w="1260" w:type="dxa"/>
            <w:vAlign w:val="bottom"/>
          </w:tcPr>
          <w:p>
            <w:pPr>
              <w:jc w:val="right"/>
              <w:spacing w:after="0"/>
              <w:rPr>
                <w:rFonts w:ascii="Arial" w:cs="Arial" w:eastAsia="Arial" w:hAnsi="Arial"/>
                <w:sz w:val="16"/>
                <w:szCs w:val="16"/>
                <w:u w:val="single" w:color="auto"/>
                <w:color w:val="0000FF"/>
              </w:rPr>
            </w:pPr>
            <w:hyperlink w:anchor="page33">
              <w:r>
                <w:rPr>
                  <w:rFonts w:ascii="Arial" w:cs="Arial" w:eastAsia="Arial" w:hAnsi="Arial"/>
                  <w:sz w:val="16"/>
                  <w:szCs w:val="16"/>
                  <w:u w:val="single" w:color="auto"/>
                  <w:color w:val="0000FF"/>
                </w:rPr>
                <w:t>33</w:t>
              </w:r>
            </w:hyperlink>
          </w:p>
        </w:tc>
      </w:tr>
      <w:tr>
        <w:trPr>
          <w:trHeight w:val="216"/>
        </w:trPr>
        <w:tc>
          <w:tcPr>
            <w:tcW w:w="9920" w:type="dxa"/>
            <w:vAlign w:val="bottom"/>
          </w:tcPr>
          <w:p>
            <w:pPr>
              <w:ind w:left="340"/>
              <w:spacing w:after="0"/>
              <w:rPr>
                <w:rFonts w:ascii="Arial" w:cs="Arial" w:eastAsia="Arial" w:hAnsi="Arial"/>
                <w:sz w:val="16"/>
                <w:szCs w:val="16"/>
                <w:u w:val="single" w:color="auto"/>
                <w:color w:val="0000FF"/>
              </w:rPr>
            </w:pPr>
            <w:hyperlink w:anchor="page60">
              <w:r>
                <w:rPr>
                  <w:rFonts w:ascii="Arial" w:cs="Arial" w:eastAsia="Arial" w:hAnsi="Arial"/>
                  <w:sz w:val="16"/>
                  <w:szCs w:val="16"/>
                  <w:u w:val="single" w:color="auto"/>
                  <w:color w:val="0000FF"/>
                </w:rPr>
                <w:t>Item 7A. Quantitative and Qualitative Disclosures About Market Risk</w:t>
              </w:r>
            </w:hyperlink>
          </w:p>
        </w:tc>
        <w:tc>
          <w:tcPr>
            <w:tcW w:w="1260" w:type="dxa"/>
            <w:vAlign w:val="bottom"/>
          </w:tcPr>
          <w:p>
            <w:pPr>
              <w:jc w:val="right"/>
              <w:spacing w:after="0"/>
              <w:rPr>
                <w:rFonts w:ascii="Arial" w:cs="Arial" w:eastAsia="Arial" w:hAnsi="Arial"/>
                <w:sz w:val="16"/>
                <w:szCs w:val="16"/>
                <w:u w:val="single" w:color="auto"/>
                <w:color w:val="0000FF"/>
              </w:rPr>
            </w:pPr>
            <w:hyperlink w:anchor="page60">
              <w:r>
                <w:rPr>
                  <w:rFonts w:ascii="Arial" w:cs="Arial" w:eastAsia="Arial" w:hAnsi="Arial"/>
                  <w:sz w:val="16"/>
                  <w:szCs w:val="16"/>
                  <w:u w:val="single" w:color="auto"/>
                  <w:color w:val="0000FF"/>
                </w:rPr>
                <w:t>60</w:t>
              </w:r>
            </w:hyperlink>
          </w:p>
        </w:tc>
      </w:tr>
      <w:tr>
        <w:trPr>
          <w:trHeight w:val="216"/>
        </w:trPr>
        <w:tc>
          <w:tcPr>
            <w:tcW w:w="9920" w:type="dxa"/>
            <w:vAlign w:val="bottom"/>
          </w:tcPr>
          <w:p>
            <w:pPr>
              <w:spacing w:after="0"/>
              <w:rPr>
                <w:rFonts w:ascii="Arial" w:cs="Arial" w:eastAsia="Arial" w:hAnsi="Arial"/>
                <w:sz w:val="16"/>
                <w:szCs w:val="16"/>
                <w:u w:val="single" w:color="auto"/>
                <w:color w:val="0000FF"/>
              </w:rPr>
            </w:pPr>
            <w:hyperlink w:anchor="page62">
              <w:r>
                <w:rPr>
                  <w:rFonts w:ascii="Arial" w:cs="Arial" w:eastAsia="Arial" w:hAnsi="Arial"/>
                  <w:sz w:val="16"/>
                  <w:szCs w:val="16"/>
                  <w:u w:val="single" w:color="auto"/>
                  <w:color w:val="0000FF"/>
                </w:rPr>
                <w:t>Item 8. Financial Statements and Supplementary Data</w:t>
              </w:r>
            </w:hyperlink>
          </w:p>
        </w:tc>
        <w:tc>
          <w:tcPr>
            <w:tcW w:w="1260" w:type="dxa"/>
            <w:vAlign w:val="bottom"/>
          </w:tcPr>
          <w:p>
            <w:pPr>
              <w:jc w:val="right"/>
              <w:spacing w:after="0"/>
              <w:rPr>
                <w:rFonts w:ascii="Arial" w:cs="Arial" w:eastAsia="Arial" w:hAnsi="Arial"/>
                <w:sz w:val="16"/>
                <w:szCs w:val="16"/>
                <w:u w:val="single" w:color="auto"/>
                <w:color w:val="0000FF"/>
              </w:rPr>
            </w:pPr>
            <w:hyperlink w:anchor="page62">
              <w:r>
                <w:rPr>
                  <w:rFonts w:ascii="Arial" w:cs="Arial" w:eastAsia="Arial" w:hAnsi="Arial"/>
                  <w:sz w:val="16"/>
                  <w:szCs w:val="16"/>
                  <w:u w:val="single" w:color="auto"/>
                  <w:color w:val="0000FF"/>
                </w:rPr>
                <w:t>62</w:t>
              </w:r>
            </w:hyperlink>
          </w:p>
        </w:tc>
      </w:tr>
      <w:tr>
        <w:trPr>
          <w:trHeight w:val="216"/>
        </w:trPr>
        <w:tc>
          <w:tcPr>
            <w:tcW w:w="9920" w:type="dxa"/>
            <w:vAlign w:val="bottom"/>
          </w:tcPr>
          <w:p>
            <w:pPr>
              <w:spacing w:after="0"/>
              <w:rPr>
                <w:rFonts w:ascii="Arial" w:cs="Arial" w:eastAsia="Arial" w:hAnsi="Arial"/>
                <w:sz w:val="16"/>
                <w:szCs w:val="16"/>
                <w:u w:val="single" w:color="auto"/>
                <w:color w:val="0000FF"/>
              </w:rPr>
            </w:pPr>
            <w:hyperlink w:anchor="page114">
              <w:r>
                <w:rPr>
                  <w:rFonts w:ascii="Arial" w:cs="Arial" w:eastAsia="Arial" w:hAnsi="Arial"/>
                  <w:sz w:val="16"/>
                  <w:szCs w:val="16"/>
                  <w:u w:val="single" w:color="auto"/>
                  <w:color w:val="0000FF"/>
                </w:rPr>
                <w:t>Item 9. Changes in and Disagreements with Accountants on Accounting and Financial Disclosure</w:t>
              </w:r>
            </w:hyperlink>
          </w:p>
        </w:tc>
        <w:tc>
          <w:tcPr>
            <w:tcW w:w="1260" w:type="dxa"/>
            <w:vAlign w:val="bottom"/>
          </w:tcPr>
          <w:p>
            <w:pPr>
              <w:jc w:val="right"/>
              <w:spacing w:after="0"/>
              <w:rPr>
                <w:rFonts w:ascii="Arial" w:cs="Arial" w:eastAsia="Arial" w:hAnsi="Arial"/>
                <w:sz w:val="16"/>
                <w:szCs w:val="16"/>
                <w:u w:val="single" w:color="auto"/>
                <w:color w:val="0000FF"/>
              </w:rPr>
            </w:pPr>
            <w:hyperlink w:anchor="page114">
              <w:r>
                <w:rPr>
                  <w:rFonts w:ascii="Arial" w:cs="Arial" w:eastAsia="Arial" w:hAnsi="Arial"/>
                  <w:sz w:val="16"/>
                  <w:szCs w:val="16"/>
                  <w:u w:val="single" w:color="auto"/>
                  <w:color w:val="0000FF"/>
                </w:rPr>
                <w:t>114</w:t>
              </w:r>
            </w:hyperlink>
          </w:p>
        </w:tc>
      </w:tr>
      <w:tr>
        <w:trPr>
          <w:trHeight w:val="216"/>
        </w:trPr>
        <w:tc>
          <w:tcPr>
            <w:tcW w:w="9920" w:type="dxa"/>
            <w:vAlign w:val="bottom"/>
          </w:tcPr>
          <w:p>
            <w:pPr>
              <w:ind w:left="340"/>
              <w:spacing w:after="0"/>
              <w:rPr>
                <w:rFonts w:ascii="Arial" w:cs="Arial" w:eastAsia="Arial" w:hAnsi="Arial"/>
                <w:sz w:val="16"/>
                <w:szCs w:val="16"/>
                <w:u w:val="single" w:color="auto"/>
                <w:color w:val="0000FF"/>
              </w:rPr>
            </w:pPr>
            <w:hyperlink w:anchor="page115">
              <w:r>
                <w:rPr>
                  <w:rFonts w:ascii="Arial" w:cs="Arial" w:eastAsia="Arial" w:hAnsi="Arial"/>
                  <w:sz w:val="16"/>
                  <w:szCs w:val="16"/>
                  <w:u w:val="single" w:color="auto"/>
                  <w:color w:val="0000FF"/>
                </w:rPr>
                <w:t>Item 9A. Controls and Procedures</w:t>
              </w:r>
            </w:hyperlink>
          </w:p>
        </w:tc>
        <w:tc>
          <w:tcPr>
            <w:tcW w:w="1260" w:type="dxa"/>
            <w:vAlign w:val="bottom"/>
          </w:tcPr>
          <w:p>
            <w:pPr>
              <w:jc w:val="right"/>
              <w:spacing w:after="0"/>
              <w:rPr>
                <w:rFonts w:ascii="Arial" w:cs="Arial" w:eastAsia="Arial" w:hAnsi="Arial"/>
                <w:sz w:val="16"/>
                <w:szCs w:val="16"/>
                <w:u w:val="single" w:color="auto"/>
                <w:color w:val="0000FF"/>
              </w:rPr>
            </w:pPr>
            <w:hyperlink w:anchor="page115">
              <w:r>
                <w:rPr>
                  <w:rFonts w:ascii="Arial" w:cs="Arial" w:eastAsia="Arial" w:hAnsi="Arial"/>
                  <w:sz w:val="16"/>
                  <w:szCs w:val="16"/>
                  <w:u w:val="single" w:color="auto"/>
                  <w:color w:val="0000FF"/>
                </w:rPr>
                <w:t>114</w:t>
              </w:r>
            </w:hyperlink>
          </w:p>
        </w:tc>
      </w:tr>
      <w:tr>
        <w:trPr>
          <w:trHeight w:val="216"/>
        </w:trPr>
        <w:tc>
          <w:tcPr>
            <w:tcW w:w="9920" w:type="dxa"/>
            <w:vAlign w:val="bottom"/>
          </w:tcPr>
          <w:p>
            <w:pPr>
              <w:ind w:left="340"/>
              <w:spacing w:after="0"/>
              <w:rPr>
                <w:rFonts w:ascii="Arial" w:cs="Arial" w:eastAsia="Arial" w:hAnsi="Arial"/>
                <w:sz w:val="16"/>
                <w:szCs w:val="16"/>
                <w:u w:val="single" w:color="auto"/>
                <w:color w:val="0000FF"/>
              </w:rPr>
            </w:pPr>
            <w:hyperlink w:anchor="page115">
              <w:r>
                <w:rPr>
                  <w:rFonts w:ascii="Arial" w:cs="Arial" w:eastAsia="Arial" w:hAnsi="Arial"/>
                  <w:sz w:val="16"/>
                  <w:szCs w:val="16"/>
                  <w:u w:val="single" w:color="auto"/>
                  <w:color w:val="0000FF"/>
                </w:rPr>
                <w:t>Item 9B. Other Information</w:t>
              </w:r>
            </w:hyperlink>
          </w:p>
        </w:tc>
        <w:tc>
          <w:tcPr>
            <w:tcW w:w="1260" w:type="dxa"/>
            <w:vAlign w:val="bottom"/>
          </w:tcPr>
          <w:p>
            <w:pPr>
              <w:jc w:val="right"/>
              <w:spacing w:after="0"/>
              <w:rPr>
                <w:rFonts w:ascii="Arial" w:cs="Arial" w:eastAsia="Arial" w:hAnsi="Arial"/>
                <w:sz w:val="16"/>
                <w:szCs w:val="16"/>
                <w:u w:val="single" w:color="auto"/>
                <w:color w:val="0000FF"/>
              </w:rPr>
            </w:pPr>
            <w:hyperlink w:anchor="page115">
              <w:r>
                <w:rPr>
                  <w:rFonts w:ascii="Arial" w:cs="Arial" w:eastAsia="Arial" w:hAnsi="Arial"/>
                  <w:sz w:val="16"/>
                  <w:szCs w:val="16"/>
                  <w:u w:val="single" w:color="auto"/>
                  <w:color w:val="0000FF"/>
                </w:rPr>
                <w:t>114</w:t>
              </w:r>
            </w:hyperlink>
          </w:p>
        </w:tc>
      </w:tr>
      <w:tr>
        <w:trPr>
          <w:trHeight w:val="216"/>
        </w:trPr>
        <w:tc>
          <w:tcPr>
            <w:tcW w:w="9920" w:type="dxa"/>
            <w:vAlign w:val="bottom"/>
          </w:tcPr>
          <w:p>
            <w:pPr>
              <w:jc w:val="center"/>
              <w:spacing w:after="0"/>
              <w:rPr>
                <w:sz w:val="20"/>
                <w:szCs w:val="20"/>
                <w:color w:val="auto"/>
              </w:rPr>
            </w:pPr>
            <w:r>
              <w:rPr>
                <w:rFonts w:ascii="Arial" w:cs="Arial" w:eastAsia="Arial" w:hAnsi="Arial"/>
                <w:sz w:val="16"/>
                <w:szCs w:val="16"/>
                <w:b w:val="1"/>
                <w:bCs w:val="1"/>
                <w:color w:val="auto"/>
              </w:rPr>
              <w:t>PART III</w:t>
            </w:r>
          </w:p>
        </w:tc>
        <w:tc>
          <w:tcPr>
            <w:tcW w:w="1260" w:type="dxa"/>
            <w:vAlign w:val="bottom"/>
          </w:tcPr>
          <w:p>
            <w:pPr>
              <w:spacing w:after="0"/>
              <w:rPr>
                <w:sz w:val="18"/>
                <w:szCs w:val="18"/>
                <w:color w:val="auto"/>
              </w:rPr>
            </w:pPr>
          </w:p>
        </w:tc>
      </w:tr>
      <w:tr>
        <w:trPr>
          <w:trHeight w:val="216"/>
        </w:trPr>
        <w:tc>
          <w:tcPr>
            <w:tcW w:w="9920" w:type="dxa"/>
            <w:vAlign w:val="bottom"/>
          </w:tcPr>
          <w:p>
            <w:pPr>
              <w:spacing w:after="0"/>
              <w:rPr>
                <w:rFonts w:ascii="Arial" w:cs="Arial" w:eastAsia="Arial" w:hAnsi="Arial"/>
                <w:sz w:val="16"/>
                <w:szCs w:val="16"/>
                <w:u w:val="single" w:color="auto"/>
                <w:color w:val="0000FF"/>
              </w:rPr>
            </w:pPr>
            <w:hyperlink w:anchor="page117">
              <w:r>
                <w:rPr>
                  <w:rFonts w:ascii="Arial" w:cs="Arial" w:eastAsia="Arial" w:hAnsi="Arial"/>
                  <w:sz w:val="16"/>
                  <w:szCs w:val="16"/>
                  <w:u w:val="single" w:color="auto"/>
                  <w:color w:val="0000FF"/>
                </w:rPr>
                <w:t>Item 10. Directors, Executive Officers and Corporate Governance</w:t>
              </w:r>
            </w:hyperlink>
          </w:p>
        </w:tc>
        <w:tc>
          <w:tcPr>
            <w:tcW w:w="1260" w:type="dxa"/>
            <w:vAlign w:val="bottom"/>
          </w:tcPr>
          <w:p>
            <w:pPr>
              <w:jc w:val="right"/>
              <w:spacing w:after="0"/>
              <w:rPr>
                <w:rFonts w:ascii="Arial" w:cs="Arial" w:eastAsia="Arial" w:hAnsi="Arial"/>
                <w:sz w:val="16"/>
                <w:szCs w:val="16"/>
                <w:u w:val="single" w:color="auto"/>
                <w:color w:val="0000FF"/>
              </w:rPr>
            </w:pPr>
            <w:hyperlink w:anchor="page117">
              <w:r>
                <w:rPr>
                  <w:rFonts w:ascii="Arial" w:cs="Arial" w:eastAsia="Arial" w:hAnsi="Arial"/>
                  <w:sz w:val="16"/>
                  <w:szCs w:val="16"/>
                  <w:u w:val="single" w:color="auto"/>
                  <w:color w:val="0000FF"/>
                </w:rPr>
                <w:t>116</w:t>
              </w:r>
            </w:hyperlink>
          </w:p>
        </w:tc>
      </w:tr>
      <w:tr>
        <w:trPr>
          <w:trHeight w:val="216"/>
        </w:trPr>
        <w:tc>
          <w:tcPr>
            <w:tcW w:w="9920" w:type="dxa"/>
            <w:vAlign w:val="bottom"/>
          </w:tcPr>
          <w:p>
            <w:pPr>
              <w:spacing w:after="0"/>
              <w:rPr>
                <w:rFonts w:ascii="Arial" w:cs="Arial" w:eastAsia="Arial" w:hAnsi="Arial"/>
                <w:sz w:val="16"/>
                <w:szCs w:val="16"/>
                <w:u w:val="single" w:color="auto"/>
                <w:color w:val="0000FF"/>
              </w:rPr>
            </w:pPr>
            <w:hyperlink w:anchor="page117">
              <w:r>
                <w:rPr>
                  <w:rFonts w:ascii="Arial" w:cs="Arial" w:eastAsia="Arial" w:hAnsi="Arial"/>
                  <w:sz w:val="16"/>
                  <w:szCs w:val="16"/>
                  <w:u w:val="single" w:color="auto"/>
                  <w:color w:val="0000FF"/>
                </w:rPr>
                <w:t>Item 11. Executive Compensation</w:t>
              </w:r>
            </w:hyperlink>
          </w:p>
        </w:tc>
        <w:tc>
          <w:tcPr>
            <w:tcW w:w="1260" w:type="dxa"/>
            <w:vAlign w:val="bottom"/>
          </w:tcPr>
          <w:p>
            <w:pPr>
              <w:jc w:val="right"/>
              <w:spacing w:after="0"/>
              <w:rPr>
                <w:rFonts w:ascii="Arial" w:cs="Arial" w:eastAsia="Arial" w:hAnsi="Arial"/>
                <w:sz w:val="16"/>
                <w:szCs w:val="16"/>
                <w:u w:val="single" w:color="auto"/>
                <w:color w:val="0000FF"/>
              </w:rPr>
            </w:pPr>
            <w:hyperlink w:anchor="page117">
              <w:r>
                <w:rPr>
                  <w:rFonts w:ascii="Arial" w:cs="Arial" w:eastAsia="Arial" w:hAnsi="Arial"/>
                  <w:sz w:val="16"/>
                  <w:szCs w:val="16"/>
                  <w:u w:val="single" w:color="auto"/>
                  <w:color w:val="0000FF"/>
                </w:rPr>
                <w:t>116</w:t>
              </w:r>
            </w:hyperlink>
          </w:p>
        </w:tc>
      </w:tr>
      <w:tr>
        <w:trPr>
          <w:trHeight w:val="216"/>
        </w:trPr>
        <w:tc>
          <w:tcPr>
            <w:tcW w:w="9920" w:type="dxa"/>
            <w:vAlign w:val="bottom"/>
          </w:tcPr>
          <w:p>
            <w:pPr>
              <w:spacing w:after="0"/>
              <w:rPr>
                <w:rFonts w:ascii="Arial" w:cs="Arial" w:eastAsia="Arial" w:hAnsi="Arial"/>
                <w:sz w:val="16"/>
                <w:szCs w:val="16"/>
                <w:u w:val="single" w:color="auto"/>
                <w:color w:val="0000FF"/>
              </w:rPr>
            </w:pPr>
            <w:hyperlink w:anchor="page117">
              <w:r>
                <w:rPr>
                  <w:rFonts w:ascii="Arial" w:cs="Arial" w:eastAsia="Arial" w:hAnsi="Arial"/>
                  <w:sz w:val="16"/>
                  <w:szCs w:val="16"/>
                  <w:u w:val="single" w:color="auto"/>
                  <w:color w:val="0000FF"/>
                </w:rPr>
                <w:t>Item 12. Security Ownership of Certain Beneficial Owners and Management and Related Stockholder Matters</w:t>
              </w:r>
            </w:hyperlink>
          </w:p>
        </w:tc>
        <w:tc>
          <w:tcPr>
            <w:tcW w:w="1260" w:type="dxa"/>
            <w:vAlign w:val="bottom"/>
          </w:tcPr>
          <w:p>
            <w:pPr>
              <w:jc w:val="right"/>
              <w:spacing w:after="0"/>
              <w:rPr>
                <w:rFonts w:ascii="Arial" w:cs="Arial" w:eastAsia="Arial" w:hAnsi="Arial"/>
                <w:sz w:val="16"/>
                <w:szCs w:val="16"/>
                <w:u w:val="single" w:color="auto"/>
                <w:color w:val="0000FF"/>
              </w:rPr>
            </w:pPr>
            <w:hyperlink w:anchor="page117">
              <w:r>
                <w:rPr>
                  <w:rFonts w:ascii="Arial" w:cs="Arial" w:eastAsia="Arial" w:hAnsi="Arial"/>
                  <w:sz w:val="16"/>
                  <w:szCs w:val="16"/>
                  <w:u w:val="single" w:color="auto"/>
                  <w:color w:val="0000FF"/>
                </w:rPr>
                <w:t>116</w:t>
              </w:r>
            </w:hyperlink>
          </w:p>
        </w:tc>
      </w:tr>
      <w:tr>
        <w:trPr>
          <w:trHeight w:val="216"/>
        </w:trPr>
        <w:tc>
          <w:tcPr>
            <w:tcW w:w="9920" w:type="dxa"/>
            <w:vAlign w:val="bottom"/>
          </w:tcPr>
          <w:p>
            <w:pPr>
              <w:spacing w:after="0"/>
              <w:rPr>
                <w:rFonts w:ascii="Arial" w:cs="Arial" w:eastAsia="Arial" w:hAnsi="Arial"/>
                <w:sz w:val="16"/>
                <w:szCs w:val="16"/>
                <w:u w:val="single" w:color="auto"/>
                <w:color w:val="0000FF"/>
              </w:rPr>
            </w:pPr>
            <w:hyperlink w:anchor="page117">
              <w:r>
                <w:rPr>
                  <w:rFonts w:ascii="Arial" w:cs="Arial" w:eastAsia="Arial" w:hAnsi="Arial"/>
                  <w:sz w:val="16"/>
                  <w:szCs w:val="16"/>
                  <w:u w:val="single" w:color="auto"/>
                  <w:color w:val="0000FF"/>
                </w:rPr>
                <w:t>Item 13. Certain Relationships and Related Transactions, and Director Independence</w:t>
              </w:r>
            </w:hyperlink>
          </w:p>
        </w:tc>
        <w:tc>
          <w:tcPr>
            <w:tcW w:w="1260" w:type="dxa"/>
            <w:vAlign w:val="bottom"/>
          </w:tcPr>
          <w:p>
            <w:pPr>
              <w:jc w:val="right"/>
              <w:spacing w:after="0"/>
              <w:rPr>
                <w:rFonts w:ascii="Arial" w:cs="Arial" w:eastAsia="Arial" w:hAnsi="Arial"/>
                <w:sz w:val="16"/>
                <w:szCs w:val="16"/>
                <w:u w:val="single" w:color="auto"/>
                <w:color w:val="0000FF"/>
              </w:rPr>
            </w:pPr>
            <w:hyperlink w:anchor="page117">
              <w:r>
                <w:rPr>
                  <w:rFonts w:ascii="Arial" w:cs="Arial" w:eastAsia="Arial" w:hAnsi="Arial"/>
                  <w:sz w:val="16"/>
                  <w:szCs w:val="16"/>
                  <w:u w:val="single" w:color="auto"/>
                  <w:color w:val="0000FF"/>
                </w:rPr>
                <w:t>116</w:t>
              </w:r>
            </w:hyperlink>
          </w:p>
        </w:tc>
      </w:tr>
      <w:tr>
        <w:trPr>
          <w:trHeight w:val="216"/>
        </w:trPr>
        <w:tc>
          <w:tcPr>
            <w:tcW w:w="9920" w:type="dxa"/>
            <w:vAlign w:val="bottom"/>
          </w:tcPr>
          <w:p>
            <w:pPr>
              <w:spacing w:after="0"/>
              <w:rPr>
                <w:rFonts w:ascii="Arial" w:cs="Arial" w:eastAsia="Arial" w:hAnsi="Arial"/>
                <w:sz w:val="16"/>
                <w:szCs w:val="16"/>
                <w:u w:val="single" w:color="auto"/>
                <w:color w:val="0000FF"/>
              </w:rPr>
            </w:pPr>
            <w:hyperlink w:anchor="page117">
              <w:r>
                <w:rPr>
                  <w:rFonts w:ascii="Arial" w:cs="Arial" w:eastAsia="Arial" w:hAnsi="Arial"/>
                  <w:sz w:val="16"/>
                  <w:szCs w:val="16"/>
                  <w:u w:val="single" w:color="auto"/>
                  <w:color w:val="0000FF"/>
                </w:rPr>
                <w:t>Item 14. Principal Accounting Fees and Services</w:t>
              </w:r>
            </w:hyperlink>
          </w:p>
        </w:tc>
        <w:tc>
          <w:tcPr>
            <w:tcW w:w="1260" w:type="dxa"/>
            <w:vAlign w:val="bottom"/>
          </w:tcPr>
          <w:p>
            <w:pPr>
              <w:jc w:val="right"/>
              <w:spacing w:after="0"/>
              <w:rPr>
                <w:rFonts w:ascii="Arial" w:cs="Arial" w:eastAsia="Arial" w:hAnsi="Arial"/>
                <w:sz w:val="16"/>
                <w:szCs w:val="16"/>
                <w:u w:val="single" w:color="auto"/>
                <w:color w:val="0000FF"/>
              </w:rPr>
            </w:pPr>
            <w:hyperlink w:anchor="page117">
              <w:r>
                <w:rPr>
                  <w:rFonts w:ascii="Arial" w:cs="Arial" w:eastAsia="Arial" w:hAnsi="Arial"/>
                  <w:sz w:val="16"/>
                  <w:szCs w:val="16"/>
                  <w:u w:val="single" w:color="auto"/>
                  <w:color w:val="0000FF"/>
                </w:rPr>
                <w:t>117</w:t>
              </w:r>
            </w:hyperlink>
          </w:p>
        </w:tc>
      </w:tr>
      <w:tr>
        <w:trPr>
          <w:trHeight w:val="216"/>
        </w:trPr>
        <w:tc>
          <w:tcPr>
            <w:tcW w:w="9920" w:type="dxa"/>
            <w:vAlign w:val="bottom"/>
          </w:tcPr>
          <w:p>
            <w:pPr>
              <w:jc w:val="center"/>
              <w:spacing w:after="0"/>
              <w:rPr>
                <w:sz w:val="20"/>
                <w:szCs w:val="20"/>
                <w:color w:val="auto"/>
              </w:rPr>
            </w:pPr>
            <w:r>
              <w:rPr>
                <w:rFonts w:ascii="Arial" w:cs="Arial" w:eastAsia="Arial" w:hAnsi="Arial"/>
                <w:sz w:val="16"/>
                <w:szCs w:val="16"/>
                <w:b w:val="1"/>
                <w:bCs w:val="1"/>
                <w:color w:val="auto"/>
              </w:rPr>
              <w:t>PART IV</w:t>
            </w:r>
          </w:p>
        </w:tc>
        <w:tc>
          <w:tcPr>
            <w:tcW w:w="1260" w:type="dxa"/>
            <w:vAlign w:val="bottom"/>
          </w:tcPr>
          <w:p>
            <w:pPr>
              <w:spacing w:after="0"/>
              <w:rPr>
                <w:sz w:val="18"/>
                <w:szCs w:val="18"/>
                <w:color w:val="auto"/>
              </w:rPr>
            </w:pPr>
          </w:p>
        </w:tc>
      </w:tr>
      <w:tr>
        <w:trPr>
          <w:trHeight w:val="216"/>
        </w:trPr>
        <w:tc>
          <w:tcPr>
            <w:tcW w:w="9920" w:type="dxa"/>
            <w:vAlign w:val="bottom"/>
          </w:tcPr>
          <w:p>
            <w:pPr>
              <w:spacing w:after="0"/>
              <w:rPr>
                <w:rFonts w:ascii="Arial" w:cs="Arial" w:eastAsia="Arial" w:hAnsi="Arial"/>
                <w:sz w:val="16"/>
                <w:szCs w:val="16"/>
                <w:u w:val="single" w:color="auto"/>
                <w:color w:val="0000FF"/>
              </w:rPr>
            </w:pPr>
            <w:hyperlink w:anchor="page119">
              <w:r>
                <w:rPr>
                  <w:rFonts w:ascii="Arial" w:cs="Arial" w:eastAsia="Arial" w:hAnsi="Arial"/>
                  <w:sz w:val="16"/>
                  <w:szCs w:val="16"/>
                  <w:u w:val="single" w:color="auto"/>
                  <w:color w:val="0000FF"/>
                </w:rPr>
                <w:t>Item 15. Exhibits and Financial Statement Schedules</w:t>
              </w:r>
            </w:hyperlink>
          </w:p>
        </w:tc>
        <w:tc>
          <w:tcPr>
            <w:tcW w:w="1260" w:type="dxa"/>
            <w:vAlign w:val="bottom"/>
          </w:tcPr>
          <w:p>
            <w:pPr>
              <w:jc w:val="right"/>
              <w:spacing w:after="0"/>
              <w:rPr>
                <w:rFonts w:ascii="Arial" w:cs="Arial" w:eastAsia="Arial" w:hAnsi="Arial"/>
                <w:sz w:val="16"/>
                <w:szCs w:val="16"/>
                <w:u w:val="single" w:color="auto"/>
                <w:color w:val="0000FF"/>
              </w:rPr>
            </w:pPr>
            <w:hyperlink w:anchor="page119">
              <w:r>
                <w:rPr>
                  <w:rFonts w:ascii="Arial" w:cs="Arial" w:eastAsia="Arial" w:hAnsi="Arial"/>
                  <w:sz w:val="16"/>
                  <w:szCs w:val="16"/>
                  <w:u w:val="single" w:color="auto"/>
                  <w:color w:val="0000FF"/>
                </w:rPr>
                <w:t>118</w:t>
              </w:r>
            </w:hyperlink>
          </w:p>
        </w:tc>
      </w:tr>
      <w:tr>
        <w:trPr>
          <w:trHeight w:val="216"/>
        </w:trPr>
        <w:tc>
          <w:tcPr>
            <w:tcW w:w="9920" w:type="dxa"/>
            <w:vAlign w:val="bottom"/>
          </w:tcPr>
          <w:p>
            <w:pPr>
              <w:spacing w:after="0"/>
              <w:rPr>
                <w:rFonts w:ascii="Arial" w:cs="Arial" w:eastAsia="Arial" w:hAnsi="Arial"/>
                <w:sz w:val="16"/>
                <w:szCs w:val="16"/>
                <w:u w:val="single" w:color="auto"/>
                <w:color w:val="0000FF"/>
              </w:rPr>
            </w:pPr>
            <w:hyperlink w:anchor="page123">
              <w:r>
                <w:rPr>
                  <w:rFonts w:ascii="Arial" w:cs="Arial" w:eastAsia="Arial" w:hAnsi="Arial"/>
                  <w:sz w:val="16"/>
                  <w:szCs w:val="16"/>
                  <w:u w:val="single" w:color="auto"/>
                  <w:color w:val="0000FF"/>
                </w:rPr>
                <w:t>Item 16. Form 10-K Summary</w:t>
              </w:r>
            </w:hyperlink>
          </w:p>
        </w:tc>
        <w:tc>
          <w:tcPr>
            <w:tcW w:w="1260" w:type="dxa"/>
            <w:vAlign w:val="bottom"/>
          </w:tcPr>
          <w:p>
            <w:pPr>
              <w:jc w:val="right"/>
              <w:spacing w:after="0"/>
              <w:rPr>
                <w:rFonts w:ascii="Arial" w:cs="Arial" w:eastAsia="Arial" w:hAnsi="Arial"/>
                <w:sz w:val="16"/>
                <w:szCs w:val="16"/>
                <w:u w:val="single" w:color="auto"/>
                <w:color w:val="0000FF"/>
              </w:rPr>
            </w:pPr>
            <w:hyperlink w:anchor="page123">
              <w:r>
                <w:rPr>
                  <w:rFonts w:ascii="Arial" w:cs="Arial" w:eastAsia="Arial" w:hAnsi="Arial"/>
                  <w:sz w:val="16"/>
                  <w:szCs w:val="16"/>
                  <w:u w:val="single" w:color="auto"/>
                  <w:color w:val="0000FF"/>
                </w:rPr>
                <w:t>122</w:t>
              </w:r>
            </w:hyperlink>
          </w:p>
        </w:tc>
      </w:tr>
      <w:tr>
        <w:trPr>
          <w:trHeight w:val="216"/>
        </w:trPr>
        <w:tc>
          <w:tcPr>
            <w:tcW w:w="9920" w:type="dxa"/>
            <w:vAlign w:val="bottom"/>
          </w:tcPr>
          <w:p>
            <w:pPr>
              <w:spacing w:after="0"/>
              <w:rPr>
                <w:rFonts w:ascii="Arial" w:cs="Arial" w:eastAsia="Arial" w:hAnsi="Arial"/>
                <w:sz w:val="16"/>
                <w:szCs w:val="16"/>
                <w:u w:val="single" w:color="auto"/>
                <w:color w:val="0000FF"/>
              </w:rPr>
            </w:pPr>
            <w:hyperlink w:anchor="page123">
              <w:r>
                <w:rPr>
                  <w:rFonts w:ascii="Arial" w:cs="Arial" w:eastAsia="Arial" w:hAnsi="Arial"/>
                  <w:sz w:val="16"/>
                  <w:szCs w:val="16"/>
                  <w:u w:val="single" w:color="auto"/>
                  <w:color w:val="0000FF"/>
                </w:rPr>
                <w:t>Signatures</w:t>
              </w:r>
            </w:hyperlink>
          </w:p>
        </w:tc>
        <w:tc>
          <w:tcPr>
            <w:tcW w:w="1260" w:type="dxa"/>
            <w:vAlign w:val="bottom"/>
          </w:tcPr>
          <w:p>
            <w:pPr>
              <w:jc w:val="right"/>
              <w:spacing w:after="0"/>
              <w:rPr>
                <w:rFonts w:ascii="Arial" w:cs="Arial" w:eastAsia="Arial" w:hAnsi="Arial"/>
                <w:sz w:val="16"/>
                <w:szCs w:val="16"/>
                <w:u w:val="single" w:color="auto"/>
                <w:color w:val="0000FF"/>
              </w:rPr>
            </w:pPr>
            <w:hyperlink w:anchor="page123">
              <w:r>
                <w:rPr>
                  <w:rFonts w:ascii="Arial" w:cs="Arial" w:eastAsia="Arial" w:hAnsi="Arial"/>
                  <w:sz w:val="16"/>
                  <w:szCs w:val="16"/>
                  <w:u w:val="single" w:color="auto"/>
                  <w:color w:val="0000FF"/>
                </w:rPr>
                <w:t>123</w:t>
              </w:r>
            </w:hyperlink>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w:t>
      </w:r>
    </w:p>
    <w:p>
      <w:pPr>
        <w:spacing w:after="0" w:line="249"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This Annual Report on Form 10-K (the “Report”) includes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and Section 21E of the Securities Exchange Act of 1934, as amended (the “Exchange Act”). These forward-looking statements can generally be identified by the use of forward-looking terminology, including the terms “believes,” “estimates,” “anticipates,” “expects,” “feels,” “seeks,” “forecasts,” “projects,” “intends,” “plans,” “may,” “will,” “should,” “could” or “would” or, in each case, their negative or other variations or comparable terminology, although not all forward-looking statements are accompanied by such terms.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industry developments may differ materially from statements made in or suggested by the forward-looking statements contained in this Report. In addition, even if our results of operations, financial condition and liquidity, and industry developments are consistent with the forward-looking statements contained in this Report, those results or developments may not be indicative of results or developments in subsequent periods. Important factors that could cause actual results to differ materially from statements made or suggested by forward-looking statements include, but are not limited to, those described in the “Risk Factors” section of this Report and the following:</w:t>
      </w:r>
    </w:p>
    <w:p>
      <w:pPr>
        <w:spacing w:after="0" w:line="211" w:lineRule="exact"/>
        <w:rPr>
          <w:sz w:val="20"/>
          <w:szCs w:val="20"/>
          <w:color w:val="auto"/>
        </w:rPr>
      </w:pPr>
    </w:p>
    <w:p>
      <w:pPr>
        <w:ind w:left="660" w:hanging="652"/>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Consumer reactions to public health and food safety issues;</w:t>
      </w:r>
    </w:p>
    <w:p>
      <w:pPr>
        <w:spacing w:after="0" w:line="242" w:lineRule="exact"/>
        <w:rPr>
          <w:rFonts w:ascii="Arial" w:cs="Arial" w:eastAsia="Arial" w:hAnsi="Arial"/>
          <w:sz w:val="20"/>
          <w:szCs w:val="20"/>
          <w:color w:val="auto"/>
        </w:rPr>
      </w:pPr>
    </w:p>
    <w:p>
      <w:pPr>
        <w:jc w:val="both"/>
        <w:ind w:left="660" w:hanging="652"/>
        <w:spacing w:after="0" w:line="250" w:lineRule="auto"/>
        <w:tabs>
          <w:tab w:leader="none" w:pos="659"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severity, extent and duration of the COVID-19 pandemic, its impacts on our business and results of operations, financial condition and liquidity, including any adverse impact on our stock price and on the other factors listed below, and the responses of domestic and foreign federal, state and local governments to the pandemic;</w:t>
      </w:r>
    </w:p>
    <w:p>
      <w:pPr>
        <w:spacing w:after="0" w:line="212" w:lineRule="exact"/>
        <w:rPr>
          <w:rFonts w:ascii="Arial" w:cs="Arial" w:eastAsia="Arial" w:hAnsi="Arial"/>
          <w:sz w:val="20"/>
          <w:szCs w:val="20"/>
          <w:color w:val="auto"/>
        </w:rPr>
      </w:pPr>
    </w:p>
    <w:p>
      <w:pPr>
        <w:ind w:left="660" w:hanging="652"/>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Minimum wage increases and additional mandated employee benefits;</w:t>
      </w:r>
    </w:p>
    <w:p>
      <w:pPr>
        <w:spacing w:after="0" w:line="242" w:lineRule="exact"/>
        <w:rPr>
          <w:rFonts w:ascii="Arial" w:cs="Arial" w:eastAsia="Arial" w:hAnsi="Arial"/>
          <w:sz w:val="20"/>
          <w:szCs w:val="20"/>
          <w:color w:val="auto"/>
        </w:rPr>
      </w:pPr>
    </w:p>
    <w:p>
      <w:pPr>
        <w:ind w:left="660" w:right="20" w:hanging="652"/>
        <w:spacing w:after="0" w:line="260" w:lineRule="auto"/>
        <w:tabs>
          <w:tab w:leader="none" w:pos="649"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compete in the highly competitive restaurant industry with many well-established competitors and new market entrants;</w:t>
      </w:r>
    </w:p>
    <w:p>
      <w:pPr>
        <w:spacing w:after="0" w:line="203" w:lineRule="exact"/>
        <w:rPr>
          <w:rFonts w:ascii="Arial" w:cs="Arial" w:eastAsia="Arial" w:hAnsi="Arial"/>
          <w:sz w:val="20"/>
          <w:szCs w:val="20"/>
          <w:color w:val="auto"/>
        </w:rPr>
      </w:pPr>
    </w:p>
    <w:p>
      <w:pPr>
        <w:ind w:left="660" w:hanging="652"/>
        <w:spacing w:after="0" w:line="260"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Economic conditions and their effects on consumer confidence and discretionary spending, consumer traffic, the cost and availability of credit and interest rates;</w:t>
      </w:r>
    </w:p>
    <w:p>
      <w:pPr>
        <w:spacing w:after="0" w:line="203" w:lineRule="exact"/>
        <w:rPr>
          <w:rFonts w:ascii="Arial" w:cs="Arial" w:eastAsia="Arial" w:hAnsi="Arial"/>
          <w:sz w:val="20"/>
          <w:szCs w:val="20"/>
          <w:color w:val="auto"/>
        </w:rPr>
      </w:pPr>
    </w:p>
    <w:p>
      <w:pPr>
        <w:ind w:left="640" w:hanging="632"/>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recruit and retain high-quality leadership, restaurant-level management and team members;</w:t>
      </w:r>
    </w:p>
    <w:p>
      <w:pPr>
        <w:spacing w:after="0" w:line="242" w:lineRule="exact"/>
        <w:rPr>
          <w:rFonts w:ascii="Arial" w:cs="Arial" w:eastAsia="Arial" w:hAnsi="Arial"/>
          <w:sz w:val="20"/>
          <w:szCs w:val="20"/>
          <w:color w:val="auto"/>
        </w:rPr>
      </w:pPr>
    </w:p>
    <w:p>
      <w:pPr>
        <w:ind w:left="660" w:right="20" w:hanging="652"/>
        <w:spacing w:after="0" w:line="260" w:lineRule="auto"/>
        <w:tabs>
          <w:tab w:leader="none" w:pos="649"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preserve and grow the reputation and value of our brands, particularly in light of changes in consumer engagement with social media platforms and limited control with respect to the operations of our franchisees;</w:t>
      </w:r>
    </w:p>
    <w:p>
      <w:pPr>
        <w:spacing w:after="0" w:line="203" w:lineRule="exact"/>
        <w:rPr>
          <w:rFonts w:ascii="Arial" w:cs="Arial" w:eastAsia="Arial" w:hAnsi="Arial"/>
          <w:sz w:val="20"/>
          <w:szCs w:val="20"/>
          <w:color w:val="auto"/>
        </w:rPr>
      </w:pPr>
    </w:p>
    <w:p>
      <w:pPr>
        <w:ind w:left="660" w:hanging="652"/>
        <w:spacing w:after="0" w:line="260" w:lineRule="auto"/>
        <w:tabs>
          <w:tab w:leader="none" w:pos="651"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protect our information technology systems from interruption or security breach, including cyber security threats, and to protect consumer data and personal employee information;</w:t>
      </w:r>
    </w:p>
    <w:p>
      <w:pPr>
        <w:spacing w:after="0" w:line="203" w:lineRule="exact"/>
        <w:rPr>
          <w:rFonts w:ascii="Arial" w:cs="Arial" w:eastAsia="Arial" w:hAnsi="Arial"/>
          <w:sz w:val="20"/>
          <w:szCs w:val="20"/>
          <w:color w:val="auto"/>
        </w:rPr>
      </w:pPr>
    </w:p>
    <w:p>
      <w:pPr>
        <w:ind w:left="640" w:hanging="632"/>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Fluctuations in the price and availability of commodities;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40" w:hanging="632"/>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Dependence on a limited number of suppliers and distributors to meet our beef and other major product supply needs</w:t>
      </w:r>
    </w:p>
    <w:p>
      <w:pPr>
        <w:spacing w:after="0" w:line="242" w:lineRule="exact"/>
        <w:rPr>
          <w:rFonts w:ascii="Arial" w:cs="Arial" w:eastAsia="Arial" w:hAnsi="Arial"/>
          <w:sz w:val="20"/>
          <w:szCs w:val="20"/>
          <w:color w:val="auto"/>
        </w:rPr>
      </w:pPr>
    </w:p>
    <w:p>
      <w:pPr>
        <w:ind w:left="660" w:hanging="652"/>
        <w:spacing w:after="0" w:line="260" w:lineRule="auto"/>
        <w:tabs>
          <w:tab w:leader="none" w:pos="649"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effects of international economic, political and social conditions and legal systems on our foreign operations and on foreign currency exchange rates;</w:t>
      </w:r>
    </w:p>
    <w:p>
      <w:pPr>
        <w:spacing w:after="0" w:line="203" w:lineRule="exact"/>
        <w:rPr>
          <w:rFonts w:ascii="Arial" w:cs="Arial" w:eastAsia="Arial" w:hAnsi="Arial"/>
          <w:sz w:val="20"/>
          <w:szCs w:val="20"/>
          <w:color w:val="auto"/>
        </w:rPr>
      </w:pPr>
    </w:p>
    <w:p>
      <w:pPr>
        <w:ind w:left="660" w:hanging="652"/>
        <w:spacing w:after="0" w:line="316" w:lineRule="auto"/>
        <w:tabs>
          <w:tab w:leader="none" w:pos="649"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governmental laws and regulations, the costs of compliance with such laws and regulations and the effects of changes to applicable laws and regulations, including tax laws and unanticipated liabilities, and the impact of any litigation;</w:t>
      </w:r>
    </w:p>
    <w:p>
      <w:pPr>
        <w:spacing w:after="0" w:line="156" w:lineRule="exact"/>
        <w:rPr>
          <w:rFonts w:ascii="Arial" w:cs="Arial" w:eastAsia="Arial" w:hAnsi="Arial"/>
          <w:sz w:val="18"/>
          <w:szCs w:val="18"/>
          <w:color w:val="auto"/>
        </w:rPr>
      </w:pPr>
    </w:p>
    <w:p>
      <w:pPr>
        <w:ind w:left="660" w:hanging="652"/>
        <w:spacing w:after="0" w:line="260" w:lineRule="auto"/>
        <w:tabs>
          <w:tab w:leader="none" w:pos="651"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ability to effectively respond to changes in patterns of consumer traffic, consumer tastes and dietary habits, including by maintaining relationships with third party delivery apps and services;</w:t>
      </w:r>
    </w:p>
    <w:p>
      <w:pPr>
        <w:spacing w:after="0" w:line="203" w:lineRule="exact"/>
        <w:rPr>
          <w:rFonts w:ascii="Arial" w:cs="Arial" w:eastAsia="Arial" w:hAnsi="Arial"/>
          <w:sz w:val="20"/>
          <w:szCs w:val="20"/>
          <w:color w:val="auto"/>
        </w:rPr>
      </w:pPr>
    </w:p>
    <w:p>
      <w:pPr>
        <w:jc w:val="both"/>
        <w:ind w:left="660" w:hanging="652"/>
        <w:spacing w:after="0" w:line="269" w:lineRule="auto"/>
        <w:tabs>
          <w:tab w:leader="none" w:pos="653" w:val="left"/>
        </w:tabs>
        <w:numPr>
          <w:ilvl w:val="0"/>
          <w:numId w:val="4"/>
        </w:numPr>
        <w:rPr>
          <w:rFonts w:ascii="Arial" w:cs="Arial" w:eastAsia="Arial" w:hAnsi="Arial"/>
          <w:sz w:val="19"/>
          <w:szCs w:val="19"/>
          <w:color w:val="auto"/>
        </w:rPr>
      </w:pPr>
      <w:r>
        <w:rPr>
          <w:rFonts w:ascii="Arial" w:cs="Arial" w:eastAsia="Arial" w:hAnsi="Arial"/>
          <w:sz w:val="19"/>
          <w:szCs w:val="19"/>
          <w:color w:val="auto"/>
        </w:rPr>
        <w:t>Our ability to implement our remodeling, relocation and expansion plans due to uncertainty in locating and acquiring attractive sites on acceptable terms, obtaining required permits and approvals, recruiting and training necessary personnel, obtaining adequate financing and estimating the performance of newly opened, remodeled or relocated restaurants;</w:t>
      </w:r>
    </w:p>
    <w:p>
      <w:pPr>
        <w:spacing w:after="0" w:line="196" w:lineRule="exact"/>
        <w:rPr>
          <w:rFonts w:ascii="Arial" w:cs="Arial" w:eastAsia="Arial" w:hAnsi="Arial"/>
          <w:sz w:val="19"/>
          <w:szCs w:val="19"/>
          <w:color w:val="auto"/>
        </w:rPr>
      </w:pPr>
    </w:p>
    <w:p>
      <w:pPr>
        <w:ind w:left="660" w:hanging="652"/>
        <w:spacing w:after="0" w:line="260" w:lineRule="auto"/>
        <w:tabs>
          <w:tab w:leader="none" w:pos="649" w:val="left"/>
        </w:tabs>
        <w:numPr>
          <w:ilvl w:val="0"/>
          <w:numId w:val="4"/>
        </w:numPr>
        <w:rPr>
          <w:rFonts w:ascii="Arial" w:cs="Arial" w:eastAsia="Arial" w:hAnsi="Arial"/>
          <w:sz w:val="18"/>
          <w:szCs w:val="18"/>
          <w:color w:val="auto"/>
        </w:rPr>
      </w:pPr>
      <w:r>
        <w:rPr>
          <w:rFonts w:ascii="Arial" w:cs="Arial" w:eastAsia="Arial" w:hAnsi="Arial"/>
          <w:sz w:val="20"/>
          <w:szCs w:val="20"/>
          <w:color w:val="auto"/>
        </w:rPr>
        <w:t>Seasonal and periodic fluctuations in our results and the effects of significant adverse weather conditions and other disasters or unforeseen events;</w:t>
      </w:r>
    </w:p>
    <w:p>
      <w:pPr>
        <w:spacing w:after="0" w:line="203" w:lineRule="exact"/>
        <w:rPr>
          <w:rFonts w:ascii="Arial" w:cs="Arial" w:eastAsia="Arial" w:hAnsi="Arial"/>
          <w:sz w:val="18"/>
          <w:szCs w:val="18"/>
          <w:color w:val="auto"/>
        </w:rPr>
      </w:pPr>
    </w:p>
    <w:p>
      <w:pPr>
        <w:jc w:val="both"/>
        <w:ind w:left="660" w:right="20" w:hanging="652"/>
        <w:spacing w:after="0" w:line="269" w:lineRule="auto"/>
        <w:tabs>
          <w:tab w:leader="none" w:pos="653"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effects of our substantial leverage and restrictive covenants in our various credit facilities on our ability to raise additional capital to fund our operations, to make capital expenditures to invest in new or renovate restaurants and to react to changes in the economy or our industry, and our exposure to interest rate risk in connection with our variable-rate debt; and</w:t>
      </w:r>
    </w:p>
    <w:p>
      <w:pPr>
        <w:spacing w:after="0" w:line="196" w:lineRule="exact"/>
        <w:rPr>
          <w:rFonts w:ascii="Arial" w:cs="Arial" w:eastAsia="Arial" w:hAnsi="Arial"/>
          <w:sz w:val="19"/>
          <w:szCs w:val="19"/>
          <w:color w:val="auto"/>
        </w:rPr>
      </w:pPr>
    </w:p>
    <w:p>
      <w:pPr>
        <w:ind w:left="660" w:hanging="652"/>
        <w:spacing w:after="0" w:line="260" w:lineRule="auto"/>
        <w:tabs>
          <w:tab w:leader="none" w:pos="654" w:val="left"/>
        </w:tabs>
        <w:numPr>
          <w:ilvl w:val="0"/>
          <w:numId w:val="4"/>
        </w:numPr>
        <w:rPr>
          <w:rFonts w:ascii="Arial" w:cs="Arial" w:eastAsia="Arial" w:hAnsi="Arial"/>
          <w:sz w:val="20"/>
          <w:szCs w:val="20"/>
          <w:color w:val="auto"/>
        </w:rPr>
      </w:pPr>
      <w:r>
        <w:rPr>
          <w:rFonts w:ascii="Arial" w:cs="Arial" w:eastAsia="Arial" w:hAnsi="Arial"/>
          <w:sz w:val="20"/>
          <w:szCs w:val="20"/>
          <w:color w:val="auto"/>
        </w:rPr>
        <w:t>Any impairment in the carrying value of our goodwill or other intangible or long-lived assets and its effect on our financial condition and results of operations.</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In light of these risks and uncertainties, we caution you not to place undue reliance on these forward-looking statements. Any forward-looking statement that we make in this Report speaks only as of the date of such statement, and we undertake no obligation to update any forward-looking statement or to publicly announce the results of any revision to any of those statements to reflect future events or developments. Comparisons of results for current and any prior periods are not intended to express any future trends or indications of future performance, unless specifically expressed as such, and should only be viewed as historical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7"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49"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Bloomin’ Brands, Inc. (“Bloomin’ Brands,” the “Company,” “we,” “us,” and “our” and similar terms mean Bloomin’ Brands, Inc. and its subsidiaries except where the context otherwise requires) is one of the largest casual dining restaurant companies in the world, with a portfolio of leading, differentiated restaurant concepts. We have four founder-inspired concepts: Outback Steakhouse, Carrabba’s Italian Grill, Bonefish Grill and Fleming’s Prime Steakhouse &amp; Wine Bar. Our restaurant concepts range in price point and degree of formality from casual (Outback Steakhouse and Carrabba’s Italian Grill) to upscale casual (Bonefish Grill) and fine dining (Fleming’s Prime Steakhouse &amp; Wine Bar). OSI Restaurant Partners, LLC (“OSI”), a wholly-owned subsidiary of Bloomin’ Brands, is our primary operating entity.</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COVID-19 Pandemic Impact on Our Business</w:t>
      </w:r>
    </w:p>
    <w:p>
      <w:pPr>
        <w:spacing w:after="0" w:line="249"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In March 2020, the World Health Organization declared the novel coronavirus (“COVID-19”) to be a pandemic. In an effort to contain and mitigate the spread of COVID-19, federal, state and local governmental authorities imposed dramatic restrictions on travel, group gatherings and non-essential activities, such as “social distancing” guidance, shelter-in-place orders and limitations on or full prohibitions of dine-in services.</w:t>
      </w:r>
    </w:p>
    <w:p>
      <w:pPr>
        <w:spacing w:after="0" w:line="21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Along with many other restaurant businesses across the country, we temporarily limited our services in the U.S. to carry-out and delivery only beginning March 20, 2020. In early May 2020, we began to reopen our restaurant dining rooms with limited seating capacity in compliance with state and local regulations. The temporary closure of our dining rooms and the limitations on seating capacity due to the COVID-19 pandemic has resulted in significantly reduced traffic in our restaurants which has negatively impacted our operating results.</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In response to the COVID-19 pandemic, we have tightly managed expenses while prioritizing support of our workforce, off-premises business and the safe reopening of our restaurant dining rooms. In addition, we have taken several precautionary measures to preserve liquidity, including suspending quarterly dividends and share repurchases, significantly reducing marketing and tightly managing other expenses, limiting capital expenditures and engaging with our landlords regarding amendments to our operating lease agreements.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MARKETS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27, 2020, we owned and operated 1,157 restaurants and franchised 317 restaurants across 47 states, Guam and 20 countries.</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Segments</w:t>
      </w:r>
    </w:p>
    <w:p>
      <w:pPr>
        <w:spacing w:after="0" w:line="249" w:lineRule="exact"/>
        <w:rPr>
          <w:sz w:val="20"/>
          <w:szCs w:val="20"/>
          <w:color w:val="auto"/>
        </w:rPr>
      </w:pPr>
    </w:p>
    <w:p>
      <w:pPr>
        <w:jc w:val="both"/>
        <w:ind w:right="20"/>
        <w:spacing w:after="0" w:line="263" w:lineRule="auto"/>
        <w:rPr>
          <w:sz w:val="20"/>
          <w:szCs w:val="20"/>
          <w:color w:val="auto"/>
        </w:rPr>
      </w:pPr>
      <w:r>
        <w:rPr>
          <w:rFonts w:ascii="Arial" w:cs="Arial" w:eastAsia="Arial" w:hAnsi="Arial"/>
          <w:sz w:val="19"/>
          <w:szCs w:val="19"/>
          <w:color w:val="auto"/>
        </w:rPr>
        <w:t>We consider our restaurant concepts and international markets to be operating segments, which reflects how we manage our business, review operating performance and allocate resources. We aggregate our operating segments into two reportable segments, U.S. and international. The U.S. segment includes all restaurants operating in the U.S. while restaurants operating outside the U.S. are included in the international segment. Following is a summary of reportable segments as of December 27, 2020:</w:t>
      </w:r>
    </w:p>
    <w:p>
      <w:pPr>
        <w:spacing w:after="0" w:line="89"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2520" w:type="dxa"/>
            <w:vAlign w:val="bottom"/>
          </w:tcPr>
          <w:p>
            <w:pPr>
              <w:ind w:left="20"/>
              <w:spacing w:after="0"/>
              <w:rPr>
                <w:sz w:val="20"/>
                <w:szCs w:val="20"/>
                <w:color w:val="auto"/>
              </w:rPr>
            </w:pPr>
            <w:r>
              <w:rPr>
                <w:rFonts w:ascii="Arial" w:cs="Arial" w:eastAsia="Arial" w:hAnsi="Arial"/>
                <w:sz w:val="14"/>
                <w:szCs w:val="14"/>
                <w:b w:val="1"/>
                <w:bCs w:val="1"/>
                <w:color w:val="auto"/>
              </w:rPr>
              <w:t>REPORTABLE SEGMENT (1)</w:t>
            </w:r>
          </w:p>
        </w:tc>
        <w:tc>
          <w:tcPr>
            <w:tcW w:w="120" w:type="dxa"/>
            <w:vAlign w:val="bottom"/>
          </w:tcPr>
          <w:p>
            <w:pPr>
              <w:spacing w:after="0"/>
              <w:rPr>
                <w:sz w:val="17"/>
                <w:szCs w:val="17"/>
                <w:color w:val="auto"/>
              </w:rPr>
            </w:pPr>
          </w:p>
        </w:tc>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CONCEPT</w:t>
            </w:r>
          </w:p>
        </w:tc>
        <w:tc>
          <w:tcPr>
            <w:tcW w:w="3920" w:type="dxa"/>
            <w:vAlign w:val="bottom"/>
          </w:tcPr>
          <w:p>
            <w:pPr>
              <w:spacing w:after="0"/>
              <w:rPr>
                <w:sz w:val="20"/>
                <w:szCs w:val="20"/>
                <w:color w:val="auto"/>
              </w:rPr>
            </w:pPr>
            <w:r>
              <w:rPr>
                <w:rFonts w:ascii="Arial" w:cs="Arial" w:eastAsia="Arial" w:hAnsi="Arial"/>
                <w:sz w:val="14"/>
                <w:szCs w:val="14"/>
                <w:b w:val="1"/>
                <w:bCs w:val="1"/>
                <w:color w:val="auto"/>
              </w:rPr>
              <w:t>GEOGRAPHIC LOCATION</w:t>
            </w:r>
          </w:p>
        </w:tc>
        <w:tc>
          <w:tcPr>
            <w:tcW w:w="0" w:type="dxa"/>
            <w:vAlign w:val="bottom"/>
          </w:tcPr>
          <w:p>
            <w:pPr>
              <w:spacing w:after="0"/>
              <w:rPr>
                <w:sz w:val="1"/>
                <w:szCs w:val="1"/>
                <w:color w:val="auto"/>
              </w:rPr>
            </w:pPr>
          </w:p>
        </w:tc>
      </w:tr>
      <w:tr>
        <w:trPr>
          <w:trHeight w:val="210"/>
        </w:trPr>
        <w:tc>
          <w:tcPr>
            <w:tcW w:w="2520" w:type="dxa"/>
            <w:vAlign w:val="bottom"/>
            <w:tcBorders>
              <w:top w:val="single" w:sz="8" w:color="auto"/>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4560" w:type="dxa"/>
            <w:vAlign w:val="bottom"/>
            <w:tcBorders>
              <w:top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Outback Steakhouse</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3920" w:type="dxa"/>
            <w:vAlign w:val="bottom"/>
            <w:tcBorders>
              <w:top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Borders>
              <w:left w:val="single" w:sz="8" w:color="auto"/>
              <w:right w:val="single" w:sz="8" w:color="auto"/>
            </w:tcBorders>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45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Carrabba’s Italian Grill</w:t>
            </w:r>
          </w:p>
        </w:tc>
        <w:tc>
          <w:tcPr>
            <w:tcW w:w="140" w:type="dxa"/>
            <w:vAlign w:val="bottom"/>
            <w:tcBorders>
              <w:right w:val="single" w:sz="8" w:color="auto"/>
            </w:tcBorders>
            <w:shd w:val="clear" w:color="auto" w:fill="CCEEFF"/>
          </w:tcPr>
          <w:p>
            <w:pPr>
              <w:spacing w:after="0"/>
              <w:rPr>
                <w:sz w:val="18"/>
                <w:szCs w:val="18"/>
                <w:color w:val="auto"/>
              </w:rPr>
            </w:pPr>
          </w:p>
        </w:tc>
        <w:tc>
          <w:tcPr>
            <w:tcW w:w="392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108"/>
        </w:trPr>
        <w:tc>
          <w:tcPr>
            <w:tcW w:w="2520" w:type="dxa"/>
            <w:vAlign w:val="bottom"/>
            <w:tcBorders>
              <w:left w:val="single" w:sz="8" w:color="auto"/>
              <w:right w:val="single" w:sz="8" w:color="auto"/>
            </w:tcBorders>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456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6"/>
                <w:szCs w:val="16"/>
                <w:color w:val="auto"/>
              </w:rPr>
              <w:t>Bonefish Grill</w:t>
            </w:r>
          </w:p>
        </w:tc>
        <w:tc>
          <w:tcPr>
            <w:tcW w:w="140" w:type="dxa"/>
            <w:vAlign w:val="bottom"/>
            <w:tcBorders>
              <w:right w:val="single" w:sz="8" w:color="auto"/>
            </w:tcBorders>
            <w:shd w:val="clear" w:color="auto" w:fill="CCEEFF"/>
          </w:tcPr>
          <w:p>
            <w:pPr>
              <w:spacing w:after="0"/>
              <w:rPr>
                <w:sz w:val="9"/>
                <w:szCs w:val="9"/>
                <w:color w:val="auto"/>
              </w:rPr>
            </w:pPr>
          </w:p>
        </w:tc>
        <w:tc>
          <w:tcPr>
            <w:tcW w:w="392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Borders>
              <w:left w:val="single" w:sz="8" w:color="auto"/>
              <w:right w:val="single" w:sz="8" w:color="auto"/>
            </w:tcBorders>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4560" w:type="dxa"/>
            <w:vAlign w:val="bottom"/>
            <w:tcBorders>
              <w:right w:val="single" w:sz="8" w:color="auto"/>
            </w:tcBorders>
            <w:vMerge w:val="continue"/>
            <w:shd w:val="clear" w:color="auto" w:fill="CCEEFF"/>
          </w:tcPr>
          <w:p>
            <w:pPr>
              <w:spacing w:after="0"/>
              <w:rPr>
                <w:sz w:val="9"/>
                <w:szCs w:val="9"/>
                <w:color w:val="auto"/>
              </w:rPr>
            </w:pPr>
          </w:p>
        </w:tc>
        <w:tc>
          <w:tcPr>
            <w:tcW w:w="140" w:type="dxa"/>
            <w:vAlign w:val="bottom"/>
            <w:tcBorders>
              <w:right w:val="single" w:sz="8" w:color="auto"/>
            </w:tcBorders>
            <w:shd w:val="clear" w:color="auto" w:fill="CCEEFF"/>
          </w:tcPr>
          <w:p>
            <w:pPr>
              <w:spacing w:after="0"/>
              <w:rPr>
                <w:sz w:val="9"/>
                <w:szCs w:val="9"/>
                <w:color w:val="auto"/>
              </w:rPr>
            </w:pPr>
          </w:p>
        </w:tc>
        <w:tc>
          <w:tcPr>
            <w:tcW w:w="3920" w:type="dxa"/>
            <w:vAlign w:val="bottom"/>
            <w:tcBorders>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9"/>
        </w:trPr>
        <w:tc>
          <w:tcPr>
            <w:tcW w:w="252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45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Fleming’s Prime Steakhouse &amp; Wine Bar</w:t>
            </w:r>
          </w:p>
        </w:tc>
        <w:tc>
          <w:tcPr>
            <w:tcW w:w="140" w:type="dxa"/>
            <w:vAlign w:val="bottom"/>
            <w:tcBorders>
              <w:right w:val="single" w:sz="8" w:color="auto"/>
            </w:tcBorders>
            <w:shd w:val="clear" w:color="auto" w:fill="CCEEFF"/>
          </w:tcPr>
          <w:p>
            <w:pPr>
              <w:spacing w:after="0"/>
              <w:rPr>
                <w:sz w:val="19"/>
                <w:szCs w:val="19"/>
                <w:color w:val="auto"/>
              </w:rPr>
            </w:pPr>
          </w:p>
        </w:tc>
        <w:tc>
          <w:tcPr>
            <w:tcW w:w="392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International</w:t>
            </w:r>
          </w:p>
        </w:tc>
        <w:tc>
          <w:tcPr>
            <w:tcW w:w="120" w:type="dxa"/>
            <w:vAlign w:val="bottom"/>
            <w:tcBorders>
              <w:right w:val="single" w:sz="8" w:color="auto"/>
            </w:tcBorders>
          </w:tcPr>
          <w:p>
            <w:pPr>
              <w:spacing w:after="0"/>
              <w:rPr>
                <w:sz w:val="18"/>
                <w:szCs w:val="18"/>
                <w:color w:val="auto"/>
              </w:rPr>
            </w:pPr>
          </w:p>
        </w:tc>
        <w:tc>
          <w:tcPr>
            <w:tcW w:w="4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Outback Steakhouse</w:t>
            </w:r>
          </w:p>
        </w:tc>
        <w:tc>
          <w:tcPr>
            <w:tcW w:w="140" w:type="dxa"/>
            <w:vAlign w:val="bottom"/>
            <w:tcBorders>
              <w:right w:val="single" w:sz="8" w:color="auto"/>
            </w:tcBorders>
          </w:tcPr>
          <w:p>
            <w:pPr>
              <w:spacing w:after="0"/>
              <w:rPr>
                <w:sz w:val="18"/>
                <w:szCs w:val="18"/>
                <w:color w:val="auto"/>
              </w:rPr>
            </w:pPr>
          </w:p>
        </w:tc>
        <w:tc>
          <w:tcPr>
            <w:tcW w:w="3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 Hong Kong/China</w:t>
            </w:r>
          </w:p>
        </w:tc>
        <w:tc>
          <w:tcPr>
            <w:tcW w:w="0" w:type="dxa"/>
            <w:vAlign w:val="bottom"/>
          </w:tcPr>
          <w:p>
            <w:pPr>
              <w:spacing w:after="0"/>
              <w:rPr>
                <w:sz w:val="1"/>
                <w:szCs w:val="1"/>
                <w:color w:val="auto"/>
              </w:rPr>
            </w:pPr>
          </w:p>
        </w:tc>
      </w:tr>
      <w:tr>
        <w:trPr>
          <w:trHeight w:val="210"/>
        </w:trPr>
        <w:tc>
          <w:tcPr>
            <w:tcW w:w="252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Carrabba’s Italian Grill (Abbraccio)</w:t>
            </w:r>
          </w:p>
        </w:tc>
        <w:tc>
          <w:tcPr>
            <w:tcW w:w="140" w:type="dxa"/>
            <w:vAlign w:val="bottom"/>
            <w:tcBorders>
              <w:right w:val="single" w:sz="8" w:color="auto"/>
            </w:tcBorders>
          </w:tcPr>
          <w:p>
            <w:pPr>
              <w:spacing w:after="0"/>
              <w:rPr>
                <w:sz w:val="18"/>
                <w:szCs w:val="18"/>
                <w:color w:val="auto"/>
              </w:rPr>
            </w:pPr>
          </w:p>
        </w:tc>
        <w:tc>
          <w:tcPr>
            <w:tcW w:w="3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w:t>
      </w:r>
    </w:p>
    <w:p>
      <w:pPr>
        <w:spacing w:after="0" w:line="19"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Includes franchise locations. See Item 2. </w:t>
      </w:r>
      <w:r>
        <w:rPr>
          <w:rFonts w:ascii="Arial" w:cs="Arial" w:eastAsia="Arial" w:hAnsi="Arial"/>
          <w:sz w:val="16"/>
          <w:szCs w:val="16"/>
          <w:i w:val="1"/>
          <w:iCs w:val="1"/>
          <w:color w:val="auto"/>
        </w:rPr>
        <w:t>Properties</w:t>
      </w:r>
      <w:r>
        <w:rPr>
          <w:rFonts w:ascii="Arial" w:cs="Arial" w:eastAsia="Arial" w:hAnsi="Arial"/>
          <w:sz w:val="16"/>
          <w:szCs w:val="16"/>
          <w:color w:val="auto"/>
        </w:rPr>
        <w:t xml:space="preserve"> for disclosure of our restaurant count by country and territory.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U.S. Segment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27, 2020, in our U.S. segment, we owned and operated 1,015 restaurants and franchised 166 restaurants across 47 states.</w:t>
      </w:r>
    </w:p>
    <w:p>
      <w:pPr>
        <w:spacing w:after="0" w:line="266" w:lineRule="exact"/>
        <w:rPr>
          <w:sz w:val="20"/>
          <w:szCs w:val="20"/>
          <w:color w:val="auto"/>
        </w:rPr>
      </w:pPr>
    </w:p>
    <w:p>
      <w:pPr>
        <w:jc w:val="both"/>
        <w:spacing w:after="0" w:line="230" w:lineRule="auto"/>
        <w:rPr>
          <w:sz w:val="20"/>
          <w:szCs w:val="20"/>
          <w:color w:val="auto"/>
        </w:rPr>
      </w:pPr>
      <w:r>
        <w:rPr>
          <w:rFonts w:ascii="Arial" w:cs="Arial" w:eastAsia="Arial" w:hAnsi="Arial"/>
          <w:sz w:val="20"/>
          <w:szCs w:val="20"/>
          <w:i w:val="1"/>
          <w:iCs w:val="1"/>
          <w:color w:val="auto"/>
        </w:rPr>
        <w:t xml:space="preserve">Outback Steakhouse </w:t>
      </w:r>
      <w:r>
        <w:rPr>
          <w:rFonts w:ascii="Arial" w:cs="Arial" w:eastAsia="Arial" w:hAnsi="Arial"/>
          <w:sz w:val="20"/>
          <w:szCs w:val="20"/>
          <w:color w:val="auto"/>
        </w:rPr>
        <w:t>- Outback Steakhouse is a casual steakhouse restaurant concept focused on steaks, bold flavors and Australian decor.</w:t>
      </w:r>
      <w:r>
        <w:rPr>
          <w:rFonts w:ascii="Arial" w:cs="Arial" w:eastAsia="Arial" w:hAnsi="Arial"/>
          <w:sz w:val="20"/>
          <w:szCs w:val="20"/>
          <w:i w:val="1"/>
          <w:iCs w:val="1"/>
          <w:color w:val="auto"/>
        </w:rPr>
        <w:t xml:space="preserve"> </w:t>
      </w:r>
      <w:r>
        <w:rPr>
          <w:rFonts w:ascii="Arial" w:cs="Arial" w:eastAsia="Arial" w:hAnsi="Arial"/>
          <w:sz w:val="20"/>
          <w:szCs w:val="20"/>
          <w:color w:val="auto"/>
        </w:rPr>
        <w:t>The Outback Steakhouse menu offers seasoned and seared or wood-fire grilled steaks, chops, chicken, seafood, pasta, salads and seasonal specials. The menu also offers a selection of specialty appetizers, including our signature Bloomin’ Onion</w:t>
      </w:r>
      <w:r>
        <w:rPr>
          <w:rFonts w:ascii="Arial" w:cs="Arial" w:eastAsia="Arial" w:hAnsi="Arial"/>
          <w:sz w:val="25"/>
          <w:szCs w:val="25"/>
          <w:color w:val="auto"/>
          <w:vertAlign w:val="superscript"/>
        </w:rPr>
        <w:t>®</w:t>
      </w:r>
      <w:r>
        <w:rPr>
          <w:rFonts w:ascii="Arial" w:cs="Arial" w:eastAsia="Arial" w:hAnsi="Arial"/>
          <w:sz w:val="20"/>
          <w:szCs w:val="20"/>
          <w:color w:val="auto"/>
        </w:rPr>
        <w:t>, and desserts, together with full bar service.</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Carrabba’s Italian Grill - </w:t>
      </w:r>
      <w:r>
        <w:rPr>
          <w:rFonts w:ascii="Arial" w:cs="Arial" w:eastAsia="Arial" w:hAnsi="Arial"/>
          <w:sz w:val="19"/>
          <w:szCs w:val="19"/>
          <w:color w:val="auto"/>
        </w:rPr>
        <w:t>Offering authentic Italian cuisine passed down from its founders’ family recipes, Carrabba’s Italian Grill uses high</w:t>
      </w:r>
      <w:r>
        <w:rPr>
          <w:rFonts w:ascii="Arial" w:cs="Arial" w:eastAsia="Arial" w:hAnsi="Arial"/>
          <w:sz w:val="19"/>
          <w:szCs w:val="19"/>
          <w:i w:val="1"/>
          <w:iCs w:val="1"/>
          <w:color w:val="auto"/>
        </w:rPr>
        <w:t xml:space="preserve"> </w:t>
      </w:r>
      <w:r>
        <w:rPr>
          <w:rFonts w:ascii="Arial" w:cs="Arial" w:eastAsia="Arial" w:hAnsi="Arial"/>
          <w:sz w:val="19"/>
          <w:szCs w:val="19"/>
          <w:color w:val="auto"/>
        </w:rPr>
        <w:t>quality ingredients to prepare fresh and handmade dishes cooked to order in a lively exhibition kitchen. Featuring a wood-burning grill inspired by the many tastes of Italy, guests can enjoy signature dishes such as Chicken Bryan and Pollo Rosa Maria, wood-fire grilled steaks and chops, small plates and classic Italian pasta dishes in a welcoming, contemporary atmosphere.</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Bonefish Grill - </w:t>
      </w:r>
      <w:r>
        <w:rPr>
          <w:rFonts w:ascii="Arial" w:cs="Arial" w:eastAsia="Arial" w:hAnsi="Arial"/>
          <w:sz w:val="19"/>
          <w:szCs w:val="19"/>
          <w:color w:val="auto"/>
        </w:rPr>
        <w:t>Bonefish Grill specializes in market-fresh fish from around the world, savory wood-grilled specialties and hand-crafted</w:t>
      </w:r>
      <w:r>
        <w:rPr>
          <w:rFonts w:ascii="Arial" w:cs="Arial" w:eastAsia="Arial" w:hAnsi="Arial"/>
          <w:sz w:val="19"/>
          <w:szCs w:val="19"/>
          <w:i w:val="1"/>
          <w:iCs w:val="1"/>
          <w:color w:val="auto"/>
        </w:rPr>
        <w:t xml:space="preserve"> </w:t>
      </w:r>
      <w:r>
        <w:rPr>
          <w:rFonts w:ascii="Arial" w:cs="Arial" w:eastAsia="Arial" w:hAnsi="Arial"/>
          <w:sz w:val="19"/>
          <w:szCs w:val="19"/>
          <w:color w:val="auto"/>
        </w:rPr>
        <w:t>cocktails. Guests are guided through an innovative, seasonal menu, with unique specials and locally-created “Neighborhood Catch” dishes as well as beef and chicken entrées, featuring high quality and fresh ingredients. The Bonefish Grill experience helps guests “Escape the Ordinary,” and is based on the premise of simplicity, consistency and a strong commitment to excellence at every level.</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Fleming’s Prime Steakhouse &amp; Wine Bar - </w:t>
      </w:r>
      <w:r>
        <w:rPr>
          <w:rFonts w:ascii="Arial" w:cs="Arial" w:eastAsia="Arial" w:hAnsi="Arial"/>
          <w:sz w:val="20"/>
          <w:szCs w:val="20"/>
          <w:color w:val="auto"/>
        </w:rPr>
        <w:t>Fleming’s Prime Steakhouse &amp; Wine Bar is a contemporary steakhouse concept featuring prime</w:t>
      </w:r>
      <w:r>
        <w:rPr>
          <w:rFonts w:ascii="Arial" w:cs="Arial" w:eastAsia="Arial" w:hAnsi="Arial"/>
          <w:sz w:val="20"/>
          <w:szCs w:val="20"/>
          <w:i w:val="1"/>
          <w:iCs w:val="1"/>
          <w:color w:val="auto"/>
        </w:rPr>
        <w:t xml:space="preserve"> </w:t>
      </w:r>
      <w:r>
        <w:rPr>
          <w:rFonts w:ascii="Arial" w:cs="Arial" w:eastAsia="Arial" w:hAnsi="Arial"/>
          <w:sz w:val="20"/>
          <w:szCs w:val="20"/>
          <w:color w:val="auto"/>
        </w:rPr>
        <w:t>cuts of beef, chops, fresh fish, seafood and poultry, salads and side dishes. Guests will find a passion for steak and wine, reflected in an exceptional menu of hand-cut steaks and an award-winning list of wines by the glass. The steak selection features USDA Prime corn-fed beef, both wet- and dry-aged for flavor and texture, in a variety of sizes and cuts.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International Segment</w:t>
      </w:r>
    </w:p>
    <w:p>
      <w:pPr>
        <w:spacing w:after="0" w:line="24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have local management to support and grow restaurants in each of the countries where we have Company-owned operations. Our international operations are integrated with our corporate headquarters to leverage enterprise-wide capabilities, including marketing, finance, real estate, information technology, legal, human resources, supply chain management and productivity.</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As of December 27, 2020, in our international segment, we owned and operated 142 restaurants and franchised 151 restaurants across 20 countries and Guam. See Item 2. </w:t>
      </w:r>
      <w:r>
        <w:rPr>
          <w:rFonts w:ascii="Arial" w:cs="Arial" w:eastAsia="Arial" w:hAnsi="Arial"/>
          <w:sz w:val="19"/>
          <w:szCs w:val="19"/>
          <w:i w:val="1"/>
          <w:iCs w:val="1"/>
          <w:color w:val="auto"/>
        </w:rPr>
        <w:t>Properties</w:t>
      </w:r>
      <w:r>
        <w:rPr>
          <w:rFonts w:ascii="Arial" w:cs="Arial" w:eastAsia="Arial" w:hAnsi="Arial"/>
          <w:sz w:val="19"/>
          <w:szCs w:val="19"/>
          <w:color w:val="auto"/>
        </w:rPr>
        <w:t xml:space="preserve"> for disclosure of our international restaurant count by country and territory.</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Outback Steakhouse </w:t>
      </w:r>
      <w:r>
        <w:rPr>
          <w:rFonts w:ascii="Arial" w:cs="Arial" w:eastAsia="Arial" w:hAnsi="Arial"/>
          <w:sz w:val="20"/>
          <w:szCs w:val="20"/>
          <w:color w:val="auto"/>
        </w:rPr>
        <w:t>- Our international Outback Steakhouse restaurants have a menu similar to our U.S. menu with additional variety to</w:t>
      </w:r>
      <w:r>
        <w:rPr>
          <w:rFonts w:ascii="Arial" w:cs="Arial" w:eastAsia="Arial" w:hAnsi="Arial"/>
          <w:sz w:val="20"/>
          <w:szCs w:val="20"/>
          <w:i w:val="1"/>
          <w:iCs w:val="1"/>
          <w:color w:val="auto"/>
        </w:rPr>
        <w:t xml:space="preserve"> </w:t>
      </w:r>
      <w:r>
        <w:rPr>
          <w:rFonts w:ascii="Arial" w:cs="Arial" w:eastAsia="Arial" w:hAnsi="Arial"/>
          <w:sz w:val="20"/>
          <w:szCs w:val="20"/>
          <w:color w:val="auto"/>
        </w:rPr>
        <w:t>meet local taste preferences. In addition to the traditional Outback Special sirloin, a typical international menu may feature local beef cuts such as the Aussie Grilled Picanha in Brazil.</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Carrabba’s Italian Grill (Abbraccio Cucina Italiana) </w:t>
      </w:r>
      <w:r>
        <w:rPr>
          <w:rFonts w:ascii="Arial" w:cs="Arial" w:eastAsia="Arial" w:hAnsi="Arial"/>
          <w:sz w:val="20"/>
          <w:szCs w:val="20"/>
          <w:color w:val="auto"/>
        </w:rPr>
        <w:t>- Abbraccio Cucina Italiana, our international Carrabba’s Italian Grill restaurant</w:t>
      </w:r>
      <w:r>
        <w:rPr>
          <w:rFonts w:ascii="Arial" w:cs="Arial" w:eastAsia="Arial" w:hAnsi="Arial"/>
          <w:sz w:val="20"/>
          <w:szCs w:val="20"/>
          <w:i w:val="1"/>
          <w:iCs w:val="1"/>
          <w:color w:val="auto"/>
        </w:rPr>
        <w:t xml:space="preserve"> </w:t>
      </w:r>
      <w:r>
        <w:rPr>
          <w:rFonts w:ascii="Arial" w:cs="Arial" w:eastAsia="Arial" w:hAnsi="Arial"/>
          <w:sz w:val="20"/>
          <w:szCs w:val="20"/>
          <w:color w:val="auto"/>
        </w:rPr>
        <w:t>concept, offers a blend of traditional and modern Italian dishes. The menu varies, with additional pasta and pizza offerings, to account for local tastes and customs. Abbraccio Cucina Italiana also has a range of beverage options, including classically inspired cocktails and local favorites with an Italian twist.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Restaurant Development</w:t>
      </w:r>
    </w:p>
    <w:p>
      <w:pPr>
        <w:spacing w:after="0" w:line="24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We utilize the ownership structure and market entry strategy that best fits the needs for a particular market, including Company-owned units and franchises, as determined by demand, cost structure and economic conditions.</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U.S. Development - </w:t>
      </w:r>
      <w:r>
        <w:rPr>
          <w:rFonts w:ascii="Arial" w:cs="Arial" w:eastAsia="Arial" w:hAnsi="Arial"/>
          <w:sz w:val="20"/>
          <w:szCs w:val="20"/>
          <w:color w:val="auto"/>
        </w:rPr>
        <w:t>We opportunistically pursue unit growth across our concepts through existing geography fill-in and market expansion</w:t>
      </w:r>
      <w:r>
        <w:rPr>
          <w:rFonts w:ascii="Arial" w:cs="Arial" w:eastAsia="Arial" w:hAnsi="Arial"/>
          <w:sz w:val="20"/>
          <w:szCs w:val="20"/>
          <w:i w:val="1"/>
          <w:iCs w:val="1"/>
          <w:color w:val="auto"/>
        </w:rPr>
        <w:t xml:space="preserve"> </w:t>
      </w:r>
      <w:r>
        <w:rPr>
          <w:rFonts w:ascii="Arial" w:cs="Arial" w:eastAsia="Arial" w:hAnsi="Arial"/>
          <w:sz w:val="20"/>
          <w:szCs w:val="20"/>
          <w:color w:val="auto"/>
        </w:rPr>
        <w:t>opportunities.</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During 2020, we continued to test and develop our first fast-casual concept, Aussie Grill. Originally created for our international franchisees, Aussie Grill offers steak, burgers, chicken, ribs and salad with fast-casual convenience. After successfully launching Aussie Grill internationally, we have added Company-owned locations in the U.S. and in May 2020 opened the first free standing restaurant. We plan to open four additional U.S. Aussie Grill restaurants in 2021.</w:t>
      </w:r>
    </w:p>
    <w:p>
      <w:pPr>
        <w:spacing w:after="0" w:line="21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During 2020, we introduced Tender Shack, a virtual brand that leverages the kitchens of our existing restaurants for cooking and delivery, to certain markets in the U.S. Tender Shack offers a high quality, very limited menu featuring chicken tenders, fries, cookies and drinks. As of December 27, 2020, we had over 120 restaurants operating the Tender Shack virtual concept. In February 2021, we completed the national rollout of Tender Shack which is now offered through 725 of our restaurants, primarily Outback Steakhouse and Carrabba’s Italian Grill.</w:t>
      </w:r>
    </w:p>
    <w:p>
      <w:pPr>
        <w:spacing w:after="0" w:line="188" w:lineRule="exact"/>
        <w:rPr>
          <w:sz w:val="20"/>
          <w:szCs w:val="20"/>
          <w:color w:val="auto"/>
        </w:rPr>
      </w:pPr>
    </w:p>
    <w:p>
      <w:pPr>
        <w:jc w:val="both"/>
        <w:spacing w:after="0" w:line="316" w:lineRule="auto"/>
        <w:rPr>
          <w:sz w:val="20"/>
          <w:szCs w:val="20"/>
          <w:color w:val="auto"/>
        </w:rPr>
      </w:pPr>
      <w:r>
        <w:rPr>
          <w:rFonts w:ascii="Arial" w:cs="Arial" w:eastAsia="Arial" w:hAnsi="Arial"/>
          <w:sz w:val="18"/>
          <w:szCs w:val="18"/>
          <w:i w:val="1"/>
          <w:iCs w:val="1"/>
          <w:color w:val="auto"/>
        </w:rPr>
        <w:t xml:space="preserve">International Development - </w:t>
      </w:r>
      <w:r>
        <w:rPr>
          <w:rFonts w:ascii="Arial" w:cs="Arial" w:eastAsia="Arial" w:hAnsi="Arial"/>
          <w:sz w:val="18"/>
          <w:szCs w:val="18"/>
          <w:color w:val="auto"/>
        </w:rPr>
        <w:t>We continue to pursue international expansion opportunities, leveraging established equity and franchise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in South America and Asia, and in strategically selected emerging and high-growth developed markets, with a focus on Brazil.</w:t>
      </w:r>
    </w:p>
    <w:p>
      <w:pPr>
        <w:spacing w:after="0" w:line="15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During 2020, our franchisee in South Korea rolled out several “dark kitchens” which are food preparation and cooking facilities that are not located in a traditional retail space and are limited to delivery only. Dark kitchens allow the expansion of our restaurant concepts into areas where traditional retail space is not available or cost prohibitive. As of December 27, 2020, there were 19 dark kitchens operating in South Korea and additional locations are planned to open in 2021. We are exploring opportunities to introduce dark kitchens to other markets.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System-wide Restaurant Summary - </w:t>
      </w:r>
      <w:r>
        <w:rPr>
          <w:rFonts w:ascii="Arial" w:cs="Arial" w:eastAsia="Arial" w:hAnsi="Arial"/>
          <w:sz w:val="20"/>
          <w:szCs w:val="20"/>
          <w:color w:val="auto"/>
        </w:rPr>
        <w:t>Following is a system-wide rollforward of restaurants in operation during 2020:</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20" w:type="dxa"/>
            <w:vAlign w:val="bottom"/>
          </w:tcPr>
          <w:p>
            <w:pPr>
              <w:spacing w:after="0"/>
              <w:rPr>
                <w:sz w:val="17"/>
                <w:szCs w:val="17"/>
                <w:color w:val="auto"/>
              </w:rPr>
            </w:pPr>
          </w:p>
        </w:tc>
        <w:tc>
          <w:tcPr>
            <w:tcW w:w="150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29,</w:t>
            </w: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2020 ACTIVITY</w:t>
            </w: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80"/>
              <w:spacing w:after="0"/>
              <w:rPr>
                <w:sz w:val="20"/>
                <w:szCs w:val="20"/>
                <w:color w:val="auto"/>
              </w:rPr>
            </w:pPr>
            <w:r>
              <w:rPr>
                <w:rFonts w:ascii="Arial" w:cs="Arial" w:eastAsia="Arial" w:hAnsi="Arial"/>
                <w:sz w:val="14"/>
                <w:szCs w:val="14"/>
                <w:b w:val="1"/>
                <w:bCs w:val="1"/>
                <w:color w:val="auto"/>
              </w:rPr>
              <w:t>DECEMBER 27,</w:t>
            </w:r>
          </w:p>
        </w:tc>
        <w:tc>
          <w:tcPr>
            <w:tcW w:w="120" w:type="dxa"/>
            <w:vAlign w:val="bottom"/>
          </w:tcPr>
          <w:p>
            <w:pPr>
              <w:spacing w:after="0"/>
              <w:rPr>
                <w:sz w:val="17"/>
                <w:szCs w:val="17"/>
                <w:color w:val="auto"/>
              </w:rPr>
            </w:pPr>
          </w:p>
        </w:tc>
        <w:tc>
          <w:tcPr>
            <w:tcW w:w="1060" w:type="dxa"/>
            <w:vAlign w:val="bottom"/>
          </w:tcPr>
          <w:p>
            <w:pPr>
              <w:jc w:val="right"/>
              <w:ind w:right="85"/>
              <w:spacing w:after="0"/>
              <w:rPr>
                <w:sz w:val="20"/>
                <w:szCs w:val="20"/>
                <w:color w:val="auto"/>
              </w:rPr>
            </w:pPr>
            <w:r>
              <w:rPr>
                <w:rFonts w:ascii="Arial" w:cs="Arial" w:eastAsia="Arial" w:hAnsi="Arial"/>
                <w:sz w:val="14"/>
                <w:szCs w:val="14"/>
                <w:b w:val="1"/>
                <w:bCs w:val="1"/>
                <w:color w:val="auto"/>
              </w:rPr>
              <w:t>U.S. STATE</w:t>
            </w:r>
          </w:p>
        </w:tc>
      </w:tr>
      <w:tr>
        <w:trPr>
          <w:trHeight w:val="196"/>
        </w:trPr>
        <w:tc>
          <w:tcPr>
            <w:tcW w:w="3620" w:type="dxa"/>
            <w:vAlign w:val="bottom"/>
          </w:tcPr>
          <w:p>
            <w:pPr>
              <w:spacing w:after="0"/>
              <w:rPr>
                <w:sz w:val="17"/>
                <w:szCs w:val="17"/>
                <w:color w:val="auto"/>
              </w:rPr>
            </w:pPr>
          </w:p>
        </w:tc>
        <w:tc>
          <w:tcPr>
            <w:tcW w:w="1400" w:type="dxa"/>
            <w:vAlign w:val="bottom"/>
          </w:tcPr>
          <w:p>
            <w:pPr>
              <w:jc w:val="right"/>
              <w:ind w:right="48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OPENINGS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CLOSURES</w:t>
            </w: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OTHER</w:t>
            </w:r>
          </w:p>
        </w:tc>
        <w:tc>
          <w:tcPr>
            <w:tcW w:w="1380" w:type="dxa"/>
            <w:vAlign w:val="bottom"/>
          </w:tcPr>
          <w:p>
            <w:pPr>
              <w:jc w:val="right"/>
              <w:ind w:right="46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060" w:type="dxa"/>
            <w:vAlign w:val="bottom"/>
          </w:tcPr>
          <w:p>
            <w:pPr>
              <w:jc w:val="right"/>
              <w:ind w:right="205"/>
              <w:spacing w:after="0"/>
              <w:rPr>
                <w:sz w:val="20"/>
                <w:szCs w:val="20"/>
                <w:color w:val="auto"/>
              </w:rPr>
            </w:pPr>
            <w:r>
              <w:rPr>
                <w:rFonts w:ascii="Arial" w:cs="Arial" w:eastAsia="Arial" w:hAnsi="Arial"/>
                <w:sz w:val="14"/>
                <w:szCs w:val="14"/>
                <w:b w:val="1"/>
                <w:bCs w:val="1"/>
                <w:color w:val="auto"/>
              </w:rPr>
              <w:t>COUNT</w:t>
            </w:r>
          </w:p>
        </w:tc>
      </w:tr>
      <w:tr>
        <w:trPr>
          <w:trHeight w:val="203"/>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Number of restaurants:</w:t>
            </w: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U.S.: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Outback Steakhouse</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3620" w:type="dxa"/>
            <w:vAlign w:val="bottom"/>
          </w:tcPr>
          <w:p>
            <w:pPr>
              <w:ind w:left="360"/>
              <w:spacing w:after="0"/>
              <w:rPr>
                <w:sz w:val="20"/>
                <w:szCs w:val="20"/>
                <w:color w:val="auto"/>
              </w:rPr>
            </w:pPr>
            <w:r>
              <w:rPr>
                <w:rFonts w:ascii="Arial" w:cs="Arial" w:eastAsia="Arial" w:hAnsi="Arial"/>
                <w:sz w:val="16"/>
                <w:szCs w:val="16"/>
                <w:color w:val="auto"/>
              </w:rPr>
              <w:t>Company-owned</w:t>
            </w:r>
          </w:p>
        </w:tc>
        <w:tc>
          <w:tcPr>
            <w:tcW w:w="1400" w:type="dxa"/>
            <w:vAlign w:val="bottom"/>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568</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6"/>
        </w:trPr>
        <w:tc>
          <w:tcPr>
            <w:tcW w:w="3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Franchised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13"/>
        </w:trPr>
        <w:tc>
          <w:tcPr>
            <w:tcW w:w="3620" w:type="dxa"/>
            <w:vAlign w:val="bottom"/>
          </w:tcPr>
          <w:p>
            <w:pPr>
              <w:ind w:left="680"/>
              <w:spacing w:after="0"/>
              <w:rPr>
                <w:sz w:val="20"/>
                <w:szCs w:val="20"/>
                <w:color w:val="auto"/>
              </w:rPr>
            </w:pPr>
            <w:r>
              <w:rPr>
                <w:rFonts w:ascii="Arial" w:cs="Arial" w:eastAsia="Arial" w:hAnsi="Arial"/>
                <w:sz w:val="16"/>
                <w:szCs w:val="16"/>
                <w:color w:val="auto"/>
              </w:rPr>
              <w:t>Total</w:t>
            </w:r>
          </w:p>
        </w:tc>
        <w:tc>
          <w:tcPr>
            <w:tcW w:w="1400" w:type="dxa"/>
            <w:vAlign w:val="bottom"/>
          </w:tcPr>
          <w:p>
            <w:pPr>
              <w:jc w:val="right"/>
              <w:spacing w:after="0"/>
              <w:rPr>
                <w:sz w:val="20"/>
                <w:szCs w:val="20"/>
                <w:color w:val="auto"/>
              </w:rPr>
            </w:pPr>
            <w:r>
              <w:rPr>
                <w:rFonts w:ascii="Arial" w:cs="Arial" w:eastAsia="Arial" w:hAnsi="Arial"/>
                <w:sz w:val="16"/>
                <w:szCs w:val="16"/>
                <w:color w:val="auto"/>
              </w:rPr>
              <w:t>724</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706</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46</w:t>
            </w:r>
          </w:p>
        </w:tc>
      </w:tr>
      <w:tr>
        <w:trPr>
          <w:trHeight w:val="203"/>
        </w:trPr>
        <w:tc>
          <w:tcPr>
            <w:tcW w:w="36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Carrabba’s Italian Grill</w:t>
            </w: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13"/>
        </w:trPr>
        <w:tc>
          <w:tcPr>
            <w:tcW w:w="3620" w:type="dxa"/>
            <w:vAlign w:val="bottom"/>
          </w:tcPr>
          <w:p>
            <w:pPr>
              <w:ind w:left="360"/>
              <w:spacing w:after="0"/>
              <w:rPr>
                <w:sz w:val="20"/>
                <w:szCs w:val="20"/>
                <w:color w:val="auto"/>
              </w:rPr>
            </w:pPr>
            <w:r>
              <w:rPr>
                <w:rFonts w:ascii="Arial" w:cs="Arial" w:eastAsia="Arial" w:hAnsi="Arial"/>
                <w:sz w:val="16"/>
                <w:szCs w:val="16"/>
                <w:color w:val="auto"/>
              </w:rPr>
              <w:t>Company-owned</w:t>
            </w:r>
          </w:p>
        </w:tc>
        <w:tc>
          <w:tcPr>
            <w:tcW w:w="1400" w:type="dxa"/>
            <w:vAlign w:val="bottom"/>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6"/>
        </w:trPr>
        <w:tc>
          <w:tcPr>
            <w:tcW w:w="3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Franchised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13"/>
        </w:trPr>
        <w:tc>
          <w:tcPr>
            <w:tcW w:w="3620" w:type="dxa"/>
            <w:vAlign w:val="bottom"/>
          </w:tcPr>
          <w:p>
            <w:pPr>
              <w:ind w:left="680"/>
              <w:spacing w:after="0"/>
              <w:rPr>
                <w:sz w:val="20"/>
                <w:szCs w:val="20"/>
                <w:color w:val="auto"/>
              </w:rPr>
            </w:pPr>
            <w:r>
              <w:rPr>
                <w:rFonts w:ascii="Arial" w:cs="Arial" w:eastAsia="Arial" w:hAnsi="Arial"/>
                <w:sz w:val="16"/>
                <w:szCs w:val="16"/>
                <w:color w:val="auto"/>
              </w:rPr>
              <w:t>Total</w:t>
            </w:r>
          </w:p>
        </w:tc>
        <w:tc>
          <w:tcPr>
            <w:tcW w:w="140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220</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29</w:t>
            </w:r>
          </w:p>
        </w:tc>
      </w:tr>
      <w:tr>
        <w:trPr>
          <w:trHeight w:val="203"/>
        </w:trPr>
        <w:tc>
          <w:tcPr>
            <w:tcW w:w="36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Bonefish Grill</w:t>
            </w: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13"/>
        </w:trPr>
        <w:tc>
          <w:tcPr>
            <w:tcW w:w="3620" w:type="dxa"/>
            <w:vAlign w:val="bottom"/>
          </w:tcPr>
          <w:p>
            <w:pPr>
              <w:ind w:left="360"/>
              <w:spacing w:after="0"/>
              <w:rPr>
                <w:sz w:val="20"/>
                <w:szCs w:val="20"/>
                <w:color w:val="auto"/>
              </w:rPr>
            </w:pPr>
            <w:r>
              <w:rPr>
                <w:rFonts w:ascii="Arial" w:cs="Arial" w:eastAsia="Arial" w:hAnsi="Arial"/>
                <w:sz w:val="16"/>
                <w:szCs w:val="16"/>
                <w:color w:val="auto"/>
              </w:rPr>
              <w:t>Company-owned</w:t>
            </w:r>
          </w:p>
        </w:tc>
        <w:tc>
          <w:tcPr>
            <w:tcW w:w="1400" w:type="dxa"/>
            <w:vAlign w:val="bottom"/>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6"/>
        </w:trPr>
        <w:tc>
          <w:tcPr>
            <w:tcW w:w="3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Franchised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13"/>
        </w:trPr>
        <w:tc>
          <w:tcPr>
            <w:tcW w:w="3620" w:type="dxa"/>
            <w:vAlign w:val="bottom"/>
          </w:tcPr>
          <w:p>
            <w:pPr>
              <w:ind w:left="680"/>
              <w:spacing w:after="0"/>
              <w:rPr>
                <w:sz w:val="20"/>
                <w:szCs w:val="20"/>
                <w:color w:val="auto"/>
              </w:rPr>
            </w:pPr>
            <w:r>
              <w:rPr>
                <w:rFonts w:ascii="Arial" w:cs="Arial" w:eastAsia="Arial" w:hAnsi="Arial"/>
                <w:sz w:val="16"/>
                <w:szCs w:val="16"/>
                <w:color w:val="auto"/>
              </w:rPr>
              <w:t>Total</w:t>
            </w:r>
          </w:p>
        </w:tc>
        <w:tc>
          <w:tcPr>
            <w:tcW w:w="140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187</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31</w:t>
            </w:r>
          </w:p>
        </w:tc>
      </w:tr>
      <w:tr>
        <w:trPr>
          <w:trHeight w:val="203"/>
        </w:trPr>
        <w:tc>
          <w:tcPr>
            <w:tcW w:w="36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Fleming’s Prime Steakhouse and Wine Bar</w:t>
            </w: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23"/>
        </w:trPr>
        <w:tc>
          <w:tcPr>
            <w:tcW w:w="3620" w:type="dxa"/>
            <w:vAlign w:val="bottom"/>
          </w:tcPr>
          <w:p>
            <w:pPr>
              <w:ind w:left="360"/>
              <w:spacing w:after="0"/>
              <w:rPr>
                <w:sz w:val="20"/>
                <w:szCs w:val="20"/>
                <w:color w:val="auto"/>
              </w:rPr>
            </w:pPr>
            <w:r>
              <w:rPr>
                <w:rFonts w:ascii="Arial" w:cs="Arial" w:eastAsia="Arial" w:hAnsi="Arial"/>
                <w:sz w:val="16"/>
                <w:szCs w:val="16"/>
                <w:color w:val="auto"/>
              </w:rPr>
              <w:t>Company-owned</w:t>
            </w:r>
          </w:p>
        </w:tc>
        <w:tc>
          <w:tcPr>
            <w:tcW w:w="140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63</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25</w:t>
            </w:r>
          </w:p>
        </w:tc>
      </w:tr>
      <w:tr>
        <w:trPr>
          <w:trHeight w:val="203"/>
        </w:trPr>
        <w:tc>
          <w:tcPr>
            <w:tcW w:w="36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23"/>
        </w:trPr>
        <w:tc>
          <w:tcPr>
            <w:tcW w:w="36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Company-owned (1)</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33"/>
        </w:trPr>
        <w:tc>
          <w:tcPr>
            <w:tcW w:w="36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U.S. total</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190"/>
        </w:trPr>
        <w:tc>
          <w:tcPr>
            <w:tcW w:w="362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International:</w:t>
            </w:r>
          </w:p>
        </w:tc>
        <w:tc>
          <w:tcPr>
            <w:tcW w:w="14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r>
      <w:tr>
        <w:trPr>
          <w:trHeight w:val="219"/>
        </w:trPr>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Company-owned</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3620" w:type="dxa"/>
            <w:vAlign w:val="bottom"/>
          </w:tcPr>
          <w:p>
            <w:pPr>
              <w:ind w:left="360"/>
              <w:spacing w:after="0"/>
              <w:rPr>
                <w:sz w:val="20"/>
                <w:szCs w:val="20"/>
                <w:color w:val="auto"/>
              </w:rPr>
            </w:pPr>
            <w:r>
              <w:rPr>
                <w:rFonts w:ascii="Arial" w:cs="Arial" w:eastAsia="Arial" w:hAnsi="Arial"/>
                <w:sz w:val="16"/>
                <w:szCs w:val="16"/>
                <w:color w:val="auto"/>
              </w:rPr>
              <w:t>Outback Steakhouse—Brazil (2)</w:t>
            </w:r>
          </w:p>
        </w:tc>
        <w:tc>
          <w:tcPr>
            <w:tcW w:w="140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3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(3)</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3620" w:type="dxa"/>
            <w:vAlign w:val="bottom"/>
          </w:tcPr>
          <w:p>
            <w:pPr>
              <w:ind w:left="140"/>
              <w:spacing w:after="0"/>
              <w:rPr>
                <w:sz w:val="20"/>
                <w:szCs w:val="20"/>
                <w:color w:val="auto"/>
              </w:rPr>
            </w:pPr>
            <w:r>
              <w:rPr>
                <w:rFonts w:ascii="Arial" w:cs="Arial" w:eastAsia="Arial" w:hAnsi="Arial"/>
                <w:sz w:val="16"/>
                <w:szCs w:val="16"/>
                <w:color w:val="auto"/>
              </w:rPr>
              <w:t>Franchised</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3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Outback Steakhouse—South Korea (3)</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3"/>
        </w:trPr>
        <w:tc>
          <w:tcPr>
            <w:tcW w:w="36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(1)</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r>
      <w:tr>
        <w:trPr>
          <w:trHeight w:val="233"/>
        </w:trPr>
        <w:tc>
          <w:tcPr>
            <w:tcW w:w="36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International total</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03"/>
        </w:trPr>
        <w:tc>
          <w:tcPr>
            <w:tcW w:w="3620" w:type="dxa"/>
            <w:vAlign w:val="bottom"/>
          </w:tcPr>
          <w:p>
            <w:pPr>
              <w:ind w:left="20"/>
              <w:spacing w:after="0"/>
              <w:rPr>
                <w:sz w:val="20"/>
                <w:szCs w:val="20"/>
                <w:color w:val="auto"/>
              </w:rPr>
            </w:pPr>
            <w:r>
              <w:rPr>
                <w:rFonts w:ascii="Arial" w:cs="Arial" w:eastAsia="Arial" w:hAnsi="Arial"/>
                <w:sz w:val="16"/>
                <w:szCs w:val="16"/>
                <w:color w:val="auto"/>
              </w:rPr>
              <w:t>System-wide total</w:t>
            </w:r>
          </w:p>
        </w:tc>
        <w:tc>
          <w:tcPr>
            <w:tcW w:w="1400" w:type="dxa"/>
            <w:vAlign w:val="bottom"/>
          </w:tcPr>
          <w:p>
            <w:pPr>
              <w:jc w:val="right"/>
              <w:spacing w:after="0"/>
              <w:rPr>
                <w:sz w:val="20"/>
                <w:szCs w:val="20"/>
                <w:color w:val="auto"/>
              </w:rPr>
            </w:pPr>
            <w:r>
              <w:rPr>
                <w:rFonts w:ascii="Arial" w:cs="Arial" w:eastAsia="Arial" w:hAnsi="Arial"/>
                <w:sz w:val="16"/>
                <w:szCs w:val="16"/>
                <w:color w:val="auto"/>
              </w:rPr>
              <w:t>1,473</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7"/>
                <w:szCs w:val="17"/>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1,474</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
        </w:trPr>
        <w:tc>
          <w:tcPr>
            <w:tcW w:w="3620" w:type="dxa"/>
            <w:vAlign w:val="bottom"/>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U.S. Company-owned and International Franchised Other each include three fast-casual Aussie Grill locations as of December 27, 2020.</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restaurant counts for Brazil are reported as of November 30, 2020 and 2019, respectively, to correspond with the balance sheet dates of this subsidiary.</w:t>
      </w:r>
    </w:p>
    <w:p>
      <w:pPr>
        <w:spacing w:after="0" w:line="16" w:lineRule="exact"/>
        <w:rPr>
          <w:rFonts w:ascii="Arial" w:cs="Arial" w:eastAsia="Arial" w:hAnsi="Arial"/>
          <w:sz w:val="15"/>
          <w:szCs w:val="15"/>
          <w:color w:val="auto"/>
        </w:rPr>
      </w:pPr>
    </w:p>
    <w:p>
      <w:pPr>
        <w:ind w:left="660" w:hanging="652"/>
        <w:spacing w:after="0" w:line="257"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of December 27, 2020, we had 20 international dark kitchens that offer delivery only. One of these locations was included within Company-owned Other and 19 were included in Franchised Outback Steakhouse - South Korea.</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4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restaurant industry is highly competitive with a substantial number of restaurant operators that compete directly and indirectly with us in respect to price, service, location and food quality, and there are other well-established competitors with significant financial and other resources. There is also active competition for management personnel, attractive suitable real estate sites, supplies and restaurant employees. In addition, competition is influenced strongly by marketing and brand reputation. At an aggregate level, all major casual dining restaurants in markets in which we operate would be considered competitors of our concepts. We also face growing competition from the supermarket industry which offers expanded selections of prepared meals. In addition, improving product offerings and convenience options from quick service and fast-casual restaurants and the expansion of home delivery services, together with negative economic conditions, could cause consumers to choose less expensive alternatives than our restaurants. Internationally, we face increasing competition due to an increase in the number of casual dining restaurant options in the markets in which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REVENUE GENERATING ACTIVITIES</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generate our revenues from our Company-owned restaurants and through sales of franchise rights and ongoing royalties and other fees from our franchised restaurants.</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Company-owned Restaurants - </w:t>
      </w:r>
      <w:r>
        <w:rPr>
          <w:rFonts w:ascii="Arial" w:cs="Arial" w:eastAsia="Arial" w:hAnsi="Arial"/>
          <w:sz w:val="18"/>
          <w:szCs w:val="18"/>
          <w:color w:val="auto"/>
        </w:rPr>
        <w:t>Company-owned restaurants are restaurants wholly-owned by us or in which we have a majority ownership.</w:t>
      </w:r>
      <w:r>
        <w:rPr>
          <w:rFonts w:ascii="Arial" w:cs="Arial" w:eastAsia="Arial" w:hAnsi="Arial"/>
          <w:sz w:val="18"/>
          <w:szCs w:val="18"/>
          <w:i w:val="1"/>
          <w:iCs w:val="1"/>
          <w:color w:val="auto"/>
        </w:rPr>
        <w:t xml:space="preserve"> </w:t>
      </w:r>
      <w:r>
        <w:rPr>
          <w:rFonts w:ascii="Arial" w:cs="Arial" w:eastAsia="Arial" w:hAnsi="Arial"/>
          <w:sz w:val="18"/>
          <w:szCs w:val="18"/>
          <w:color w:val="auto"/>
        </w:rPr>
        <w:t>Our cash flows from entities in which we have a majority ownership are limited to the portion of our ownership. The results of operations of Company-owned restaurants are included in our consolidated operating results and the portion of income or loss attributable to the noncontrolling interests is eliminated in our Consolidated Statements of Operations and Comprehensive (Loss) Income.</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We pay royalties that range from 0.5% to 1.5% of U.S. sales on the majority of our Carrabba’s Italian Grill restaurants, pursuant to agreements we entered into with the Carrabba’s Italian Grill founders (“Carrabba’s Founders”). Each Carrabba’s Italian Grill restaurant located outside the U.S. pays a one-time lump sum fee to the Carrabba’s Founders, which varies depending on the size of the restaurant. No continuing royalty fee is paid to the Carrabba’s Founders for Carrabba’s Italian Grill restaurants located outside the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Following are sales by occasion, sales mix by product type and average check per person for Company-owned restaurants during 2020:</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87"/>
              </w:rPr>
              <w:t>U.S.</w:t>
            </w: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rPr>
              <w:t>INTERNATIONAL</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Outback</w:t>
            </w:r>
          </w:p>
        </w:tc>
        <w:tc>
          <w:tcPr>
            <w:tcW w:w="240" w:type="dxa"/>
            <w:vAlign w:val="bottom"/>
          </w:tcPr>
          <w:p>
            <w:pPr>
              <w:spacing w:after="0"/>
              <w:rPr>
                <w:sz w:val="11"/>
                <w:szCs w:val="11"/>
                <w:color w:val="auto"/>
              </w:rPr>
            </w:pPr>
          </w:p>
        </w:tc>
        <w:tc>
          <w:tcPr>
            <w:tcW w:w="124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Carrabba’s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jc w:val="center"/>
              <w:ind w:right="142"/>
              <w:spacing w:after="0" w:line="135" w:lineRule="exact"/>
              <w:rPr>
                <w:sz w:val="20"/>
                <w:szCs w:val="20"/>
                <w:color w:val="auto"/>
              </w:rPr>
            </w:pPr>
            <w:r>
              <w:rPr>
                <w:rFonts w:ascii="Arial" w:cs="Arial" w:eastAsia="Arial" w:hAnsi="Arial"/>
                <w:sz w:val="14"/>
                <w:szCs w:val="14"/>
                <w:b w:val="1"/>
                <w:bCs w:val="1"/>
                <w:color w:val="auto"/>
                <w:w w:val="91"/>
              </w:rPr>
              <w:t>Fleming’s</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60" w:type="dxa"/>
            <w:vAlign w:val="bottom"/>
          </w:tcPr>
          <w:p>
            <w:pPr>
              <w:jc w:val="center"/>
              <w:ind w:right="242"/>
              <w:spacing w:after="0" w:line="135" w:lineRule="exact"/>
              <w:rPr>
                <w:sz w:val="20"/>
                <w:szCs w:val="20"/>
                <w:color w:val="auto"/>
              </w:rPr>
            </w:pPr>
            <w:r>
              <w:rPr>
                <w:rFonts w:ascii="Arial" w:cs="Arial" w:eastAsia="Arial" w:hAnsi="Arial"/>
                <w:sz w:val="14"/>
                <w:szCs w:val="14"/>
                <w:b w:val="1"/>
                <w:bCs w:val="1"/>
                <w:color w:val="auto"/>
                <w:w w:val="92"/>
              </w:rPr>
              <w:t>Outback</w:t>
            </w:r>
          </w:p>
        </w:tc>
        <w:tc>
          <w:tcPr>
            <w:tcW w:w="0" w:type="dxa"/>
            <w:vAlign w:val="bottom"/>
          </w:tcPr>
          <w:p>
            <w:pPr>
              <w:spacing w:after="0"/>
              <w:rPr>
                <w:sz w:val="1"/>
                <w:szCs w:val="1"/>
                <w:color w:val="auto"/>
              </w:rPr>
            </w:pPr>
          </w:p>
        </w:tc>
      </w:tr>
      <w:tr>
        <w:trPr>
          <w:trHeight w:val="135"/>
        </w:trPr>
        <w:tc>
          <w:tcPr>
            <w:tcW w:w="262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Occasion:</w:t>
            </w:r>
          </w:p>
        </w:tc>
        <w:tc>
          <w:tcPr>
            <w:tcW w:w="26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Bonefish Grill</w:t>
            </w:r>
          </w:p>
        </w:tc>
        <w:tc>
          <w:tcPr>
            <w:tcW w:w="180" w:type="dxa"/>
            <w:vAlign w:val="bottom"/>
          </w:tcPr>
          <w:p>
            <w:pPr>
              <w:spacing w:after="0"/>
              <w:rPr>
                <w:sz w:val="11"/>
                <w:szCs w:val="11"/>
                <w:color w:val="auto"/>
              </w:rPr>
            </w:pPr>
          </w:p>
        </w:tc>
        <w:tc>
          <w:tcPr>
            <w:tcW w:w="16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2"/>
              </w:rPr>
              <w:t>Prime Steakhouse</w:t>
            </w:r>
          </w:p>
        </w:tc>
        <w:tc>
          <w:tcPr>
            <w:tcW w:w="320" w:type="dxa"/>
            <w:vAlign w:val="bottom"/>
          </w:tcPr>
          <w:p>
            <w:pPr>
              <w:spacing w:after="0"/>
              <w:rPr>
                <w:sz w:val="11"/>
                <w:szCs w:val="11"/>
                <w:color w:val="auto"/>
              </w:rPr>
            </w:pPr>
          </w:p>
        </w:tc>
        <w:tc>
          <w:tcPr>
            <w:tcW w:w="1760" w:type="dxa"/>
            <w:vAlign w:val="bottom"/>
          </w:tcPr>
          <w:p>
            <w:pPr>
              <w:jc w:val="center"/>
              <w:ind w:right="242"/>
              <w:spacing w:after="0" w:line="135" w:lineRule="exact"/>
              <w:rPr>
                <w:sz w:val="20"/>
                <w:szCs w:val="20"/>
                <w:color w:val="auto"/>
              </w:rPr>
            </w:pPr>
            <w:r>
              <w:rPr>
                <w:rFonts w:ascii="Arial" w:cs="Arial" w:eastAsia="Arial" w:hAnsi="Arial"/>
                <w:sz w:val="14"/>
                <w:szCs w:val="14"/>
                <w:b w:val="1"/>
                <w:bCs w:val="1"/>
                <w:color w:val="auto"/>
                <w:w w:val="86"/>
              </w:rPr>
              <w:t>Steakhouse</w:t>
            </w:r>
          </w:p>
        </w:tc>
        <w:tc>
          <w:tcPr>
            <w:tcW w:w="0" w:type="dxa"/>
            <w:vAlign w:val="bottom"/>
          </w:tcPr>
          <w:p>
            <w:pPr>
              <w:spacing w:after="0"/>
              <w:rPr>
                <w:sz w:val="1"/>
                <w:szCs w:val="1"/>
                <w:color w:val="auto"/>
              </w:rPr>
            </w:pPr>
          </w:p>
        </w:tc>
      </w:tr>
      <w:tr>
        <w:trPr>
          <w:trHeight w:val="196"/>
        </w:trPr>
        <w:tc>
          <w:tcPr>
            <w:tcW w:w="26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Steakhouse</w:t>
            </w:r>
          </w:p>
        </w:tc>
        <w:tc>
          <w:tcPr>
            <w:tcW w:w="240" w:type="dxa"/>
            <w:vAlign w:val="bottom"/>
          </w:tcPr>
          <w:p>
            <w:pPr>
              <w:spacing w:after="0"/>
              <w:rPr>
                <w:sz w:val="17"/>
                <w:szCs w:val="17"/>
                <w:color w:val="auto"/>
              </w:rPr>
            </w:pPr>
          </w:p>
        </w:tc>
        <w:tc>
          <w:tcPr>
            <w:tcW w:w="1240" w:type="dxa"/>
            <w:vAlign w:val="bottom"/>
          </w:tcPr>
          <w:p>
            <w:pPr>
              <w:jc w:val="right"/>
              <w:ind w:right="281"/>
              <w:spacing w:after="0"/>
              <w:rPr>
                <w:sz w:val="20"/>
                <w:szCs w:val="20"/>
                <w:color w:val="auto"/>
              </w:rPr>
            </w:pPr>
            <w:r>
              <w:rPr>
                <w:rFonts w:ascii="Arial" w:cs="Arial" w:eastAsia="Arial" w:hAnsi="Arial"/>
                <w:sz w:val="14"/>
                <w:szCs w:val="14"/>
                <w:b w:val="1"/>
                <w:bCs w:val="1"/>
                <w:color w:val="auto"/>
              </w:rPr>
              <w:t>Italian Grill</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&amp; Wine Bar</w:t>
            </w:r>
          </w:p>
        </w:tc>
        <w:tc>
          <w:tcPr>
            <w:tcW w:w="320" w:type="dxa"/>
            <w:vAlign w:val="bottom"/>
          </w:tcPr>
          <w:p>
            <w:pPr>
              <w:spacing w:after="0"/>
              <w:rPr>
                <w:sz w:val="17"/>
                <w:szCs w:val="17"/>
                <w:color w:val="auto"/>
              </w:rPr>
            </w:pPr>
          </w:p>
        </w:tc>
        <w:tc>
          <w:tcPr>
            <w:tcW w:w="1760" w:type="dxa"/>
            <w:vAlign w:val="bottom"/>
          </w:tcPr>
          <w:p>
            <w:pPr>
              <w:jc w:val="center"/>
              <w:ind w:right="242"/>
              <w:spacing w:after="0"/>
              <w:rPr>
                <w:sz w:val="20"/>
                <w:szCs w:val="20"/>
                <w:color w:val="auto"/>
              </w:rPr>
            </w:pPr>
            <w:r>
              <w:rPr>
                <w:rFonts w:ascii="Arial" w:cs="Arial" w:eastAsia="Arial" w:hAnsi="Arial"/>
                <w:sz w:val="14"/>
                <w:szCs w:val="14"/>
                <w:b w:val="1"/>
                <w:bCs w:val="1"/>
                <w:color w:val="auto"/>
                <w:w w:val="94"/>
              </w:rPr>
              <w:t>Brazil</w:t>
            </w:r>
          </w:p>
        </w:tc>
        <w:tc>
          <w:tcPr>
            <w:tcW w:w="0" w:type="dxa"/>
            <w:vAlign w:val="bottom"/>
          </w:tcPr>
          <w:p>
            <w:pPr>
              <w:spacing w:after="0"/>
              <w:rPr>
                <w:sz w:val="1"/>
                <w:szCs w:val="1"/>
                <w:color w:val="auto"/>
              </w:rPr>
            </w:pPr>
          </w:p>
        </w:tc>
      </w:tr>
      <w:tr>
        <w:trPr>
          <w:trHeight w:val="216"/>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In-restaurant sales</w:t>
            </w: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84 %</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Off-premises sales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43 %</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38"/>
        </w:trPr>
        <w:tc>
          <w:tcPr>
            <w:tcW w:w="26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Sales mix by product type: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20" w:type="dxa"/>
            <w:vAlign w:val="bottom"/>
          </w:tcPr>
          <w:p>
            <w:pPr>
              <w:ind w:left="20"/>
              <w:spacing w:after="0"/>
              <w:rPr>
                <w:sz w:val="20"/>
                <w:szCs w:val="20"/>
                <w:color w:val="auto"/>
              </w:rPr>
            </w:pPr>
            <w:r>
              <w:rPr>
                <w:rFonts w:ascii="Arial" w:cs="Arial" w:eastAsia="Arial" w:hAnsi="Arial"/>
                <w:sz w:val="16"/>
                <w:szCs w:val="16"/>
                <w:color w:val="auto"/>
              </w:rPr>
              <w:t>Food &amp; non-alcoholic beverage</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94 %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90 %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82 %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80 %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91 %</w:t>
            </w:r>
          </w:p>
        </w:tc>
        <w:tc>
          <w:tcPr>
            <w:tcW w:w="0" w:type="dxa"/>
            <w:vAlign w:val="bottom"/>
          </w:tcPr>
          <w:p>
            <w:pPr>
              <w:spacing w:after="0"/>
              <w:rPr>
                <w:sz w:val="1"/>
                <w:szCs w:val="1"/>
                <w:color w:val="auto"/>
              </w:rPr>
            </w:pPr>
          </w:p>
        </w:tc>
      </w:tr>
      <w:tr>
        <w:trPr>
          <w:trHeight w:val="226"/>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Alcoholic beverage</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13"/>
        </w:trPr>
        <w:tc>
          <w:tcPr>
            <w:tcW w:w="2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rPr>
                <w:sz w:val="20"/>
                <w:szCs w:val="20"/>
                <w:color w:val="auto"/>
              </w:rPr>
            </w:pPr>
            <w:r>
              <w:rPr>
                <w:rFonts w:ascii="Arial" w:cs="Arial" w:eastAsia="Arial" w:hAnsi="Arial"/>
                <w:sz w:val="16"/>
                <w:szCs w:val="16"/>
                <w:color w:val="auto"/>
              </w:rPr>
              <w:t>Average check per person ($USD)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41"/>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21</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122"/>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122"/>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Average check per person (R$)</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w:t>
            </w:r>
          </w:p>
        </w:tc>
        <w:tc>
          <w:tcPr>
            <w:tcW w:w="17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i w:val="1"/>
          <w:iCs w:val="1"/>
          <w:color w:val="auto"/>
        </w:rPr>
        <w:t xml:space="preserve">Delivery </w:t>
      </w:r>
      <w:r>
        <w:rPr>
          <w:rFonts w:ascii="Arial" w:cs="Arial" w:eastAsia="Arial" w:hAnsi="Arial"/>
          <w:sz w:val="19"/>
          <w:szCs w:val="19"/>
          <w:color w:val="auto"/>
        </w:rPr>
        <w:t>- During 2019, we completed the rollout of in-house delivery for substantially all Outback Steakhouse and the majority of</w:t>
      </w:r>
      <w:r>
        <w:rPr>
          <w:rFonts w:ascii="Arial" w:cs="Arial" w:eastAsia="Arial" w:hAnsi="Arial"/>
          <w:sz w:val="19"/>
          <w:szCs w:val="19"/>
          <w:i w:val="1"/>
          <w:iCs w:val="1"/>
          <w:color w:val="auto"/>
        </w:rPr>
        <w:t xml:space="preserve"> </w:t>
      </w:r>
      <w:r>
        <w:rPr>
          <w:rFonts w:ascii="Arial" w:cs="Arial" w:eastAsia="Arial" w:hAnsi="Arial"/>
          <w:sz w:val="19"/>
          <w:szCs w:val="19"/>
          <w:color w:val="auto"/>
        </w:rPr>
        <w:t>Carrabba’s Italian Grill Company-owned restaurants. In addition, during 2019 we expanded our delivery platform through partnerships with leading national delivery services for our Outback Steakhouse, Carrabba’s Italian Grill and certain Bonefish Grill restaurants.</w:t>
      </w:r>
    </w:p>
    <w:p>
      <w:pPr>
        <w:spacing w:after="0" w:line="19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March 2020, we pivoted to an off-premises only model in response to the COVID-19 pandemic. While our dining rooms were closed in the U.S. we were able to triple our off-premises sales per restaurant, and subsequent to reopening our restaurant dining rooms we have retained approximately 50% of the incremental volume achieved while our dining rooms were closed.</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Unaffiliated Franchise Program </w:t>
      </w:r>
      <w:r>
        <w:rPr>
          <w:rFonts w:ascii="Arial" w:cs="Arial" w:eastAsia="Arial" w:hAnsi="Arial"/>
          <w:sz w:val="20"/>
          <w:szCs w:val="20"/>
          <w:color w:val="auto"/>
        </w:rPr>
        <w:t>- Our unaffiliated franchise agreements grant third parties rights to establish and operate a restaurant using</w:t>
      </w:r>
      <w:r>
        <w:rPr>
          <w:rFonts w:ascii="Arial" w:cs="Arial" w:eastAsia="Arial" w:hAnsi="Arial"/>
          <w:sz w:val="20"/>
          <w:szCs w:val="20"/>
          <w:i w:val="1"/>
          <w:iCs w:val="1"/>
          <w:color w:val="auto"/>
        </w:rPr>
        <w:t xml:space="preserve"> </w:t>
      </w:r>
      <w:r>
        <w:rPr>
          <w:rFonts w:ascii="Arial" w:cs="Arial" w:eastAsia="Arial" w:hAnsi="Arial"/>
          <w:sz w:val="20"/>
          <w:szCs w:val="20"/>
          <w:color w:val="auto"/>
        </w:rPr>
        <w:t>one of our concepts. Franchised restaurants are required to be operated in accordance with the franchise agreement and in compliance with their respective concept’s standards and specifications.</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Under our franchise agreements, each franchisee is required to pay an initial franchise fee and monthly royalties based on a percentage of gross restaurant sales. Initial franchise fees are generally $40,000 for U.S. franchisees and range between $30,000 and $75,000 for international franchisees, depending on the market. Some franchisees may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also pay advertising and administration fees based on a percentage of gross restaurant sales. Following is a summary of royalty fee percentages based on our existing unaffiliated franchise agreements: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a % of gross Restaurant sales)</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MONTHLY ROYALTY FEE</w:t>
            </w:r>
          </w:p>
        </w:tc>
        <w:tc>
          <w:tcPr>
            <w:tcW w:w="0" w:type="dxa"/>
            <w:vAlign w:val="bottom"/>
          </w:tcPr>
          <w:p>
            <w:pPr>
              <w:spacing w:after="0"/>
              <w:rPr>
                <w:sz w:val="1"/>
                <w:szCs w:val="1"/>
                <w:color w:val="auto"/>
              </w:rPr>
            </w:pPr>
          </w:p>
        </w:tc>
      </w:tr>
      <w:tr>
        <w:trPr>
          <w:trHeight w:val="196"/>
        </w:trPr>
        <w:tc>
          <w:tcPr>
            <w:tcW w:w="8920" w:type="dxa"/>
            <w:vAlign w:val="bottom"/>
            <w:tcBorders>
              <w:bottom w:val="single" w:sz="8" w:color="CCEEFF"/>
            </w:tcBorders>
            <w:vMerge w:val="continue"/>
          </w:tcPr>
          <w:p>
            <w:pPr>
              <w:spacing w:after="0"/>
              <w:rPr>
                <w:sz w:val="17"/>
                <w:szCs w:val="17"/>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franchisees (1)</w:t>
            </w:r>
          </w:p>
        </w:tc>
        <w:tc>
          <w:tcPr>
            <w:tcW w:w="2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3.50% - 5.75%</w:t>
            </w:r>
          </w:p>
        </w:tc>
        <w:tc>
          <w:tcPr>
            <w:tcW w:w="0" w:type="dxa"/>
            <w:vAlign w:val="bottom"/>
          </w:tcPr>
          <w:p>
            <w:pPr>
              <w:spacing w:after="0"/>
              <w:rPr>
                <w:sz w:val="1"/>
                <w:szCs w:val="1"/>
                <w:color w:val="auto"/>
              </w:rPr>
            </w:pPr>
          </w:p>
        </w:tc>
      </w:tr>
      <w:tr>
        <w:trPr>
          <w:trHeight w:val="210"/>
        </w:trPr>
        <w:tc>
          <w:tcPr>
            <w:tcW w:w="8920" w:type="dxa"/>
            <w:vAlign w:val="bottom"/>
          </w:tcPr>
          <w:p>
            <w:pPr>
              <w:ind w:left="20"/>
              <w:spacing w:after="0"/>
              <w:rPr>
                <w:sz w:val="20"/>
                <w:szCs w:val="20"/>
                <w:color w:val="auto"/>
              </w:rPr>
            </w:pPr>
            <w:r>
              <w:rPr>
                <w:rFonts w:ascii="Arial" w:cs="Arial" w:eastAsia="Arial" w:hAnsi="Arial"/>
                <w:sz w:val="16"/>
                <w:szCs w:val="16"/>
                <w:color w:val="auto"/>
              </w:rPr>
              <w:t>International franchisees (2)</w:t>
            </w:r>
          </w:p>
        </w:tc>
        <w:tc>
          <w:tcPr>
            <w:tcW w:w="2320" w:type="dxa"/>
            <w:vAlign w:val="bottom"/>
          </w:tcPr>
          <w:p>
            <w:pPr>
              <w:jc w:val="center"/>
              <w:spacing w:after="0"/>
              <w:rPr>
                <w:sz w:val="20"/>
                <w:szCs w:val="20"/>
                <w:color w:val="auto"/>
              </w:rPr>
            </w:pPr>
            <w:r>
              <w:rPr>
                <w:rFonts w:ascii="Arial" w:cs="Arial" w:eastAsia="Arial" w:hAnsi="Arial"/>
                <w:sz w:val="16"/>
                <w:szCs w:val="16"/>
                <w:color w:val="auto"/>
                <w:w w:val="91"/>
              </w:rPr>
              <w:t>2.75% - 6.00%</w:t>
            </w:r>
          </w:p>
        </w:tc>
        <w:tc>
          <w:tcPr>
            <w:tcW w:w="0" w:type="dxa"/>
            <w:vAlign w:val="bottom"/>
          </w:tcPr>
          <w:p>
            <w:pPr>
              <w:spacing w:after="0"/>
              <w:rPr>
                <w:sz w:val="1"/>
                <w:szCs w:val="1"/>
                <w:color w:val="auto"/>
              </w:rPr>
            </w:pPr>
          </w:p>
        </w:tc>
      </w:tr>
      <w:tr>
        <w:trPr>
          <w:trHeight w:val="280"/>
        </w:trPr>
        <w:tc>
          <w:tcPr>
            <w:tcW w:w="8920" w:type="dxa"/>
            <w:vAlign w:val="bottom"/>
          </w:tcPr>
          <w:p>
            <w:pPr>
              <w:spacing w:after="0"/>
              <w:rPr>
                <w:sz w:val="20"/>
                <w:szCs w:val="20"/>
                <w:color w:val="auto"/>
              </w:rPr>
            </w:pPr>
            <w:r>
              <w:rPr>
                <w:rFonts w:ascii="Arial" w:cs="Arial" w:eastAsia="Arial" w:hAnsi="Arial"/>
                <w:sz w:val="16"/>
                <w:szCs w:val="16"/>
                <w:color w:val="auto"/>
              </w:rPr>
              <w:t>_________________</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652"/>
        <w:spacing w:after="0" w:line="262"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U.S. franchisees must also contribute a percentage of gross sales for national marketing programs and spend a certain percentage of gross sales on local advertising. For most U.S. franchisees, there is a maximum of 8.0% of gross restaurant sales for combined national marketing and local advertising.</w:t>
      </w:r>
    </w:p>
    <w:p>
      <w:pPr>
        <w:spacing w:after="0" w:line="1" w:lineRule="exact"/>
        <w:rPr>
          <w:rFonts w:ascii="Arial" w:cs="Arial" w:eastAsia="Arial" w:hAnsi="Arial"/>
          <w:sz w:val="15"/>
          <w:szCs w:val="15"/>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International franchisees must also spend a certain percentage of gross sales on local advertising, which varies depending on the market.</w:t>
      </w:r>
    </w:p>
    <w:p>
      <w:pPr>
        <w:spacing w:after="0" w:line="22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On December 27, 2020, we entered into an agreement (the “Resolution Agreement”) with Cerca Trova Southwest Restaurant Group, LLC (d/b/a Out West Restaurant Group) and certain of its affiliates (collectively, “Out West”), a franchisee of approximately 90 Outback Steakhouse restaurants in the western United States. Under the terms of the agreement, advertising fees were reduced to 2.25% of gross sales until December 31, 2023 or upon the earlier occurrence of certain specified events, including the sale of all or substantially all of the assets or equity of Out West, bankruptcy or a liquidation event.</w:t>
      </w:r>
    </w:p>
    <w:p>
      <w:pPr>
        <w:spacing w:after="0" w:line="22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Out West also entered into a forbearance agreement with its lenders that, in conjunction with the Resolution Agreement which, among other things, provides for a pre-determined calculation of available monthly cash (“Available Cash”) that Out West may use to settle its obligations due to us and its lenders. Under the Resolution Agreement, if Out West is unable to satisfy monthly royalty or advertising fees with Available Cash, such amounts will be automatically deferred under the Resolution Agreement.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4 -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of the Notes to Consolidated Financial Statements for further details regarding the Resolution Agreement.</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RESOURCES</w:t>
      </w:r>
    </w:p>
    <w:p>
      <w:pPr>
        <w:spacing w:after="0" w:line="24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Sourcing and Supply - </w:t>
      </w:r>
      <w:r>
        <w:rPr>
          <w:rFonts w:ascii="Arial" w:cs="Arial" w:eastAsia="Arial" w:hAnsi="Arial"/>
          <w:sz w:val="20"/>
          <w:szCs w:val="20"/>
          <w:color w:val="auto"/>
        </w:rPr>
        <w:t>We take a global approach to procurement and supply chain management, with our corporate team serving all U.S. and</w:t>
      </w:r>
      <w:r>
        <w:rPr>
          <w:rFonts w:ascii="Arial" w:cs="Arial" w:eastAsia="Arial" w:hAnsi="Arial"/>
          <w:sz w:val="20"/>
          <w:szCs w:val="20"/>
          <w:i w:val="1"/>
          <w:iCs w:val="1"/>
          <w:color w:val="auto"/>
        </w:rPr>
        <w:t xml:space="preserve"> </w:t>
      </w:r>
      <w:r>
        <w:rPr>
          <w:rFonts w:ascii="Arial" w:cs="Arial" w:eastAsia="Arial" w:hAnsi="Arial"/>
          <w:sz w:val="20"/>
          <w:szCs w:val="20"/>
          <w:color w:val="auto"/>
        </w:rPr>
        <w:t>international concepts. In addition, we have dedicated supply chain management personnel for our international operations in South America and Asia. The supply chain management organization is responsible for all food and operating supply purchases as well as a large percentage of purchases of field and corporate services.</w:t>
      </w: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We address the end-to-end costs associated with the products and goods we purchase by utilizing a combination of global, regional and local suppliers to capture efficiencies and economies of scale. This “total cost of ownership” (“TCO”) approach focuses on the initial purchase price, coupled with the cost structure underlying the procurement and order fulfillment process. The TCO approach includes monitoring commodity markets and trends to execute product purchases at the most advantageous times.</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have a distribution program that includes food, beverage, smallwares and packaging goods in all major markets. Where applicable, this program is managed by a custom distribution company that only provides products approved for our system. This customized relationship also enables our staff to effectively manage and prioritize our supply chain.</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Beef represents the majority of purchased proteins. In 2020, we primarily purchased our U.S. beef raw materials from four beef suppliers and our Brazil beef raw materials from two beef suppliers. Due to the nature of our industry, we expect to continue purchasing a substantial amount of beef from a small number of suppliers. Other major commodity categories purchased include produce, dairy, bread and pasta, and energy sources to operate our restaurants, such as natural gas and electricity.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Information Systems </w:t>
      </w:r>
      <w:r>
        <w:rPr>
          <w:rFonts w:ascii="Arial" w:cs="Arial" w:eastAsia="Arial" w:hAnsi="Arial"/>
          <w:sz w:val="20"/>
          <w:szCs w:val="20"/>
          <w:color w:val="auto"/>
        </w:rPr>
        <w:t>- We leverage technology to support areas such as digital marketing and customer engagement, business analytics and</w:t>
      </w:r>
      <w:r>
        <w:rPr>
          <w:rFonts w:ascii="Arial" w:cs="Arial" w:eastAsia="Arial" w:hAnsi="Arial"/>
          <w:sz w:val="20"/>
          <w:szCs w:val="20"/>
          <w:i w:val="1"/>
          <w:iCs w:val="1"/>
          <w:color w:val="auto"/>
        </w:rPr>
        <w:t xml:space="preserve"> </w:t>
      </w:r>
      <w:r>
        <w:rPr>
          <w:rFonts w:ascii="Arial" w:cs="Arial" w:eastAsia="Arial" w:hAnsi="Arial"/>
          <w:sz w:val="20"/>
          <w:szCs w:val="20"/>
          <w:color w:val="auto"/>
        </w:rPr>
        <w:t>decision support, restaurant operations and productivity initiatives related to optimizing our staffing, food waste management and supply chain efficiency.</w:t>
      </w:r>
    </w:p>
    <w:p>
      <w:pPr>
        <w:spacing w:after="0" w:line="21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To drive customer engagement, we continue to invest in data and technology infrastructure, including brand websites, digital marketing, online ordering and mobile apps. To increase customer convenience, we are leveraging our online ordering infrastructure to facilitate expanded off-premises dining including our own delivery fleet and systems. Additionally, we developed systems to support our customer loyalty program with a focus on increasing traffic to our restaurants. In recent years, we have made investments in a global supply chain management system to improve inventory forecasting and replenishment in our restaurants, which helps us manage food quality and cost. We also continue to invest in a range of tools and infrastructure to support risk management and cyber security.</w:t>
      </w:r>
    </w:p>
    <w:p>
      <w:pPr>
        <w:spacing w:after="0" w:line="19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Our integrated point-of-sale system allows us to transact business in our restaurants and communicate sales data through a secure corporate network to our enterprise resource planning system and data warehouse. Our Company-owned restaurants, and most of our franchised restaurants, are connected through a portal that provides our employees and franchise partners with access to business information and tools that allow them to collaborate, communicate, train and share information.</w:t>
      </w:r>
    </w:p>
    <w:p>
      <w:pPr>
        <w:spacing w:after="0" w:line="21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 xml:space="preserve">We maintain a robust system to ensure network security and safeguard against data loss. See Item 1A. </w:t>
      </w:r>
      <w:r>
        <w:rPr>
          <w:rFonts w:ascii="Arial" w:cs="Arial" w:eastAsia="Arial" w:hAnsi="Arial"/>
          <w:sz w:val="20"/>
          <w:szCs w:val="20"/>
          <w:i w:val="1"/>
          <w:iCs w:val="1"/>
          <w:color w:val="auto"/>
        </w:rPr>
        <w:t>Risk Factors</w:t>
      </w:r>
      <w:r>
        <w:rPr>
          <w:rFonts w:ascii="Arial" w:cs="Arial" w:eastAsia="Arial" w:hAnsi="Arial"/>
          <w:sz w:val="20"/>
          <w:szCs w:val="20"/>
          <w:color w:val="auto"/>
        </w:rPr>
        <w:t xml:space="preserve"> for additional discussion of our cyber security measures.</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 xml:space="preserve">Advertising and Marketing </w:t>
      </w:r>
      <w:r>
        <w:rPr>
          <w:rFonts w:ascii="Arial" w:cs="Arial" w:eastAsia="Arial" w:hAnsi="Arial"/>
          <w:sz w:val="18"/>
          <w:szCs w:val="18"/>
          <w:color w:val="auto"/>
        </w:rPr>
        <w:t>- We advertise through a diverse set of media channels including but not limited to national/spot television, radio,</w:t>
      </w:r>
      <w:r>
        <w:rPr>
          <w:rFonts w:ascii="Arial" w:cs="Arial" w:eastAsia="Arial" w:hAnsi="Arial"/>
          <w:sz w:val="18"/>
          <w:szCs w:val="18"/>
          <w:i w:val="1"/>
          <w:iCs w:val="1"/>
          <w:color w:val="auto"/>
        </w:rPr>
        <w:t xml:space="preserve"> </w:t>
      </w:r>
      <w:r>
        <w:rPr>
          <w:rFonts w:ascii="Arial" w:cs="Arial" w:eastAsia="Arial" w:hAnsi="Arial"/>
          <w:sz w:val="18"/>
          <w:szCs w:val="18"/>
          <w:color w:val="auto"/>
        </w:rPr>
        <w:t>social media, search engines and other digital tactics. Our concepts have active public relations programs and also rely on national promotions, site visibility, local marketing, digital marketing, direct mail, billboards and point-of-sale materials to promote our restaurants. Recently, we increased our focus on data segmentation and personalization, customer relationship management and digital advertising to be more efficient and relevant with our advertising expenditures. Internationally, we have teams in our developed markets that engage local agencies to tailor advertising to each market and develop relevant and timely promotions based on local consumer demand.</w:t>
      </w:r>
    </w:p>
    <w:p>
      <w:pPr>
        <w:spacing w:after="0" w:line="19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Our multi-branded loyalty program, Dine Rewards, is designed to drive incremental traffic and provide data for customer segmentation and personalization opportunities. Additionally, to help maintain consumer interest and relevance, each concept leverages limited-time offers featuring seasonal specials. We promote limited-time offers through integrated marketing programs that utilize all of our advertising resources.</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Restaurant Management - </w:t>
      </w:r>
      <w:r>
        <w:rPr>
          <w:rFonts w:ascii="Arial" w:cs="Arial" w:eastAsia="Arial" w:hAnsi="Arial"/>
          <w:sz w:val="20"/>
          <w:szCs w:val="20"/>
          <w:color w:val="auto"/>
        </w:rPr>
        <w:t>The Restaurant Managing Partner has primary responsibility for the day-to-day operation of the restaurant and is</w:t>
      </w:r>
      <w:r>
        <w:rPr>
          <w:rFonts w:ascii="Arial" w:cs="Arial" w:eastAsia="Arial" w:hAnsi="Arial"/>
          <w:sz w:val="20"/>
          <w:szCs w:val="20"/>
          <w:i w:val="1"/>
          <w:iCs w:val="1"/>
          <w:color w:val="auto"/>
        </w:rPr>
        <w:t xml:space="preserve"> </w:t>
      </w:r>
      <w:r>
        <w:rPr>
          <w:rFonts w:ascii="Arial" w:cs="Arial" w:eastAsia="Arial" w:hAnsi="Arial"/>
          <w:sz w:val="20"/>
          <w:szCs w:val="20"/>
          <w:color w:val="auto"/>
        </w:rPr>
        <w:t>required to follow Company-established operating standards. Area Operating Partners for our casual dining concepts oversee restaurant operations and Restaurant Managing Partners within a specific region.</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addition to base salary, Area Operating Partners, Restaurant Managing Partners and Chef Partners generally receive performance-based bonuses for providing management and supervisory services to their restaurants, certain of which may be based on a percentage of their restaurants’ monthly operating results or cash flows and/or total controllable income.</w:t>
      </w:r>
    </w:p>
    <w:p>
      <w:pPr>
        <w:spacing w:after="0" w:line="21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Restaurant Managing Partners and Chef Partners in the U.S. may also participate in deferred compensation and other performance-based compensation programs. To fund deferred compensation arrangements, we may invest in corporate-owned life insurance policies, which are held within an irrevocable grantor or “rabbi” trust account for settlement of certain of our obligations under the deferred compensation plans.</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Many of our international Restaurant Managing Partners are given the option to purchase participation interests in the cash distributions of the restaurants they manage. The amount, terms and availability vary by country.</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 xml:space="preserve">Trademarks </w:t>
      </w:r>
      <w:r>
        <w:rPr>
          <w:rFonts w:ascii="Arial" w:cs="Arial" w:eastAsia="Arial" w:hAnsi="Arial"/>
          <w:sz w:val="18"/>
          <w:szCs w:val="18"/>
          <w:color w:val="auto"/>
        </w:rPr>
        <w:t>- We regard our Outback</w:t>
      </w:r>
      <w:r>
        <w:rPr>
          <w:rFonts w:ascii="Arial" w:cs="Arial" w:eastAsia="Arial" w:hAnsi="Arial"/>
          <w:sz w:val="23"/>
          <w:szCs w:val="23"/>
          <w:color w:val="auto"/>
          <w:vertAlign w:val="superscript"/>
        </w:rPr>
        <w:t>®</w:t>
      </w:r>
      <w:r>
        <w:rPr>
          <w:rFonts w:ascii="Arial" w:cs="Arial" w:eastAsia="Arial" w:hAnsi="Arial"/>
          <w:sz w:val="18"/>
          <w:szCs w:val="18"/>
          <w:color w:val="auto"/>
        </w:rPr>
        <w:t>, Outback Steakhouse</w:t>
      </w:r>
      <w:r>
        <w:rPr>
          <w:rFonts w:ascii="Arial" w:cs="Arial" w:eastAsia="Arial" w:hAnsi="Arial"/>
          <w:sz w:val="23"/>
          <w:szCs w:val="23"/>
          <w:color w:val="auto"/>
          <w:vertAlign w:val="superscript"/>
        </w:rPr>
        <w:t>®</w:t>
      </w:r>
      <w:r>
        <w:rPr>
          <w:rFonts w:ascii="Arial" w:cs="Arial" w:eastAsia="Arial" w:hAnsi="Arial"/>
          <w:sz w:val="18"/>
          <w:szCs w:val="18"/>
          <w:color w:val="auto"/>
        </w:rPr>
        <w:t>, Carrabba’s Italian Grill</w:t>
      </w:r>
      <w:r>
        <w:rPr>
          <w:rFonts w:ascii="Arial" w:cs="Arial" w:eastAsia="Arial" w:hAnsi="Arial"/>
          <w:sz w:val="23"/>
          <w:szCs w:val="23"/>
          <w:color w:val="auto"/>
          <w:vertAlign w:val="superscript"/>
        </w:rPr>
        <w:t>®</w:t>
      </w:r>
      <w:r>
        <w:rPr>
          <w:rFonts w:ascii="Arial" w:cs="Arial" w:eastAsia="Arial" w:hAnsi="Arial"/>
          <w:sz w:val="18"/>
          <w:szCs w:val="18"/>
          <w:color w:val="auto"/>
        </w:rPr>
        <w:t>, Bonefish Grill</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 Fleming’s Prime Steakhouse &amp;</w:t>
      </w:r>
      <w:r>
        <w:rPr>
          <w:rFonts w:ascii="Arial" w:cs="Arial" w:eastAsia="Arial" w:hAnsi="Arial"/>
          <w:sz w:val="18"/>
          <w:szCs w:val="18"/>
          <w:i w:val="1"/>
          <w:iCs w:val="1"/>
          <w:color w:val="auto"/>
        </w:rPr>
        <w:t xml:space="preserve"> </w:t>
      </w:r>
      <w:r>
        <w:rPr>
          <w:rFonts w:ascii="Arial" w:cs="Arial" w:eastAsia="Arial" w:hAnsi="Arial"/>
          <w:sz w:val="18"/>
          <w:szCs w:val="18"/>
          <w:color w:val="auto"/>
        </w:rPr>
        <w:t>Wine Bar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service marks and our Bloomin’ Onion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trademark as having significant value and as being important factors in the marketing of our restaurants. We have also obtained trademarks and service marks for these and several of our other menu items and various advertising slogans both in the U.S. and in other countries where we operate. We are aware of names and marks similar to the service marks of ours used by other persons in certain geographic areas in which we have restaurants. However, we believe such uses will not adversely affect us. Our policy is to pursue registration of our marks in countries where we operate whenever possible and to vigorously oppose any infringement of our marks. We also have registered domain names for each of our concepts.</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license the use of our registered trademarks to franchisees and third parties through franchise and license arrangements. The franchise and license arrangements restrict franchisees’ and licensees’ activities with respect to the use of our trademarks and impose quality control standards in connection with goods and services offered in connection with the trademarks.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SEASONALITY</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Our business is subject to seasonal fluctuations. Historically, customer traffic patterns for our established U.S. restaurants are generally highest in the first quarter of the year and lowest in the third quarter of the year. International customer traffic patterns vary by market with Brazil historically experiencing minimal seasonal traffic fluctuations. However, the COVID-19 pandemic may have an impact on consumer behaviors and customer traffic that may result in temporary changes in the seasonal fluctuations of our business. Additionally, holidays and severe weather may affect sales volumes seasonally in some of our markets.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See Item 1A. </w:t>
      </w:r>
      <w:r>
        <w:rPr>
          <w:rFonts w:ascii="Arial" w:cs="Arial" w:eastAsia="Arial" w:hAnsi="Arial"/>
          <w:sz w:val="20"/>
          <w:szCs w:val="20"/>
          <w:i w:val="1"/>
          <w:iCs w:val="1"/>
          <w:color w:val="auto"/>
        </w:rPr>
        <w:t>Risk Factors</w:t>
      </w:r>
      <w:r>
        <w:rPr>
          <w:rFonts w:ascii="Arial" w:cs="Arial" w:eastAsia="Arial" w:hAnsi="Arial"/>
          <w:sz w:val="20"/>
          <w:szCs w:val="20"/>
          <w:color w:val="auto"/>
        </w:rPr>
        <w:t xml:space="preserve"> for discussion of risks related to seasonal and periodic fluctuations.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GOVERNMENT REGULATION</w:t>
      </w:r>
    </w:p>
    <w:p>
      <w:pPr>
        <w:spacing w:after="0" w:line="24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are subject to various federal, state, local and international laws affecting our business. Each of our restaurants is subject to licensing and regulation by a number of governmental authorities, which may include, among others, alcoholic beverage control, health and safety agencies, environmental and fire agencies in the state, municipality or country in which the restaurant is located.</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i w:val="1"/>
          <w:iCs w:val="1"/>
          <w:color w:val="auto"/>
        </w:rPr>
        <w:t xml:space="preserve">U.S. </w:t>
      </w:r>
      <w:r>
        <w:rPr>
          <w:rFonts w:ascii="Arial" w:cs="Arial" w:eastAsia="Arial" w:hAnsi="Arial"/>
          <w:sz w:val="19"/>
          <w:szCs w:val="19"/>
          <w:color w:val="auto"/>
        </w:rPr>
        <w:t>- During 2020, various governmental bodies in the U.S. have addressed the spread of COVID-19 by imposing limitations on business</w:t>
      </w:r>
      <w:r>
        <w:rPr>
          <w:rFonts w:ascii="Arial" w:cs="Arial" w:eastAsia="Arial" w:hAnsi="Arial"/>
          <w:sz w:val="19"/>
          <w:szCs w:val="19"/>
          <w:i w:val="1"/>
          <w:iCs w:val="1"/>
          <w:color w:val="auto"/>
        </w:rPr>
        <w:t xml:space="preserve"> </w:t>
      </w:r>
      <w:r>
        <w:rPr>
          <w:rFonts w:ascii="Arial" w:cs="Arial" w:eastAsia="Arial" w:hAnsi="Arial"/>
          <w:sz w:val="19"/>
          <w:szCs w:val="19"/>
          <w:color w:val="auto"/>
        </w:rPr>
        <w:t>operations or recommending that residents adopt stringent “social distancing” measures. Those formal and informal restraints, as well as consumer behavior, have materially affected the way we operate our business and serve our guests.</w:t>
      </w:r>
    </w:p>
    <w:p>
      <w:pPr>
        <w:spacing w:after="0" w:line="19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Alcoholic beverage sales represent ten percent of our U.S. restaurant sales. Alcoholic beverage control regulations require each of our restaurants to apply to a state authority and, in certain locations, county or municipal authorities for a license or permit to sell alcoholic beverages on the premises and, where applicable, a permit to provide service for extended hours and on Sundays. At the onset of the COVID-19 pandemic, many state governors entered executive orders allowing restaurants to sell alcohol for carry-out or delivery. In most jurisdictions, alcohol licenses for restaurants did not previously allow for off-premises sales. Most of these executive orders remain in effect, with some states passing permanent legislation. We are currently offering alcohol to go from certain locations from each of our restaurant concepts.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Our restaurant operations are also subject to federal and state laws for such matters as:</w:t>
      </w:r>
    </w:p>
    <w:p>
      <w:pPr>
        <w:spacing w:after="0" w:line="243" w:lineRule="exact"/>
        <w:rPr>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immigration, employment, minimum wage, overtime, tip credits, worker conditions and health care;</w:t>
      </w:r>
    </w:p>
    <w:p>
      <w:pPr>
        <w:spacing w:after="0" w:line="15"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menu labeling and food safety;</w:t>
      </w:r>
    </w:p>
    <w:p>
      <w:pPr>
        <w:ind w:left="660" w:right="20" w:hanging="328"/>
        <w:spacing w:after="0" w:line="244"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Americans with Disabilities Act, which, among other things, requires our restaurants to meet federally mandated requirements for the disabled; and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information security, data privacy, anti-corruption/anti-bribery, cashless payments and gift cards.</w:t>
      </w:r>
    </w:p>
    <w:p>
      <w:pPr>
        <w:spacing w:after="0" w:line="243"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i w:val="1"/>
          <w:iCs w:val="1"/>
          <w:color w:val="auto"/>
        </w:rPr>
        <w:t xml:space="preserve">International - </w:t>
      </w:r>
      <w:r>
        <w:rPr>
          <w:rFonts w:ascii="Arial" w:cs="Arial" w:eastAsia="Arial" w:hAnsi="Arial"/>
          <w:sz w:val="18"/>
          <w:szCs w:val="18"/>
          <w:color w:val="auto"/>
        </w:rPr>
        <w:t>Our restaurants outside of the U.S. are subject to similar regional and local laws and regulations as our U.S. restaurants,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COVID-19-related mandates, labor, food safety, data privacy, anti-corruption/anti-bribery and information security.</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See Item 1A - </w:t>
      </w:r>
      <w:r>
        <w:rPr>
          <w:rFonts w:ascii="Arial" w:cs="Arial" w:eastAsia="Arial" w:hAnsi="Arial"/>
          <w:sz w:val="20"/>
          <w:szCs w:val="20"/>
          <w:i w:val="1"/>
          <w:iCs w:val="1"/>
          <w:color w:val="auto"/>
        </w:rPr>
        <w:t>Risk Factors</w:t>
      </w:r>
      <w:r>
        <w:rPr>
          <w:rFonts w:ascii="Arial" w:cs="Arial" w:eastAsia="Arial" w:hAnsi="Arial"/>
          <w:sz w:val="20"/>
          <w:szCs w:val="20"/>
          <w:color w:val="auto"/>
        </w:rPr>
        <w:t xml:space="preserve"> for a discussion of risks relating to federal, state, local and international regulation of our business.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HUMAN CAPITAL RESOURCES</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9"/>
          <w:szCs w:val="19"/>
          <w:i w:val="1"/>
          <w:iCs w:val="1"/>
          <w:color w:val="auto"/>
        </w:rPr>
        <w:t xml:space="preserve">Celebrating Our People </w:t>
      </w:r>
      <w:r>
        <w:rPr>
          <w:rFonts w:ascii="Arial" w:cs="Arial" w:eastAsia="Arial" w:hAnsi="Arial"/>
          <w:sz w:val="19"/>
          <w:szCs w:val="19"/>
          <w:color w:val="auto"/>
        </w:rPr>
        <w:t>– Team Members (our employees), guests, suppliers, and neighbors – have always been the heart of our Company’s</w:t>
      </w:r>
      <w:r>
        <w:rPr>
          <w:rFonts w:ascii="Arial" w:cs="Arial" w:eastAsia="Arial" w:hAnsi="Arial"/>
          <w:sz w:val="19"/>
          <w:szCs w:val="19"/>
          <w:i w:val="1"/>
          <w:iCs w:val="1"/>
          <w:color w:val="auto"/>
        </w:rPr>
        <w:t xml:space="preserve"> </w:t>
      </w:r>
      <w:r>
        <w:rPr>
          <w:rFonts w:ascii="Arial" w:cs="Arial" w:eastAsia="Arial" w:hAnsi="Arial"/>
          <w:sz w:val="19"/>
          <w:szCs w:val="19"/>
          <w:color w:val="auto"/>
        </w:rPr>
        <w:t>culture, driven each day by our founding Principles &amp; Beliefs, which include treating each individual as we would want to be treated. We believe that creating exceptional guest experiences begins with providing a positive, supportive work environment that welcomes individual differences and allows employees to grow and have fun. We focus on developing genuine, emotional guest connections through friendly service and high-quality food. We embrace the communities we serve, from feeding first responders to supporting worthy causes, especially in the Tampa Bay area of Florida, home to our Restaurant Support Center.</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Company Response to COVID-19 </w:t>
      </w:r>
      <w:r>
        <w:rPr>
          <w:rFonts w:ascii="Arial" w:cs="Arial" w:eastAsia="Arial" w:hAnsi="Arial"/>
          <w:sz w:val="19"/>
          <w:szCs w:val="19"/>
          <w:color w:val="auto"/>
        </w:rPr>
        <w:t>- In 2020, in response to the COVID-19 global crisis, we did not furlough any Team Members and</w:t>
      </w:r>
      <w:r>
        <w:rPr>
          <w:rFonts w:ascii="Arial" w:cs="Arial" w:eastAsia="Arial" w:hAnsi="Arial"/>
          <w:sz w:val="19"/>
          <w:szCs w:val="19"/>
          <w:i w:val="1"/>
          <w:iCs w:val="1"/>
          <w:color w:val="auto"/>
        </w:rPr>
        <w:t xml:space="preserve"> </w:t>
      </w:r>
      <w:r>
        <w:rPr>
          <w:rFonts w:ascii="Arial" w:cs="Arial" w:eastAsia="Arial" w:hAnsi="Arial"/>
          <w:sz w:val="19"/>
          <w:szCs w:val="19"/>
          <w:color w:val="auto"/>
        </w:rPr>
        <w:t>provided $44.9 million of relief pay, excluding employee retention tax credits earned, for our field hourly Team Members who were impacted by closed dining rooms. We also paid the employee portion of benefits premiums for Team Members who received relief pay. In addition, Team Members who were quarantined or who had a personal illness related to COVID-19 received pay.</w:t>
      </w:r>
    </w:p>
    <w:p>
      <w:pPr>
        <w:spacing w:after="0" w:line="20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Oversight and Management </w:t>
      </w:r>
      <w:r>
        <w:rPr>
          <w:rFonts w:ascii="Arial" w:cs="Arial" w:eastAsia="Arial" w:hAnsi="Arial"/>
          <w:sz w:val="20"/>
          <w:szCs w:val="20"/>
          <w:color w:val="auto"/>
        </w:rPr>
        <w:t>- We are constantly working to improve how we support our Team Members. As a part these efforts, we are</w:t>
      </w:r>
      <w:r>
        <w:rPr>
          <w:rFonts w:ascii="Arial" w:cs="Arial" w:eastAsia="Arial" w:hAnsi="Arial"/>
          <w:sz w:val="20"/>
          <w:szCs w:val="20"/>
          <w:i w:val="1"/>
          <w:iCs w:val="1"/>
          <w:color w:val="auto"/>
        </w:rPr>
        <w:t xml:space="preserve"> </w:t>
      </w:r>
      <w:r>
        <w:rPr>
          <w:rFonts w:ascii="Arial" w:cs="Arial" w:eastAsia="Arial" w:hAnsi="Arial"/>
          <w:sz w:val="20"/>
          <w:szCs w:val="20"/>
          <w:color w:val="auto"/>
        </w:rPr>
        <w:t>assessing our overall racial diversity at Bloomin’ Brands as we strive to reflect the diversity of the communities we serve. We actively engage and listen to our Team Members as they share personal perspectives that could serve as insight for others. We have a Diversity &amp; Inclusion Council comprising individuals across the Company, at all levels, to help guide, monitor, and reinforce short- and long-term diversity and inclusion goals.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We strive to improve in the following areas:</w:t>
      </w:r>
    </w:p>
    <w:p>
      <w:pPr>
        <w:spacing w:after="0" w:line="243" w:lineRule="exact"/>
        <w:rPr>
          <w:sz w:val="20"/>
          <w:szCs w:val="20"/>
          <w:color w:val="auto"/>
        </w:rPr>
      </w:pPr>
    </w:p>
    <w:p>
      <w:pPr>
        <w:jc w:val="both"/>
        <w:ind w:left="660" w:hanging="328"/>
        <w:spacing w:after="0" w:line="245"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Leadership &amp; Talent: attract, develop, and promote diverse employees who reflect our communities and at all levels of leadership. This includes expanding our relationships with the Multicultural Foodservice &amp; Hospitality Alliance and the Women’s Foodservice Forum to raise cultural awareness and encourage the promotion of diversity in our restaurants.</w:t>
      </w:r>
    </w:p>
    <w:p>
      <w:pPr>
        <w:ind w:left="660" w:hanging="328"/>
        <w:spacing w:after="0" w:line="239"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Training &amp; Education: strengthen our training and education programs to include listening, sharing, and storytelling, conducting “real talk” sessions and continuing unconscious bias training.</w:t>
      </w:r>
    </w:p>
    <w:p>
      <w:pPr>
        <w:ind w:left="660" w:hanging="328"/>
        <w:spacing w:after="0" w:line="244"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Financial Support: donate to organizations dedicated to helping end racial injustice and creating opportunities for more inclusive communities.</w:t>
      </w:r>
    </w:p>
    <w:p>
      <w:pPr>
        <w:spacing w:after="0" w:line="21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use surveys to seek feedback from our Team Members on a variety of topics that include, but are not limited to, confidence in leadership, our company culture and overall satisfaction with the Company. We regularly monitor and evaluate turnover and attrition metrics throughout our management teams. Annual strategic talent reviews and succession planning for executive-level roles, senior management and key restaurant leadership positions help ensure consistency in management talent quality.</w:t>
      </w:r>
    </w:p>
    <w:p>
      <w:pPr>
        <w:spacing w:after="0" w:line="21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We are committed to high standards of ethical, moral, and legal business conduct and strive to be an open and honest workplace, providing a positive work environment and fostering a culture of integrity and ethical decision-making. To support this commitment, we have a Code of Conduct that applies to our directors, officers and employees, and we maintain an Ethics and Compliance Hotline (the “Hotline”), where violations and other workplace concerns can be reported. Team Members can confidentially, and if desired, anonymously, use the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Hotline to make a report on-line or to a live third-party operator in several languages, 24 hours a day, seven days a week. Annually, we provide training and education to our salaried employees and most hourly employees with respect to our Code of Conduct, including our anti-corruption and anti-bribery policies.</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Total Rewards </w:t>
      </w:r>
      <w:r>
        <w:rPr>
          <w:rFonts w:ascii="Arial" w:cs="Arial" w:eastAsia="Arial" w:hAnsi="Arial"/>
          <w:sz w:val="20"/>
          <w:szCs w:val="20"/>
          <w:color w:val="auto"/>
        </w:rPr>
        <w:t>- Our Total Rewards philosophy is to motivate and retain our Team Members by offering, what we believe to be competitive</w:t>
      </w:r>
      <w:r>
        <w:rPr>
          <w:rFonts w:ascii="Arial" w:cs="Arial" w:eastAsia="Arial" w:hAnsi="Arial"/>
          <w:sz w:val="20"/>
          <w:szCs w:val="20"/>
          <w:i w:val="1"/>
          <w:iCs w:val="1"/>
          <w:color w:val="auto"/>
        </w:rPr>
        <w:t xml:space="preserve"> </w:t>
      </w:r>
      <w:r>
        <w:rPr>
          <w:rFonts w:ascii="Arial" w:cs="Arial" w:eastAsia="Arial" w:hAnsi="Arial"/>
          <w:sz w:val="20"/>
          <w:szCs w:val="20"/>
          <w:color w:val="auto"/>
        </w:rPr>
        <w:t>salary packages. To align Team Member objectives with the Company and ultimately our shareholders, Bloomin’ Brands offers programs that reward long-term performance. Additionally, we offer a well-rounded benefit package that includes the following, along with other benefits:</w:t>
      </w:r>
    </w:p>
    <w:p>
      <w:pPr>
        <w:spacing w:after="0" w:line="218" w:lineRule="exact"/>
        <w:rPr>
          <w:sz w:val="20"/>
          <w:szCs w:val="20"/>
          <w:color w:val="auto"/>
        </w:rPr>
      </w:pPr>
    </w:p>
    <w:p>
      <w:pPr>
        <w:ind w:left="660" w:hanging="328"/>
        <w:spacing w:after="0" w:line="247"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Comprehensive health insurance coverage for Team Members working an average of 30 or more hours each week. Our coverage includes wellness programs intended to support our Team Member’s health needs.</w:t>
      </w:r>
    </w:p>
    <w:p>
      <w:pPr>
        <w:spacing w:after="0" w:line="1" w:lineRule="exact"/>
        <w:rPr>
          <w:rFonts w:ascii="Arial" w:cs="Arial" w:eastAsia="Arial" w:hAnsi="Arial"/>
          <w:sz w:val="20"/>
          <w:szCs w:val="20"/>
          <w:color w:val="auto"/>
        </w:rPr>
      </w:pPr>
    </w:p>
    <w:p>
      <w:pPr>
        <w:jc w:val="both"/>
        <w:ind w:left="660" w:hanging="328"/>
        <w:spacing w:after="0" w:line="239"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mental well-being of our Team Members is important to us. During 2020, we worked with our health partners to offer additional Employee Assistance Program options. We introduced virtual therapy provided by BetterHelp that takes place via a mobile device or computer, allowing Team Members to access help when and where they need it, along with guided meditation options through Sanvello.</w:t>
      </w:r>
    </w:p>
    <w:p>
      <w:pPr>
        <w:spacing w:after="0" w:line="1" w:lineRule="exact"/>
        <w:rPr>
          <w:rFonts w:ascii="Arial" w:cs="Arial" w:eastAsia="Arial" w:hAnsi="Arial"/>
          <w:sz w:val="20"/>
          <w:szCs w:val="20"/>
          <w:color w:val="auto"/>
        </w:rPr>
      </w:pPr>
    </w:p>
    <w:p>
      <w:pPr>
        <w:ind w:left="660" w:hanging="328"/>
        <w:spacing w:after="0" w:line="244"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Our non-executive salaried Team Members are eligible to receive matching contributions in our 401(k) plan and have access to financial wellness resources.</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Employees </w:t>
      </w:r>
      <w:r>
        <w:rPr>
          <w:rFonts w:ascii="Arial" w:cs="Arial" w:eastAsia="Arial" w:hAnsi="Arial"/>
          <w:sz w:val="20"/>
          <w:szCs w:val="20"/>
          <w:color w:val="auto"/>
        </w:rPr>
        <w:t>- As of December 27, 2020, we employed over 77,000 persons, of which approximately 700 are corporate personnel, including</w:t>
      </w:r>
      <w:r>
        <w:rPr>
          <w:rFonts w:ascii="Arial" w:cs="Arial" w:eastAsia="Arial" w:hAnsi="Arial"/>
          <w:sz w:val="20"/>
          <w:szCs w:val="20"/>
          <w:i w:val="1"/>
          <w:iCs w:val="1"/>
          <w:color w:val="auto"/>
        </w:rPr>
        <w:t xml:space="preserve"> </w:t>
      </w:r>
      <w:r>
        <w:rPr>
          <w:rFonts w:ascii="Arial" w:cs="Arial" w:eastAsia="Arial" w:hAnsi="Arial"/>
          <w:sz w:val="20"/>
          <w:szCs w:val="20"/>
          <w:color w:val="auto"/>
        </w:rPr>
        <w:t>200 in international markets. Various jurisdictional mandated industry-wide labor agreements, which are renewed annually, apply to certain of our employees in Brazil. We consider our employee relations to be good.</w:t>
      </w:r>
    </w:p>
    <w:p>
      <w:pPr>
        <w:spacing w:after="0" w:line="21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 xml:space="preserve">Information About Our Executive Officers </w:t>
      </w:r>
      <w:r>
        <w:rPr>
          <w:rFonts w:ascii="Arial" w:cs="Arial" w:eastAsia="Arial" w:hAnsi="Arial"/>
          <w:sz w:val="20"/>
          <w:szCs w:val="20"/>
          <w:color w:val="auto"/>
        </w:rPr>
        <w:t>- Below is a list of the names, ages, positions and a brief description of the business experience of</w:t>
      </w:r>
      <w:r>
        <w:rPr>
          <w:rFonts w:ascii="Arial" w:cs="Arial" w:eastAsia="Arial" w:hAnsi="Arial"/>
          <w:sz w:val="20"/>
          <w:szCs w:val="20"/>
          <w:i w:val="1"/>
          <w:iCs w:val="1"/>
          <w:color w:val="auto"/>
        </w:rPr>
        <w:t xml:space="preserve"> </w:t>
      </w:r>
      <w:r>
        <w:rPr>
          <w:rFonts w:ascii="Arial" w:cs="Arial" w:eastAsia="Arial" w:hAnsi="Arial"/>
          <w:sz w:val="20"/>
          <w:szCs w:val="20"/>
          <w:color w:val="auto"/>
        </w:rPr>
        <w:t>each of our executive officers as of February 21, 2021.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AGE</w:t>
            </w:r>
          </w:p>
        </w:tc>
        <w:tc>
          <w:tcPr>
            <w:tcW w:w="100" w:type="dxa"/>
            <w:vAlign w:val="bottom"/>
            <w:tcBorders>
              <w:bottom w:val="single" w:sz="8" w:color="CCEEFF"/>
            </w:tcBorders>
          </w:tcPr>
          <w:p>
            <w:pPr>
              <w:spacing w:after="0"/>
              <w:rPr>
                <w:sz w:val="17"/>
                <w:szCs w:val="17"/>
                <w:color w:val="auto"/>
              </w:rPr>
            </w:pPr>
          </w:p>
        </w:tc>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David J. Deno</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63</w:t>
            </w:r>
          </w:p>
        </w:tc>
        <w:tc>
          <w:tcPr>
            <w:tcW w:w="100" w:type="dxa"/>
            <w:vAlign w:val="bottom"/>
            <w:shd w:val="clear" w:color="auto" w:fill="CCEEFF"/>
          </w:tcPr>
          <w:p>
            <w:pPr>
              <w:spacing w:after="0"/>
              <w:rPr>
                <w:sz w:val="18"/>
                <w:szCs w:val="18"/>
                <w:color w:val="auto"/>
              </w:rPr>
            </w:pPr>
          </w:p>
        </w:tc>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Chief Executive Officer</w:t>
            </w:r>
          </w:p>
        </w:tc>
      </w:tr>
      <w:tr>
        <w:trPr>
          <w:trHeight w:val="213"/>
        </w:trPr>
        <w:tc>
          <w:tcPr>
            <w:tcW w:w="2700" w:type="dxa"/>
            <w:vAlign w:val="bottom"/>
            <w:gridSpan w:val="2"/>
          </w:tcPr>
          <w:p>
            <w:pPr>
              <w:ind w:left="20"/>
              <w:spacing w:after="0"/>
              <w:rPr>
                <w:sz w:val="20"/>
                <w:szCs w:val="20"/>
                <w:color w:val="auto"/>
              </w:rPr>
            </w:pPr>
            <w:r>
              <w:rPr>
                <w:rFonts w:ascii="Arial" w:cs="Arial" w:eastAsia="Arial" w:hAnsi="Arial"/>
                <w:sz w:val="16"/>
                <w:szCs w:val="16"/>
                <w:color w:val="auto"/>
              </w:rPr>
              <w:t>Christopher Meyer</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49</w:t>
            </w:r>
          </w:p>
        </w:tc>
        <w:tc>
          <w:tcPr>
            <w:tcW w:w="1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6"/>
                <w:szCs w:val="16"/>
                <w:color w:val="auto"/>
              </w:rPr>
              <w:t>Executive Vice President, Chief Financial Officer</w:t>
            </w:r>
          </w:p>
        </w:tc>
      </w:tr>
      <w:tr>
        <w:trPr>
          <w:trHeight w:val="219"/>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Kelly Lefferts</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54</w:t>
            </w:r>
          </w:p>
        </w:tc>
        <w:tc>
          <w:tcPr>
            <w:tcW w:w="100" w:type="dxa"/>
            <w:vAlign w:val="bottom"/>
            <w:shd w:val="clear" w:color="auto" w:fill="CCEEFF"/>
          </w:tcPr>
          <w:p>
            <w:pPr>
              <w:spacing w:after="0"/>
              <w:rPr>
                <w:sz w:val="19"/>
                <w:szCs w:val="19"/>
                <w:color w:val="auto"/>
              </w:rPr>
            </w:pPr>
          </w:p>
        </w:tc>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Vice President, Chief Legal Officer and Secretary</w:t>
            </w:r>
          </w:p>
        </w:tc>
      </w:tr>
      <w:tr>
        <w:trPr>
          <w:trHeight w:val="213"/>
        </w:trPr>
        <w:tc>
          <w:tcPr>
            <w:tcW w:w="2700" w:type="dxa"/>
            <w:vAlign w:val="bottom"/>
            <w:gridSpan w:val="2"/>
          </w:tcPr>
          <w:p>
            <w:pPr>
              <w:ind w:left="20"/>
              <w:spacing w:after="0"/>
              <w:rPr>
                <w:sz w:val="20"/>
                <w:szCs w:val="20"/>
                <w:color w:val="auto"/>
              </w:rPr>
            </w:pPr>
            <w:r>
              <w:rPr>
                <w:rFonts w:ascii="Arial" w:cs="Arial" w:eastAsia="Arial" w:hAnsi="Arial"/>
                <w:sz w:val="16"/>
                <w:szCs w:val="16"/>
                <w:color w:val="auto"/>
              </w:rPr>
              <w:t>Gregg Scarlett</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59</w:t>
            </w:r>
          </w:p>
        </w:tc>
        <w:tc>
          <w:tcPr>
            <w:tcW w:w="1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6"/>
                <w:szCs w:val="16"/>
                <w:color w:val="auto"/>
              </w:rPr>
              <w:t>Executive Vice President, Chief Operating Officer, Casual Dining Restaurants</w:t>
            </w:r>
          </w:p>
        </w:tc>
      </w:tr>
      <w:tr>
        <w:trPr>
          <w:trHeight w:val="219"/>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Michael Stutts</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w:t>
            </w:r>
          </w:p>
        </w:tc>
        <w:tc>
          <w:tcPr>
            <w:tcW w:w="100" w:type="dxa"/>
            <w:vAlign w:val="bottom"/>
            <w:shd w:val="clear" w:color="auto" w:fill="CCEEFF"/>
          </w:tcPr>
          <w:p>
            <w:pPr>
              <w:spacing w:after="0"/>
              <w:rPr>
                <w:sz w:val="19"/>
                <w:szCs w:val="19"/>
                <w:color w:val="auto"/>
              </w:rPr>
            </w:pPr>
          </w:p>
        </w:tc>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Vice President, Chief Customer Officer</w:t>
            </w:r>
          </w:p>
        </w:tc>
      </w:tr>
    </w:tbl>
    <w:p>
      <w:pPr>
        <w:spacing w:after="0" w:line="301"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b w:val="1"/>
          <w:bCs w:val="1"/>
          <w:color w:val="auto"/>
        </w:rPr>
        <w:t xml:space="preserve">David J. Deno </w:t>
      </w:r>
      <w:r>
        <w:rPr>
          <w:rFonts w:ascii="Arial" w:cs="Arial" w:eastAsia="Arial" w:hAnsi="Arial"/>
          <w:sz w:val="20"/>
          <w:szCs w:val="20"/>
          <w:color w:val="auto"/>
        </w:rPr>
        <w:t>has served as Chief Executive Officer and as a member of our Board of Directors since April 2019. Mr. Deno previously</w:t>
      </w:r>
      <w:r>
        <w:rPr>
          <w:rFonts w:ascii="Arial" w:cs="Arial" w:eastAsia="Arial" w:hAnsi="Arial"/>
          <w:sz w:val="20"/>
          <w:szCs w:val="20"/>
          <w:b w:val="1"/>
          <w:bCs w:val="1"/>
          <w:color w:val="auto"/>
        </w:rPr>
        <w:t xml:space="preserve"> </w:t>
      </w:r>
      <w:r>
        <w:rPr>
          <w:rFonts w:ascii="Arial" w:cs="Arial" w:eastAsia="Arial" w:hAnsi="Arial"/>
          <w:sz w:val="20"/>
          <w:szCs w:val="20"/>
          <w:color w:val="auto"/>
        </w:rPr>
        <w:t>served as our Executive Vice President and Chief Financial and Administrative Officer from October 2013 to April 2019 and as Executive Vice President and Chief Financial Officer from May 2012 to October 2013. Prior to joining the Company, Mr. Deno was Chief Financial Officer of the international division of Best Buy Co., Inc. from December 2009 to May 2012. Mr. Deno has also previously served as Chief Financial Officer and later Chief Operating Officer of YUM! Brands, Inc.</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Christopher Meyer </w:t>
      </w:r>
      <w:r>
        <w:rPr>
          <w:rFonts w:ascii="Arial" w:cs="Arial" w:eastAsia="Arial" w:hAnsi="Arial"/>
          <w:sz w:val="20"/>
          <w:szCs w:val="20"/>
          <w:color w:val="auto"/>
        </w:rPr>
        <w:t>has served as Executive Vice President, Chief Financial Officer since April 2019. Mr. Meyer previously served as</w:t>
      </w:r>
      <w:r>
        <w:rPr>
          <w:rFonts w:ascii="Arial" w:cs="Arial" w:eastAsia="Arial" w:hAnsi="Arial"/>
          <w:sz w:val="20"/>
          <w:szCs w:val="20"/>
          <w:b w:val="1"/>
          <w:bCs w:val="1"/>
          <w:color w:val="auto"/>
        </w:rPr>
        <w:t xml:space="preserve"> </w:t>
      </w:r>
      <w:r>
        <w:rPr>
          <w:rFonts w:ascii="Arial" w:cs="Arial" w:eastAsia="Arial" w:hAnsi="Arial"/>
          <w:sz w:val="20"/>
          <w:szCs w:val="20"/>
          <w:color w:val="auto"/>
        </w:rPr>
        <w:t>Group Vice President, Finance, Treasury and Accounting from November 2017 to April 2019 and Group Vice President, Financial Planning &amp; Analysis and Investor Relations from September 2014 to November 2017.</w:t>
      </w:r>
    </w:p>
    <w:p>
      <w:pPr>
        <w:spacing w:after="0" w:line="20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color w:val="auto"/>
        </w:rPr>
        <w:t xml:space="preserve">Kelly Lefferts </w:t>
      </w:r>
      <w:r>
        <w:rPr>
          <w:rFonts w:ascii="Arial" w:cs="Arial" w:eastAsia="Arial" w:hAnsi="Arial"/>
          <w:sz w:val="18"/>
          <w:szCs w:val="18"/>
          <w:color w:val="auto"/>
        </w:rPr>
        <w:t>has served as Executive Vice President, Chief Legal Officer since July 2019. Ms. Lefferts served as Group Vice President and</w:t>
      </w:r>
      <w:r>
        <w:rPr>
          <w:rFonts w:ascii="Arial" w:cs="Arial" w:eastAsia="Arial" w:hAnsi="Arial"/>
          <w:sz w:val="18"/>
          <w:szCs w:val="18"/>
          <w:b w:val="1"/>
          <w:bCs w:val="1"/>
          <w:color w:val="auto"/>
        </w:rPr>
        <w:t xml:space="preserve"> </w:t>
      </w:r>
      <w:r>
        <w:rPr>
          <w:rFonts w:ascii="Arial" w:cs="Arial" w:eastAsia="Arial" w:hAnsi="Arial"/>
          <w:sz w:val="18"/>
          <w:szCs w:val="18"/>
          <w:color w:val="auto"/>
        </w:rPr>
        <w:t>U.S. General Counsel of Bloomin’ Brands from September 2015 to July 2019 and Vice President and Assistant General Counsel of Bloomin’ Brands from January 2008 to September 2015. She has also served as Secretary of Bloomin’ Brands since February 2016.</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Gregg Scarlett </w:t>
      </w:r>
      <w:r>
        <w:rPr>
          <w:rFonts w:ascii="Arial" w:cs="Arial" w:eastAsia="Arial" w:hAnsi="Arial"/>
          <w:sz w:val="20"/>
          <w:szCs w:val="20"/>
          <w:color w:val="auto"/>
        </w:rPr>
        <w:t>has served as Executive Vice President, Chief Operating Officer, Casual Dining Restaurants since February 2020. Mr.</w:t>
      </w:r>
      <w:r>
        <w:rPr>
          <w:rFonts w:ascii="Arial" w:cs="Arial" w:eastAsia="Arial" w:hAnsi="Arial"/>
          <w:sz w:val="20"/>
          <w:szCs w:val="20"/>
          <w:b w:val="1"/>
          <w:bCs w:val="1"/>
          <w:color w:val="auto"/>
        </w:rPr>
        <w:t xml:space="preserve"> </w:t>
      </w:r>
      <w:r>
        <w:rPr>
          <w:rFonts w:ascii="Arial" w:cs="Arial" w:eastAsia="Arial" w:hAnsi="Arial"/>
          <w:sz w:val="20"/>
          <w:szCs w:val="20"/>
          <w:color w:val="auto"/>
        </w:rPr>
        <w:t>Scarlett previously served as Executive Vice President, President of Outback Steakhouse from July 2016 to February 2020; Executive Vice President, President of Bonefish Grill from April 2015 to July 2016;</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Senior Vice President, Casual Dining Restaurant Operations from January 2013 to April 2015; and Senior Vice President of Operations for Outback Steakhouse from March 2010 to January 2013.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Stutts </w:t>
      </w:r>
      <w:r>
        <w:rPr>
          <w:rFonts w:ascii="Arial" w:cs="Arial" w:eastAsia="Arial" w:hAnsi="Arial"/>
          <w:sz w:val="18"/>
          <w:szCs w:val="18"/>
          <w:color w:val="auto"/>
        </w:rPr>
        <w:t>has served as Executive Vice President, Chief Customer Officer since June 2019. Prior to joining Bloomin’ Brands, Mr.</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Stutts served as a Partner and Managing Director at Boston Consulting Group, from September 2008 to December 2018.</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ADDITIONAL INFORMATION</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make available, free of charge, through our internet website www.bloominbrands.com, our Annual Report on Form 10-K, Quarterly Reports on Form 10-Q, Current Reports on Form 8-K, Proxy Statements and amendments to those reports filed or furnished pursuant to Section 13(a) or 15(d) of the Exchange Act, as soon as reasonably practicable after electronically filing such material with the Securities and Exchange Commission (“SEC”). Our reports and other materials filed with the SEC are also available at www.sec.gov. The reference to these website addresses does not constitute incorporation by reference of the information contained on the websites and should not be considered part of this Report.</w:t>
      </w:r>
    </w:p>
    <w:p>
      <w:pPr>
        <w:spacing w:after="0" w:line="217"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4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The risk factors set forth below should be carefully considered. The risks described below are those that we believe could materially and adversely affect our business, financial condition or results of operations, however, they are not the only risks facing us. Additional risks and uncertainties not currently known to us or those we currently view to be immaterial may also materially and adversely affect our business, financial condition or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Business and Industry</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Food safety and food-borne illness concerns in our restaurants or throughout the industry or supply chain may have an adverse effect on our business by reducing demand and increasing costs.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Regardless of the source or cause, any report of food-borne illnesses and other food safety issues, whether at one of our restaurants or in the industry or supply chain, generally could have a negative impact on our traffic and sales and adversely affect the reputation of our brands. Food safety issues could be caused by suppliers or distributors and, as a result, be out of our control. Health concerns or outbreaks of disease in a food product could also reduce demand for particular menu offerings. Even instances of food-borne illness, food tampering or food contamination occurring solely at restaurants of other companies could result in negative publicity about the food service industry generally and adversely impact our sales. Social media has dramatically increased the rate at which negative publicity, including as it relates to food-borne illnesses, can be disseminated before there is any meaningful opportunity to respond or address an issue. The occurrence of food-borne illnesses or food safety issues could also adversely affect the price and availability of affected ingredients, resulting in higher costs and lower margins.</w:t>
      </w:r>
    </w:p>
    <w:p>
      <w:pPr>
        <w:spacing w:after="0" w:line="21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b w:val="1"/>
          <w:bCs w:val="1"/>
          <w:i w:val="1"/>
          <w:iCs w:val="1"/>
          <w:color w:val="auto"/>
        </w:rPr>
        <w:t>The COVID-19 pandemic has disrupted and is expected to continue to disrupt our business, and could continue to materially and adversely affect our business, revenues, financial condition and results of operations for an extended period of time.</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COVID-19 pandemic and related preventative and protective measures have negatively impacted, and are expected to continue to impact, our business globally. In the United States and in foreign countries in which we operate, individuals are encouraged to practice social distancing, and numerous jurisdictions have imposed on a temporary or on-going basis, and others in the future may impose or reinstate, restrictions from gathering in groups, shelter-in-place orders and similar governmental orders and restrictions for residents to control the spread of COVID-19, all of which impacts our ability to operate our business. These preventative and protective measures, which vary significantly across the jurisdictions where our restaurants are located, create a rapidly changing and complicated system for ensuring compliance and predicting our revenues and cost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In response to the COVID-19 pandemic and these changing conditions, we modified work hours for our team members, identified and implemented cost savings measures throughout our operations, shifted the majority of our corporate employees to remote working and temporarily limited our services in the U.S. to carry-out and delivery only from March 2020 through early May 2020. As of December 27, 2020, 85% of our restaurant dining rooms remain open with many still subject to seating capacity restrictions, which together with temporary closures has resulted in significantly reduced traffic in our restaurants. Even with our restaurant dining rooms mostly open for on-premises dining there can be no assurance that sales will return to prior levels given capacity restrictions, continued uncertainties surrounding the economic and public health impact of the COVID-19 pandemic and the possibility of additional closures or limitations on our capacity or services. If we revert to solely or primarily off-premises sales, there can be no assurance that our off-premises sales will grow or remain at levels experienced while our dining rooms were previously closed.</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entered into an amended credit agreement (the “Amended Credit Agreement”) relating to our senior secured credit facilities (the “Senior Secured Credit Facility”) and obtained covenant relief to address liquidity challenges faced at the onset of the pandemic. There can be no assurance that we can continue to comply with the revised covenants during the relief period or thereafter when they revert to prior levels if the COVID-19 pandemic lasts longer than expected or our business does not quickly recover afterward. If the business interruptions caused by COVID-19 last longer than we expect or our assumptions regarding liquidity needs prove inaccurate, we may need to seek other sources of liquidity. There can be no guarantee that additional liquidity will be readily available or available on favorable terms, especially the longer the COVID-19 pandemic lasts. In an effort to preserve liquidity, we have and may continue to take certain actions with respect to some or all of our leases, including negotiating lease amendments with landlords to obtain more favorable lease terms. We can provide no assurances that our lease amendment negotiations will be successful, or that, following the COVID-19 pandemic, we will be able to continue restaurant operations on the current or amended terms of our existing leases, any of which could have an adverse effect on our business and results. We have also paused most activities with respect to new locations, remodels and relocations, limited capital spending to maintenance necessary to support off-premises business, and closed certain restaurants, any of which may affect our ability to grow our business, particularly if these measures are in place for a significant amount of time.</w:t>
      </w:r>
    </w:p>
    <w:p>
      <w:pPr>
        <w:spacing w:after="0" w:line="199"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Our restaurant operations could be further disrupted if any of our employees are diagnosed with COVID-19, since this could require further restaurant closures or require some or all of a restaurant’s employees to self-quarantine. We have taken certain compensation and benefit relief actions to support our restaurant team members during COVID-19 business interruptions, but those actions may be insufficient to compensate our team members for the entire duration of any business interruption resulting from COVID-19, and our team members might seek and find other employment during that interruption, which could adversely affect our ability to properly staff and reopen our restaurants with experienced team members when the business interruptions caused by COVID-19 abate or end. If our customers become ill, a significant percentage of our or our suppliers’ or distributors’ workforce is unable to work, or if there are similar disruptions in the supply chain generally for certain products, whether because of illness, quarantine, limitations on travel or other government restrictions in connection with COVID-19, we could face disruptions to restaurant operations, cost increases and shortages of food or other supplies, or reputational harm or negative publicity directed at our brands that causes customers to avoid our restaurants, potentially materially adversely affecting our operations and sales.</w:t>
      </w:r>
    </w:p>
    <w:p>
      <w:pPr>
        <w:spacing w:after="0" w:line="21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In addition, the operations of our franchisees are subject to the same risks discussed above with respect to our business, and the COVID-19 pandemic has and may continue to cause financial distress to our franchisees. We have deferred or permanently waived certain of our franchisees’ payment obligations as a result, which deferments or waived payments may not be sufficient if financial distress continues. In some cases, we are contingently liable for franchisee lease obligations, and a failure by a franchisee to perform its obligations under such lease could result in direct payment obligations for us.</w:t>
      </w:r>
    </w:p>
    <w:p>
      <w:pPr>
        <w:spacing w:after="0" w:line="21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addition, we have and could continue to experience other material impacts as a result of COVID-19, including, but not limited to, impairment charges. We cannot accurately predict the amount and timing of any further impairment of assets. A significant amount of judgment is involved in determining if an indication of impairment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exists and the COVID-19 pandemic has made developing forecasts for, and the accounting of, valuation of goodwill and certain other assets slower and more difficult. Should the value of goodwill or other intangible or long-lived assets become further impaired, there could be an adverse effect on our financial condition and consolidated results of operations. To the extent the COVID-19 pandemic adversely affects our business and financial results, it may also have the effect of heightening many of the other risks described in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are subject to various federal and state employment and labor laws and regulations.</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Various employment and labor laws and regulations govern our relationships with our employees throughout the world and affect operating costs. These laws and regulations relate to matters including employment discrimination, minimum wage requirements, overtime, tip credits, unemployment tax rates, workers’ compensation rates, working conditions, immigration status, tax reporting and other wage and benefit requirements. Any significant additional government regulations and new laws governing our relationships with employees, including minimum wage increases, mandated benefits or other requirements that impose additional obligations on us, including any temporary or permanent measures implemented in response to COVID-19, could increase our costs and adversely affect our business and results of operations.</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significant number of our food service and preparation personnel are paid at rates related to the applicable minimum wage, federal, state and local proposals related to minimum wage requirements or similar matters could, to the extent implemented, materially increase our labor and other costs. As minimum wage increases continue to be implemented in states in which we operate, we expect our labor costs will continue to increase. In addition, President Biden has called for an increase in the federal minimum wage from $7.25 per hour to $15.00 per hour. Our distributors and suppliers could also be affected by higher minimum wage, benefit standards and compliance costs, which could result in higher costs for goods and services supplied to us. In addition, we rely on our employees to accurately disclose the full amount of their tip income, and we base our FICA tax reporting on the disclosures provided to us by such tipped employees. Inaccurate employee FICA tax reporting could subject us to monetary liabilities, which could harm our business, results of operations and financial condition.</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b w:val="1"/>
          <w:bCs w:val="1"/>
          <w:i w:val="1"/>
          <w:iCs w:val="1"/>
          <w:color w:val="auto"/>
        </w:rPr>
        <w:t>The restaurant industry is highly competitive and consumer options for other prepared food offerings continue to expand. Our inability to compete effectively could adversely affect our business, financial condition and results of operations.</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A substantial number of restaurant operators compete directly and indirectly with us with respect to price, service, location and food quality, some of which are well-established with significant resources. There is also active competition for management and other personnel, and attractive suitable real estate sites. Consumer tastes, nutritional and dietary trends, traffic patterns and the type, number and location of competing restaurants often affect the restaurant business, and our competitors may react more efficiently, creatively and effectively to those conditions. In addition, our competitors may generate or better implement business strategies that improve the value and relevance of their brands and reputation, relative to ours. For example, our competitors may more successfully implement menu or technology initiatives, such as remote ordering, social media or mobile technology platforms that expedite or enhance the customer experience. In addition, our competitors may more successfully implement delivery and off-site initiatives or implement other measures to better address COVID-related business risks. Further, we face growing competition from quick service and fast-casual restaurants, the supermarket industry and meal kit and food delivery providers, with the improvement of prepared food offerings and the trend towards convergence in grocery, deli, retail and restaurant services. We believe all of the above factors have increased competitive pressures in the casual dining sector in recent periods and we believe they will continue to present a challenging competitive environment in future periods. If we are unable to continue to compete effectively, our traffic, sales and margins could decline and our business, financial condition and results of operations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Challenging economic, political and social conditions may have a negative effect on our business and financial results.</w:t>
      </w:r>
    </w:p>
    <w:p>
      <w:pPr>
        <w:spacing w:after="0" w:line="25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Challenging economic, political and social conditions may negatively impact consumer spending and thus cause a decline in our financial results. For example, international, domestic and regional economic conditions, consumer income levels, financial market volatility, social unrest, governmental, political and budget matters and a slow or stagnant pace of economic recovery and growth generally may have a negative effect on consumer confidence and discretionary spending, which the restaurant industry depends upon. In recent years, we believe these factors and conditions may have affected consumer traffic and comparable restaurant sales for us and throughout our industry and may continue to contribute to a challenging sales environment in the casual dining sector. Protests, demonstrations, riots, civil disturbance, disobedience, insurrection, or social and other political unrest, such as those seen in 2020 and early 2021, have and may continue to result in restrictions, curfews, or other actions and give rise to significant changes in regional and global economic conditions. If such events or disruptions persist for a prolonged period of time, our overall business and results of operations may be adversely affected.</w:t>
      </w:r>
    </w:p>
    <w:p>
      <w:pPr>
        <w:spacing w:after="0" w:line="197"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In addition, it is difficult to predict what impact, if any, changes in federal policy, including tax policies, as a result of recent U.S. federal elections will have on our industry, the economy as a whole, consumer confidence and discretionary spending. As a result, the nature, timing and impact on our business of potential changes to the current legal and regulatory frameworks are uncertain. It is also difficult to predict what the long-term economic impacts of the ongoing COVID-19 pandemic may be.</w:t>
      </w:r>
    </w:p>
    <w:p>
      <w:pPr>
        <w:spacing w:after="0" w:line="210"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A decline in economic, political or social conditions or negative developments with respect to any of the other factors mentioned above, or a perception that such decline or negative developments are imminent, generally or in particular markets in which we operate, and our consumers’ reactions to these trends could result in increased pressure with respect to our pricing, traffic levels, commodity and other costs and the continuation of our innovation and productivity initiatives, which could negatively impact our business and results of operations. Further, poor economic conditions may force nearby businesses to shut down, which could cause our restaurant locations to be less attractive.</w:t>
      </w:r>
    </w:p>
    <w:p>
      <w:pPr>
        <w:spacing w:after="0" w:line="16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Failure to recruit, train and retain high-quality leadership, restaurant-level management and team members may inhibit our ability to operate and grow successfully.</w:t>
      </w:r>
    </w:p>
    <w:p>
      <w:pPr>
        <w:spacing w:after="0" w:line="20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Our success will continue to depend, to a significant extent, on our leadership team and other key management personnel. If we are unable to attract and retain sufficiently experienced and capable management personnel, our business and financial results may suffer.</w:t>
      </w:r>
    </w:p>
    <w:p>
      <w:pPr>
        <w:spacing w:after="0" w:line="157"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Our restaurant-level management and team members are largely responsible for the quality of our service. Our guests may be dissatisfied and our sales may decline if we fail to recruit, train and retain managers and team members that effectively implement our business strategy and provide high quality guest service. There is active competition for quality management personnel and hourly team members. If we experience high turnover, we may experience higher labor costs and have a shortage of adequate management personnel required for future growth.</w:t>
      </w:r>
    </w:p>
    <w:p>
      <w:pPr>
        <w:spacing w:after="0" w:line="15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Our inability or failure to recognize, respond to and effectively manage the accelerated impact of social media could have a material adverse impact on our business.</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Social media allows individuals to access a broad audience of consumers and other interested persons. The availability of information on social media platforms is virtually immediate as is its impact, and users can post information often without filters or checks on the accuracy of the content posted. Adverse or inaccurate information concerning our company or concepts may be posted at any time, and such information can quickly reach a wide audience. Social media has also been utilized to target specific companies or brands as a result of a variety of actions or inactions, or perceived actions or inactions, and such campaigns can rapidly accelerate and impact consumer behavior. The harm may be immediate without affording us an opportunity for redress or correction, and it is challenging to monitor, anticipate and promptly respond to such developments. These factors could have a</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material adverse effect on our business. Regardless of its basis or validity, any unfavorable publicity could adversely affect public perception of our brands.</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Our failure to use social media responsibly in our marketing efforts may further expose us to these risks. As part of our marketing efforts, we rely on search engine marketing and social media platforms to attract and retain guests. We need to continuously innovate and develop our social media strategies in order to maintain broad appeal with guests and brand relevance. We also continue to invest in other digital marketing initiatives that allow us to reach our guests across multiple digital channels and build their awareness of, engagement with, and loyalty to our brands. These initiatives may not be successful, resulting in expenses incurred without the benefit of higher revenues, increased employee engagement or brand recognition. In addition, a variety of risks are associated with the use of social media, including the improper disclosure of proprietary or personal information and negative publicity. The inappropriate use of social media vehicles by our guests or employees could increase our costs, lead to litigation or result in negative publicity that could damage our reputation.</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Cyber security breaches of confidential consumer, personal employee and other material information and other threats to our technological systems may adversely affect our business.</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 cyber incident that compromises the information of our consumers or employees, whether affecting our technological systems or those of third-party service providers that we rely on, could result in widespread negative publicity, damage to the reputation of our brands, a loss of consumers, an interruption of our business and legal liabilities.</w:t>
      </w:r>
    </w:p>
    <w:p>
      <w:pPr>
        <w:spacing w:after="0" w:line="21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majority of our restaurant sales are by credit or debit cards, and we maintain certain personal information regarding our employees and confidential information about our customers, franchisees and suppliers. Although we segment our card data environment and employ a cyber security protection program based upon industry frameworks, as well as scan and improve our environment for any vulnerabilities, perform penetration testing and engage third parties to assess effectiveness of our security measures with oversight by our Audit Committee, there are no assurances that such programs will prevent or detect all potential cyber security breaches or technological failures.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Our operations and corporate functions rely heavily on information systems, including point-of-sale processing in our restaurants, management of our supply chain, payment of obligations, collection of cash, data warehousing to support analytics, finance and accounting systems, mobile technologies to enhance the customer experience and other various processes and procedures, some of which are handled by third parties. Our ability to efficiently and effectively manage our business depends significantly on the reliability and capacity of these systems. The failure of these systems to operate effectively, system maintenance problems, upgrading or transitioning to new platforms, or any cyber incident relating to these systems could expose our systems or information to cyber threats, result in delays in consumer service, reduced efficiency in our operations or result in negative publicity. Despite our security measures, our technology systems may be vulnerable to damage, disability or failures due to physical theft, fire, power loss, telecommunications failure or other catastrophic events, as well as from internal and external security breaches, employee error or malfeasance, denial of service and ransomware attacks, viruses, worms and other disruptive problems.</w:t>
      </w: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From time to time we have been, and likely will continue to be, the target of attempted cyber and other security threats, including those common to most industries and those targeting us due to the confidential consumer information we obtain through our electronic processing of credit and debit card transactions. A security breach or even a perceived security breach or failure to appropriately respond to a cyber incident could result in litigation or governmental investigation, as well as damage to our reputation and brands. We are subject to a variety of continuously evolving laws and regulations regarding privacy, data protection and data security at federal, state and international levels. The California Consumer Privacy Act, for example, became effective January 1, 2020 and provides a new private right of action to California residents related to data breaches and imposes new disclosure and other requirements on companies with respect to their data collection, use and sharing practices as they relate to California residents. A claim or investigation resulting from a cyber or other security threat to our systems and data</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may have a material adverse effect on our business and the potential of incurring significant remediation costs. As cyber security risk and applicable laws and regulations evolve, we may incur significant additional costs in technology, third-party services and personnel to maintain systems designed to anticipate and prevent cyber-attacks.</w:t>
      </w: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Increased commodity, energy and other costs could decrease our profit margins or cause us to limit or otherwise modify our menus or increase prices, which could adversely affect our business.</w:t>
      </w:r>
    </w:p>
    <w:p>
      <w:pPr>
        <w:spacing w:after="0" w:line="20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performance of our restaurants depends on our ability to anticipate and react to changes in the price and availability of food commodities. Our business also incurs significant costs for energy, insurance, labor, marketing and real estate. Prices may be affected by supply, market changes, increased competition, the general risk of inflation, changes in laws, shortages or interruptions in supply due to weather, disease or other conditions beyond our control, or other reasons. Increased prices or shortages could affect the cost and quality of the items we buy or require us to raise prices, limit our menu options or implement alternative processes or products. As a result, these events, combined with other more general economic and demographic conditions, could impact our pricing and negatively affect our sales and profit margins.</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We have a limited number of suppliers for our major products. If our suppliers or custom distributors are unable to fulfill their obligations under their contracts or we are unable to develop or maintain relationships with these or new suppliers or distributors, if needed, we could encounter supply shortages and incur higher costs.</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depend on frequent deliveries of fresh food products that meet our specifications, and we have a limited number of suppliers for our major products, such as beef. In 2020, we purchased: (i) approximately 97% of our U.S. beef raw materials from four beef suppliers that represent more than 80% of the total beef marketplace in the U.S and (ii) approximately 84% of our Brazil beef raw materials from two beef suppliers that represent approximately 40% of the total Brazil beef marketplace. Due to the nature of our industry, we expect to continue to purchase a substantial amount of our beef from a small number of suppliers. We also primarily use one supplier in the U.S. and Brazil, respectively, to process beef raw materials to our specifications and we use one distribution company to provide distribution services in the U.S and Brazil, respectively. If any of these suppliers or distributors were unable to fulfill their responsibilities or we were unable to maintain current purchasing terms or ensure service availability and we were unable to locate substitutes in a timely manner, especially given the effects of COVID-19, we may encounter supply shortages, lose consumers and experience an increase in costs in seeking alternative supplier or distribution services. The failure to develop and maintain supplier and distributor relationships and any resulting disruptions to the provision of food and other supplies to our restaurant locations could adversely affect our operating results.</w:t>
      </w:r>
    </w:p>
    <w:p>
      <w:pPr>
        <w:spacing w:after="0" w:line="19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face a variety of risks associated with doing business in foreign markets that could have a negative impact on our financial performance.</w:t>
      </w:r>
    </w:p>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We have a significant number of restaurants outside of the United States, and we intend to continue our efforts to grow internationally. There is no assurance that international operations will be profitable or international growth will continue. In addition, if we have a significant concentration of restaurants in a foreign market the impact of any negative local conditions can have a sizable impact on our results.</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Our foreign operations are subject to all of the same risks as our U.S. restaurants, as well as additional risks including, among others, international economic, political, social and legal conditions and the possibility of instability and unrest, differing cultures and consumer preferences, diverse government regulations and tax systems, corruption, anti-American sentiment, the ability to source high quality ingredients and other commodities in a cost-effective manner, uncertain or differing interpretations of rights and obligations in connection with international franchise agreements and the collection of ongoing royalties from international franchisees, the availability and costs of land, construction and financing, and the availability of experienced management, appropriate franchisees and area operating partners.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Local or regional events or conditions in our international markets could affect our results. For example, during 2019, Hong Kong political protests led to violence and disrupted business operations. During 2018, unrest surrounding the presidential election in Brazil led to protests and a lengthy truckers strike that negatively impacted the Brazilian economy, causing supply shortages and transportation gridlock that resulted in lost operating days for many businesses, including our restaurants. In 2020, there were protests in cities throughout the U.S. as well as globally, including in Hong Kong, in connection with civil rights, liberties, and social and governmental reform.</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Currency regulations and fluctuations in exchange rates could also affect our performance. We have operations in many foreign countries, including direct investments in restaurants in Brazil and Hong Kong/China, as well as international franchises. As a result, we may experience losses from fluctuations in foreign currency exchange rates or any hedging arrangements that we enter into to offset such fluctuations, and such losses could adversely affect our overall sales and earnings.</w:t>
      </w:r>
    </w:p>
    <w:p>
      <w:pPr>
        <w:spacing w:after="0" w:line="20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We are subject to governmental regulation of our foreign operations, including antitrust and tax requirements, anti-boycott regulations, import/export/customs regulations and other international trade regulations, the USA Patriot Act and the Foreign Corrupt Practices Act. Any new regulatory or trade initiatives could impact our operations in certain countries. Failure to comply with any such legal requirements could subject us to monetary liabilities and other sanctions, which could harm our business, results of operations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Changes in tax laws and unanticipated tax liabilities could adversely affect the taxes we pay and our profitability.</w:t>
      </w:r>
    </w:p>
    <w:p>
      <w:pPr>
        <w:spacing w:after="0" w:line="243"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We are subject to income and other taxes in the United States and numerous foreign jurisdictions. Our effective income tax rate and other taxes in the future could be adversely affected by a number of factors, including changes in the mix of earnings in countries with different statutory tax rates, changes in the valuation of deferred tax assets and liabilities, changes in tax laws or other legislative changes and the outcome of income tax audits. Although we believe our tax estimates are reasonable, the final determination of tax audits could be materially different from our historical income tax provisions and accruals. The results of a tax audit could have a material effect on our results of operations or cash flows in the period or periods for which that determination is made. In addition, our effective income tax rate and our results may be impacted by our ability to realize deferred tax benefits, including our FICA tip credit carryforwards, and by any increases or decreases of our valuation allowances applied to our existing deferred tax assets. Additional tax regulations and interpretations of the Tax Cuts and Jobs Act could be issued, and no assurance can be made that future guidance will not adversely affect our business or financial condition.</w:t>
      </w:r>
    </w:p>
    <w:p>
      <w:pPr>
        <w:spacing w:after="0" w:line="21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The food service industry is affected by consumer preferences and perceptions. Changes in these preferences and perceptions may lessen the demand for our products, which would reduce sales and harm our business.</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Food service businesses are affected by changes in consumer tastes and demographic trends. For instance, if prevailing health or dietary preferences cause consumers to avoid steak and other products we offer in any of our concepts in favor of foods or ingredients that are perceived as healthier or otherwise reflect popular demand, our business and operating results would be harmed. Various factors such as menu labeling rules, nutritional guidelines and academic studies may impact consumer choice and cause consumers to select foods other than those that are offered by our restaurants. If we are unable to anticipate or successfully respond to changes in consumer preferences, our results of operations could be adversely affected, generally or in particular concepts or markets.</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relationships with third party delivery services and ability to grow sales through delivery orders are subject to risks.</w:t>
      </w:r>
    </w:p>
    <w:p>
      <w:pPr>
        <w:spacing w:after="0" w:line="25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maintain relationships with various third-party delivery apps and services. Our sales may be negatively affected if these platforms are damaged or interrupted through technological failures or otherwise. The drivers fulfilling third-party delivery orders may make errors or fail to make timely deliveries such that our food or brands are poorly represented. This could cause reputational harm or adversely impact sales and customer satisfaction. Our sales through these services may also depend on the availability of delivery drivers, who are generally independent contractors.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relationships with these third-party delivery services are relatively new, and the level of sales they may generate and overall customer experience provided through such services remain uncertain. Our sales and brand reputation could be harmed as a result, and these orders could discourage potentially more profitable in-restaurant or carryout sales.</w:t>
      </w: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Our failure to comply with government regulation related to our restaurant operations, and the costs of compliance or non-compliance, could adversely affect our business.</w:t>
      </w:r>
    </w:p>
    <w:p>
      <w:pPr>
        <w:spacing w:after="0" w:line="20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are subject to various federal, state, local and foreign laws affecting our business. Each of our restaurants is subject to licensing and regulation by a number of governmental authorities, which may include, among others, alcoholic beverage control, food safety, nutritional menu labeling, health care, environmental and fire agencies in the state, municipality or country in which the restaurant is located. Our suppliers are also subject to regulation in some of these areas. Any difficulties or inabilities to retain or renew licenses, or increased compliance costs due to changed regulations, could adversely affect operations at existing restaurants. Additionally, difficulties in obtaining or failing to obtain the required licenses or approvals could delay or prevent the development of new restaurants. We are subject to various U.S. federal, state and international laws and regulations related to the offer and sale of franchises. Failure to comply with these laws could adversely affect the results we generate from franchises or otherwise impose costs on us. Alcoholic beverage sales represent nine percent of our consolidated restaurant sales and are subject to extensive state and local licensing and other regulations. The failure of a restaurant to obtain or retain a liquor license would adversely affect that restaurant’s operations. In addition, we are subject to “dram shop” statutes in certain states. These statutes generally provide a person injured by an intoxicated person the right to recover damages from an establishment that wrongfully served alcoholic beverages to the intoxicated person. We may also incur costs as a result of compliance with measures implemented in response to COVID-19, such as requirements for physical barriers or other preventative measures in restaurants.</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Risks associated with our remodeling, relocation and expansion plans may have adverse effects on our operating results.</w:t>
      </w:r>
    </w:p>
    <w:p>
      <w:pPr>
        <w:spacing w:after="0" w:line="25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As part of our business strategy, we intend to continue to remodel, relocate and expand our current portfolio of restaurants. Our 2021 development schedule calls for the construction of approximately 20 to 25 new system-wide locations, with most in Brazil. A variety of factors could cause the actual results and outcome of those plans to differ from the anticipated results, including among other things, the availability and terms on which we can lease attractive sites for new or relocated restaurants, availability and terms of funding, recruiting, training and retaining skilled management and restaurant employees, construction or other delays and consumer tastes and acceptance of our restaurant concepts and awareness of our brands in new regions.</w:t>
      </w: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It is difficult to estimate the performance of newly opened restaurants and whether they may attract customers away from other restaurants we own. If new or nearby existing restaurants do not meet targeted performance, it could have a material adverse effect on our operating results, including any impairment losses that we may be required to recognize.</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Some of the challenges described above could be more significant in international markets in which we have more limited experience, either generally or with a particular brand. Those markets are likely to have different competitive conditions, consumer tastes, discretionary spending patterns and brand awareness, which may cause our new restaurants to be less successful than restaurants in our existing markets or make it more difficult to estimate the performance of new restaurants.</w:t>
      </w:r>
    </w:p>
    <w:p>
      <w:pPr>
        <w:spacing w:after="0" w:line="21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addition, in an effort to increase same-restaurant sales and improve our operating performance, we continue to make improvements to our facilities through our remodeling and relocation programs and close underperforming restaurants. We incur significant lease termination or continuation expenses and asset impairment and other charges when we close or relocate a restaurant. If the expenses associated with remodels, relocations or closures are higher than anticipated, we cannot find suitable locations or remodeled or relocated restaurants do not perform as expected,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these programs may not yield the desired return on investment, which could have a negative effect on our operating results.</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Failure to achieve our projected cost savings from our efficiency initiatives could adversely affect our results of operations and eliminate potential funding for growth opportunities.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In recent years, we have identified strategies and taken steps to reduce operating costs and free up resources to reinvest in our business. These strategies include improved supply chain management, implementing labor scheduling tools and integrating restaurant information systems across our brands. In addition, during 2020, we implemented certain measures to reduce costs and preserve liquidity in response to the impacts of COVID-19, which measures may not be sustainable or may be detrimental to continued operations over a longer term. We continue to evaluate and implement further cost-saving initiatives. However, the ability to reduce our operating costs through these initiatives is subject to risks and uncertainties, such as our ability to obtain improved supply pricing and the reliability of any new suppliers or technology, and we cannot assure that these activities, or any other activities that we may undertake in the future, will achieve the desired cost savings and efficiencies. Failure to achieve such desired savings could adversely affect our results of operations and financial condition and curtail investment in growth opportunities.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There are risks and uncertainties associated with initiatives that we may implement.</w:t>
      </w:r>
    </w:p>
    <w:p>
      <w:pPr>
        <w:spacing w:after="0" w:line="243"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From time to time, we consider various initiatives in order to grow and evolve our business and brands and improve our operating results. These initiatives could include, among other things, acquisitions, development or dispositions of restaurants or brands, new joint ventures, new franchise arrangements, restaurant closures and changes to our operating model. There can be no assurance that any such actions or initiatives will be successful or deliver their anticipated benefits. We may be exposed to new and unforeseen risks and challenges, particularly if we enter into markets or engage in activities with which we have no or limited prior experience, and it may be difficult to predict the success of such endeavors. If we incur significant expenses or divert management, financial and other resources to any initiative that is unsuccessful or does not meet our expectations, our results of operations and financial condition would be adversely affected. We may also incur significant asset impairment and other charges in connection with any such initiative. Regardless of the ultimate success of any initiative, the implementation and integration of new business or operational processes could be disruptive to our current operations. Even if we test and evaluate an initiative on a limited basis, the diversion of management time and resources could have an adverse effect on our business.</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Our success depends substantially on the value of our brands and our ability to execute innovative marketing and consumer relationship initiatives to maintain brand relevance and drive profitable sales growth.</w:t>
      </w:r>
    </w:p>
    <w:p>
      <w:pPr>
        <w:spacing w:after="0" w:line="20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success depends on our ability to preserve and grow our brands. Our brand value and reputation are especially important to differentiate our concepts in the highly competitive casual dining sector to achieve sustainable same-restaurant sales growth and warrant new unit growth. Brand value and reputation is based in large part on consumer perceptions, which are driven by both our actions and by actions beyond our control, such as new brand strategies or their implementation, business incidents, ineffective advertising or marketing efforts, or unfavorable mainstream or social media publicity involving us, our industry, our franchisees, or our suppliers. A failure to innovate and extend our brands in ways that are relevant to consumers and occasions in order to generate sustainable same-restaurant traffic growth, and produce non-traditional sales and earnings growth opportunities, could have an adverse effect on our results of operations. Additionally, insufficient focus on our competition or failure to adequately address declines in the casual dining industry, could adversely impact results of operations.</w:t>
      </w:r>
    </w:p>
    <w:p>
      <w:pPr>
        <w:spacing w:after="0" w:line="17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our competitors increase their spending on advertising, promotions and loyalty programs, if our advertising, media or marketing expenses increase, or if our advertising, promotions and loyalty programs become less effective than those of our competitors, or if we do not adequately leverage technology and data analytic capabilities needed to generate concise competitive insight, our results of operations could be materially and adversely effected.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control with respect to the operations of our franchisees, which could have a negative impact on our business.</w:t>
      </w:r>
    </w:p>
    <w:p>
      <w:pPr>
        <w:spacing w:after="0" w:line="26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Our franchisees are contractually obligated to operate their restaurants in accordance with our standards and we provide training and support to franchisees. However, franchisees are independent third parties that we do not control, and these franchisees own, operate and oversee the daily operations of their restaurants. As a result, the ultimate success and quality of any franchise restaurant rests with the franchisee. If franchisees do not successfully operate restaurants in a manner consistent with our product and service quality standards and contractual requirements, our image and reputation could be harmed, which in turn could adversely affect our business and operating results.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 significant portion of our financial results are dependent upon the operational and financial success of our franchisees. If sales trends or economic conditions worsen for franchisees, their financial results may worsen and our royalty, rent and other fee revenues may decline. In addition, we may also incur expenses in connection with supporting franchise restaurants that are underperforming. When Company-owned restaurants are sold to a franchisee, one of our subsidiaries is often required to remain responsible for lease payments for the sold restaurants to the extent the purchasing franchisees defaults on their leases. During periods of declining sales and profitability of franchisees, the incidence of franchisee defaults for these lease payments may increase and we may be required to make lease payments and seek recourse against the franchisee or agree to repayment terms.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business is subject to seasonal and periodic fluctuations, and past results are not indicative of future results.</w:t>
      </w:r>
    </w:p>
    <w:p>
      <w:pPr>
        <w:spacing w:after="0" w:line="24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Historically, consumer traffic patterns for our established restaurants are generally highest in the first quarter of the year and lowest in the third quarter of the year. Holidays may also affect sales volumes seasonally in some of the markets in which we operate. The COVID-19 pandemic may also have an impact on consumer behaviors and customer traffic that may result in temporary changes in the seasonal fluctuations of our business. In addition, our quarterly results have been and will continue to be affected by the timing of new restaurant openings and their associated pre-opening costs, as well as restaurant closures and exit-related costs, debt extinguishment and modification costs and impairments of goodwill, intangible assets and property, fixtures and equipment. As a result of these and other factors, our financial results for any quarter may not be indicative of the results that may be achieved for a full year.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adverse weather conditions and other disasters or unforeseen events could negatively impact our results of operations.</w:t>
      </w:r>
    </w:p>
    <w:p>
      <w:pPr>
        <w:spacing w:after="0" w:line="26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Adverse weather conditions and natural disasters and other unforeseen events, such as winter storms, severe temperatures, thunderstorms, floods, hurricanes and earthquakes, terrorist attacks, war and widespread/pandemic illness, and the effects of such events on economic conditions and consumer spending patterns, could negatively impact our results of operations. Temporary and prolonged restaurant closures may occur and consumer traffic may decline due to the actual or perceived effects from these events. For example, the COVID-19 pandemic, severe winter weather conditions and hurricanes have impacted our traffic, and that of our franchises, and results of operations in recent years.</w:t>
      </w:r>
    </w:p>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Our failure or inability to enforce our trademarks or other proprietary rights could adversely affect our competitive position or the value of our brand.</w:t>
      </w:r>
    </w:p>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trademarks, including Outback Steakhouse, Carrabba’s Italian Grill, Bonefish Grill, Fleming’s Prime Steakhouse &amp; Wine Bar and Bloomin’ Onion, and other proprietary rights are important to our success and our competitive position. The protective actions that we take may not be sufficient to prevent unauthorized usage or imitation by others, which could harm our image, brand or competitive position. Furthermore, our ability to protect trademarks and other proprietary rights may be more limited in certain international markets where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Litigation could have a material adverse impact on our business and our financial performance.</w:t>
      </w:r>
    </w:p>
    <w:p>
      <w:pPr>
        <w:spacing w:after="0" w:line="24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are subject to lawsuits, administrative proceedings and claims that arise in the regular course of business. These matters typically involve claims by consumers and others regarding issues such as food borne illness, food safety, premises liability, “dram shop” statute liability, promotional advertising and other operational issues common to the food service industry, as well as contract disputes and intellectual property infringement matters. We are also subject to employee claims against us based on, among other things, discrimination, harassment, wrongful termination, disability, or violation of wage and labor laws. We are also subject to the risk of being named a joint employer of workers of our franchisees for alleged violations of labor and wage laws. These claims may divert our financial and management resources that would otherwise be used to benefit our operations. The ongoing expense of any resulting lawsuits, and any substantial settlement payment or damage award against us, could adversely affect our business and results of operations. Significant legal fees and costs in complex class action litigation or an adverse judgment or settlement that is not insured or is in excess of insurance coverage could have a material adverse effect on our financial position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Indebtedness</w:t>
      </w:r>
    </w:p>
    <w:p>
      <w:pPr>
        <w:spacing w:after="0" w:line="249" w:lineRule="exact"/>
        <w:rPr>
          <w:sz w:val="20"/>
          <w:szCs w:val="20"/>
          <w:color w:val="auto"/>
        </w:rPr>
      </w:pPr>
    </w:p>
    <w:p>
      <w:pPr>
        <w:jc w:val="both"/>
        <w:spacing w:after="0" w:line="328" w:lineRule="auto"/>
        <w:rPr>
          <w:sz w:val="20"/>
          <w:szCs w:val="20"/>
          <w:color w:val="auto"/>
        </w:rPr>
      </w:pPr>
      <w:r>
        <w:rPr>
          <w:rFonts w:ascii="Arial" w:cs="Arial" w:eastAsia="Arial" w:hAnsi="Arial"/>
          <w:sz w:val="16"/>
          <w:szCs w:val="16"/>
          <w:b w:val="1"/>
          <w:bCs w:val="1"/>
          <w:i w:val="1"/>
          <w:iCs w:val="1"/>
          <w:color w:val="auto"/>
        </w:rPr>
        <w:t>We may not be able to generate sufficient cash to service all of our indebtedness and operating lease obligations, and we may be forced to take other actions to satisfy our obligations under our indebtedness and operating lease obligations, which may not be successful. If we fail to meet these obligations, we would be in default under our debt agreements and the lenders could elect to declare all amounts outstanding under them to be immediately due and payable and terminate all commitments to extend further credit.</w:t>
      </w:r>
    </w:p>
    <w:p>
      <w:pPr>
        <w:spacing w:after="0" w:line="15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Our ability to make scheduled payments on our debt obligations and to satisfy our operating lease obligations depends upon our financial condition and operating performance, which is subject to prevailing economic and competitive conditions and to financial, business and other factors, many of which are beyond our control. We cannot be certain that we will maintain a level of cash flow from operating activities sufficient to permit us to pay the principal, premium, if any, and interest on our indebtedness, or to pay our operating lease obligations. If our cash flow and capital resources are insufficient to fund our debt service obligations and operating lease obligations, we may be forced to reduce or delay capital expenditures, sell assets, seek additional capital or restructure or refinance our indebtedness. These alternative measures may not be successful and may not permit us to meet our scheduled debt service obligations. In the absence of sufficient operating results and resources, we could face substantial liquidity problems and might be required to dispose of material assets or operations or take other actions to meet our debt service and other obligations. Our debt agreements restrict our ability to dispose of assets and how we may use the proceeds from the disposition. We may not be able to consummate those dispositions or to obtain the proceeds that we could otherwise realize from such dispositions and any such proceeds that are realized may not be adequate to meet any debt service obligations then due. The failure to meet our debt service obligations or the failure to remain in compliance with the financial covenants under our debt agreements would constitute an event of default under those agreements and the lenders could elect to declare all amounts outstanding under them to be immediately due and payable and terminate all commitments to extend further credit.</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Our substantial leverage and our ability to refinance our indebtedness in the future could adversely affect our ability to raise additional capital to fund our operations, limit our ability to react to changes in the economy or our industry and expose us to interest rate risk in connection with our variable-rate debt.</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are highly leveraged. As of December 27, 2020, our total indebtedness was $1.0 billion and we had $533.7 million in available unused borrowing capacity under our revolving credit facility, net of undrawn letters of credit of $19.3 million. In May 2020, we issued $230.0 million of 5.00% convertible senior notes due in 2025 (the “2025 Notes”), in part to protect our financial condition and preserve liquidity given the uncertainties of the impact of COVID-19.</w:t>
      </w:r>
    </w:p>
    <w:p>
      <w:pPr>
        <w:spacing w:after="0" w:line="21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252525"/>
        </w:rPr>
        <w:t xml:space="preserve">Based on the daily closing prices of our stock during the quarter ended </w:t>
      </w:r>
      <w:r>
        <w:rPr>
          <w:rFonts w:ascii="Arial" w:cs="Arial" w:eastAsia="Arial" w:hAnsi="Arial"/>
          <w:sz w:val="20"/>
          <w:szCs w:val="20"/>
          <w:color w:val="000000"/>
        </w:rPr>
        <w:t>December 27, 2020</w:t>
      </w:r>
      <w:r>
        <w:rPr>
          <w:rFonts w:ascii="Arial" w:cs="Arial" w:eastAsia="Arial" w:hAnsi="Arial"/>
          <w:sz w:val="20"/>
          <w:szCs w:val="20"/>
          <w:color w:val="252525"/>
        </w:rPr>
        <w:t xml:space="preserve">, holders of the </w:t>
      </w:r>
      <w:r>
        <w:rPr>
          <w:rFonts w:ascii="Arial" w:cs="Arial" w:eastAsia="Arial" w:hAnsi="Arial"/>
          <w:sz w:val="20"/>
          <w:szCs w:val="20"/>
          <w:color w:val="000000"/>
        </w:rPr>
        <w:t>2025 Notes</w:t>
      </w:r>
      <w:r>
        <w:rPr>
          <w:rFonts w:ascii="Arial" w:cs="Arial" w:eastAsia="Arial" w:hAnsi="Arial"/>
          <w:sz w:val="20"/>
          <w:szCs w:val="20"/>
          <w:color w:val="252525"/>
        </w:rPr>
        <w:t xml:space="preserve"> are eligible to convert their </w:t>
      </w:r>
      <w:r>
        <w:rPr>
          <w:rFonts w:ascii="Arial" w:cs="Arial" w:eastAsia="Arial" w:hAnsi="Arial"/>
          <w:sz w:val="20"/>
          <w:szCs w:val="20"/>
          <w:color w:val="000000"/>
        </w:rPr>
        <w:t>2025 Notes</w:t>
      </w:r>
      <w:r>
        <w:rPr>
          <w:rFonts w:ascii="Arial" w:cs="Arial" w:eastAsia="Arial" w:hAnsi="Arial"/>
          <w:sz w:val="20"/>
          <w:szCs w:val="20"/>
          <w:color w:val="252525"/>
        </w:rPr>
        <w:t xml:space="preserve"> during the first quarter of 2021.</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Our high degree of leverage could have important consequences, including:</w:t>
      </w:r>
    </w:p>
    <w:p>
      <w:pPr>
        <w:spacing w:after="0" w:line="243"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making it more difficult for us to make payments on indebtedness;</w:t>
      </w:r>
    </w:p>
    <w:p>
      <w:pPr>
        <w:spacing w:after="0" w:line="15" w:lineRule="exact"/>
        <w:rPr>
          <w:rFonts w:ascii="Arial" w:cs="Arial" w:eastAsia="Arial" w:hAnsi="Arial"/>
          <w:sz w:val="20"/>
          <w:szCs w:val="20"/>
          <w:color w:val="auto"/>
        </w:rPr>
      </w:pPr>
    </w:p>
    <w:p>
      <w:pPr>
        <w:ind w:left="640" w:hanging="30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our vulnerability to general economic, industry and competitive conditions and the various risks we face in our business;</w:t>
      </w:r>
    </w:p>
    <w:p>
      <w:pPr>
        <w:spacing w:after="0" w:line="22" w:lineRule="exact"/>
        <w:rPr>
          <w:rFonts w:ascii="Arial" w:cs="Arial" w:eastAsia="Arial" w:hAnsi="Arial"/>
          <w:sz w:val="18"/>
          <w:szCs w:val="18"/>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increasing our cost of borrowing or limiting our ability to obtain additional financing if needed;</w:t>
      </w:r>
    </w:p>
    <w:p>
      <w:pPr>
        <w:ind w:left="660" w:hanging="328"/>
        <w:spacing w:after="0" w:line="239"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20"/>
          <w:szCs w:val="20"/>
          <w:color w:val="auto"/>
        </w:rPr>
        <w:t>reducing our ability to use our cash flow to fund our operations, capital expenditures, dividend payments, and future business and strategic opportunities; and</w:t>
      </w:r>
    </w:p>
    <w:p>
      <w:pPr>
        <w:ind w:left="660" w:hanging="328"/>
        <w:spacing w:after="0" w:line="244"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20"/>
          <w:szCs w:val="20"/>
          <w:color w:val="auto"/>
        </w:rPr>
        <w:t>limiting our ability to adjust to changing market conditions and placing us at a competitive disadvantage compared to our competitors who may not be as highly leveraged.</w:t>
      </w:r>
    </w:p>
    <w:p>
      <w:pPr>
        <w:spacing w:after="0" w:line="21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may incur substantial additional indebtedness in the future, subject to the restrictions contained in our Senior Secured Credit Facility. If new indebtedness is added to our current debt levels, the related risks that we now face could increase.</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As of December 27, 2020, we had $872.0 million of variable-rate debt outstanding under our Senior Secured Credit Facility, of which </w:t>
      </w:r>
      <w:r>
        <w:rPr>
          <w:rFonts w:ascii="Arial" w:cs="Arial" w:eastAsia="Arial" w:hAnsi="Arial"/>
          <w:sz w:val="19"/>
          <w:szCs w:val="19"/>
          <w:color w:val="252525"/>
        </w:rPr>
        <w:t>$550.0</w:t>
      </w:r>
      <w:r>
        <w:rPr>
          <w:rFonts w:ascii="Arial" w:cs="Arial" w:eastAsia="Arial" w:hAnsi="Arial"/>
          <w:sz w:val="19"/>
          <w:szCs w:val="19"/>
          <w:color w:val="auto"/>
        </w:rPr>
        <w:t xml:space="preserve"> </w:t>
      </w:r>
      <w:r>
        <w:rPr>
          <w:rFonts w:ascii="Arial" w:cs="Arial" w:eastAsia="Arial" w:hAnsi="Arial"/>
          <w:sz w:val="19"/>
          <w:szCs w:val="19"/>
          <w:color w:val="252525"/>
        </w:rPr>
        <w:t xml:space="preserve">million </w:t>
      </w:r>
      <w:r>
        <w:rPr>
          <w:rFonts w:ascii="Arial" w:cs="Arial" w:eastAsia="Arial" w:hAnsi="Arial"/>
          <w:sz w:val="19"/>
          <w:szCs w:val="19"/>
          <w:color w:val="000000"/>
        </w:rPr>
        <w:t>is hedged under variable-to-fixed interest rate swap agreements with various counterparties. An increase in the floating rate could</w:t>
      </w:r>
      <w:r>
        <w:rPr>
          <w:rFonts w:ascii="Arial" w:cs="Arial" w:eastAsia="Arial" w:hAnsi="Arial"/>
          <w:sz w:val="19"/>
          <w:szCs w:val="19"/>
          <w:color w:val="252525"/>
        </w:rPr>
        <w:t xml:space="preserve"> </w:t>
      </w:r>
      <w:r>
        <w:rPr>
          <w:rFonts w:ascii="Arial" w:cs="Arial" w:eastAsia="Arial" w:hAnsi="Arial"/>
          <w:sz w:val="19"/>
          <w:szCs w:val="19"/>
          <w:color w:val="000000"/>
        </w:rPr>
        <w:t>cause a material increase in our interest expense due to the total amount of our outstanding variable rate indebtedness.</w:t>
      </w:r>
    </w:p>
    <w:p>
      <w:pPr>
        <w:spacing w:after="0" w:line="19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cannot be certain that our financial condition or credit and other market conditions will be favorable when our Senior Secured Credit Facility matures in 2022, or at any earlier time we may seek to refinance our debt. If we are unable to refinance our indebtedness on favorable terms, our financial condition and results of operations would be adversely affected.</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debt agreements contain restrictions that limit our flexibility in operating our business.</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Certain of our debt agreements limit our and our subsidiaries’ abilities to, among other things, incur or guarantee additional indebtedness, pay dividends on, redeem or repurchase our capital stock, make certain acquisitions or investments, incur or permit to exist certain liens, enter into transactions with affiliates or sell our assets to, merge or consolidate with or into, another company. Our Amended Credit Agreement prohibits us from making certain restricted payments (including dividends), investments or acquisitions until after September 26, 2021. Our debt agreements require us to satisfy certain financial tests and ratios. Our ability to satisfy such tests and ratios may be affected by events outside of our control. While we obtained covenant relief to address liquidity challenges faced at the onset of the COVID-19 pandemic under our Amended Credit Agreement, there can be no assurance that we can continue to comply with the revised covenants during the relief period or thereafter when they revert to prior levels if the COVID-19 pandemic lasts longer than expected or our business does not quickly recover afterward.</w:t>
      </w:r>
    </w:p>
    <w:p>
      <w:pPr>
        <w:spacing w:after="0" w:line="21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If we breach the covenants under our debt agreements, the lenders could elect to declare all amounts outstanding under the agreements to be immediately due and payable and terminate all commitments to extend further credit. If we are unable to repay those amounts, the lenders could proceed against the collateral granted to them to secure that indebtedness. We have pledged substantially all of our assets as collateral under our debt agreement. If our lenders accelerate the repayment of borrowings, we cannot be certain that we will have sufficient assets to repay them.</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Common Stock</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ability to raise capital in the future may be limited, which could make us unable to fund our capital requirements.</w:t>
      </w:r>
    </w:p>
    <w:p>
      <w:pPr>
        <w:spacing w:after="0" w:line="24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Our business and operations may consume resources faster than we anticipate. In the future, we may need to raise additional funds through the issuance of new equity securities, debt or a combination of both. Additional financing may not be available on favorable terms or at all. If adequate funds are not available on acceptable terms, we may be unable to fund our capital requirements. If we issue new debt securities, the debt holders would have rights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senior to common stockholders to make claims on our assets, and the terms of any debt could restrict our operations, including our ability to pay dividends on our common stock. If we issue additional equity securities, existing stockholders may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our stockholders bear the risk of our future securities offerings reducing the market price of our common stock and diluting their interest.</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stock price is subject to volatility.</w:t>
      </w:r>
    </w:p>
    <w:p>
      <w:pPr>
        <w:spacing w:after="0" w:line="24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stock market in general is highly volatile. As a result, the market price of our common stock is similarly volatile. The price of our common stock could be subject to wide fluctuations in response to a number of factors, some of which may be beyond our control. These factors include actual or anticipated fluctuations in our operating results, changes in or our ability to achieve estimates of our operating results by analysts, investors or management, analysts’ recommendations regarding our stock or our competitors’ stock, sales of substantial amounts of our common stock by our stockholders, actions or announcements by us or our competitors, the maintenance and growth of the value of our brands, litigation, legislation or other regulatory developments affecting us or our industry, widespread/pandemic illness, natural disasters, cyber attacks, terrorist acts, war or other calamities and changes in general market and economic conditions.</w:t>
      </w:r>
    </w:p>
    <w:p>
      <w:pPr>
        <w:spacing w:after="0" w:line="195"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b w:val="1"/>
          <w:bCs w:val="1"/>
          <w:i w:val="1"/>
          <w:iCs w:val="1"/>
          <w:color w:val="auto"/>
        </w:rPr>
        <w:t>Provisions in our certificate of incorporation and bylaws and Delaware law may discourage, delay or prevent a change of control of our company or changes in our management and, therefore, may depress the trading price of our stock.</w:t>
      </w:r>
    </w:p>
    <w:p>
      <w:pPr>
        <w:spacing w:after="0" w:line="17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Our certificate of incorporation and bylaws include certain provisions (including provisions related to our classified board structure and supermajority voting requirements) that could have the effect of discouraging, delaying or preventing a change of control of our company or changes in our management. These provisions may discourage, delay or prevent a transaction involving a change in control of the Company that is in the best interests of our stockholders. Even in the absence of a takeover attempt, the existence of these provisions may adversely affect the prevailing market price of our common stock if they are viewed as discouraging future takeover attempts.</w:t>
      </w:r>
    </w:p>
    <w:p>
      <w:pPr>
        <w:spacing w:after="0" w:line="19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Section 203 of the Delaware General Corporation Law may affect the ability of an “interested stockholder” to engage in certain business combinations, including mergers, consolidations or acquisitions of additional shares, for a period of three years following the time that the stockholder becomes an “interested stockholder.” An “interested stockholder” is defined to include persons owning directly or indirectly 15% or more of the outstanding voting stock of a corporation. Although we have elected in our certificate of incorporation not to be subject to Section 203 of the Delaware General Corporation Law our certificate of incorporation contains provisions that have the same effect as Section 203, except that they provide that our former private equity sponsors will not be deemed to be “interested stockholders,” regardless of the percentage of our voting stock owned by them, and accordingly will not be subject to such restrictions.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Risk Factors</w:t>
      </w:r>
    </w:p>
    <w:p>
      <w:pPr>
        <w:spacing w:after="0" w:line="24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An impairment in the carrying value of our goodwill or other intangible or long-lived assets could adversely affect our financial condition and results of operations.</w:t>
      </w:r>
    </w:p>
    <w:p>
      <w:pPr>
        <w:spacing w:after="0" w:line="20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Along with other intangible assets, we test goodwill for impairment annually and whenever events or changes in circumstances indicate that its carrying value may not be recoverable. We also evaluate long-lived assets on a quarterly basis or whenever events or changes in circumstances indicate that the carrying value may not be recoverable. We cannot accurately predict the amount and timing of any impairment of assets. A significant amount of judgment is involved in determining if an indication of impairment exists. Should the value of goodwill or other intangible or long-lived assets become impaired, there could be an adverse effect on our financial condition and consolidated results of operations.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Failure to maintain effective systems of internal control over financial reporting and disclosure controls and procedures could adversely affect our business and financial results.</w:t>
      </w:r>
    </w:p>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Effective internal control over financial reporting is necessary for us to provide accurate financial information. If we are unable to adequately maintain effective internal control over financial reporting, we may not be able to accurately report our financial results. Furthermore, we cannot be certain that our internal control over financial reporting and disclosure controls and procedures will prevent all possible error and fraud, including through cyber attacks. Because of inherent limitations in all control systems, no evaluation of controls can provide absolute assurance that all control issues and instances of error or fraud, if any, in our company have been detected. These inherent limitations include the realities that judgments in decision-making can be faulty and that breakdowns can occur because of simple error or mistake, which could have an adverse impact on our business. A significant financial reporting failure or a lack of sufficient internal control over financial reporting could cause a loss of investor confidence and decline in the market price of our common stock, increase our costs, lead to litigation or result in negative publicity that could damage our reputation.</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Future changes to existing accounting rules, accounting standards, new pronouncements and varying interpretations of pronouncements, or the questioning of current accounting practices may adversely affect our reported financial results. Additionally, our assumptions, estimates and judgments related to complex accounting matters could significantly affect our financial results. Generally accepted accounting principles and related accounting pronouncements, implementation guidelines and interpretations with regard to a wide range of matters that are relevant to our business, including but not limited to, revenue recognition, impairment of long-lived assets, leases and related economic transactions, derivatives, intangibles, self-insurance, income taxes, property and equipment, unclaimed property laws and litigation, and stock-based compensation are highly complex and involve many subjective assumptions, estimates and judgments by us. Changes in these rules or their interpretation or changes in underlying assumptions, estimates or judgments by us could significantly change our reported or expected financial performance.</w:t>
      </w: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Our insurance policies may not provide adequate levels of coverage against all claims, and fluctuating insurance requirements and costs could negatively impact our profitability.</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We carry insurance programs with specific retention levels or high per-claim deductibles for a significant portion of our risks and associated liabilities with respect to workers’ compensation, general liability, liquor liability, employment practices liability, property, health benefits, cyber security and other insurable risks. However, there are types of losses we may incur that cannot be insured against or that we believe are not commercially reasonable to insure. These losses, if they occur, could have a material and adverse effect on our business and results of operations. Additionally, if our insurance costs increase, there can be no assurance that we will be able to successfully offset the effect of such increases and our results of operations may be adversely affected.</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7"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4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We had 1,474 system-wide restaurants located across 47 states, Guam and 20 countries as of December 27, 2020. The following is a summary of our restaurant locations by country and territory as of December 27, 2020:</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70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COMPANY-OWNED</w:t>
            </w: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FRANCHISED</w:t>
            </w:r>
          </w:p>
        </w:tc>
        <w:tc>
          <w:tcPr>
            <w:tcW w:w="2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w:t>
            </w:r>
          </w:p>
        </w:tc>
        <w:tc>
          <w:tcPr>
            <w:tcW w:w="100" w:type="dxa"/>
            <w:vAlign w:val="bottom"/>
            <w:shd w:val="clear" w:color="auto" w:fill="CCEEFF"/>
          </w:tcPr>
          <w:p>
            <w:pPr>
              <w:spacing w:after="0"/>
              <w:rPr>
                <w:sz w:val="18"/>
                <w:szCs w:val="18"/>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4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14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Arial" w:cs="Arial" w:eastAsia="Arial" w:hAnsi="Arial"/>
                <w:sz w:val="16"/>
                <w:szCs w:val="16"/>
                <w:color w:val="auto"/>
              </w:rPr>
              <w:t>Brazil (1)</w:t>
            </w:r>
          </w:p>
        </w:tc>
        <w:tc>
          <w:tcPr>
            <w:tcW w:w="88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8"/>
                <w:szCs w:val="18"/>
                <w:color w:val="auto"/>
              </w:rPr>
            </w:pPr>
          </w:p>
        </w:tc>
        <w:tc>
          <w:tcPr>
            <w:tcW w:w="2340" w:type="dxa"/>
            <w:vAlign w:val="bottom"/>
          </w:tcPr>
          <w:p>
            <w:pPr>
              <w:ind w:left="140"/>
              <w:spacing w:after="0"/>
              <w:rPr>
                <w:sz w:val="20"/>
                <w:szCs w:val="20"/>
                <w:color w:val="auto"/>
              </w:rPr>
            </w:pPr>
            <w:r>
              <w:rPr>
                <w:rFonts w:ascii="Arial" w:cs="Arial" w:eastAsia="Arial" w:hAnsi="Arial"/>
                <w:sz w:val="16"/>
                <w:szCs w:val="16"/>
                <w:color w:val="auto"/>
              </w:rPr>
              <w:t>Argentina</w:t>
            </w:r>
          </w:p>
        </w:tc>
        <w:tc>
          <w:tcPr>
            <w:tcW w:w="1460" w:type="dxa"/>
            <w:vAlign w:val="bottom"/>
          </w:tcPr>
          <w:p>
            <w:pPr>
              <w:jc w:val="right"/>
              <w:ind w:right="180"/>
              <w:spacing w:after="0"/>
              <w:rPr>
                <w:sz w:val="20"/>
                <w:szCs w:val="20"/>
                <w:color w:val="auto"/>
              </w:rPr>
            </w:pPr>
            <w:r>
              <w:rPr>
                <w:rFonts w:ascii="Arial" w:cs="Arial" w:eastAsia="Arial" w:hAnsi="Arial"/>
                <w:sz w:val="16"/>
                <w:szCs w:val="16"/>
                <w:color w:val="auto"/>
              </w:rPr>
              <w:t>1</w:t>
            </w:r>
          </w:p>
        </w:tc>
        <w:tc>
          <w:tcPr>
            <w:tcW w:w="2100" w:type="dxa"/>
            <w:vAlign w:val="bottom"/>
          </w:tcPr>
          <w:p>
            <w:pPr>
              <w:ind w:left="60"/>
              <w:spacing w:after="0"/>
              <w:rPr>
                <w:sz w:val="20"/>
                <w:szCs w:val="20"/>
                <w:color w:val="auto"/>
              </w:rPr>
            </w:pPr>
            <w:r>
              <w:rPr>
                <w:rFonts w:ascii="Arial" w:cs="Arial" w:eastAsia="Arial" w:hAnsi="Arial"/>
                <w:sz w:val="16"/>
                <w:szCs w:val="16"/>
                <w:color w:val="auto"/>
              </w:rPr>
              <w:t>Malaysia</w:t>
            </w:r>
          </w:p>
        </w:tc>
        <w:tc>
          <w:tcPr>
            <w:tcW w:w="6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China (Mainland)</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Australia</w:t>
            </w:r>
          </w:p>
        </w:tc>
        <w:tc>
          <w:tcPr>
            <w:tcW w:w="14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8</w:t>
            </w:r>
          </w:p>
        </w:tc>
        <w:tc>
          <w:tcPr>
            <w:tcW w:w="2100" w:type="dxa"/>
            <w:vAlign w:val="bottom"/>
            <w:shd w:val="clear" w:color="auto" w:fill="CCEEFF"/>
          </w:tcPr>
          <w:p>
            <w:pPr>
              <w:ind w:left="60"/>
              <w:spacing w:after="0"/>
              <w:rPr>
                <w:sz w:val="20"/>
                <w:szCs w:val="20"/>
                <w:color w:val="auto"/>
              </w:rPr>
            </w:pPr>
            <w:r>
              <w:rPr>
                <w:rFonts w:ascii="Arial" w:cs="Arial" w:eastAsia="Arial" w:hAnsi="Arial"/>
                <w:sz w:val="16"/>
                <w:szCs w:val="16"/>
                <w:color w:val="auto"/>
              </w:rPr>
              <w:t>Mexico</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Hong Kong</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9"/>
                <w:szCs w:val="19"/>
                <w:color w:val="auto"/>
              </w:rPr>
            </w:pPr>
          </w:p>
        </w:tc>
        <w:tc>
          <w:tcPr>
            <w:tcW w:w="23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Bahamas</w:t>
            </w:r>
          </w:p>
        </w:tc>
        <w:tc>
          <w:tcPr>
            <w:tcW w:w="1460" w:type="dxa"/>
            <w:vAlign w:val="bottom"/>
            <w:tcBorders>
              <w:bottom w:val="single" w:sz="8" w:color="CCEEFF"/>
            </w:tcBorders>
          </w:tcPr>
          <w:p>
            <w:pPr>
              <w:jc w:val="right"/>
              <w:ind w:right="180"/>
              <w:spacing w:after="0"/>
              <w:rPr>
                <w:sz w:val="20"/>
                <w:szCs w:val="20"/>
                <w:color w:val="auto"/>
              </w:rPr>
            </w:pPr>
            <w:r>
              <w:rPr>
                <w:rFonts w:ascii="Arial" w:cs="Arial" w:eastAsia="Arial" w:hAnsi="Arial"/>
                <w:sz w:val="16"/>
                <w:szCs w:val="16"/>
                <w:color w:val="auto"/>
              </w:rPr>
              <w:t>1</w:t>
            </w:r>
          </w:p>
        </w:tc>
        <w:tc>
          <w:tcPr>
            <w:tcW w:w="210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Philippines</w:t>
            </w: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3"/>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international Company-owned</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Canada</w:t>
            </w:r>
          </w:p>
        </w:tc>
        <w:tc>
          <w:tcPr>
            <w:tcW w:w="146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rPr>
              <w:t>3</w:t>
            </w:r>
          </w:p>
        </w:tc>
        <w:tc>
          <w:tcPr>
            <w:tcW w:w="21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Qatar</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0"/>
        </w:trPr>
        <w:tc>
          <w:tcPr>
            <w:tcW w:w="3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tcPr>
          <w:p>
            <w:pPr>
              <w:ind w:left="140"/>
              <w:spacing w:after="0"/>
              <w:rPr>
                <w:sz w:val="20"/>
                <w:szCs w:val="20"/>
                <w:color w:val="auto"/>
              </w:rPr>
            </w:pPr>
            <w:r>
              <w:rPr>
                <w:rFonts w:ascii="Arial" w:cs="Arial" w:eastAsia="Arial" w:hAnsi="Arial"/>
                <w:sz w:val="16"/>
                <w:szCs w:val="16"/>
                <w:color w:val="auto"/>
              </w:rPr>
              <w:t>Costa Rica</w:t>
            </w:r>
          </w:p>
        </w:tc>
        <w:tc>
          <w:tcPr>
            <w:tcW w:w="1460" w:type="dxa"/>
            <w:vAlign w:val="bottom"/>
          </w:tcPr>
          <w:p>
            <w:pPr>
              <w:jc w:val="right"/>
              <w:ind w:right="180"/>
              <w:spacing w:after="0"/>
              <w:rPr>
                <w:sz w:val="20"/>
                <w:szCs w:val="20"/>
                <w:color w:val="auto"/>
              </w:rPr>
            </w:pPr>
            <w:r>
              <w:rPr>
                <w:rFonts w:ascii="Arial" w:cs="Arial" w:eastAsia="Arial" w:hAnsi="Arial"/>
                <w:sz w:val="16"/>
                <w:szCs w:val="16"/>
                <w:color w:val="auto"/>
              </w:rPr>
              <w:t>1</w:t>
            </w:r>
          </w:p>
        </w:tc>
        <w:tc>
          <w:tcPr>
            <w:tcW w:w="2100" w:type="dxa"/>
            <w:vAlign w:val="bottom"/>
          </w:tcPr>
          <w:p>
            <w:pPr>
              <w:ind w:left="60"/>
              <w:spacing w:after="0"/>
              <w:rPr>
                <w:sz w:val="20"/>
                <w:szCs w:val="20"/>
                <w:color w:val="auto"/>
              </w:rPr>
            </w:pPr>
            <w:r>
              <w:rPr>
                <w:rFonts w:ascii="Arial" w:cs="Arial" w:eastAsia="Arial" w:hAnsi="Arial"/>
                <w:sz w:val="16"/>
                <w:szCs w:val="16"/>
                <w:color w:val="auto"/>
              </w:rPr>
              <w:t>Saudi Arabia</w:t>
            </w:r>
          </w:p>
        </w:tc>
        <w:tc>
          <w:tcPr>
            <w:tcW w:w="6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Dominican Republic</w:t>
            </w:r>
          </w:p>
        </w:tc>
        <w:tc>
          <w:tcPr>
            <w:tcW w:w="14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w:t>
            </w:r>
          </w:p>
        </w:tc>
        <w:tc>
          <w:tcPr>
            <w:tcW w:w="2100" w:type="dxa"/>
            <w:vAlign w:val="bottom"/>
            <w:shd w:val="clear" w:color="auto" w:fill="CCEEFF"/>
          </w:tcPr>
          <w:p>
            <w:pPr>
              <w:ind w:left="60"/>
              <w:spacing w:after="0"/>
              <w:rPr>
                <w:sz w:val="20"/>
                <w:szCs w:val="20"/>
                <w:color w:val="auto"/>
              </w:rPr>
            </w:pPr>
            <w:r>
              <w:rPr>
                <w:rFonts w:ascii="Arial" w:cs="Arial" w:eastAsia="Arial" w:hAnsi="Arial"/>
                <w:sz w:val="16"/>
                <w:szCs w:val="16"/>
                <w:color w:val="auto"/>
              </w:rPr>
              <w:t>Singapore</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3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Pr>
          <w:p>
            <w:pPr>
              <w:ind w:left="140"/>
              <w:spacing w:after="0"/>
              <w:rPr>
                <w:sz w:val="20"/>
                <w:szCs w:val="20"/>
                <w:color w:val="auto"/>
              </w:rPr>
            </w:pPr>
            <w:r>
              <w:rPr>
                <w:rFonts w:ascii="Arial" w:cs="Arial" w:eastAsia="Arial" w:hAnsi="Arial"/>
                <w:sz w:val="16"/>
                <w:szCs w:val="16"/>
                <w:color w:val="auto"/>
              </w:rPr>
              <w:t>Guam</w:t>
            </w:r>
          </w:p>
        </w:tc>
        <w:tc>
          <w:tcPr>
            <w:tcW w:w="1460" w:type="dxa"/>
            <w:vAlign w:val="bottom"/>
          </w:tcPr>
          <w:p>
            <w:pPr>
              <w:jc w:val="right"/>
              <w:ind w:right="180"/>
              <w:spacing w:after="0"/>
              <w:rPr>
                <w:sz w:val="20"/>
                <w:szCs w:val="20"/>
                <w:color w:val="auto"/>
              </w:rPr>
            </w:pPr>
            <w:r>
              <w:rPr>
                <w:rFonts w:ascii="Arial" w:cs="Arial" w:eastAsia="Arial" w:hAnsi="Arial"/>
                <w:sz w:val="16"/>
                <w:szCs w:val="16"/>
                <w:color w:val="auto"/>
              </w:rPr>
              <w:t>1</w:t>
            </w:r>
          </w:p>
        </w:tc>
        <w:tc>
          <w:tcPr>
            <w:tcW w:w="2100" w:type="dxa"/>
            <w:vAlign w:val="bottom"/>
          </w:tcPr>
          <w:p>
            <w:pPr>
              <w:ind w:left="60"/>
              <w:spacing w:after="0"/>
              <w:rPr>
                <w:sz w:val="20"/>
                <w:szCs w:val="20"/>
                <w:color w:val="auto"/>
              </w:rPr>
            </w:pPr>
            <w:r>
              <w:rPr>
                <w:rFonts w:ascii="Arial" w:cs="Arial" w:eastAsia="Arial" w:hAnsi="Arial"/>
                <w:sz w:val="16"/>
                <w:szCs w:val="16"/>
                <w:color w:val="auto"/>
              </w:rPr>
              <w:t>South Korea</w:t>
            </w:r>
          </w:p>
        </w:tc>
        <w:tc>
          <w:tcPr>
            <w:tcW w:w="60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Indonesia</w:t>
            </w:r>
          </w:p>
        </w:tc>
        <w:tc>
          <w:tcPr>
            <w:tcW w:w="14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4</w:t>
            </w:r>
          </w:p>
        </w:tc>
        <w:tc>
          <w:tcPr>
            <w:tcW w:w="2100" w:type="dxa"/>
            <w:vAlign w:val="bottom"/>
            <w:shd w:val="clear" w:color="auto" w:fill="CCEEFF"/>
          </w:tcPr>
          <w:p>
            <w:pPr>
              <w:ind w:left="60"/>
              <w:spacing w:after="0"/>
              <w:rPr>
                <w:sz w:val="20"/>
                <w:szCs w:val="20"/>
                <w:color w:val="auto"/>
              </w:rPr>
            </w:pPr>
            <w:r>
              <w:rPr>
                <w:rFonts w:ascii="Arial" w:cs="Arial" w:eastAsia="Arial" w:hAnsi="Arial"/>
                <w:sz w:val="16"/>
                <w:szCs w:val="16"/>
                <w:color w:val="auto"/>
              </w:rPr>
              <w:t>Thailand</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3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Japan</w:t>
            </w:r>
          </w:p>
        </w:tc>
        <w:tc>
          <w:tcPr>
            <w:tcW w:w="1460" w:type="dxa"/>
            <w:vAlign w:val="bottom"/>
            <w:tcBorders>
              <w:bottom w:val="single" w:sz="8" w:color="CCEEFF"/>
            </w:tcBorders>
          </w:tcPr>
          <w:p>
            <w:pPr>
              <w:jc w:val="right"/>
              <w:ind w:right="180"/>
              <w:spacing w:after="0"/>
              <w:rPr>
                <w:sz w:val="20"/>
                <w:szCs w:val="20"/>
                <w:color w:val="auto"/>
              </w:rPr>
            </w:pPr>
            <w:r>
              <w:rPr>
                <w:rFonts w:ascii="Arial" w:cs="Arial" w:eastAsia="Arial" w:hAnsi="Arial"/>
                <w:sz w:val="16"/>
                <w:szCs w:val="16"/>
                <w:color w:val="auto"/>
              </w:rPr>
              <w:t>10</w:t>
            </w:r>
          </w:p>
        </w:tc>
        <w:tc>
          <w:tcPr>
            <w:tcW w:w="210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Turks and Caicos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international franchised</w:t>
            </w:r>
          </w:p>
        </w:tc>
        <w:tc>
          <w:tcPr>
            <w:tcW w:w="1460" w:type="dxa"/>
            <w:vAlign w:val="bottom"/>
            <w:tcBorders>
              <w:bottom w:val="single" w:sz="8" w:color="CCEEFF"/>
            </w:tcBorders>
            <w:shd w:val="clear" w:color="auto" w:fill="CCEEFF"/>
          </w:tcPr>
          <w:p>
            <w:pPr>
              <w:spacing w:after="0"/>
              <w:rPr>
                <w:sz w:val="19"/>
                <w:szCs w:val="19"/>
                <w:color w:val="auto"/>
              </w:rPr>
            </w:pPr>
          </w:p>
        </w:tc>
        <w:tc>
          <w:tcPr>
            <w:tcW w:w="2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Arial" w:cs="Arial" w:eastAsia="Arial" w:hAnsi="Arial"/>
                <w:sz w:val="16"/>
                <w:szCs w:val="16"/>
                <w:color w:val="auto"/>
              </w:rPr>
              <w:t>Total Company-owned</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1,157</w:t>
            </w:r>
          </w:p>
        </w:tc>
        <w:tc>
          <w:tcPr>
            <w:tcW w:w="100" w:type="dxa"/>
            <w:vAlign w:val="bottom"/>
          </w:tcPr>
          <w:p>
            <w:pPr>
              <w:spacing w:after="0"/>
              <w:rPr>
                <w:sz w:val="18"/>
                <w:szCs w:val="18"/>
                <w:color w:val="auto"/>
              </w:rPr>
            </w:pPr>
          </w:p>
        </w:tc>
        <w:tc>
          <w:tcPr>
            <w:tcW w:w="2340" w:type="dxa"/>
            <w:vAlign w:val="bottom"/>
          </w:tcPr>
          <w:p>
            <w:pPr>
              <w:ind w:left="20"/>
              <w:spacing w:after="0"/>
              <w:rPr>
                <w:sz w:val="20"/>
                <w:szCs w:val="20"/>
                <w:color w:val="auto"/>
              </w:rPr>
            </w:pPr>
            <w:r>
              <w:rPr>
                <w:rFonts w:ascii="Arial" w:cs="Arial" w:eastAsia="Arial" w:hAnsi="Arial"/>
                <w:sz w:val="16"/>
                <w:szCs w:val="16"/>
                <w:color w:val="auto"/>
              </w:rPr>
              <w:t>Total franchised</w:t>
            </w:r>
          </w:p>
        </w:tc>
        <w:tc>
          <w:tcPr>
            <w:tcW w:w="1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3700" w:type="dxa"/>
            <w:vAlign w:val="bottom"/>
            <w:vMerge w:val="continue"/>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restaurant count for Brazil is reported as of November 30, 2020 to correspond with the balance sheet date of this subsidiary.</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We lease substantially all of our restaurant properties from third parties. As of December 27, 2020, our Company-owned restaurants were located on the following sites by segment: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04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U.S.</w:t>
            </w:r>
          </w:p>
        </w:tc>
        <w:tc>
          <w:tcPr>
            <w:tcW w:w="120" w:type="dxa"/>
            <w:vAlign w:val="bottom"/>
            <w:vMerge w:val="restart"/>
          </w:tcPr>
          <w:p>
            <w:pPr>
              <w:spacing w:after="0"/>
              <w:rPr>
                <w:sz w:val="14"/>
                <w:szCs w:val="14"/>
                <w:color w:val="auto"/>
              </w:rPr>
            </w:pPr>
          </w:p>
        </w:tc>
        <w:tc>
          <w:tcPr>
            <w:tcW w:w="162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INTERNATIONAL</w:t>
            </w:r>
          </w:p>
        </w:tc>
        <w:tc>
          <w:tcPr>
            <w:tcW w:w="120" w:type="dxa"/>
            <w:vAlign w:val="bottom"/>
            <w:vMerge w:val="restart"/>
          </w:tcPr>
          <w:p>
            <w:pPr>
              <w:spacing w:after="0"/>
              <w:rPr>
                <w:sz w:val="14"/>
                <w:szCs w:val="14"/>
                <w:color w:val="auto"/>
              </w:rPr>
            </w:pPr>
          </w:p>
        </w:tc>
        <w:tc>
          <w:tcPr>
            <w:tcW w:w="104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4"/>
                <w:szCs w:val="14"/>
                <w:color w:val="auto"/>
              </w:rPr>
            </w:pPr>
          </w:p>
        </w:tc>
        <w:tc>
          <w:tcPr>
            <w:tcW w:w="1560" w:type="dxa"/>
            <w:vAlign w:val="bottom"/>
          </w:tcPr>
          <w:p>
            <w:pPr>
              <w:jc w:val="right"/>
              <w:ind w:right="102"/>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96"/>
        </w:trPr>
        <w:tc>
          <w:tcPr>
            <w:tcW w:w="56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6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5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Company-owned sites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13"/>
        </w:trPr>
        <w:tc>
          <w:tcPr>
            <w:tcW w:w="5620" w:type="dxa"/>
            <w:vAlign w:val="bottom"/>
          </w:tcPr>
          <w:p>
            <w:pPr>
              <w:ind w:left="20"/>
              <w:spacing w:after="0"/>
              <w:rPr>
                <w:sz w:val="20"/>
                <w:szCs w:val="20"/>
                <w:color w:val="auto"/>
              </w:rPr>
            </w:pPr>
            <w:r>
              <w:rPr>
                <w:rFonts w:ascii="Arial" w:cs="Arial" w:eastAsia="Arial" w:hAnsi="Arial"/>
                <w:sz w:val="16"/>
                <w:szCs w:val="16"/>
                <w:color w:val="auto"/>
              </w:rPr>
              <w:t>Leased sites: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Land, ground and building leases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Space and in-line leases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238"/>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Company-owned restaurant sites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1,015</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1,157</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auto"/>
        </w:rPr>
        <w:t>We also lease corporate offices in Tampa, Florida and São Paulo, Brazil.</w:t>
      </w:r>
    </w:p>
    <w:p>
      <w:pPr>
        <w:spacing w:after="0" w:line="237"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4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 xml:space="preserve">For a description of our legal proceedings, see Note 22 - </w:t>
      </w:r>
      <w:r>
        <w:rPr>
          <w:rFonts w:ascii="Arial" w:cs="Arial" w:eastAsia="Arial" w:hAnsi="Arial"/>
          <w:sz w:val="20"/>
          <w:szCs w:val="20"/>
          <w:i w:val="1"/>
          <w:iCs w:val="1"/>
          <w:color w:val="auto"/>
        </w:rPr>
        <w:t>Commitments and Contingencies</w:t>
      </w:r>
      <w:r>
        <w:rPr>
          <w:rFonts w:ascii="Arial" w:cs="Arial" w:eastAsia="Arial" w:hAnsi="Arial"/>
          <w:sz w:val="20"/>
          <w:szCs w:val="20"/>
          <w:color w:val="auto"/>
        </w:rPr>
        <w:t xml:space="preserve"> of the Notes to Consolidated Financial Statements of this Report.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5. Market for Registrant’s Common Equity, Related Stockholder Matters and Issuer Purchases of Equity Securities</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color w:val="auto"/>
        </w:rPr>
        <w:t>MARKET INFORMATION AND DIVIDENDS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Our common stock is listed on the Nasdaq Global Select Market under the symbol “BLMN”.</w:t>
      </w:r>
    </w:p>
    <w:p>
      <w:pPr>
        <w:spacing w:after="0" w:line="243"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We began paying quarterly cash dividends on shares of our common stock in 2015. However, under our Amended Credit Agreement, we are restricted from paying dividends until after September 26, 2021 and we are compliant with our financial covenants. Future dividend payments after that date will depend on earnings, financial condition, capital expenditure requirements, surplus and other factors that our Board of Directors (our “Board”) considers relevant.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HOLDERS</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February 19, 2021, there were 93 holders of record of our common stock. The number of registered holders does not include holders who are beneficial owners whose shares are held in street name by brokers and other nominees.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SECURITIES AUTHORIZED FOR ISSUANCE UNDER EQUITY COMPENSATION PLANS</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the securities authorized for issuance under our equity compensation plans as of December 27, 2020:</w:t>
      </w:r>
    </w:p>
    <w:p>
      <w:pPr>
        <w:sectPr>
          <w:pgSz w:w="11900" w:h="16838" w:orient="portrait"/>
          <w:cols w:equalWidth="0" w:num="1">
            <w:col w:w="11240"/>
          </w:cols>
          <w:pgMar w:left="320" w:top="121" w:right="339" w:bottom="1440" w:gutter="0" w:footer="0" w:header="0"/>
        </w:sectPr>
      </w:pPr>
    </w:p>
    <w:p>
      <w:pPr>
        <w:spacing w:after="0" w:line="14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(shares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330009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000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PLAN CATEGORY</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2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w:t>
            </w: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(b)</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16"/>
        </w:trPr>
        <w:tc>
          <w:tcPr>
            <w:tcW w:w="1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REMAINING AVAILABLE</w:t>
            </w:r>
          </w:p>
        </w:tc>
        <w:tc>
          <w:tcPr>
            <w:tcW w:w="0" w:type="dxa"/>
            <w:vAlign w:val="bottom"/>
          </w:tcPr>
          <w:p>
            <w:pPr>
              <w:spacing w:after="0"/>
              <w:rPr>
                <w:sz w:val="1"/>
                <w:szCs w:val="1"/>
                <w:color w:val="auto"/>
              </w:rPr>
            </w:pPr>
          </w:p>
        </w:tc>
      </w:tr>
      <w:tr>
        <w:trPr>
          <w:trHeight w:val="135"/>
        </w:trPr>
        <w:tc>
          <w:tcPr>
            <w:tcW w:w="2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NUMBER OF SECURITIES</w:t>
            </w:r>
          </w:p>
        </w:tc>
        <w:tc>
          <w:tcPr>
            <w:tcW w:w="1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FOR FUTURE ISSUANCE</w:t>
            </w:r>
          </w:p>
        </w:tc>
        <w:tc>
          <w:tcPr>
            <w:tcW w:w="0" w:type="dxa"/>
            <w:vAlign w:val="bottom"/>
          </w:tcPr>
          <w:p>
            <w:pPr>
              <w:spacing w:after="0"/>
              <w:rPr>
                <w:sz w:val="1"/>
                <w:szCs w:val="1"/>
                <w:color w:val="auto"/>
              </w:rPr>
            </w:pPr>
          </w:p>
        </w:tc>
      </w:tr>
      <w:tr>
        <w:trPr>
          <w:trHeight w:val="135"/>
        </w:trPr>
        <w:tc>
          <w:tcPr>
            <w:tcW w:w="2000" w:type="dxa"/>
            <w:vAlign w:val="bottom"/>
            <w:gridSpan w:val="2"/>
            <w:vMerge w:val="continue"/>
          </w:tcPr>
          <w:p>
            <w:pPr>
              <w:spacing w:after="0"/>
              <w:rPr>
                <w:sz w:val="11"/>
                <w:szCs w:val="11"/>
                <w:color w:val="auto"/>
              </w:rPr>
            </w:pPr>
          </w:p>
        </w:tc>
        <w:tc>
          <w:tcPr>
            <w:tcW w:w="2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WEIGHTED-AVERAGE</w:t>
            </w:r>
          </w:p>
        </w:tc>
        <w:tc>
          <w:tcPr>
            <w:tcW w:w="1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UNDER EQUITY</w:t>
            </w:r>
          </w:p>
        </w:tc>
        <w:tc>
          <w:tcPr>
            <w:tcW w:w="0" w:type="dxa"/>
            <w:vAlign w:val="bottom"/>
          </w:tcPr>
          <w:p>
            <w:pPr>
              <w:spacing w:after="0"/>
              <w:rPr>
                <w:sz w:val="1"/>
                <w:szCs w:val="1"/>
                <w:color w:val="auto"/>
              </w:rPr>
            </w:pPr>
          </w:p>
        </w:tc>
      </w:tr>
      <w:tr>
        <w:trPr>
          <w:trHeight w:val="135"/>
        </w:trPr>
        <w:tc>
          <w:tcPr>
            <w:tcW w:w="20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TO BE ISSUED UPON</w:t>
            </w:r>
          </w:p>
        </w:tc>
        <w:tc>
          <w:tcPr>
            <w:tcW w:w="2020" w:type="dxa"/>
            <w:vAlign w:val="bottom"/>
            <w:gridSpan w:val="2"/>
            <w:vMerge w:val="continue"/>
          </w:tcPr>
          <w:p>
            <w:pPr>
              <w:spacing w:after="0"/>
              <w:rPr>
                <w:sz w:val="11"/>
                <w:szCs w:val="11"/>
                <w:color w:val="auto"/>
              </w:rPr>
            </w:pPr>
          </w:p>
        </w:tc>
        <w:tc>
          <w:tcPr>
            <w:tcW w:w="1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COMPENSATION PLANS</w:t>
            </w:r>
          </w:p>
        </w:tc>
        <w:tc>
          <w:tcPr>
            <w:tcW w:w="0" w:type="dxa"/>
            <w:vAlign w:val="bottom"/>
          </w:tcPr>
          <w:p>
            <w:pPr>
              <w:spacing w:after="0"/>
              <w:rPr>
                <w:sz w:val="1"/>
                <w:szCs w:val="1"/>
                <w:color w:val="auto"/>
              </w:rPr>
            </w:pPr>
          </w:p>
        </w:tc>
      </w:tr>
      <w:tr>
        <w:trPr>
          <w:trHeight w:val="135"/>
        </w:trPr>
        <w:tc>
          <w:tcPr>
            <w:tcW w:w="20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EXERCISE OF</w:t>
            </w:r>
          </w:p>
        </w:tc>
        <w:tc>
          <w:tcPr>
            <w:tcW w:w="20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EXERCISE PRICE OF</w:t>
            </w:r>
          </w:p>
        </w:tc>
        <w:tc>
          <w:tcPr>
            <w:tcW w:w="1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(EXCLUDING SECURITIES</w:t>
            </w:r>
          </w:p>
        </w:tc>
        <w:tc>
          <w:tcPr>
            <w:tcW w:w="0" w:type="dxa"/>
            <w:vAlign w:val="bottom"/>
          </w:tcPr>
          <w:p>
            <w:pPr>
              <w:spacing w:after="0"/>
              <w:rPr>
                <w:sz w:val="1"/>
                <w:szCs w:val="1"/>
                <w:color w:val="auto"/>
              </w:rPr>
            </w:pPr>
          </w:p>
        </w:tc>
      </w:tr>
      <w:tr>
        <w:trPr>
          <w:trHeight w:val="135"/>
        </w:trPr>
        <w:tc>
          <w:tcPr>
            <w:tcW w:w="20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OUTSTANDING OPTIONS,</w:t>
            </w:r>
          </w:p>
        </w:tc>
        <w:tc>
          <w:tcPr>
            <w:tcW w:w="20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OUTSTANDING OPTIONS,</w:t>
            </w:r>
          </w:p>
        </w:tc>
        <w:tc>
          <w:tcPr>
            <w:tcW w:w="1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REFLECTED IN COLUMN</w:t>
            </w:r>
          </w:p>
        </w:tc>
        <w:tc>
          <w:tcPr>
            <w:tcW w:w="0" w:type="dxa"/>
            <w:vAlign w:val="bottom"/>
          </w:tcPr>
          <w:p>
            <w:pPr>
              <w:spacing w:after="0"/>
              <w:rPr>
                <w:sz w:val="1"/>
                <w:szCs w:val="1"/>
                <w:color w:val="auto"/>
              </w:rPr>
            </w:pPr>
          </w:p>
        </w:tc>
      </w:tr>
      <w:tr>
        <w:trPr>
          <w:trHeight w:val="186"/>
        </w:trPr>
        <w:tc>
          <w:tcPr>
            <w:tcW w:w="2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WARRANTS AND RIGHTS</w:t>
            </w:r>
          </w:p>
        </w:tc>
        <w:tc>
          <w:tcPr>
            <w:tcW w:w="2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WARRANTS AND RIGHTS</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8"/>
              </w:rPr>
              <w:t>(a)) (1)</w:t>
            </w:r>
          </w:p>
        </w:tc>
        <w:tc>
          <w:tcPr>
            <w:tcW w:w="0" w:type="dxa"/>
            <w:vAlign w:val="bottom"/>
          </w:tcPr>
          <w:p>
            <w:pPr>
              <w:spacing w:after="0"/>
              <w:rPr>
                <w:sz w:val="1"/>
                <w:szCs w:val="1"/>
                <w:color w:val="auto"/>
              </w:rPr>
            </w:pPr>
          </w:p>
        </w:tc>
      </w:tr>
    </w:tbl>
    <w:p>
      <w:pPr>
        <w:spacing w:after="0" w:line="85" w:lineRule="exact"/>
        <w:rPr>
          <w:sz w:val="20"/>
          <w:szCs w:val="20"/>
          <w:color w:val="auto"/>
        </w:rPr>
      </w:pPr>
    </w:p>
    <w:p>
      <w:pPr>
        <w:sectPr>
          <w:pgSz w:w="11900" w:h="16838" w:orient="portrait"/>
          <w:cols w:equalWidth="0" w:num="2">
            <w:col w:w="4600" w:space="720"/>
            <w:col w:w="59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5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Equity compensation plans approved by security holders</w:t>
            </w:r>
          </w:p>
        </w:tc>
        <w:tc>
          <w:tcPr>
            <w:tcW w:w="120" w:type="dxa"/>
            <w:vAlign w:val="bottom"/>
            <w:tcBorders>
              <w:top w:val="single" w:sz="8" w:color="CCEEFF"/>
            </w:tcBorders>
            <w:shd w:val="clear" w:color="auto" w:fill="CCEEFF"/>
          </w:tcPr>
          <w:p>
            <w:pPr>
              <w:spacing w:after="0"/>
              <w:rPr>
                <w:sz w:val="20"/>
                <w:szCs w:val="20"/>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5,422</w:t>
            </w:r>
          </w:p>
        </w:tc>
        <w:tc>
          <w:tcPr>
            <w:tcW w:w="10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19.76</w:t>
            </w:r>
          </w:p>
        </w:tc>
        <w:tc>
          <w:tcPr>
            <w:tcW w:w="120" w:type="dxa"/>
            <w:vAlign w:val="bottom"/>
            <w:tcBorders>
              <w:top w:val="single" w:sz="8" w:color="CCEEFF"/>
            </w:tcBorders>
            <w:shd w:val="clear" w:color="auto" w:fill="CCEEFF"/>
          </w:tcPr>
          <w:p>
            <w:pPr>
              <w:spacing w:after="0"/>
              <w:rPr>
                <w:sz w:val="20"/>
                <w:szCs w:val="20"/>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9,464</w:t>
            </w:r>
          </w:p>
        </w:tc>
      </w:tr>
      <w:tr>
        <w:trPr>
          <w:trHeight w:val="274"/>
        </w:trPr>
        <w:tc>
          <w:tcPr>
            <w:tcW w:w="5200" w:type="dxa"/>
            <w:vAlign w:val="bottom"/>
          </w:tcPr>
          <w:p>
            <w:pPr>
              <w:spacing w:after="0"/>
              <w:rPr>
                <w:sz w:val="20"/>
                <w:szCs w:val="20"/>
                <w:color w:val="auto"/>
              </w:rPr>
            </w:pPr>
            <w:r>
              <w:rPr>
                <w:rFonts w:ascii="Arial" w:cs="Arial" w:eastAsia="Arial" w:hAnsi="Arial"/>
                <w:sz w:val="16"/>
                <w:szCs w:val="16"/>
                <w:color w:val="auto"/>
              </w:rPr>
              <w:t>____________________</w:t>
            </w:r>
          </w:p>
        </w:tc>
        <w:tc>
          <w:tcPr>
            <w:tcW w:w="1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00" w:type="dxa"/>
            <w:vAlign w:val="bottom"/>
          </w:tcPr>
          <w:p>
            <w:pPr>
              <w:spacing w:after="0"/>
              <w:rPr>
                <w:sz w:val="23"/>
                <w:szCs w:val="23"/>
                <w:color w:val="auto"/>
              </w:rPr>
            </w:pPr>
          </w:p>
        </w:tc>
      </w:tr>
    </w:tbl>
    <w:p>
      <w:pPr>
        <w:ind w:left="660" w:hanging="652"/>
        <w:spacing w:after="0" w:line="257"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shares remaining available for issuance may be issued in the form of stock options, restricted stock units or other stock awards under the 2020 Omnibus Incentive Compensation Plan.</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UNREGISTERED SALES OF EQUITY SECURITIES</w:t>
      </w:r>
    </w:p>
    <w:p>
      <w:pPr>
        <w:spacing w:after="0" w:line="24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Convertible Senior Notes and Warrants - </w:t>
      </w:r>
      <w:r>
        <w:rPr>
          <w:rFonts w:ascii="Arial" w:cs="Arial" w:eastAsia="Arial" w:hAnsi="Arial"/>
          <w:sz w:val="20"/>
          <w:szCs w:val="20"/>
          <w:color w:val="auto"/>
        </w:rPr>
        <w:t>In May 2020, we issued $230.0 million of 5.00% senior notes that are convertible into</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approximately 19.348 million shares of our common stock, at the initial conversion rate, and mature on May 1, 2025, unless earlier converted, redeemed or purchased by us (the “2025 Notes”). </w:t>
      </w:r>
      <w:r>
        <w:rPr>
          <w:rFonts w:ascii="Arial" w:cs="Arial" w:eastAsia="Arial" w:hAnsi="Arial"/>
          <w:sz w:val="20"/>
          <w:szCs w:val="20"/>
          <w:color w:val="252525"/>
        </w:rPr>
        <w:t>In connection with the offering of the</w:t>
      </w:r>
      <w:r>
        <w:rPr>
          <w:rFonts w:ascii="Arial" w:cs="Arial" w:eastAsia="Arial" w:hAnsi="Arial"/>
          <w:sz w:val="20"/>
          <w:szCs w:val="20"/>
          <w:color w:val="auto"/>
        </w:rPr>
        <w:t xml:space="preserve"> 2025 Notes</w:t>
      </w:r>
      <w:r>
        <w:rPr>
          <w:rFonts w:ascii="Arial" w:cs="Arial" w:eastAsia="Arial" w:hAnsi="Arial"/>
          <w:sz w:val="20"/>
          <w:szCs w:val="20"/>
          <w:color w:val="252525"/>
        </w:rPr>
        <w:t>, we also sold warrants for</w:t>
      </w:r>
      <w:r>
        <w:rPr>
          <w:rFonts w:ascii="Arial" w:cs="Arial" w:eastAsia="Arial" w:hAnsi="Arial"/>
          <w:sz w:val="20"/>
          <w:szCs w:val="20"/>
          <w:color w:val="auto"/>
        </w:rPr>
        <w:t xml:space="preserve"> </w:t>
      </w:r>
      <w:r>
        <w:rPr>
          <w:rFonts w:ascii="Arial" w:cs="Arial" w:eastAsia="Arial" w:hAnsi="Arial"/>
          <w:sz w:val="20"/>
          <w:szCs w:val="20"/>
          <w:color w:val="252525"/>
        </w:rPr>
        <w:t>approximately 19.348 million shares of our common stock with an initial strike price of $16.64.</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PURCHASES OF EQUITY SECURITIES BY THE ISSUER AND AFFILIATED PURCHASERS</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did not repurchase any shares of our outstanding common stock during the thirteen weeks ended December 27, 2020. The terms of our Amended Credit Agreement contain certain restrictions on share repurchases until after September 26, 2021 and we are compliant with our financial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It is management’s intent to prioritize debt payments in the near term, even after credit agreement restrictions on paying dividends and repurchasing shares of our common stock lapse.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STOCK PERFORMANCE GRAPH</w:t>
      </w:r>
    </w:p>
    <w:p>
      <w:pPr>
        <w:spacing w:after="0" w:line="24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following graph depicts total return to stockholders from December 24, 2015 through December 27, 2020, relative to the performance of the Standard &amp; Poor’s 500 Index and the Standard &amp; Poor’s 500 Consumer Discretionary Sector, a peer group. The graph assumes an investment of $100 in our common stock and in each index on December 24, 2015 (the last business day of the fiscal year of investment) and the reinvestment of dividends paid since that date. The stock price performance shown in the graph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-2540</wp:posOffset>
            </wp:positionV>
            <wp:extent cx="5829300" cy="47491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29300" cy="474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24,</w:t>
            </w:r>
          </w:p>
        </w:tc>
        <w:tc>
          <w:tcPr>
            <w:tcW w:w="14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25,</w:t>
            </w:r>
          </w:p>
        </w:tc>
        <w:tc>
          <w:tcPr>
            <w:tcW w:w="14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4"/>
                <w:szCs w:val="14"/>
                <w:color w:val="auto"/>
              </w:rPr>
            </w:pPr>
          </w:p>
        </w:tc>
        <w:tc>
          <w:tcPr>
            <w:tcW w:w="1340" w:type="dxa"/>
            <w:vAlign w:val="bottom"/>
          </w:tcPr>
          <w:p>
            <w:pPr>
              <w:jc w:val="right"/>
              <w:ind w:right="163"/>
              <w:spacing w:after="0"/>
              <w:rPr>
                <w:sz w:val="20"/>
                <w:szCs w:val="20"/>
                <w:color w:val="auto"/>
              </w:rPr>
            </w:pPr>
            <w:r>
              <w:rPr>
                <w:rFonts w:ascii="Arial" w:cs="Arial" w:eastAsia="Arial" w:hAnsi="Arial"/>
                <w:sz w:val="14"/>
                <w:szCs w:val="14"/>
                <w:b w:val="1"/>
                <w:bCs w:val="1"/>
                <w:color w:val="auto"/>
              </w:rPr>
              <w:t>DECEMBER 27,</w:t>
            </w:r>
          </w:p>
        </w:tc>
        <w:tc>
          <w:tcPr>
            <w:tcW w:w="0" w:type="dxa"/>
            <w:vAlign w:val="bottom"/>
          </w:tcPr>
          <w:p>
            <w:pPr>
              <w:spacing w:after="0"/>
              <w:rPr>
                <w:sz w:val="1"/>
                <w:szCs w:val="1"/>
                <w:color w:val="auto"/>
              </w:rPr>
            </w:pPr>
          </w:p>
        </w:tc>
      </w:tr>
      <w:tr>
        <w:trPr>
          <w:trHeight w:val="196"/>
        </w:trPr>
        <w:tc>
          <w:tcPr>
            <w:tcW w:w="2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2"/>
        </w:trPr>
        <w:tc>
          <w:tcPr>
            <w:tcW w:w="2100" w:type="dxa"/>
            <w:vAlign w:val="bottom"/>
            <w:shd w:val="clear" w:color="auto" w:fill="CCEEFF"/>
          </w:tcPr>
          <w:p>
            <w:pPr>
              <w:ind w:left="20"/>
              <w:spacing w:after="0" w:line="152" w:lineRule="exact"/>
              <w:rPr>
                <w:sz w:val="20"/>
                <w:szCs w:val="20"/>
                <w:color w:val="auto"/>
              </w:rPr>
            </w:pPr>
            <w:r>
              <w:rPr>
                <w:rFonts w:ascii="Arial" w:cs="Arial" w:eastAsia="Arial" w:hAnsi="Arial"/>
                <w:sz w:val="16"/>
                <w:szCs w:val="16"/>
                <w:color w:val="auto"/>
              </w:rPr>
              <w:t>Bloomin’ Brands, Inc.</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108.52</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129.02</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108.18</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135.91</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120.08</w:t>
            </w:r>
          </w:p>
        </w:tc>
        <w:tc>
          <w:tcPr>
            <w:tcW w:w="0" w:type="dxa"/>
            <w:vAlign w:val="bottom"/>
          </w:tcPr>
          <w:p>
            <w:pPr>
              <w:spacing w:after="0"/>
              <w:rPr>
                <w:sz w:val="1"/>
                <w:szCs w:val="1"/>
                <w:color w:val="auto"/>
              </w:rPr>
            </w:pPr>
          </w:p>
        </w:tc>
      </w:tr>
      <w:tr>
        <w:trPr>
          <w:trHeight w:val="212"/>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(BLMN)</w:t>
            </w:r>
          </w:p>
        </w:tc>
        <w:tc>
          <w:tcPr>
            <w:tcW w:w="14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00" w:type="dxa"/>
            <w:vAlign w:val="bottom"/>
          </w:tcPr>
          <w:p>
            <w:pPr>
              <w:ind w:left="20"/>
              <w:spacing w:after="0"/>
              <w:rPr>
                <w:sz w:val="20"/>
                <w:szCs w:val="20"/>
                <w:color w:val="auto"/>
              </w:rPr>
            </w:pPr>
            <w:r>
              <w:rPr>
                <w:rFonts w:ascii="Arial" w:cs="Arial" w:eastAsia="Arial" w:hAnsi="Arial"/>
                <w:sz w:val="16"/>
                <w:szCs w:val="16"/>
                <w:color w:val="auto"/>
              </w:rPr>
              <w:t>Standard &amp; Poor’s 500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112.27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135.29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128.25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170.52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198.47</w:t>
            </w:r>
          </w:p>
        </w:tc>
        <w:tc>
          <w:tcPr>
            <w:tcW w:w="0" w:type="dxa"/>
            <w:vAlign w:val="bottom"/>
          </w:tcPr>
          <w:p>
            <w:pPr>
              <w:spacing w:after="0"/>
              <w:rPr>
                <w:sz w:val="1"/>
                <w:szCs w:val="1"/>
                <w:color w:val="auto"/>
              </w:rPr>
            </w:pPr>
          </w:p>
        </w:tc>
      </w:tr>
      <w:tr>
        <w:trPr>
          <w:trHeight w:val="169"/>
        </w:trPr>
        <w:tc>
          <w:tcPr>
            <w:tcW w:w="21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8"/>
              </w:rPr>
              <w:t>Standard &amp; Poor’s Consumer</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107.06</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129.91</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129.55</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168.52</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219.02</w:t>
            </w:r>
          </w:p>
        </w:tc>
        <w:tc>
          <w:tcPr>
            <w:tcW w:w="0" w:type="dxa"/>
            <w:vAlign w:val="bottom"/>
          </w:tcPr>
          <w:p>
            <w:pPr>
              <w:spacing w:after="0"/>
              <w:rPr>
                <w:sz w:val="1"/>
                <w:szCs w:val="1"/>
                <w:color w:val="auto"/>
              </w:rPr>
            </w:pPr>
          </w:p>
        </w:tc>
      </w:tr>
      <w:tr>
        <w:trPr>
          <w:trHeight w:val="212"/>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Discretionary</w:t>
            </w:r>
          </w:p>
        </w:tc>
        <w:tc>
          <w:tcPr>
            <w:tcW w:w="14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Selected Financial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96"/>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Results: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Revenues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Restaurant sales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3,144,636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4,075,014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4,060,871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4,164,063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4,221,920</w:t>
            </w:r>
          </w:p>
        </w:tc>
      </w:tr>
      <w:tr>
        <w:trPr>
          <w:trHeight w:val="223"/>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Franchise and other revenues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25,925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64,375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65,542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59,073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38,753</w:t>
            </w:r>
          </w:p>
        </w:tc>
      </w:tr>
      <w:tr>
        <w:trPr>
          <w:trHeight w:val="233"/>
        </w:trPr>
        <w:tc>
          <w:tcPr>
            <w:tcW w:w="52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revenues (1)</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3,170,561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4,139,389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4,126,413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4,223,136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4,260,673</w:t>
            </w:r>
          </w:p>
        </w:tc>
      </w:tr>
      <w:tr>
        <w:trPr>
          <w:trHeight w:val="203"/>
        </w:trPr>
        <w:tc>
          <w:tcPr>
            <w:tcW w:w="5200" w:type="dxa"/>
            <w:vAlign w:val="bottom"/>
          </w:tcPr>
          <w:p>
            <w:pPr>
              <w:ind w:left="20"/>
              <w:spacing w:after="0"/>
              <w:rPr>
                <w:sz w:val="20"/>
                <w:szCs w:val="20"/>
                <w:color w:val="auto"/>
              </w:rPr>
            </w:pPr>
            <w:r>
              <w:rPr>
                <w:rFonts w:ascii="Arial" w:cs="Arial" w:eastAsia="Arial" w:hAnsi="Arial"/>
                <w:sz w:val="16"/>
                <w:szCs w:val="16"/>
                <w:color w:val="auto"/>
              </w:rPr>
              <w:t>(Loss) income from operations (2)</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(174,973)</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191,090</w:t>
            </w:r>
          </w:p>
        </w:tc>
        <w:tc>
          <w:tcPr>
            <w:tcW w:w="100" w:type="dxa"/>
            <w:vAlign w:val="bottom"/>
          </w:tcPr>
          <w:p>
            <w:pPr>
              <w:spacing w:after="0"/>
              <w:rPr>
                <w:sz w:val="17"/>
                <w:szCs w:val="17"/>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145,253</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138,686</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123,750</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 including noncontrolling interests (2) (3)</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43,987</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Net (loss) income attributable to common stockholders (2) (3) (4)</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(162,211)</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130,573</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107,098</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101,293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39,388</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earnings per share attributable to common stockholders: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0.35</w:t>
            </w: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 (5)</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0.34</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Cash dividends declared per common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0.20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0.40</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0.32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0.28</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Sheet Data:</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Total assets (6)</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3,362,107</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3,592,683</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2,464,774</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2,561,894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2,622,810</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lease liabilities (6)</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1,393,457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1,450,917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Total debt, net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1,036,480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1,048,704</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1,094,775</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1,118,104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1,089,485</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equity (7)</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226,063</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Common stock outstanding (7)</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87,856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86,946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91,272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91,913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103,922</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 Data:</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i w:val="1"/>
                <w:iCs w:val="1"/>
                <w:color w:val="auto"/>
              </w:rPr>
              <w:t>Investing activities: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(208,224)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(260,589)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(260,578)</w:t>
            </w: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Proceeds from sale-leaseback transactions, net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7,085</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16,160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98,840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530,684</w:t>
            </w: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Financing activities: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0"/>
        </w:trPr>
        <w:tc>
          <w:tcPr>
            <w:tcW w:w="5200" w:type="dxa"/>
            <w:vAlign w:val="bottom"/>
          </w:tcPr>
          <w:p>
            <w:pPr>
              <w:ind w:left="220"/>
              <w:spacing w:after="0"/>
              <w:rPr>
                <w:sz w:val="20"/>
                <w:szCs w:val="20"/>
                <w:color w:val="auto"/>
              </w:rPr>
            </w:pPr>
            <w:r>
              <w:rPr>
                <w:rFonts w:ascii="Arial" w:cs="Arial" w:eastAsia="Arial" w:hAnsi="Arial"/>
                <w:sz w:val="16"/>
                <w:szCs w:val="16"/>
                <w:color w:val="auto"/>
              </w:rPr>
              <w:t>Repurchase of common stock (7)</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(106,992)</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(113,967)</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(272,916)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(310,334)</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Note: This selected consolidated financial data should be read in conjunction with the consolidated financial statements and notes thereto, within Item 8 and Management’s Discussion and Analysis of Financial Condition and Results of Operations, within Item 7 of this Report.</w:t>
      </w:r>
    </w:p>
    <w:p>
      <w:pPr>
        <w:spacing w:after="0" w:line="78" w:lineRule="exact"/>
        <w:rPr>
          <w:sz w:val="20"/>
          <w:szCs w:val="20"/>
          <w:color w:val="auto"/>
        </w:rPr>
      </w:pPr>
    </w:p>
    <w:p>
      <w:pPr>
        <w:ind w:left="660" w:hanging="652"/>
        <w:spacing w:after="0" w:line="255"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Fiscal year 2020 Total revenues were significantly impacted by the COVID-19 pandemic. There were 53 operating weeks in 2017, versus 52 operating weeks for all other periods presented. This additional week resulted in an increase in Total revenues of $80.4 million during 2017.</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2020 includes: (i) $93.8 million of charges in connection with the economic impact of the COVID-19 pandemic and (ii) $32.4 million of expenses incurred as a</w:t>
      </w:r>
    </w:p>
    <w:p>
      <w:pPr>
        <w:spacing w:after="0" w:line="16" w:lineRule="exact"/>
        <w:rPr>
          <w:rFonts w:ascii="Arial" w:cs="Arial" w:eastAsia="Arial" w:hAnsi="Arial"/>
          <w:sz w:val="15"/>
          <w:szCs w:val="15"/>
          <w:color w:val="auto"/>
        </w:rPr>
      </w:pPr>
    </w:p>
    <w:p>
      <w:pPr>
        <w:jc w:val="both"/>
        <w:ind w:left="660"/>
        <w:spacing w:after="0" w:line="281" w:lineRule="auto"/>
        <w:rPr>
          <w:rFonts w:ascii="Arial" w:cs="Arial" w:eastAsia="Arial" w:hAnsi="Arial"/>
          <w:sz w:val="15"/>
          <w:szCs w:val="15"/>
          <w:color w:val="auto"/>
        </w:rPr>
      </w:pPr>
      <w:r>
        <w:rPr>
          <w:rFonts w:ascii="Arial" w:cs="Arial" w:eastAsia="Arial" w:hAnsi="Arial"/>
          <w:sz w:val="14"/>
          <w:szCs w:val="14"/>
          <w:color w:val="auto"/>
        </w:rPr>
        <w:t>result of transformational and restructuring activities. 2019 includes: (i) $10.6 million of asset impairments and closing costs primarily related to the restructuring of certain international markets, certain approved closure and restructuring initiatives and the relocation of certain restaurants, (ii) $5.5 million of severance expense from the restructuring of certain functions, (iii) $3.8 million of gains related to the sale of certain surplus properties and (iv) $6.0 million of gains from the recognition of certain value-added tax credits in Brazil. 2018 includes: (i) $29.5 million of asset impairments and closing costs primarily related to various restructuring, refranchising and closure activities, (ii) $8.6 million of asset impairments and restaurant closing costs related to the relocation of certain restaurants and (iii) $3.5 million of severance expense from the restructuring of certain functions. 2017 includes: (i) $42.8 million of asset impairments and closing costs primarily related to certain closure and restructuring initiatives, the remeasurement of certain surplus properties and for our China subsidiary, (ii) $12.5 million of asset impairments and restaurant closing costs related to the relocation of certain restaurants and (iii) $11.0 million of severance expense incurred as a result of a restructuring event. 2016 includes: (i) $51.4 million of asset impairments and closing costs related to certain closure and restructuring initiatives, (ii) $43.1 million of asset impairments related to the refranchising of Outback Steakhouse South Korea and for our Puerto Rico subsidiary, (iii) $7.2 million of asset impairments and restaurant closing costs related to the relocation of certain restaurants and (iv) $5.5 million of severance expense as a result of certain restructuring events.</w:t>
      </w:r>
    </w:p>
    <w:p>
      <w:pPr>
        <w:spacing w:after="0" w:line="5" w:lineRule="exact"/>
        <w:rPr>
          <w:rFonts w:ascii="Arial" w:cs="Arial" w:eastAsia="Arial" w:hAnsi="Arial"/>
          <w:sz w:val="15"/>
          <w:szCs w:val="15"/>
          <w:color w:val="auto"/>
        </w:rPr>
      </w:pPr>
    </w:p>
    <w:p>
      <w:pPr>
        <w:ind w:left="660" w:hanging="652"/>
        <w:spacing w:after="0" w:line="246"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Fiscal year 2020 includes $6.3 million of additional interest expense from debt discount amortization related to the issuance of our 2025 Notes. Fiscal year 2016 includes $27.0 million of loss on defeasance, extinguishment and modification of debt.</w:t>
      </w:r>
    </w:p>
    <w:p>
      <w:pPr>
        <w:ind w:left="660" w:right="20" w:hanging="652"/>
        <w:spacing w:after="0" w:line="246"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During 2020, Net loss attributable to common stockholders increased by $3.5 million for consideration paid in excess of the carrying value of preferred shares of our Abbraccio subsidiary.</w:t>
      </w:r>
    </w:p>
    <w:p>
      <w:pPr>
        <w:ind w:left="660" w:hanging="652"/>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Fiscal year 2017 includes $0.11 of additional diluted earnings per share from a 53rd operating week.</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2019, we recorded $1.3 billion of right-of-use assets and $1.5 billion of lease liabilities upon adoption of the new lease standard.</w:t>
      </w:r>
    </w:p>
    <w:p>
      <w:pPr>
        <w:spacing w:after="0" w:line="5" w:lineRule="exact"/>
        <w:rPr>
          <w:rFonts w:ascii="Arial" w:cs="Arial" w:eastAsia="Arial" w:hAnsi="Arial"/>
          <w:sz w:val="16"/>
          <w:szCs w:val="16"/>
          <w:color w:val="auto"/>
        </w:rPr>
      </w:pPr>
    </w:p>
    <w:p>
      <w:pPr>
        <w:ind w:left="660" w:hanging="652"/>
        <w:spacing w:after="0" w:line="257"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2019, 2018, 2017 and 2016, we repurchased 5.5 million, 5.1 million, 13.8 million and 16.6 million shares, respectively, of our outstanding common stock. During 2018, we issued 4.0 million shares of our common stock through the exercise of stock options.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24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Management’s discussion and analysis of financial condition and results of operations should be read in conjunction with our consolidated financial statements and the related notes. For discussion of our consolidated and segment-level results of operations, non-GAAP measures, and liquidity and capital resources for fiscal year 2018, see our Annual Report on Form 10-K for the year ended December 29, 2019, filed with the SEC on February 26, 2020.</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4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are one of the largest casual dining restaurant companies in the world with a portfolio of leading, differentiated restaurant concepts. As of December 27, 2020, we owned and operated 1,157 restaurants and franchised 317 restaurants across 47 states, Guam and 20 countries. We have four founder-inspired concepts: Outback Steakhouse, Carrabba’s Italian Grill, Bonefish Grill and Fleming’s Prime Steakhouse &amp; Wine Bar.</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Summary</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Our 2020 financial results include:</w:t>
      </w:r>
    </w:p>
    <w:p>
      <w:pPr>
        <w:spacing w:after="0" w:line="243" w:lineRule="exact"/>
        <w:rPr>
          <w:sz w:val="20"/>
          <w:szCs w:val="20"/>
          <w:color w:val="auto"/>
        </w:rPr>
      </w:pPr>
    </w:p>
    <w:p>
      <w:pPr>
        <w:jc w:val="both"/>
        <w:ind w:left="940" w:hanging="325"/>
        <w:spacing w:after="0" w:line="291" w:lineRule="auto"/>
        <w:tabs>
          <w:tab w:leader="none" w:pos="901"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in Total revenues of (23.4)% to $3.2 billion in 2020 as compared to 2019, primarily due to: (i) significantly lower comparable restaurant sales and franchise revenues principally attributable to the COVID-19 pandemic, (ii) the effect of foreign currency translation of the Brazil Real relative to the U.S. dollar and (iii) the net impact of restaurant closures and openings.</w:t>
      </w:r>
    </w:p>
    <w:p>
      <w:pPr>
        <w:spacing w:after="0" w:line="178" w:lineRule="exact"/>
        <w:rPr>
          <w:rFonts w:ascii="Arial" w:cs="Arial" w:eastAsia="Arial" w:hAnsi="Arial"/>
          <w:sz w:val="18"/>
          <w:szCs w:val="18"/>
          <w:color w:val="auto"/>
        </w:rPr>
      </w:pPr>
    </w:p>
    <w:p>
      <w:pPr>
        <w:jc w:val="both"/>
        <w:ind w:left="940" w:hanging="325"/>
        <w:spacing w:after="0" w:line="263" w:lineRule="auto"/>
        <w:tabs>
          <w:tab w:leader="none" w:pos="928" w:val="left"/>
        </w:tabs>
        <w:numPr>
          <w:ilvl w:val="0"/>
          <w:numId w:val="16"/>
        </w:numPr>
        <w:rPr>
          <w:rFonts w:ascii="Arial" w:cs="Arial" w:eastAsia="Arial" w:hAnsi="Arial"/>
          <w:sz w:val="19"/>
          <w:szCs w:val="19"/>
          <w:color w:val="auto"/>
        </w:rPr>
      </w:pPr>
      <w:r>
        <w:rPr>
          <w:rFonts w:ascii="Arial" w:cs="Arial" w:eastAsia="Arial" w:hAnsi="Arial"/>
          <w:sz w:val="19"/>
          <w:szCs w:val="19"/>
          <w:color w:val="auto"/>
        </w:rPr>
        <w:t>Loss from operations of $(175.0) million in 2020, as compared to income from operations of $191.1 million in 2019, was primarily due to significantly lower comparable restaurant sales and franchise revenues and costs incurred in connection with the COVID-19 pandemic, and costs incurred in connection with our transformation initiatives. These losses were partially offset by reduced operating costs and a reduction in prep labor hours, offset by higher labor costs.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Strategies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In 2021, our key business strategies include:</w:t>
      </w:r>
    </w:p>
    <w:p>
      <w:pPr>
        <w:spacing w:after="0" w:line="243" w:lineRule="exact"/>
        <w:rPr>
          <w:sz w:val="20"/>
          <w:szCs w:val="20"/>
          <w:color w:val="auto"/>
        </w:rPr>
      </w:pPr>
    </w:p>
    <w:p>
      <w:pPr>
        <w:jc w:val="both"/>
        <w:ind w:left="900" w:hanging="325"/>
        <w:spacing w:after="0" w:line="246" w:lineRule="auto"/>
        <w:tabs>
          <w:tab w:leader="none" w:pos="895" w:val="left"/>
        </w:tabs>
        <w:numPr>
          <w:ilvl w:val="0"/>
          <w:numId w:val="17"/>
        </w:numPr>
        <w:rPr>
          <w:rFonts w:ascii="Arial" w:cs="Arial" w:eastAsia="Arial" w:hAnsi="Arial"/>
          <w:sz w:val="18"/>
          <w:szCs w:val="18"/>
          <w:color w:val="auto"/>
        </w:rPr>
      </w:pPr>
      <w:r>
        <w:rPr>
          <w:rFonts w:ascii="Arial" w:cs="Arial" w:eastAsia="Arial" w:hAnsi="Arial"/>
          <w:sz w:val="20"/>
          <w:szCs w:val="20"/>
          <w:i w:val="1"/>
          <w:iCs w:val="1"/>
          <w:color w:val="auto"/>
        </w:rPr>
        <w:t xml:space="preserve">Enhance the 360-Degree Customer Experience to Drive Sustainable Healthy Sales Growth. </w:t>
      </w:r>
      <w:r>
        <w:rPr>
          <w:rFonts w:ascii="Arial" w:cs="Arial" w:eastAsia="Arial" w:hAnsi="Arial"/>
          <w:sz w:val="20"/>
          <w:szCs w:val="20"/>
          <w:color w:val="auto"/>
        </w:rPr>
        <w:t>We plan to continue to make</w:t>
      </w:r>
      <w:r>
        <w:rPr>
          <w:rFonts w:ascii="Arial" w:cs="Arial" w:eastAsia="Arial" w:hAnsi="Arial"/>
          <w:sz w:val="20"/>
          <w:szCs w:val="20"/>
          <w:i w:val="1"/>
          <w:iCs w:val="1"/>
          <w:color w:val="auto"/>
        </w:rPr>
        <w:t xml:space="preserve"> </w:t>
      </w:r>
      <w:r>
        <w:rPr>
          <w:rFonts w:ascii="Arial" w:cs="Arial" w:eastAsia="Arial" w:hAnsi="Arial"/>
          <w:sz w:val="20"/>
          <w:szCs w:val="20"/>
          <w:color w:val="auto"/>
        </w:rPr>
        <w:t>investments to enhance our core guest experience, increase off-premises dining occasions, remodel and relocate restaurants, invest in digital marketing and data personalization and utilize the Dine Rewards loyalty program and multimedia marketing campaigns to drive sales.</w:t>
      </w:r>
    </w:p>
    <w:p>
      <w:pPr>
        <w:spacing w:after="0" w:line="218" w:lineRule="exact"/>
        <w:rPr>
          <w:rFonts w:ascii="Arial" w:cs="Arial" w:eastAsia="Arial" w:hAnsi="Arial"/>
          <w:sz w:val="18"/>
          <w:szCs w:val="18"/>
          <w:color w:val="auto"/>
        </w:rPr>
      </w:pPr>
    </w:p>
    <w:p>
      <w:pPr>
        <w:ind w:left="900" w:hanging="325"/>
        <w:spacing w:after="0" w:line="260" w:lineRule="auto"/>
        <w:tabs>
          <w:tab w:leader="none" w:pos="933" w:val="left"/>
        </w:tabs>
        <w:numPr>
          <w:ilvl w:val="0"/>
          <w:numId w:val="17"/>
        </w:numPr>
        <w:rPr>
          <w:rFonts w:ascii="Arial" w:cs="Arial" w:eastAsia="Arial" w:hAnsi="Arial"/>
          <w:sz w:val="20"/>
          <w:szCs w:val="20"/>
          <w:color w:val="auto"/>
        </w:rPr>
      </w:pPr>
      <w:r>
        <w:rPr>
          <w:rFonts w:ascii="Arial" w:cs="Arial" w:eastAsia="Arial" w:hAnsi="Arial"/>
          <w:sz w:val="20"/>
          <w:szCs w:val="20"/>
          <w:i w:val="1"/>
          <w:iCs w:val="1"/>
          <w:color w:val="auto"/>
        </w:rPr>
        <w:t xml:space="preserve">Drive Long-Term Shareholder Value. </w:t>
      </w:r>
      <w:r>
        <w:rPr>
          <w:rFonts w:ascii="Arial" w:cs="Arial" w:eastAsia="Arial" w:hAnsi="Arial"/>
          <w:sz w:val="20"/>
          <w:szCs w:val="20"/>
          <w:color w:val="auto"/>
        </w:rPr>
        <w:t>We plan to drive long-term shareholder value by reinvesting operational cash flow into our</w:t>
      </w:r>
      <w:r>
        <w:rPr>
          <w:rFonts w:ascii="Arial" w:cs="Arial" w:eastAsia="Arial" w:hAnsi="Arial"/>
          <w:sz w:val="20"/>
          <w:szCs w:val="20"/>
          <w:i w:val="1"/>
          <w:iCs w:val="1"/>
          <w:color w:val="auto"/>
        </w:rPr>
        <w:t xml:space="preserve"> </w:t>
      </w:r>
      <w:r>
        <w:rPr>
          <w:rFonts w:ascii="Arial" w:cs="Arial" w:eastAsia="Arial" w:hAnsi="Arial"/>
          <w:sz w:val="20"/>
          <w:szCs w:val="20"/>
          <w:color w:val="auto"/>
        </w:rPr>
        <w:t>business and improving our credit profile.</w:t>
      </w:r>
    </w:p>
    <w:p>
      <w:pPr>
        <w:spacing w:after="0" w:line="203" w:lineRule="exact"/>
        <w:rPr>
          <w:rFonts w:ascii="Arial" w:cs="Arial" w:eastAsia="Arial" w:hAnsi="Arial"/>
          <w:sz w:val="20"/>
          <w:szCs w:val="20"/>
          <w:color w:val="auto"/>
        </w:rPr>
      </w:pPr>
    </w:p>
    <w:p>
      <w:pPr>
        <w:ind w:left="900" w:hanging="325"/>
        <w:spacing w:after="0" w:line="260" w:lineRule="auto"/>
        <w:tabs>
          <w:tab w:leader="none" w:pos="888" w:val="left"/>
        </w:tabs>
        <w:numPr>
          <w:ilvl w:val="0"/>
          <w:numId w:val="17"/>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Enrich Engagement Among Stakeholders. </w:t>
      </w:r>
      <w:r>
        <w:rPr>
          <w:rFonts w:ascii="Arial" w:cs="Arial" w:eastAsia="Arial" w:hAnsi="Arial"/>
          <w:sz w:val="20"/>
          <w:szCs w:val="20"/>
          <w:color w:val="auto"/>
        </w:rPr>
        <w:t>We take the responsibility to our people, customers and communities seriously and</w:t>
      </w:r>
      <w:r>
        <w:rPr>
          <w:rFonts w:ascii="Arial" w:cs="Arial" w:eastAsia="Arial" w:hAnsi="Arial"/>
          <w:sz w:val="20"/>
          <w:szCs w:val="20"/>
          <w:i w:val="1"/>
          <w:iCs w:val="1"/>
          <w:color w:val="auto"/>
        </w:rPr>
        <w:t xml:space="preserve"> </w:t>
      </w:r>
      <w:r>
        <w:rPr>
          <w:rFonts w:ascii="Arial" w:cs="Arial" w:eastAsia="Arial" w:hAnsi="Arial"/>
          <w:sz w:val="20"/>
          <w:szCs w:val="20"/>
          <w:color w:val="auto"/>
        </w:rPr>
        <w:t>continue to invest in programs that support the well-being of those engaged with us.</w:t>
      </w:r>
    </w:p>
    <w:p>
      <w:pPr>
        <w:spacing w:after="0" w:line="203" w:lineRule="exact"/>
        <w:rPr>
          <w:rFonts w:ascii="Arial" w:cs="Arial" w:eastAsia="Arial" w:hAnsi="Arial"/>
          <w:sz w:val="20"/>
          <w:szCs w:val="20"/>
          <w:i w:val="1"/>
          <w:iCs w:val="1"/>
          <w:color w:val="auto"/>
        </w:rPr>
      </w:pPr>
    </w:p>
    <w:p>
      <w:pPr>
        <w:ind w:left="900" w:hanging="325"/>
        <w:spacing w:after="0" w:line="260" w:lineRule="auto"/>
        <w:tabs>
          <w:tab w:leader="none" w:pos="895" w:val="left"/>
        </w:tabs>
        <w:numPr>
          <w:ilvl w:val="0"/>
          <w:numId w:val="17"/>
        </w:numPr>
        <w:rPr>
          <w:rFonts w:ascii="Arial" w:cs="Arial" w:eastAsia="Arial" w:hAnsi="Arial"/>
          <w:sz w:val="18"/>
          <w:szCs w:val="18"/>
          <w:color w:val="auto"/>
        </w:rPr>
      </w:pPr>
      <w:r>
        <w:rPr>
          <w:rFonts w:ascii="Arial" w:cs="Arial" w:eastAsia="Arial" w:hAnsi="Arial"/>
          <w:sz w:val="20"/>
          <w:szCs w:val="20"/>
          <w:i w:val="1"/>
          <w:iCs w:val="1"/>
          <w:color w:val="auto"/>
        </w:rPr>
        <w:t xml:space="preserve">Maximize International Opportunity. </w:t>
      </w:r>
      <w:r>
        <w:rPr>
          <w:rFonts w:ascii="Arial" w:cs="Arial" w:eastAsia="Arial" w:hAnsi="Arial"/>
          <w:sz w:val="20"/>
          <w:szCs w:val="20"/>
          <w:color w:val="auto"/>
        </w:rPr>
        <w:t>We continue to focus on existing geographic regions in South America, with strategic</w:t>
      </w:r>
      <w:r>
        <w:rPr>
          <w:rFonts w:ascii="Arial" w:cs="Arial" w:eastAsia="Arial" w:hAnsi="Arial"/>
          <w:sz w:val="20"/>
          <w:szCs w:val="20"/>
          <w:i w:val="1"/>
          <w:iCs w:val="1"/>
          <w:color w:val="auto"/>
        </w:rPr>
        <w:t xml:space="preserve"> </w:t>
      </w:r>
      <w:r>
        <w:rPr>
          <w:rFonts w:ascii="Arial" w:cs="Arial" w:eastAsia="Arial" w:hAnsi="Arial"/>
          <w:sz w:val="20"/>
          <w:szCs w:val="20"/>
          <w:color w:val="auto"/>
        </w:rPr>
        <w:t>expansion in Brazil, and pursue global franchise opportunities.</w:t>
      </w:r>
    </w:p>
    <w:p>
      <w:pPr>
        <w:spacing w:after="0" w:line="20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We intend to fund our business strategies, drive revenue growth and margin improvement, in part by reinvesting savings generated by cost savings and productivity initiatives across our businesses.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Developments - COVID-19</w:t>
      </w:r>
    </w:p>
    <w:p>
      <w:pPr>
        <w:spacing w:after="0" w:line="24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response to the COVID-19 pandemic, governmental authorities took dramatic action in an effort to slow the spread of the disease. Along with many other restaurant businesses across the country, we temporarily limited our services in the U.S. to carry-out and delivery only beginning March 20, 2020. In early May 2020, we began to reopen our restaurant dining rooms with limited seating capacity in compliance with state and local regulations. As of December 27, 2020, 85% of our restaurant dining rooms were open with many still subject to seating capacity restrictions. The temporary closure of our dining rooms and the limitations on seating capacity in our reopened dining rooms has resulted in significantly reduced traffic in our restaurants.</w:t>
      </w:r>
    </w:p>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response to the COVID-19 pandemic, we have tightly managed expenses while taking steps to secure our liquidity position</w:t>
      </w:r>
      <w:r>
        <w:rPr>
          <w:rFonts w:ascii="Arial" w:cs="Arial" w:eastAsia="Arial" w:hAnsi="Arial"/>
          <w:sz w:val="20"/>
          <w:szCs w:val="20"/>
          <w:color w:val="212529"/>
        </w:rPr>
        <w:t>.</w:t>
      </w:r>
      <w:r>
        <w:rPr>
          <w:rFonts w:ascii="Arial" w:cs="Arial" w:eastAsia="Arial" w:hAnsi="Arial"/>
          <w:sz w:val="20"/>
          <w:szCs w:val="20"/>
          <w:color w:val="auto"/>
        </w:rPr>
        <w:t xml:space="preserve"> See the subsection below e</w:t>
      </w:r>
      <w:r>
        <w:rPr>
          <w:rFonts w:ascii="Arial" w:cs="Arial" w:eastAsia="Arial" w:hAnsi="Arial"/>
          <w:sz w:val="20"/>
          <w:szCs w:val="20"/>
          <w:color w:val="212529"/>
        </w:rPr>
        <w:t>ntitled “</w:t>
      </w:r>
      <w:r>
        <w:rPr>
          <w:rFonts w:ascii="Arial" w:cs="Arial" w:eastAsia="Arial" w:hAnsi="Arial"/>
          <w:sz w:val="20"/>
          <w:szCs w:val="20"/>
          <w:i w:val="1"/>
          <w:iCs w:val="1"/>
          <w:color w:val="auto"/>
        </w:rPr>
        <w:t>Liquidity and Capital Resources</w:t>
      </w:r>
      <w:r>
        <w:rPr>
          <w:rFonts w:ascii="Arial" w:cs="Arial" w:eastAsia="Arial" w:hAnsi="Arial"/>
          <w:sz w:val="20"/>
          <w:szCs w:val="20"/>
          <w:color w:val="212529"/>
        </w:rPr>
        <w:t>” for furthe</w:t>
      </w:r>
      <w:r>
        <w:rPr>
          <w:rFonts w:ascii="Arial" w:cs="Arial" w:eastAsia="Arial" w:hAnsi="Arial"/>
          <w:sz w:val="20"/>
          <w:szCs w:val="20"/>
          <w:color w:val="auto"/>
        </w:rPr>
        <w:t>r details.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Performance Indicators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Key measures that we use in evaluating our restaurants and assessing our business include the following:</w:t>
      </w:r>
    </w:p>
    <w:p>
      <w:pPr>
        <w:spacing w:after="0" w:line="243" w:lineRule="exact"/>
        <w:rPr>
          <w:sz w:val="20"/>
          <w:szCs w:val="20"/>
          <w:color w:val="auto"/>
        </w:rPr>
      </w:pPr>
    </w:p>
    <w:p>
      <w:pPr>
        <w:ind w:left="660" w:hanging="328"/>
        <w:spacing w:after="0" w:line="260"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i w:val="1"/>
          <w:iCs w:val="1"/>
          <w:color w:val="auto"/>
        </w:rPr>
        <w:t>Average restaurant unit volumes</w:t>
      </w:r>
      <w:r>
        <w:rPr>
          <w:rFonts w:ascii="Arial" w:cs="Arial" w:eastAsia="Arial" w:hAnsi="Arial"/>
          <w:sz w:val="20"/>
          <w:szCs w:val="20"/>
          <w:color w:val="auto"/>
        </w:rPr>
        <w:t>—average sales (excluding gift card breakage) per restaurant to measure changes in consumer</w:t>
      </w:r>
      <w:r>
        <w:rPr>
          <w:rFonts w:ascii="Arial" w:cs="Arial" w:eastAsia="Arial" w:hAnsi="Arial"/>
          <w:sz w:val="20"/>
          <w:szCs w:val="20"/>
          <w:i w:val="1"/>
          <w:iCs w:val="1"/>
          <w:color w:val="auto"/>
        </w:rPr>
        <w:t xml:space="preserve"> </w:t>
      </w:r>
      <w:r>
        <w:rPr>
          <w:rFonts w:ascii="Arial" w:cs="Arial" w:eastAsia="Arial" w:hAnsi="Arial"/>
          <w:sz w:val="20"/>
          <w:szCs w:val="20"/>
          <w:color w:val="auto"/>
        </w:rPr>
        <w:t>traffic, pricing and development of the brand;</w:t>
      </w:r>
    </w:p>
    <w:p>
      <w:pPr>
        <w:spacing w:after="0" w:line="203" w:lineRule="exact"/>
        <w:rPr>
          <w:rFonts w:ascii="Arial" w:cs="Arial" w:eastAsia="Arial" w:hAnsi="Arial"/>
          <w:sz w:val="20"/>
          <w:szCs w:val="20"/>
          <w:color w:val="auto"/>
        </w:rPr>
      </w:pPr>
    </w:p>
    <w:p>
      <w:pPr>
        <w:jc w:val="both"/>
        <w:ind w:left="660" w:hanging="328"/>
        <w:spacing w:after="0" w:line="250"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i w:val="1"/>
          <w:iCs w:val="1"/>
          <w:color w:val="auto"/>
        </w:rPr>
        <w:t>Comparable restaurant sales</w:t>
      </w:r>
      <w:r>
        <w:rPr>
          <w:rFonts w:ascii="Arial" w:cs="Arial" w:eastAsia="Arial" w:hAnsi="Arial"/>
          <w:sz w:val="20"/>
          <w:szCs w:val="20"/>
          <w:color w:val="auto"/>
        </w:rPr>
        <w:t>—year-over-year comparison of sales volumes (excluding gift card breakage) for Company-owned</w:t>
      </w:r>
      <w:r>
        <w:rPr>
          <w:rFonts w:ascii="Arial" w:cs="Arial" w:eastAsia="Arial" w:hAnsi="Arial"/>
          <w:sz w:val="20"/>
          <w:szCs w:val="20"/>
          <w:i w:val="1"/>
          <w:iCs w:val="1"/>
          <w:color w:val="auto"/>
        </w:rPr>
        <w:t xml:space="preserve"> </w:t>
      </w:r>
      <w:r>
        <w:rPr>
          <w:rFonts w:ascii="Arial" w:cs="Arial" w:eastAsia="Arial" w:hAnsi="Arial"/>
          <w:sz w:val="20"/>
          <w:szCs w:val="20"/>
          <w:color w:val="auto"/>
        </w:rPr>
        <w:t>restaurants that are open 18 months or more in order to remove the impact of new restaurant openings in comparing the operations of existing restaurants;</w:t>
      </w:r>
    </w:p>
    <w:p>
      <w:pPr>
        <w:spacing w:after="0" w:line="212"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18"/>
        </w:numPr>
        <w:rPr>
          <w:rFonts w:ascii="Arial" w:cs="Arial" w:eastAsia="Arial" w:hAnsi="Arial"/>
          <w:sz w:val="20"/>
          <w:szCs w:val="20"/>
          <w:i w:val="1"/>
          <w:iCs w:val="1"/>
          <w:color w:val="auto"/>
        </w:rPr>
      </w:pPr>
      <w:r>
        <w:rPr>
          <w:rFonts w:ascii="Arial" w:cs="Arial" w:eastAsia="Arial" w:hAnsi="Arial"/>
          <w:sz w:val="20"/>
          <w:szCs w:val="20"/>
          <w:i w:val="1"/>
          <w:iCs w:val="1"/>
          <w:color w:val="auto"/>
        </w:rPr>
        <w:t>System-wide sales</w:t>
      </w:r>
      <w:r>
        <w:rPr>
          <w:rFonts w:ascii="Arial" w:cs="Arial" w:eastAsia="Arial" w:hAnsi="Arial"/>
          <w:sz w:val="20"/>
          <w:szCs w:val="20"/>
          <w:color w:val="auto"/>
        </w:rPr>
        <w:t>—total restaurant sales volume for all Company-owned and franchise restaurants, regardless of ownership, to</w:t>
      </w:r>
      <w:r>
        <w:rPr>
          <w:rFonts w:ascii="Arial" w:cs="Arial" w:eastAsia="Arial" w:hAnsi="Arial"/>
          <w:sz w:val="20"/>
          <w:szCs w:val="20"/>
          <w:i w:val="1"/>
          <w:iCs w:val="1"/>
          <w:color w:val="auto"/>
        </w:rPr>
        <w:t xml:space="preserve"> </w:t>
      </w:r>
      <w:r>
        <w:rPr>
          <w:rFonts w:ascii="Arial" w:cs="Arial" w:eastAsia="Arial" w:hAnsi="Arial"/>
          <w:sz w:val="20"/>
          <w:szCs w:val="20"/>
          <w:color w:val="auto"/>
        </w:rPr>
        <w:t>interpret the overall health of our brands;</w:t>
      </w:r>
    </w:p>
    <w:p>
      <w:pPr>
        <w:spacing w:after="0" w:line="203" w:lineRule="exact"/>
        <w:rPr>
          <w:rFonts w:ascii="Arial" w:cs="Arial" w:eastAsia="Arial" w:hAnsi="Arial"/>
          <w:sz w:val="20"/>
          <w:szCs w:val="20"/>
          <w:i w:val="1"/>
          <w:iCs w:val="1"/>
          <w:color w:val="auto"/>
        </w:rPr>
      </w:pPr>
    </w:p>
    <w:p>
      <w:pPr>
        <w:ind w:left="660" w:right="20" w:hanging="328"/>
        <w:spacing w:after="0" w:line="260"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i w:val="1"/>
          <w:iCs w:val="1"/>
          <w:color w:val="auto"/>
        </w:rPr>
        <w:t>Restaurant-level operating margin, (Loss) income from operations, Net (loss) income and Diluted (loss) earnings per share</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financial measures utilized to evaluate our operating performance.</w:t>
      </w:r>
    </w:p>
    <w:p>
      <w:pPr>
        <w:spacing w:after="0" w:line="203" w:lineRule="exact"/>
        <w:rPr>
          <w:rFonts w:ascii="Arial" w:cs="Arial" w:eastAsia="Arial" w:hAnsi="Arial"/>
          <w:sz w:val="20"/>
          <w:szCs w:val="20"/>
          <w:color w:val="auto"/>
        </w:rPr>
      </w:pPr>
    </w:p>
    <w:p>
      <w:pPr>
        <w:jc w:val="both"/>
        <w:ind w:left="660"/>
        <w:spacing w:after="0" w:line="257" w:lineRule="auto"/>
        <w:rPr>
          <w:rFonts w:ascii="Arial" w:cs="Arial" w:eastAsia="Arial" w:hAnsi="Arial"/>
          <w:sz w:val="20"/>
          <w:szCs w:val="20"/>
          <w:color w:val="auto"/>
        </w:rPr>
      </w:pPr>
      <w:r>
        <w:rPr>
          <w:rFonts w:ascii="Arial" w:cs="Arial" w:eastAsia="Arial" w:hAnsi="Arial"/>
          <w:sz w:val="19"/>
          <w:szCs w:val="19"/>
          <w:color w:val="auto"/>
        </w:rPr>
        <w:t>Restaurant-level operating margin is widely regarded in the industry as a useful metric to evaluate restaurant level operating efficiency and performance of ongoing restaurant-level operations, and we use it for these purposes, overall and particularly within our two segments. Our restaurant-level operating margin is expressed as the percentage of our Restaurant sales that Food and beverage costs, Labor and other related and Other restaurant operating expense (including advertising expenses) represent, in each case as such items are reflected in our Consolidated Statements of Operations. The following categories of our revenue and operating expenses are not included in restaurant-level operating margin because we do not consider them reflective of operating performance at the restaurant-level within a period:</w:t>
      </w:r>
    </w:p>
    <w:p>
      <w:pPr>
        <w:spacing w:after="0" w:line="211" w:lineRule="exact"/>
        <w:rPr>
          <w:rFonts w:ascii="Arial" w:cs="Arial" w:eastAsia="Arial" w:hAnsi="Arial"/>
          <w:sz w:val="20"/>
          <w:szCs w:val="20"/>
          <w:color w:val="auto"/>
        </w:rPr>
      </w:pPr>
    </w:p>
    <w:p>
      <w:pPr>
        <w:ind w:left="1060" w:right="20" w:hanging="404"/>
        <w:spacing w:after="0" w:line="247" w:lineRule="auto"/>
        <w:tabs>
          <w:tab w:leader="none" w:pos="1058" w:val="left"/>
        </w:tabs>
        <w:numPr>
          <w:ilvl w:val="1"/>
          <w:numId w:val="18"/>
        </w:numPr>
        <w:rPr>
          <w:rFonts w:ascii="Arial" w:cs="Arial" w:eastAsia="Arial" w:hAnsi="Arial"/>
          <w:sz w:val="20"/>
          <w:szCs w:val="20"/>
          <w:color w:val="auto"/>
        </w:rPr>
      </w:pPr>
      <w:r>
        <w:rPr>
          <w:rFonts w:ascii="Arial" w:cs="Arial" w:eastAsia="Arial" w:hAnsi="Arial"/>
          <w:sz w:val="20"/>
          <w:szCs w:val="20"/>
          <w:color w:val="auto"/>
        </w:rPr>
        <w:t>Franchise and other revenues which are earned primarily from franchise royalties and other non-food and beverage revenue streams, such as rental and sublease income.</w:t>
      </w:r>
    </w:p>
    <w:p>
      <w:pPr>
        <w:spacing w:after="0" w:line="1" w:lineRule="exact"/>
        <w:rPr>
          <w:rFonts w:ascii="Arial" w:cs="Arial" w:eastAsia="Arial" w:hAnsi="Arial"/>
          <w:sz w:val="20"/>
          <w:szCs w:val="20"/>
          <w:color w:val="auto"/>
        </w:rPr>
      </w:pPr>
    </w:p>
    <w:p>
      <w:pPr>
        <w:ind w:left="1060" w:hanging="404"/>
        <w:spacing w:after="0" w:line="239" w:lineRule="auto"/>
        <w:tabs>
          <w:tab w:leader="none" w:pos="1059" w:val="left"/>
        </w:tabs>
        <w:numPr>
          <w:ilvl w:val="1"/>
          <w:numId w:val="18"/>
        </w:numPr>
        <w:rPr>
          <w:rFonts w:ascii="Arial" w:cs="Arial" w:eastAsia="Arial" w:hAnsi="Arial"/>
          <w:sz w:val="20"/>
          <w:szCs w:val="20"/>
          <w:color w:val="auto"/>
        </w:rPr>
      </w:pPr>
      <w:r>
        <w:rPr>
          <w:rFonts w:ascii="Arial" w:cs="Arial" w:eastAsia="Arial" w:hAnsi="Arial"/>
          <w:sz w:val="20"/>
          <w:szCs w:val="20"/>
          <w:color w:val="auto"/>
        </w:rPr>
        <w:t>Depreciation and amortization which, although substantially all is related to restaurant-level assets, represent historical sunk costs rather than cash outlays for the restaurants.</w:t>
      </w:r>
    </w:p>
    <w:p>
      <w:pPr>
        <w:ind w:left="1060" w:right="20" w:hanging="404"/>
        <w:spacing w:after="0" w:line="239" w:lineRule="auto"/>
        <w:tabs>
          <w:tab w:leader="none" w:pos="1060" w:val="left"/>
        </w:tabs>
        <w:numPr>
          <w:ilvl w:val="1"/>
          <w:numId w:val="18"/>
        </w:numPr>
        <w:rPr>
          <w:rFonts w:ascii="Arial" w:cs="Arial" w:eastAsia="Arial" w:hAnsi="Arial"/>
          <w:sz w:val="20"/>
          <w:szCs w:val="20"/>
          <w:color w:val="auto"/>
        </w:rPr>
      </w:pPr>
      <w:r>
        <w:rPr>
          <w:rFonts w:ascii="Arial" w:cs="Arial" w:eastAsia="Arial" w:hAnsi="Arial"/>
          <w:sz w:val="20"/>
          <w:szCs w:val="20"/>
          <w:color w:val="auto"/>
        </w:rPr>
        <w:t>General and administrative expense which includes primarily non-restaurant-level costs associated with support of the restaurants and other activities at our corporate offices.</w:t>
      </w:r>
    </w:p>
    <w:p>
      <w:pPr>
        <w:ind w:left="1040" w:hanging="384"/>
        <w:spacing w:after="0"/>
        <w:tabs>
          <w:tab w:leader="none" w:pos="10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Asset impairment charges and restaurant closing costs which are not reflective of ongoing restaurant performance in a period.</w:t>
      </w:r>
    </w:p>
    <w:p>
      <w:pPr>
        <w:spacing w:after="0" w:line="250"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Restaurant-level operating margin excludes various expenses, as discussed above, that are essential to support the operations of our restaurants and may materially impact our Consolidated Statements of Operations and Comprehensive (Loss) Income. As a result, restaurant-level operating margin is not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jc w:val="center"/>
        <w:ind w:right="-19"/>
        <w:spacing w:after="0"/>
        <w:rPr>
          <w:sz w:val="20"/>
          <w:szCs w:val="20"/>
          <w:color w:val="auto"/>
        </w:rPr>
      </w:pPr>
      <w:r>
        <w:rPr>
          <w:rFonts w:ascii="Arial" w:cs="Arial" w:eastAsia="Arial" w:hAnsi="Arial"/>
          <w:sz w:val="20"/>
          <w:szCs w:val="20"/>
          <w:b w:val="1"/>
          <w:bCs w:val="1"/>
          <w:color w:val="auto"/>
        </w:rPr>
        <w:t>MANAGEMENT’S DISCUSSION AND ANALYSIS OF</w:t>
      </w:r>
    </w:p>
    <w:p>
      <w:pPr>
        <w:jc w:val="center"/>
        <w:ind w:right="-19"/>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9"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indicative of our consolidated results of operations and is presented exclusively as a supplement to, and not a substitute for, net (loss) income or (loss) income from operations. In addition, our presentation of restaurant operating margin may not be comparable to similarly titled measures used by other companies in our industry;</w:t>
      </w:r>
    </w:p>
    <w:p>
      <w:pPr>
        <w:spacing w:after="0" w:line="213" w:lineRule="exact"/>
        <w:rPr>
          <w:sz w:val="20"/>
          <w:szCs w:val="20"/>
          <w:color w:val="auto"/>
        </w:rPr>
      </w:pPr>
    </w:p>
    <w:p>
      <w:pPr>
        <w:jc w:val="both"/>
        <w:ind w:left="660" w:hanging="328"/>
        <w:spacing w:after="0" w:line="291" w:lineRule="auto"/>
        <w:tabs>
          <w:tab w:leader="none" w:pos="648"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Adjusted restaurant-level operating margin, Adjusted (loss) income from operations, Adjusted net (loss) income and Adjusted diluted (loss) earnings per share</w:t>
      </w:r>
      <w:r>
        <w:rPr>
          <w:rFonts w:ascii="Arial" w:cs="Arial" w:eastAsia="Arial" w:hAnsi="Arial"/>
          <w:sz w:val="18"/>
          <w:szCs w:val="18"/>
          <w:color w:val="auto"/>
        </w:rPr>
        <w:t>—non-GAAP financial measures utilized to evaluate our operating performance, which definitions,</w:t>
      </w:r>
      <w:r>
        <w:rPr>
          <w:rFonts w:ascii="Arial" w:cs="Arial" w:eastAsia="Arial" w:hAnsi="Arial"/>
          <w:sz w:val="18"/>
          <w:szCs w:val="18"/>
          <w:i w:val="1"/>
          <w:iCs w:val="1"/>
          <w:color w:val="auto"/>
        </w:rPr>
        <w:t xml:space="preserve"> </w:t>
      </w:r>
      <w:r>
        <w:rPr>
          <w:rFonts w:ascii="Arial" w:cs="Arial" w:eastAsia="Arial" w:hAnsi="Arial"/>
          <w:sz w:val="18"/>
          <w:szCs w:val="18"/>
          <w:color w:val="auto"/>
        </w:rPr>
        <w:t>usefulness and reconciliations are described in more detail in the “Non-GAAP Financial Measures” section below; and</w:t>
      </w:r>
    </w:p>
    <w:p>
      <w:pPr>
        <w:spacing w:after="0" w:line="178" w:lineRule="exact"/>
        <w:rPr>
          <w:rFonts w:ascii="Arial" w:cs="Arial" w:eastAsia="Arial" w:hAnsi="Arial"/>
          <w:sz w:val="18"/>
          <w:szCs w:val="18"/>
          <w:color w:val="auto"/>
        </w:rPr>
      </w:pPr>
    </w:p>
    <w:p>
      <w:pPr>
        <w:ind w:left="640" w:hanging="308"/>
        <w:spacing w:after="0"/>
        <w:tabs>
          <w:tab w:leader="none" w:pos="640" w:val="left"/>
        </w:tabs>
        <w:numPr>
          <w:ilvl w:val="0"/>
          <w:numId w:val="19"/>
        </w:numPr>
        <w:rPr>
          <w:rFonts w:ascii="Arial" w:cs="Arial" w:eastAsia="Arial" w:hAnsi="Arial"/>
          <w:sz w:val="20"/>
          <w:szCs w:val="20"/>
          <w:i w:val="1"/>
          <w:iCs w:val="1"/>
          <w:color w:val="auto"/>
        </w:rPr>
      </w:pPr>
      <w:r>
        <w:rPr>
          <w:rFonts w:ascii="Arial" w:cs="Arial" w:eastAsia="Arial" w:hAnsi="Arial"/>
          <w:sz w:val="20"/>
          <w:szCs w:val="20"/>
          <w:i w:val="1"/>
          <w:iCs w:val="1"/>
          <w:color w:val="auto"/>
        </w:rPr>
        <w:t>Consumer satisfaction scores</w:t>
      </w:r>
      <w:r>
        <w:rPr>
          <w:rFonts w:ascii="Arial" w:cs="Arial" w:eastAsia="Arial" w:hAnsi="Arial"/>
          <w:sz w:val="20"/>
          <w:szCs w:val="20"/>
          <w:color w:val="auto"/>
        </w:rPr>
        <w:t>—measurement of our consumers’ experiences in a variety of key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Selected Operating Data</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presents the number of our restaurants in operation as of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80" w:type="dxa"/>
            <w:vAlign w:val="bottom"/>
          </w:tcPr>
          <w:p>
            <w:pPr>
              <w:spacing w:after="0"/>
              <w:rPr>
                <w:sz w:val="17"/>
                <w:szCs w:val="17"/>
                <w:color w:val="auto"/>
              </w:rPr>
            </w:pPr>
          </w:p>
        </w:tc>
        <w:tc>
          <w:tcPr>
            <w:tcW w:w="202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27, 2020</w:t>
            </w:r>
          </w:p>
        </w:tc>
        <w:tc>
          <w:tcPr>
            <w:tcW w:w="1940" w:type="dxa"/>
            <w:vAlign w:val="bottom"/>
          </w:tcPr>
          <w:p>
            <w:pPr>
              <w:jc w:val="right"/>
              <w:ind w:right="199"/>
              <w:spacing w:after="0"/>
              <w:rPr>
                <w:sz w:val="20"/>
                <w:szCs w:val="20"/>
                <w:color w:val="auto"/>
              </w:rPr>
            </w:pPr>
            <w:r>
              <w:rPr>
                <w:rFonts w:ascii="Arial" w:cs="Arial" w:eastAsia="Arial" w:hAnsi="Arial"/>
                <w:sz w:val="14"/>
                <w:szCs w:val="14"/>
                <w:b w:val="1"/>
                <w:bCs w:val="1"/>
                <w:color w:val="auto"/>
              </w:rPr>
              <w:t>DECEMBER 29, 2019</w:t>
            </w:r>
          </w:p>
        </w:tc>
      </w:tr>
      <w:tr>
        <w:trPr>
          <w:trHeight w:val="203"/>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Number of restaurants (at end of the period):</w:t>
            </w:r>
          </w:p>
        </w:tc>
        <w:tc>
          <w:tcPr>
            <w:tcW w:w="1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r>
      <w:tr>
        <w:trPr>
          <w:trHeight w:val="213"/>
        </w:trPr>
        <w:tc>
          <w:tcPr>
            <w:tcW w:w="7280" w:type="dxa"/>
            <w:vAlign w:val="bottom"/>
          </w:tcPr>
          <w:p>
            <w:pPr>
              <w:ind w:left="20"/>
              <w:spacing w:after="0"/>
              <w:rPr>
                <w:sz w:val="20"/>
                <w:szCs w:val="20"/>
                <w:color w:val="auto"/>
              </w:rPr>
            </w:pPr>
            <w:r>
              <w:rPr>
                <w:rFonts w:ascii="Arial" w:cs="Arial" w:eastAsia="Arial" w:hAnsi="Arial"/>
                <w:sz w:val="16"/>
                <w:szCs w:val="16"/>
                <w:color w:val="auto"/>
              </w:rPr>
              <w:t>U.S.: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9"/>
        </w:trPr>
        <w:tc>
          <w:tcPr>
            <w:tcW w:w="7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Outback Steakhouse</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13"/>
        </w:trPr>
        <w:tc>
          <w:tcPr>
            <w:tcW w:w="7280" w:type="dxa"/>
            <w:vAlign w:val="bottom"/>
          </w:tcPr>
          <w:p>
            <w:pPr>
              <w:ind w:left="360"/>
              <w:spacing w:after="0"/>
              <w:rPr>
                <w:sz w:val="20"/>
                <w:szCs w:val="20"/>
                <w:color w:val="auto"/>
              </w:rPr>
            </w:pPr>
            <w:r>
              <w:rPr>
                <w:rFonts w:ascii="Arial" w:cs="Arial" w:eastAsia="Arial" w:hAnsi="Arial"/>
                <w:sz w:val="16"/>
                <w:szCs w:val="16"/>
                <w:color w:val="auto"/>
              </w:rPr>
              <w:t>Company-owned</w:t>
            </w:r>
          </w:p>
        </w:tc>
        <w:tc>
          <w:tcPr>
            <w:tcW w:w="1920" w:type="dxa"/>
            <w:vAlign w:val="bottom"/>
          </w:tcPr>
          <w:p>
            <w:pPr>
              <w:jc w:val="right"/>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579</w:t>
            </w:r>
          </w:p>
        </w:tc>
      </w:tr>
      <w:tr>
        <w:trPr>
          <w:trHeight w:val="236"/>
        </w:trPr>
        <w:tc>
          <w:tcPr>
            <w:tcW w:w="7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Franchised</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r>
      <w:tr>
        <w:trPr>
          <w:trHeight w:val="213"/>
        </w:trPr>
        <w:tc>
          <w:tcPr>
            <w:tcW w:w="7280" w:type="dxa"/>
            <w:vAlign w:val="bottom"/>
            <w:tcBorders>
              <w:bottom w:val="single" w:sz="8" w:color="CCEEFF"/>
            </w:tcBorders>
          </w:tcPr>
          <w:p>
            <w:pPr>
              <w:jc w:val="center"/>
              <w:ind w:right="5519"/>
              <w:spacing w:after="0"/>
              <w:rPr>
                <w:sz w:val="20"/>
                <w:szCs w:val="20"/>
                <w:color w:val="auto"/>
              </w:rPr>
            </w:pPr>
            <w:r>
              <w:rPr>
                <w:rFonts w:ascii="Arial" w:cs="Arial" w:eastAsia="Arial" w:hAnsi="Arial"/>
                <w:sz w:val="16"/>
                <w:szCs w:val="16"/>
                <w:color w:val="auto"/>
                <w:w w:val="89"/>
              </w:rPr>
              <w:t>Total</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706</w:t>
            </w:r>
          </w:p>
        </w:tc>
        <w:tc>
          <w:tcPr>
            <w:tcW w:w="100" w:type="dxa"/>
            <w:vAlign w:val="bottom"/>
            <w:tcBorders>
              <w:bottom w:val="single" w:sz="8" w:color="CCEEFF"/>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w:t>
            </w:r>
          </w:p>
        </w:tc>
      </w:tr>
      <w:tr>
        <w:trPr>
          <w:trHeight w:val="203"/>
        </w:trPr>
        <w:tc>
          <w:tcPr>
            <w:tcW w:w="7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Carrabba’s Italian Grill</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13"/>
        </w:trPr>
        <w:tc>
          <w:tcPr>
            <w:tcW w:w="7280" w:type="dxa"/>
            <w:vAlign w:val="bottom"/>
          </w:tcPr>
          <w:p>
            <w:pPr>
              <w:ind w:left="360"/>
              <w:spacing w:after="0"/>
              <w:rPr>
                <w:sz w:val="20"/>
                <w:szCs w:val="20"/>
                <w:color w:val="auto"/>
              </w:rPr>
            </w:pPr>
            <w:r>
              <w:rPr>
                <w:rFonts w:ascii="Arial" w:cs="Arial" w:eastAsia="Arial" w:hAnsi="Arial"/>
                <w:sz w:val="16"/>
                <w:szCs w:val="16"/>
                <w:color w:val="auto"/>
              </w:rPr>
              <w:t>Company-owned</w:t>
            </w:r>
          </w:p>
        </w:tc>
        <w:tc>
          <w:tcPr>
            <w:tcW w:w="192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204</w:t>
            </w:r>
          </w:p>
        </w:tc>
      </w:tr>
      <w:tr>
        <w:trPr>
          <w:trHeight w:val="236"/>
        </w:trPr>
        <w:tc>
          <w:tcPr>
            <w:tcW w:w="7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Franchised</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7280" w:type="dxa"/>
            <w:vAlign w:val="bottom"/>
            <w:tcBorders>
              <w:bottom w:val="single" w:sz="8" w:color="CCEEFF"/>
            </w:tcBorders>
          </w:tcPr>
          <w:p>
            <w:pPr>
              <w:jc w:val="center"/>
              <w:ind w:right="5519"/>
              <w:spacing w:after="0"/>
              <w:rPr>
                <w:sz w:val="20"/>
                <w:szCs w:val="20"/>
                <w:color w:val="auto"/>
              </w:rPr>
            </w:pPr>
            <w:r>
              <w:rPr>
                <w:rFonts w:ascii="Arial" w:cs="Arial" w:eastAsia="Arial" w:hAnsi="Arial"/>
                <w:sz w:val="16"/>
                <w:szCs w:val="16"/>
                <w:color w:val="auto"/>
                <w:w w:val="89"/>
              </w:rPr>
              <w:t>Total</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CCEEFF"/>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r>
      <w:tr>
        <w:trPr>
          <w:trHeight w:val="203"/>
        </w:trPr>
        <w:tc>
          <w:tcPr>
            <w:tcW w:w="7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Bonefish Grill</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13"/>
        </w:trPr>
        <w:tc>
          <w:tcPr>
            <w:tcW w:w="7280" w:type="dxa"/>
            <w:vAlign w:val="bottom"/>
          </w:tcPr>
          <w:p>
            <w:pPr>
              <w:ind w:left="360"/>
              <w:spacing w:after="0"/>
              <w:rPr>
                <w:sz w:val="20"/>
                <w:szCs w:val="20"/>
                <w:color w:val="auto"/>
              </w:rPr>
            </w:pPr>
            <w:r>
              <w:rPr>
                <w:rFonts w:ascii="Arial" w:cs="Arial" w:eastAsia="Arial" w:hAnsi="Arial"/>
                <w:sz w:val="16"/>
                <w:szCs w:val="16"/>
                <w:color w:val="auto"/>
              </w:rPr>
              <w:t>Company-owned</w:t>
            </w:r>
          </w:p>
        </w:tc>
        <w:tc>
          <w:tcPr>
            <w:tcW w:w="192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190</w:t>
            </w:r>
          </w:p>
        </w:tc>
      </w:tr>
      <w:tr>
        <w:trPr>
          <w:trHeight w:val="236"/>
        </w:trPr>
        <w:tc>
          <w:tcPr>
            <w:tcW w:w="7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Franchised</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7280" w:type="dxa"/>
            <w:vAlign w:val="bottom"/>
            <w:tcBorders>
              <w:bottom w:val="single" w:sz="8" w:color="CCEEFF"/>
            </w:tcBorders>
          </w:tcPr>
          <w:p>
            <w:pPr>
              <w:jc w:val="center"/>
              <w:ind w:right="5519"/>
              <w:spacing w:after="0"/>
              <w:rPr>
                <w:sz w:val="20"/>
                <w:szCs w:val="20"/>
                <w:color w:val="auto"/>
              </w:rPr>
            </w:pPr>
            <w:r>
              <w:rPr>
                <w:rFonts w:ascii="Arial" w:cs="Arial" w:eastAsia="Arial" w:hAnsi="Arial"/>
                <w:sz w:val="16"/>
                <w:szCs w:val="16"/>
                <w:color w:val="auto"/>
                <w:w w:val="89"/>
              </w:rPr>
              <w:t>Total</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CEEFF"/>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r>
      <w:tr>
        <w:trPr>
          <w:trHeight w:val="203"/>
        </w:trPr>
        <w:tc>
          <w:tcPr>
            <w:tcW w:w="7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Fleming’s Prime Steakhouse &amp; Wine Bar</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23"/>
        </w:trPr>
        <w:tc>
          <w:tcPr>
            <w:tcW w:w="72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Company-owned</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r>
      <w:tr>
        <w:trPr>
          <w:trHeight w:val="202"/>
        </w:trPr>
        <w:tc>
          <w:tcPr>
            <w:tcW w:w="7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23"/>
        </w:trPr>
        <w:tc>
          <w:tcPr>
            <w:tcW w:w="72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Company-owned (1)</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33"/>
        </w:trPr>
        <w:tc>
          <w:tcPr>
            <w:tcW w:w="7280" w:type="dxa"/>
            <w:vAlign w:val="bottom"/>
            <w:tcBorders>
              <w:bottom w:val="single" w:sz="8" w:color="CCEEFF"/>
            </w:tcBorders>
            <w:shd w:val="clear" w:color="auto" w:fill="CCEEFF"/>
          </w:tcPr>
          <w:p>
            <w:pPr>
              <w:jc w:val="center"/>
              <w:ind w:right="5479"/>
              <w:spacing w:after="0"/>
              <w:rPr>
                <w:sz w:val="20"/>
                <w:szCs w:val="20"/>
                <w:color w:val="auto"/>
              </w:rPr>
            </w:pPr>
            <w:r>
              <w:rPr>
                <w:rFonts w:ascii="Arial" w:cs="Arial" w:eastAsia="Arial" w:hAnsi="Arial"/>
                <w:sz w:val="16"/>
                <w:szCs w:val="16"/>
                <w:color w:val="auto"/>
                <w:w w:val="91"/>
              </w:rPr>
              <w:t>U.S. total</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1,218</w:t>
            </w:r>
          </w:p>
        </w:tc>
      </w:tr>
      <w:tr>
        <w:trPr>
          <w:trHeight w:val="190"/>
        </w:trPr>
        <w:tc>
          <w:tcPr>
            <w:tcW w:w="728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19"/>
        </w:trPr>
        <w:tc>
          <w:tcPr>
            <w:tcW w:w="7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Company-owned</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13"/>
        </w:trPr>
        <w:tc>
          <w:tcPr>
            <w:tcW w:w="7280" w:type="dxa"/>
            <w:vAlign w:val="bottom"/>
          </w:tcPr>
          <w:p>
            <w:pPr>
              <w:ind w:left="360"/>
              <w:spacing w:after="0"/>
              <w:rPr>
                <w:sz w:val="20"/>
                <w:szCs w:val="20"/>
                <w:color w:val="auto"/>
              </w:rPr>
            </w:pPr>
            <w:r>
              <w:rPr>
                <w:rFonts w:ascii="Arial" w:cs="Arial" w:eastAsia="Arial" w:hAnsi="Arial"/>
                <w:sz w:val="16"/>
                <w:szCs w:val="16"/>
                <w:color w:val="auto"/>
              </w:rPr>
              <w:t>Outback Steakhouse - Brazil (2)</w:t>
            </w:r>
          </w:p>
        </w:tc>
        <w:tc>
          <w:tcPr>
            <w:tcW w:w="192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19"/>
        </w:trPr>
        <w:tc>
          <w:tcPr>
            <w:tcW w:w="7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(3)</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3"/>
        </w:trPr>
        <w:tc>
          <w:tcPr>
            <w:tcW w:w="7280" w:type="dxa"/>
            <w:vAlign w:val="bottom"/>
          </w:tcPr>
          <w:p>
            <w:pPr>
              <w:ind w:left="140"/>
              <w:spacing w:after="0"/>
              <w:rPr>
                <w:sz w:val="20"/>
                <w:szCs w:val="20"/>
                <w:color w:val="auto"/>
              </w:rPr>
            </w:pPr>
            <w:r>
              <w:rPr>
                <w:rFonts w:ascii="Arial" w:cs="Arial" w:eastAsia="Arial" w:hAnsi="Arial"/>
                <w:sz w:val="16"/>
                <w:szCs w:val="16"/>
                <w:color w:val="auto"/>
              </w:rPr>
              <w:t>Franchised</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9"/>
        </w:trPr>
        <w:tc>
          <w:tcPr>
            <w:tcW w:w="7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Outback Steakhouse—South Korea (3)</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23"/>
        </w:trPr>
        <w:tc>
          <w:tcPr>
            <w:tcW w:w="72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(1)</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r>
      <w:tr>
        <w:trPr>
          <w:trHeight w:val="223"/>
        </w:trPr>
        <w:tc>
          <w:tcPr>
            <w:tcW w:w="72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International total</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r>
      <w:tr>
        <w:trPr>
          <w:trHeight w:val="200"/>
        </w:trPr>
        <w:tc>
          <w:tcPr>
            <w:tcW w:w="7280" w:type="dxa"/>
            <w:vAlign w:val="bottom"/>
          </w:tcPr>
          <w:p>
            <w:pPr>
              <w:ind w:left="20"/>
              <w:spacing w:after="0"/>
              <w:rPr>
                <w:sz w:val="20"/>
                <w:szCs w:val="20"/>
                <w:color w:val="auto"/>
              </w:rPr>
            </w:pPr>
            <w:r>
              <w:rPr>
                <w:rFonts w:ascii="Arial" w:cs="Arial" w:eastAsia="Arial" w:hAnsi="Arial"/>
                <w:sz w:val="16"/>
                <w:szCs w:val="16"/>
                <w:color w:val="auto"/>
              </w:rPr>
              <w:t>System-wide total</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1,474</w:t>
            </w:r>
          </w:p>
        </w:tc>
        <w:tc>
          <w:tcPr>
            <w:tcW w:w="100" w:type="dxa"/>
            <w:vAlign w:val="bottom"/>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1,473</w:t>
            </w:r>
          </w:p>
        </w:tc>
      </w:tr>
      <w:tr>
        <w:trPr>
          <w:trHeight w:val="24"/>
        </w:trPr>
        <w:tc>
          <w:tcPr>
            <w:tcW w:w="728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line="246"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U.S. Company-owned and International Franchised Other each include three and two fast-casual Aussie Grill locations as of December 27, 2020 and December 29, 2019, respectively.</w:t>
      </w:r>
    </w:p>
    <w:p>
      <w:pPr>
        <w:ind w:left="660" w:hanging="652"/>
        <w:spacing w:after="0"/>
        <w:tabs>
          <w:tab w:leader="none" w:pos="6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restaurant counts for Brazil are reported as of November 30, 2020 and 2019, respectively, to correspond with the balance sheet dates of this subsidiary.</w:t>
      </w:r>
    </w:p>
    <w:p>
      <w:pPr>
        <w:spacing w:after="0" w:line="16" w:lineRule="exact"/>
        <w:rPr>
          <w:rFonts w:ascii="Arial" w:cs="Arial" w:eastAsia="Arial" w:hAnsi="Arial"/>
          <w:sz w:val="15"/>
          <w:szCs w:val="15"/>
          <w:color w:val="auto"/>
        </w:rPr>
      </w:pPr>
    </w:p>
    <w:p>
      <w:pPr>
        <w:ind w:left="660" w:hanging="652"/>
        <w:spacing w:after="0" w:line="257"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 of December 27, 2020, we had 20 international dark kitchens that offer delivery only. One of these locations was included within Company-owned Other and 19 were included in Franchised Outback Steakhouse - South Korea.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percentages of certain items in our Consolidated Statements of Operations in relation to Total revenues or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Restaurant sales for the periods indicated:</w:t>
      </w:r>
    </w:p>
    <w:p>
      <w:pPr>
        <w:spacing w:after="0" w:line="113"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FISCAL YEAR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6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2019</w:t>
            </w:r>
          </w:p>
        </w:tc>
      </w:tr>
      <w:tr>
        <w:trPr>
          <w:trHeight w:val="203"/>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13"/>
        </w:trPr>
        <w:tc>
          <w:tcPr>
            <w:tcW w:w="8820" w:type="dxa"/>
            <w:vAlign w:val="bottom"/>
            <w:gridSpan w:val="2"/>
          </w:tcPr>
          <w:p>
            <w:pPr>
              <w:ind w:left="360"/>
              <w:spacing w:after="0"/>
              <w:rPr>
                <w:sz w:val="20"/>
                <w:szCs w:val="20"/>
                <w:color w:val="auto"/>
              </w:rPr>
            </w:pPr>
            <w:r>
              <w:rPr>
                <w:rFonts w:ascii="Arial" w:cs="Arial" w:eastAsia="Arial" w:hAnsi="Arial"/>
                <w:sz w:val="16"/>
                <w:szCs w:val="16"/>
                <w:color w:val="auto"/>
              </w:rPr>
              <w:t>Restaurant sales</w:t>
            </w:r>
          </w:p>
        </w:tc>
        <w:tc>
          <w:tcPr>
            <w:tcW w:w="620" w:type="dxa"/>
            <w:vAlign w:val="bottom"/>
          </w:tcPr>
          <w:p>
            <w:pPr>
              <w:jc w:val="right"/>
              <w:spacing w:after="0"/>
              <w:rPr>
                <w:sz w:val="20"/>
                <w:szCs w:val="20"/>
                <w:color w:val="auto"/>
              </w:rPr>
            </w:pPr>
            <w:r>
              <w:rPr>
                <w:rFonts w:ascii="Arial" w:cs="Arial" w:eastAsia="Arial" w:hAnsi="Arial"/>
                <w:sz w:val="16"/>
                <w:szCs w:val="16"/>
                <w:color w:val="auto"/>
              </w:rPr>
              <w:t>99.2 %</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98.4 %</w:t>
            </w:r>
          </w:p>
        </w:tc>
      </w:tr>
      <w:tr>
        <w:trPr>
          <w:trHeight w:val="23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Franchise and other revenues</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w:t>
            </w:r>
          </w:p>
        </w:tc>
      </w:tr>
      <w:tr>
        <w:trPr>
          <w:trHeight w:val="203"/>
        </w:trPr>
        <w:tc>
          <w:tcPr>
            <w:tcW w:w="7760" w:type="dxa"/>
            <w:vAlign w:val="bottom"/>
            <w:tcBorders>
              <w:top w:val="single" w:sz="8" w:color="CCEEFF"/>
            </w:tcBorders>
          </w:tcPr>
          <w:p>
            <w:pPr>
              <w:ind w:left="680"/>
              <w:spacing w:after="0"/>
              <w:rPr>
                <w:sz w:val="20"/>
                <w:szCs w:val="20"/>
                <w:color w:val="auto"/>
              </w:rPr>
            </w:pPr>
            <w:r>
              <w:rPr>
                <w:rFonts w:ascii="Arial" w:cs="Arial" w:eastAsia="Arial" w:hAnsi="Arial"/>
                <w:sz w:val="16"/>
                <w:szCs w:val="16"/>
                <w:color w:val="auto"/>
              </w:rPr>
              <w:t>Total revenues</w:t>
            </w:r>
          </w:p>
        </w:tc>
        <w:tc>
          <w:tcPr>
            <w:tcW w:w="10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99"/>
              </w:rPr>
              <w:t>100.0</w:t>
            </w:r>
          </w:p>
        </w:tc>
        <w:tc>
          <w:tcPr>
            <w:tcW w:w="120" w:type="dxa"/>
            <w:vAlign w:val="bottom"/>
            <w:tcBorders>
              <w:top w:val="single" w:sz="8" w:color="CCEEFF"/>
            </w:tcBorders>
          </w:tcPr>
          <w:p>
            <w:pPr>
              <w:spacing w:after="0"/>
              <w:rPr>
                <w:sz w:val="17"/>
                <w:szCs w:val="17"/>
                <w:color w:val="auto"/>
              </w:rPr>
            </w:pPr>
          </w:p>
        </w:tc>
        <w:tc>
          <w:tcPr>
            <w:tcW w:w="16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100.0</w:t>
            </w:r>
          </w:p>
        </w:tc>
      </w:tr>
      <w:tr>
        <w:trPr>
          <w:trHeight w:val="219"/>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3"/>
        </w:trPr>
        <w:tc>
          <w:tcPr>
            <w:tcW w:w="8820" w:type="dxa"/>
            <w:vAlign w:val="bottom"/>
            <w:gridSpan w:val="2"/>
          </w:tcPr>
          <w:p>
            <w:pPr>
              <w:ind w:left="360"/>
              <w:spacing w:after="0"/>
              <w:rPr>
                <w:sz w:val="20"/>
                <w:szCs w:val="20"/>
                <w:color w:val="auto"/>
              </w:rPr>
            </w:pPr>
            <w:r>
              <w:rPr>
                <w:rFonts w:ascii="Arial" w:cs="Arial" w:eastAsia="Arial" w:hAnsi="Arial"/>
                <w:sz w:val="16"/>
                <w:szCs w:val="16"/>
                <w:color w:val="auto"/>
              </w:rPr>
              <w:t>Food and beverage costs (1)</w:t>
            </w: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31.4</w:t>
            </w:r>
          </w:p>
        </w:tc>
      </w:tr>
      <w:tr>
        <w:trPr>
          <w:trHeight w:val="219"/>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Labor and other related (1)</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32.0</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29.6</w:t>
            </w:r>
          </w:p>
        </w:tc>
      </w:tr>
      <w:tr>
        <w:trPr>
          <w:trHeight w:val="213"/>
        </w:trPr>
        <w:tc>
          <w:tcPr>
            <w:tcW w:w="8820" w:type="dxa"/>
            <w:vAlign w:val="bottom"/>
            <w:gridSpan w:val="2"/>
          </w:tcPr>
          <w:p>
            <w:pPr>
              <w:ind w:left="360"/>
              <w:spacing w:after="0"/>
              <w:rPr>
                <w:sz w:val="20"/>
                <w:szCs w:val="20"/>
                <w:color w:val="auto"/>
              </w:rPr>
            </w:pPr>
            <w:r>
              <w:rPr>
                <w:rFonts w:ascii="Arial" w:cs="Arial" w:eastAsia="Arial" w:hAnsi="Arial"/>
                <w:sz w:val="16"/>
                <w:szCs w:val="16"/>
                <w:color w:val="auto"/>
              </w:rPr>
              <w:t>Other restaurant operating (1)</w:t>
            </w: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24.1</w:t>
            </w:r>
          </w:p>
        </w:tc>
      </w:tr>
      <w:tr>
        <w:trPr>
          <w:trHeight w:val="219"/>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4.8</w:t>
            </w:r>
          </w:p>
        </w:tc>
      </w:tr>
      <w:tr>
        <w:trPr>
          <w:trHeight w:val="213"/>
        </w:trPr>
        <w:tc>
          <w:tcPr>
            <w:tcW w:w="8820" w:type="dxa"/>
            <w:vAlign w:val="bottom"/>
            <w:gridSpan w:val="2"/>
          </w:tcPr>
          <w:p>
            <w:pPr>
              <w:ind w:left="360"/>
              <w:spacing w:after="0"/>
              <w:rPr>
                <w:sz w:val="20"/>
                <w:szCs w:val="20"/>
                <w:color w:val="auto"/>
              </w:rPr>
            </w:pPr>
            <w:r>
              <w:rPr>
                <w:rFonts w:ascii="Arial" w:cs="Arial" w:eastAsia="Arial" w:hAnsi="Arial"/>
                <w:sz w:val="16"/>
                <w:szCs w:val="16"/>
                <w:color w:val="auto"/>
              </w:rPr>
              <w:t>General and administrative</w:t>
            </w: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6.6</w:t>
            </w:r>
          </w:p>
        </w:tc>
      </w:tr>
      <w:tr>
        <w:trPr>
          <w:trHeight w:val="22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Provision for impaired assets and restaurant closings</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0.2</w:t>
            </w:r>
          </w:p>
        </w:tc>
      </w:tr>
      <w:tr>
        <w:trPr>
          <w:trHeight w:val="210"/>
        </w:trPr>
        <w:tc>
          <w:tcPr>
            <w:tcW w:w="7760" w:type="dxa"/>
            <w:vAlign w:val="bottom"/>
            <w:tcBorders>
              <w:top w:val="single" w:sz="8" w:color="CCEEFF"/>
              <w:bottom w:val="single" w:sz="8" w:color="CCEEFF"/>
            </w:tcBorders>
          </w:tcPr>
          <w:p>
            <w:pPr>
              <w:ind w:left="680"/>
              <w:spacing w:after="0"/>
              <w:rPr>
                <w:sz w:val="20"/>
                <w:szCs w:val="20"/>
                <w:color w:val="auto"/>
              </w:rPr>
            </w:pPr>
            <w:r>
              <w:rPr>
                <w:rFonts w:ascii="Arial" w:cs="Arial" w:eastAsia="Arial" w:hAnsi="Arial"/>
                <w:sz w:val="16"/>
                <w:szCs w:val="16"/>
                <w:color w:val="auto"/>
              </w:rPr>
              <w:t>Total costs and expenses</w:t>
            </w:r>
          </w:p>
        </w:tc>
        <w:tc>
          <w:tcPr>
            <w:tcW w:w="10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99"/>
              </w:rPr>
              <w:t>105.5</w:t>
            </w:r>
          </w:p>
        </w:tc>
        <w:tc>
          <w:tcPr>
            <w:tcW w:w="120" w:type="dxa"/>
            <w:vAlign w:val="bottom"/>
            <w:tcBorders>
              <w:top w:val="single" w:sz="8" w:color="CCEEFF"/>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95.4</w:t>
            </w:r>
          </w:p>
        </w:tc>
      </w:tr>
      <w:tr>
        <w:trPr>
          <w:trHeight w:val="216"/>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from operations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4.6</w:t>
            </w:r>
          </w:p>
        </w:tc>
      </w:tr>
      <w:tr>
        <w:trPr>
          <w:trHeight w:val="213"/>
        </w:trPr>
        <w:tc>
          <w:tcPr>
            <w:tcW w:w="8820" w:type="dxa"/>
            <w:vAlign w:val="bottom"/>
            <w:gridSpan w:val="2"/>
          </w:tcPr>
          <w:p>
            <w:pPr>
              <w:ind w:left="20"/>
              <w:spacing w:after="0"/>
              <w:rPr>
                <w:sz w:val="20"/>
                <w:szCs w:val="20"/>
                <w:color w:val="auto"/>
              </w:rPr>
            </w:pPr>
            <w:r>
              <w:rPr>
                <w:rFonts w:ascii="Arial" w:cs="Arial" w:eastAsia="Arial" w:hAnsi="Arial"/>
                <w:sz w:val="16"/>
                <w:szCs w:val="16"/>
                <w:color w:val="auto"/>
              </w:rPr>
              <w:t>Loss on modification of debt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9"/>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8820" w:type="dxa"/>
            <w:vAlign w:val="bottom"/>
            <w:gridSpan w:val="2"/>
          </w:tcPr>
          <w:p>
            <w:pPr>
              <w:ind w:left="20"/>
              <w:spacing w:after="0"/>
              <w:rPr>
                <w:sz w:val="20"/>
                <w:szCs w:val="20"/>
                <w:color w:val="auto"/>
              </w:rPr>
            </w:pPr>
            <w:r>
              <w:rPr>
                <w:rFonts w:ascii="Arial" w:cs="Arial" w:eastAsia="Arial" w:hAnsi="Arial"/>
                <w:sz w:val="16"/>
                <w:szCs w:val="16"/>
                <w:color w:val="auto"/>
              </w:rPr>
              <w:t>Interest expense, net</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9"/>
                <w:szCs w:val="19"/>
                <w:color w:val="auto"/>
              </w:rPr>
            </w:pPr>
          </w:p>
        </w:tc>
        <w:tc>
          <w:tcPr>
            <w:tcW w:w="1680" w:type="dxa"/>
            <w:vAlign w:val="bottom"/>
          </w:tcPr>
          <w:p>
            <w:pPr>
              <w:jc w:val="right"/>
              <w:ind w:right="79"/>
              <w:spacing w:after="0"/>
              <w:rPr>
                <w:sz w:val="20"/>
                <w:szCs w:val="20"/>
                <w:color w:val="auto"/>
              </w:rPr>
            </w:pPr>
            <w:r>
              <w:rPr>
                <w:rFonts w:ascii="Arial" w:cs="Arial" w:eastAsia="Arial" w:hAnsi="Arial"/>
                <w:sz w:val="16"/>
                <w:szCs w:val="16"/>
                <w:color w:val="auto"/>
              </w:rPr>
              <w:t>(1.2)</w:t>
            </w:r>
          </w:p>
        </w:tc>
      </w:tr>
      <w:tr>
        <w:trPr>
          <w:trHeight w:val="216"/>
        </w:trPr>
        <w:tc>
          <w:tcPr>
            <w:tcW w:w="7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income before (benefit) provision for income taxes</w:t>
            </w:r>
          </w:p>
        </w:tc>
        <w:tc>
          <w:tcPr>
            <w:tcW w:w="10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(7.6)</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3.4</w:t>
            </w:r>
          </w:p>
        </w:tc>
      </w:tr>
      <w:tr>
        <w:trPr>
          <w:trHeight w:val="223"/>
        </w:trPr>
        <w:tc>
          <w:tcPr>
            <w:tcW w:w="8820" w:type="dxa"/>
            <w:vAlign w:val="bottom"/>
            <w:gridSpan w:val="2"/>
          </w:tcPr>
          <w:p>
            <w:pPr>
              <w:ind w:left="20"/>
              <w:spacing w:after="0"/>
              <w:rPr>
                <w:sz w:val="20"/>
                <w:szCs w:val="20"/>
                <w:color w:val="auto"/>
              </w:rPr>
            </w:pPr>
            <w:r>
              <w:rPr>
                <w:rFonts w:ascii="Arial" w:cs="Arial" w:eastAsia="Arial" w:hAnsi="Arial"/>
                <w:sz w:val="16"/>
                <w:szCs w:val="16"/>
                <w:color w:val="auto"/>
              </w:rPr>
              <w:t>(Benefit) provision for income taxes</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9"/>
                <w:szCs w:val="19"/>
                <w:color w:val="auto"/>
              </w:rPr>
            </w:pP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0.2</w:t>
            </w:r>
          </w:p>
        </w:tc>
      </w:tr>
      <w:tr>
        <w:trPr>
          <w:trHeight w:val="216"/>
        </w:trPr>
        <w:tc>
          <w:tcPr>
            <w:tcW w:w="7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10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(5.0)</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3.2</w:t>
            </w:r>
          </w:p>
        </w:tc>
      </w:tr>
      <w:tr>
        <w:trPr>
          <w:trHeight w:val="223"/>
        </w:trPr>
        <w:tc>
          <w:tcPr>
            <w:tcW w:w="8820" w:type="dxa"/>
            <w:vAlign w:val="bottom"/>
            <w:gridSpan w:val="2"/>
          </w:tcPr>
          <w:p>
            <w:pPr>
              <w:ind w:left="360"/>
              <w:spacing w:after="0"/>
              <w:rPr>
                <w:sz w:val="20"/>
                <w:szCs w:val="20"/>
                <w:color w:val="auto"/>
              </w:rPr>
            </w:pPr>
            <w:r>
              <w:rPr>
                <w:rFonts w:ascii="Arial" w:cs="Arial" w:eastAsia="Arial" w:hAnsi="Arial"/>
                <w:sz w:val="16"/>
                <w:szCs w:val="16"/>
                <w:color w:val="auto"/>
              </w:rPr>
              <w:t>Less: net (loss) income attributable to noncontrolling interests</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7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 attributable to Bloomin’ Brands</w:t>
            </w:r>
          </w:p>
        </w:tc>
        <w:tc>
          <w:tcPr>
            <w:tcW w:w="106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3.2 %</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 a percentage of Restaurant sales.</w:t>
      </w:r>
    </w:p>
    <w:p>
      <w:pPr>
        <w:spacing w:after="0" w:line="2"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Less than 1/10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one percent of Total revenues.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Revenues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RESTAURANT SALES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change in Restaurant sales for the period indicated: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80" w:type="dxa"/>
            <w:vAlign w:val="bottom"/>
          </w:tcPr>
          <w:p>
            <w:pPr>
              <w:jc w:val="right"/>
              <w:ind w:right="681"/>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208"/>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4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104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 fiscal year 2019</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4,075.0</w:t>
            </w: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Change from:</w:t>
            </w:r>
          </w:p>
        </w:tc>
        <w:tc>
          <w:tcPr>
            <w:tcW w:w="4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Comparable restaurant sales (1)</w:t>
            </w:r>
          </w:p>
        </w:tc>
        <w:tc>
          <w:tcPr>
            <w:tcW w:w="4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(826.8)</w:t>
            </w:r>
          </w:p>
        </w:tc>
        <w:tc>
          <w:tcPr>
            <w:tcW w:w="0" w:type="dxa"/>
            <w:vAlign w:val="bottom"/>
          </w:tcPr>
          <w:p>
            <w:pPr>
              <w:spacing w:after="0"/>
              <w:rPr>
                <w:sz w:val="1"/>
                <w:szCs w:val="1"/>
                <w:color w:val="auto"/>
              </w:rPr>
            </w:pPr>
          </w:p>
        </w:tc>
      </w:tr>
      <w:tr>
        <w:trPr>
          <w:trHeight w:val="213"/>
        </w:trPr>
        <w:tc>
          <w:tcPr>
            <w:tcW w:w="8720" w:type="dxa"/>
            <w:vAlign w:val="bottom"/>
          </w:tcPr>
          <w:p>
            <w:pPr>
              <w:ind w:left="360"/>
              <w:spacing w:after="0"/>
              <w:rPr>
                <w:sz w:val="20"/>
                <w:szCs w:val="20"/>
                <w:color w:val="auto"/>
              </w:rPr>
            </w:pPr>
            <w:r>
              <w:rPr>
                <w:rFonts w:ascii="Arial" w:cs="Arial" w:eastAsia="Arial" w:hAnsi="Arial"/>
                <w:sz w:val="16"/>
                <w:szCs w:val="16"/>
                <w:color w:val="auto"/>
              </w:rPr>
              <w:t>Restaurant closings</w:t>
            </w:r>
          </w:p>
        </w:tc>
        <w:tc>
          <w:tcPr>
            <w:tcW w:w="4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(66.1)</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Effect of foreign currency translation</w:t>
            </w:r>
          </w:p>
        </w:tc>
        <w:tc>
          <w:tcPr>
            <w:tcW w:w="4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213"/>
        </w:trPr>
        <w:tc>
          <w:tcPr>
            <w:tcW w:w="8720" w:type="dxa"/>
            <w:vAlign w:val="bottom"/>
          </w:tcPr>
          <w:p>
            <w:pPr>
              <w:ind w:left="360"/>
              <w:spacing w:after="0"/>
              <w:rPr>
                <w:sz w:val="20"/>
                <w:szCs w:val="20"/>
                <w:color w:val="auto"/>
              </w:rPr>
            </w:pPr>
            <w:r>
              <w:rPr>
                <w:rFonts w:ascii="Arial" w:cs="Arial" w:eastAsia="Arial" w:hAnsi="Arial"/>
                <w:sz w:val="16"/>
                <w:szCs w:val="16"/>
                <w:color w:val="auto"/>
              </w:rPr>
              <w:t>Divestiture of restaurants through refranchising transactions</w:t>
            </w:r>
          </w:p>
        </w:tc>
        <w:tc>
          <w:tcPr>
            <w:tcW w:w="4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3"/>
        </w:trPr>
        <w:tc>
          <w:tcPr>
            <w:tcW w:w="8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Restaurant openings (1)</w:t>
            </w:r>
          </w:p>
        </w:tc>
        <w:tc>
          <w:tcPr>
            <w:tcW w:w="44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16"/>
        </w:trPr>
        <w:tc>
          <w:tcPr>
            <w:tcW w:w="8720" w:type="dxa"/>
            <w:vAlign w:val="bottom"/>
          </w:tcPr>
          <w:p>
            <w:pPr>
              <w:ind w:left="20"/>
              <w:spacing w:after="0"/>
              <w:rPr>
                <w:sz w:val="20"/>
                <w:szCs w:val="20"/>
                <w:color w:val="auto"/>
              </w:rPr>
            </w:pPr>
            <w:r>
              <w:rPr>
                <w:rFonts w:ascii="Arial" w:cs="Arial" w:eastAsia="Arial" w:hAnsi="Arial"/>
                <w:sz w:val="16"/>
                <w:szCs w:val="16"/>
                <w:color w:val="auto"/>
              </w:rPr>
              <w:t>For fiscal year 2020</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3,144.6</w:t>
            </w:r>
          </w:p>
        </w:tc>
        <w:tc>
          <w:tcPr>
            <w:tcW w:w="0" w:type="dxa"/>
            <w:vAlign w:val="bottom"/>
          </w:tcPr>
          <w:p>
            <w:pPr>
              <w:spacing w:after="0"/>
              <w:rPr>
                <w:sz w:val="1"/>
                <w:szCs w:val="1"/>
                <w:color w:val="auto"/>
              </w:rPr>
            </w:pPr>
          </w:p>
        </w:tc>
      </w:tr>
      <w:tr>
        <w:trPr>
          <w:trHeight w:val="21"/>
        </w:trPr>
        <w:tc>
          <w:tcPr>
            <w:tcW w:w="872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4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872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hanging="652"/>
        <w:spacing w:after="0" w:line="257"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Summation of quarterly changes for restaurant openings and comparable restaurant sales will not total to annual amounts as the restaurants that meet the definition of a comparable restaurant will differ each period based on when the restaurant opened.</w:t>
      </w:r>
    </w:p>
    <w:p>
      <w:pPr>
        <w:spacing w:after="0" w:line="20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decrease in Restaurant sales in 2020 as compared to 2019 was primarily due to: (i) significantly lower comparable restaurant sales principally attributable to the COVID-19 pandemic, (ii) the closure of 55 restaurants since December 30, 2018, (iii) the effect of foreign currency translation of the Brazilian Real relative to the U.S. dollar and (iv) domestic refranchising. The decrease in Restaurant sales was partially offset by the opening of 40 new restaurants not included in our comparable restaurant sales base.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Average Restaurant Unit Volumes and Operating Weeks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average restaurant unit volumes and operating weeks for the periods indicated: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9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2019</w:t>
            </w:r>
          </w:p>
        </w:tc>
      </w:tr>
      <w:tr>
        <w:trPr>
          <w:trHeight w:val="20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restaurant unit volumes: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7980" w:type="dxa"/>
            <w:vAlign w:val="bottom"/>
          </w:tcPr>
          <w:p>
            <w:pPr>
              <w:ind w:left="140"/>
              <w:spacing w:after="0"/>
              <w:rPr>
                <w:sz w:val="20"/>
                <w:szCs w:val="20"/>
                <w:color w:val="auto"/>
              </w:rPr>
            </w:pPr>
            <w:r>
              <w:rPr>
                <w:rFonts w:ascii="Arial" w:cs="Arial" w:eastAsia="Arial" w:hAnsi="Arial"/>
                <w:sz w:val="16"/>
                <w:szCs w:val="16"/>
                <w:color w:val="auto"/>
              </w:rPr>
              <w:t>U.S.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Outback Steakhouse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3,062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3,663</w:t>
            </w:r>
          </w:p>
        </w:tc>
      </w:tr>
      <w:tr>
        <w:trPr>
          <w:trHeight w:val="213"/>
        </w:trPr>
        <w:tc>
          <w:tcPr>
            <w:tcW w:w="7980" w:type="dxa"/>
            <w:vAlign w:val="bottom"/>
          </w:tcPr>
          <w:p>
            <w:pPr>
              <w:ind w:left="220"/>
              <w:spacing w:after="0"/>
              <w:rPr>
                <w:sz w:val="20"/>
                <w:szCs w:val="20"/>
                <w:color w:val="auto"/>
              </w:rPr>
            </w:pPr>
            <w:r>
              <w:rPr>
                <w:rFonts w:ascii="Arial" w:cs="Arial" w:eastAsia="Arial" w:hAnsi="Arial"/>
                <w:sz w:val="16"/>
                <w:szCs w:val="16"/>
                <w:color w:val="auto"/>
              </w:rPr>
              <w:t>Carrabba’s Italian Grill</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2,468</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2,934</w:t>
            </w: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Bonefish Grill</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2,135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3,026</w:t>
            </w:r>
          </w:p>
        </w:tc>
      </w:tr>
      <w:tr>
        <w:trPr>
          <w:trHeight w:val="213"/>
        </w:trPr>
        <w:tc>
          <w:tcPr>
            <w:tcW w:w="7980" w:type="dxa"/>
            <w:vAlign w:val="bottom"/>
          </w:tcPr>
          <w:p>
            <w:pPr>
              <w:ind w:left="220"/>
              <w:spacing w:after="0"/>
              <w:rPr>
                <w:sz w:val="20"/>
                <w:szCs w:val="20"/>
                <w:color w:val="auto"/>
              </w:rPr>
            </w:pPr>
            <w:r>
              <w:rPr>
                <w:rFonts w:ascii="Arial" w:cs="Arial" w:eastAsia="Arial" w:hAnsi="Arial"/>
                <w:sz w:val="16"/>
                <w:szCs w:val="16"/>
                <w:color w:val="auto"/>
              </w:rPr>
              <w:t>Fleming’s Prime Steakhouse &amp; Wine Bar</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3,189</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4,422</w:t>
            </w:r>
          </w:p>
        </w:tc>
      </w:tr>
      <w:tr>
        <w:trPr>
          <w:trHeight w:val="219"/>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International</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7980" w:type="dxa"/>
            <w:vAlign w:val="bottom"/>
          </w:tcPr>
          <w:p>
            <w:pPr>
              <w:ind w:left="220"/>
              <w:spacing w:after="0"/>
              <w:rPr>
                <w:sz w:val="20"/>
                <w:szCs w:val="20"/>
                <w:color w:val="auto"/>
              </w:rPr>
            </w:pPr>
            <w:r>
              <w:rPr>
                <w:rFonts w:ascii="Arial" w:cs="Arial" w:eastAsia="Arial" w:hAnsi="Arial"/>
                <w:sz w:val="16"/>
                <w:szCs w:val="16"/>
                <w:color w:val="auto"/>
              </w:rPr>
              <w:t>Outback Steakhouse - Brazil (1)</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1,996</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3,684</w:t>
            </w:r>
          </w:p>
        </w:tc>
      </w:tr>
      <w:tr>
        <w:trPr>
          <w:trHeight w:val="260"/>
        </w:trPr>
        <w:tc>
          <w:tcPr>
            <w:tcW w:w="79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Operating weeks: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7980" w:type="dxa"/>
            <w:vAlign w:val="bottom"/>
          </w:tcPr>
          <w:p>
            <w:pPr>
              <w:ind w:left="220"/>
              <w:spacing w:after="0"/>
              <w:rPr>
                <w:sz w:val="20"/>
                <w:szCs w:val="20"/>
                <w:color w:val="auto"/>
              </w:rPr>
            </w:pPr>
            <w:r>
              <w:rPr>
                <w:rFonts w:ascii="Arial" w:cs="Arial" w:eastAsia="Arial" w:hAnsi="Arial"/>
                <w:sz w:val="16"/>
                <w:szCs w:val="16"/>
                <w:color w:val="auto"/>
              </w:rPr>
              <w:t>Outback Steakhouse</w:t>
            </w:r>
          </w:p>
        </w:tc>
        <w:tc>
          <w:tcPr>
            <w:tcW w:w="36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29,714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30,119</w:t>
            </w: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Carrabba’s Italian Grill</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10,474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10,864</w:t>
            </w:r>
          </w:p>
        </w:tc>
      </w:tr>
      <w:tr>
        <w:trPr>
          <w:trHeight w:val="213"/>
        </w:trPr>
        <w:tc>
          <w:tcPr>
            <w:tcW w:w="7980" w:type="dxa"/>
            <w:vAlign w:val="bottom"/>
          </w:tcPr>
          <w:p>
            <w:pPr>
              <w:ind w:left="220"/>
              <w:spacing w:after="0"/>
              <w:rPr>
                <w:sz w:val="20"/>
                <w:szCs w:val="20"/>
                <w:color w:val="auto"/>
              </w:rPr>
            </w:pPr>
            <w:r>
              <w:rPr>
                <w:rFonts w:ascii="Arial" w:cs="Arial" w:eastAsia="Arial" w:hAnsi="Arial"/>
                <w:sz w:val="16"/>
                <w:szCs w:val="16"/>
                <w:color w:val="auto"/>
              </w:rPr>
              <w:t>Bonefish Grill</w:t>
            </w:r>
          </w:p>
        </w:tc>
        <w:tc>
          <w:tcPr>
            <w:tcW w:w="36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9,651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9,865</w:t>
            </w: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Fleming’s Prime Steakhouse &amp; Wine Bar</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3,418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3,613</w:t>
            </w:r>
          </w:p>
        </w:tc>
      </w:tr>
      <w:tr>
        <w:trPr>
          <w:trHeight w:val="213"/>
        </w:trPr>
        <w:tc>
          <w:tcPr>
            <w:tcW w:w="7980" w:type="dxa"/>
            <w:vAlign w:val="bottom"/>
          </w:tcPr>
          <w:p>
            <w:pPr>
              <w:ind w:left="140"/>
              <w:spacing w:after="0"/>
              <w:rPr>
                <w:sz w:val="20"/>
                <w:szCs w:val="20"/>
                <w:color w:val="auto"/>
              </w:rPr>
            </w:pPr>
            <w:r>
              <w:rPr>
                <w:rFonts w:ascii="Arial" w:cs="Arial" w:eastAsia="Arial" w:hAnsi="Arial"/>
                <w:sz w:val="16"/>
                <w:szCs w:val="16"/>
                <w:color w:val="auto"/>
              </w:rPr>
              <w:t>International</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Outback Steakhouse - Brazil</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5,389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5,037</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Translated at average exchange rates of 4.85 and 3.93 for 2020 and 2019, respectively.</w:t>
      </w:r>
    </w:p>
    <w:p>
      <w:pPr>
        <w:spacing w:after="0" w:line="200" w:lineRule="exact"/>
        <w:rPr>
          <w:rFonts w:ascii="Arial" w:cs="Arial" w:eastAsia="Arial" w:hAnsi="Arial"/>
          <w:sz w:val="16"/>
          <w:szCs w:val="16"/>
          <w:color w:val="auto"/>
        </w:rPr>
      </w:pPr>
    </w:p>
    <w:p>
      <w:pPr>
        <w:spacing w:after="0" w:line="380"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Comparable Restaurant Sales, Traffic and Average Check Per Person (Decreases) Increases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Following is a summary of comparable restaurant sales, traffic and average check per person (decreases) increases for the periods indicated:</w:t>
      </w:r>
    </w:p>
    <w:p>
      <w:pPr>
        <w:spacing w:after="0" w:line="175"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FISCAL YEAR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6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2019</w:t>
            </w:r>
          </w:p>
        </w:tc>
      </w:tr>
      <w:tr>
        <w:trPr>
          <w:trHeight w:val="203"/>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over year percentage change:</w:t>
            </w: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13"/>
        </w:trPr>
        <w:tc>
          <w:tcPr>
            <w:tcW w:w="8820" w:type="dxa"/>
            <w:vAlign w:val="bottom"/>
            <w:gridSpan w:val="2"/>
          </w:tcPr>
          <w:p>
            <w:pPr>
              <w:ind w:left="140"/>
              <w:spacing w:after="0"/>
              <w:rPr>
                <w:sz w:val="20"/>
                <w:szCs w:val="20"/>
                <w:color w:val="auto"/>
              </w:rPr>
            </w:pPr>
            <w:r>
              <w:rPr>
                <w:rFonts w:ascii="Arial" w:cs="Arial" w:eastAsia="Arial" w:hAnsi="Arial"/>
                <w:sz w:val="16"/>
                <w:szCs w:val="16"/>
                <w:color w:val="auto"/>
              </w:rPr>
              <w:t>Comparable restaurant sales (stores open 18 months or more):</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9"/>
        </w:trPr>
        <w:tc>
          <w:tcPr>
            <w:tcW w:w="8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U.S. (1)</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3"/>
        </w:trPr>
        <w:tc>
          <w:tcPr>
            <w:tcW w:w="8820" w:type="dxa"/>
            <w:vAlign w:val="bottom"/>
            <w:gridSpan w:val="2"/>
          </w:tcPr>
          <w:p>
            <w:pPr>
              <w:ind w:left="360"/>
              <w:spacing w:after="0"/>
              <w:rPr>
                <w:sz w:val="20"/>
                <w:szCs w:val="20"/>
                <w:color w:val="auto"/>
              </w:rPr>
            </w:pPr>
            <w:r>
              <w:rPr>
                <w:rFonts w:ascii="Arial" w:cs="Arial" w:eastAsia="Arial" w:hAnsi="Arial"/>
                <w:sz w:val="16"/>
                <w:szCs w:val="16"/>
                <w:color w:val="auto"/>
              </w:rPr>
              <w:t>Outback Steakhouse</w:t>
            </w:r>
          </w:p>
        </w:tc>
        <w:tc>
          <w:tcPr>
            <w:tcW w:w="620" w:type="dxa"/>
            <w:vAlign w:val="bottom"/>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2.0 %</w:t>
            </w:r>
          </w:p>
        </w:tc>
      </w:tr>
      <w:tr>
        <w:trPr>
          <w:trHeight w:val="219"/>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Carrabba’s Italian Grill</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13"/>
        </w:trPr>
        <w:tc>
          <w:tcPr>
            <w:tcW w:w="8820" w:type="dxa"/>
            <w:vAlign w:val="bottom"/>
            <w:gridSpan w:val="2"/>
          </w:tcPr>
          <w:p>
            <w:pPr>
              <w:ind w:left="360"/>
              <w:spacing w:after="0"/>
              <w:rPr>
                <w:sz w:val="20"/>
                <w:szCs w:val="20"/>
                <w:color w:val="auto"/>
              </w:rPr>
            </w:pPr>
            <w:r>
              <w:rPr>
                <w:rFonts w:ascii="Arial" w:cs="Arial" w:eastAsia="Arial" w:hAnsi="Arial"/>
                <w:sz w:val="16"/>
                <w:szCs w:val="16"/>
                <w:color w:val="auto"/>
              </w:rPr>
              <w:t>Bonefish Grill</w:t>
            </w:r>
          </w:p>
        </w:tc>
        <w:tc>
          <w:tcPr>
            <w:tcW w:w="620" w:type="dxa"/>
            <w:vAlign w:val="bottom"/>
          </w:tcPr>
          <w:p>
            <w:pPr>
              <w:jc w:val="right"/>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0.1 %</w:t>
            </w:r>
          </w:p>
        </w:tc>
      </w:tr>
      <w:tr>
        <w:trPr>
          <w:trHeight w:val="219"/>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Fleming’s Prime Steakhouse &amp; Wine Bar</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w:t>
            </w:r>
          </w:p>
        </w:tc>
      </w:tr>
      <w:tr>
        <w:trPr>
          <w:trHeight w:val="213"/>
        </w:trPr>
        <w:tc>
          <w:tcPr>
            <w:tcW w:w="8820" w:type="dxa"/>
            <w:vAlign w:val="bottom"/>
            <w:gridSpan w:val="2"/>
          </w:tcPr>
          <w:p>
            <w:pPr>
              <w:ind w:left="360"/>
              <w:spacing w:after="0"/>
              <w:rPr>
                <w:sz w:val="20"/>
                <w:szCs w:val="20"/>
                <w:color w:val="auto"/>
              </w:rPr>
            </w:pPr>
            <w:r>
              <w:rPr>
                <w:rFonts w:ascii="Arial" w:cs="Arial" w:eastAsia="Arial" w:hAnsi="Arial"/>
                <w:sz w:val="16"/>
                <w:szCs w:val="16"/>
                <w:color w:val="auto"/>
              </w:rPr>
              <w:t>Combined U.S.</w:t>
            </w:r>
          </w:p>
        </w:tc>
        <w:tc>
          <w:tcPr>
            <w:tcW w:w="620" w:type="dxa"/>
            <w:vAlign w:val="bottom"/>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219"/>
        </w:trPr>
        <w:tc>
          <w:tcPr>
            <w:tcW w:w="8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International</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3"/>
        </w:trPr>
        <w:tc>
          <w:tcPr>
            <w:tcW w:w="8820" w:type="dxa"/>
            <w:vAlign w:val="bottom"/>
            <w:gridSpan w:val="2"/>
          </w:tcPr>
          <w:p>
            <w:pPr>
              <w:ind w:left="360"/>
              <w:spacing w:after="0"/>
              <w:rPr>
                <w:sz w:val="20"/>
                <w:szCs w:val="20"/>
                <w:color w:val="auto"/>
              </w:rPr>
            </w:pPr>
            <w:r>
              <w:rPr>
                <w:rFonts w:ascii="Arial" w:cs="Arial" w:eastAsia="Arial" w:hAnsi="Arial"/>
                <w:sz w:val="16"/>
                <w:szCs w:val="16"/>
                <w:color w:val="auto"/>
              </w:rPr>
              <w:t>Outback Steakhouse - Brazil (2)</w:t>
            </w:r>
          </w:p>
        </w:tc>
        <w:tc>
          <w:tcPr>
            <w:tcW w:w="620" w:type="dxa"/>
            <w:vAlign w:val="bottom"/>
          </w:tcPr>
          <w:p>
            <w:pPr>
              <w:jc w:val="right"/>
              <w:spacing w:after="0"/>
              <w:rPr>
                <w:sz w:val="20"/>
                <w:szCs w:val="20"/>
                <w:color w:val="auto"/>
              </w:rPr>
            </w:pPr>
            <w:r>
              <w:rPr>
                <w:rFonts w:ascii="Arial" w:cs="Arial" w:eastAsia="Arial" w:hAnsi="Arial"/>
                <w:sz w:val="16"/>
                <w:szCs w:val="16"/>
                <w:color w:val="auto"/>
              </w:rPr>
              <w:t>(31.4)%</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5.8 %</w:t>
            </w:r>
          </w:p>
        </w:tc>
      </w:tr>
      <w:tr>
        <w:trPr>
          <w:trHeight w:val="259"/>
        </w:trPr>
        <w:tc>
          <w:tcPr>
            <w:tcW w:w="77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r>
      <w:tr>
        <w:trPr>
          <w:trHeight w:val="213"/>
        </w:trPr>
        <w:tc>
          <w:tcPr>
            <w:tcW w:w="8820" w:type="dxa"/>
            <w:vAlign w:val="bottom"/>
            <w:gridSpan w:val="2"/>
          </w:tcPr>
          <w:p>
            <w:pPr>
              <w:ind w:left="140"/>
              <w:spacing w:after="0"/>
              <w:rPr>
                <w:sz w:val="20"/>
                <w:szCs w:val="20"/>
                <w:color w:val="auto"/>
              </w:rPr>
            </w:pPr>
            <w:r>
              <w:rPr>
                <w:rFonts w:ascii="Arial" w:cs="Arial" w:eastAsia="Arial" w:hAnsi="Arial"/>
                <w:sz w:val="16"/>
                <w:szCs w:val="16"/>
                <w:color w:val="auto"/>
              </w:rPr>
              <w:t>Traffic:</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9"/>
        </w:trPr>
        <w:tc>
          <w:tcPr>
            <w:tcW w:w="8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U.S.</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3"/>
        </w:trPr>
        <w:tc>
          <w:tcPr>
            <w:tcW w:w="8820" w:type="dxa"/>
            <w:vAlign w:val="bottom"/>
            <w:gridSpan w:val="2"/>
          </w:tcPr>
          <w:p>
            <w:pPr>
              <w:ind w:left="360"/>
              <w:spacing w:after="0"/>
              <w:rPr>
                <w:sz w:val="20"/>
                <w:szCs w:val="20"/>
                <w:color w:val="auto"/>
              </w:rPr>
            </w:pPr>
            <w:r>
              <w:rPr>
                <w:rFonts w:ascii="Arial" w:cs="Arial" w:eastAsia="Arial" w:hAnsi="Arial"/>
                <w:sz w:val="16"/>
                <w:szCs w:val="16"/>
                <w:color w:val="auto"/>
              </w:rPr>
              <w:t>Outback Steakhouse</w:t>
            </w:r>
          </w:p>
        </w:tc>
        <w:tc>
          <w:tcPr>
            <w:tcW w:w="620" w:type="dxa"/>
            <w:vAlign w:val="bottom"/>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19"/>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Carrabba’s Italian Grill</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0.2 %</w:t>
            </w:r>
          </w:p>
        </w:tc>
      </w:tr>
      <w:tr>
        <w:trPr>
          <w:trHeight w:val="213"/>
        </w:trPr>
        <w:tc>
          <w:tcPr>
            <w:tcW w:w="8820" w:type="dxa"/>
            <w:vAlign w:val="bottom"/>
            <w:gridSpan w:val="2"/>
          </w:tcPr>
          <w:p>
            <w:pPr>
              <w:ind w:left="360"/>
              <w:spacing w:after="0"/>
              <w:rPr>
                <w:sz w:val="20"/>
                <w:szCs w:val="20"/>
                <w:color w:val="auto"/>
              </w:rPr>
            </w:pPr>
            <w:r>
              <w:rPr>
                <w:rFonts w:ascii="Arial" w:cs="Arial" w:eastAsia="Arial" w:hAnsi="Arial"/>
                <w:sz w:val="16"/>
                <w:szCs w:val="16"/>
                <w:color w:val="auto"/>
              </w:rPr>
              <w:t>Bonefish Grill (3)</w:t>
            </w:r>
          </w:p>
        </w:tc>
        <w:tc>
          <w:tcPr>
            <w:tcW w:w="620" w:type="dxa"/>
            <w:vAlign w:val="bottom"/>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9"/>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Fleming’s Prime Steakhouse &amp; Wine Bar</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13"/>
        </w:trPr>
        <w:tc>
          <w:tcPr>
            <w:tcW w:w="8820" w:type="dxa"/>
            <w:vAlign w:val="bottom"/>
            <w:gridSpan w:val="2"/>
          </w:tcPr>
          <w:p>
            <w:pPr>
              <w:ind w:left="360"/>
              <w:spacing w:after="0"/>
              <w:rPr>
                <w:sz w:val="20"/>
                <w:szCs w:val="20"/>
                <w:color w:val="auto"/>
              </w:rPr>
            </w:pPr>
            <w:r>
              <w:rPr>
                <w:rFonts w:ascii="Arial" w:cs="Arial" w:eastAsia="Arial" w:hAnsi="Arial"/>
                <w:sz w:val="16"/>
                <w:szCs w:val="16"/>
                <w:color w:val="auto"/>
              </w:rPr>
              <w:t>Combined U.S. (3)</w:t>
            </w:r>
          </w:p>
        </w:tc>
        <w:tc>
          <w:tcPr>
            <w:tcW w:w="620" w:type="dxa"/>
            <w:vAlign w:val="bottom"/>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9"/>
        </w:trPr>
        <w:tc>
          <w:tcPr>
            <w:tcW w:w="8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International</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3"/>
        </w:trPr>
        <w:tc>
          <w:tcPr>
            <w:tcW w:w="8820" w:type="dxa"/>
            <w:vAlign w:val="bottom"/>
            <w:gridSpan w:val="2"/>
          </w:tcPr>
          <w:p>
            <w:pPr>
              <w:ind w:left="360"/>
              <w:spacing w:after="0"/>
              <w:rPr>
                <w:sz w:val="20"/>
                <w:szCs w:val="20"/>
                <w:color w:val="auto"/>
              </w:rPr>
            </w:pPr>
            <w:r>
              <w:rPr>
                <w:rFonts w:ascii="Arial" w:cs="Arial" w:eastAsia="Arial" w:hAnsi="Arial"/>
                <w:sz w:val="16"/>
                <w:szCs w:val="16"/>
                <w:color w:val="auto"/>
              </w:rPr>
              <w:t>Outback Steakhouse - Brazil</w:t>
            </w:r>
          </w:p>
        </w:tc>
        <w:tc>
          <w:tcPr>
            <w:tcW w:w="620" w:type="dxa"/>
            <w:vAlign w:val="bottom"/>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3.9 %</w:t>
            </w:r>
          </w:p>
        </w:tc>
      </w:tr>
      <w:tr>
        <w:trPr>
          <w:trHeight w:val="260"/>
        </w:trPr>
        <w:tc>
          <w:tcPr>
            <w:tcW w:w="77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r>
      <w:tr>
        <w:trPr>
          <w:trHeight w:val="213"/>
        </w:trPr>
        <w:tc>
          <w:tcPr>
            <w:tcW w:w="8820" w:type="dxa"/>
            <w:vAlign w:val="bottom"/>
            <w:gridSpan w:val="2"/>
          </w:tcPr>
          <w:p>
            <w:pPr>
              <w:ind w:left="140"/>
              <w:spacing w:after="0"/>
              <w:rPr>
                <w:sz w:val="20"/>
                <w:szCs w:val="20"/>
                <w:color w:val="auto"/>
              </w:rPr>
            </w:pPr>
            <w:r>
              <w:rPr>
                <w:rFonts w:ascii="Arial" w:cs="Arial" w:eastAsia="Arial" w:hAnsi="Arial"/>
                <w:sz w:val="16"/>
                <w:szCs w:val="16"/>
                <w:color w:val="auto"/>
              </w:rPr>
              <w:t>Average check per person (4):</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9"/>
        </w:trPr>
        <w:tc>
          <w:tcPr>
            <w:tcW w:w="8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U.S.</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3"/>
        </w:trPr>
        <w:tc>
          <w:tcPr>
            <w:tcW w:w="8820" w:type="dxa"/>
            <w:vAlign w:val="bottom"/>
            <w:gridSpan w:val="2"/>
          </w:tcPr>
          <w:p>
            <w:pPr>
              <w:ind w:left="360"/>
              <w:spacing w:after="0"/>
              <w:rPr>
                <w:sz w:val="20"/>
                <w:szCs w:val="20"/>
                <w:color w:val="auto"/>
              </w:rPr>
            </w:pPr>
            <w:r>
              <w:rPr>
                <w:rFonts w:ascii="Arial" w:cs="Arial" w:eastAsia="Arial" w:hAnsi="Arial"/>
                <w:sz w:val="16"/>
                <w:szCs w:val="16"/>
                <w:color w:val="auto"/>
              </w:rPr>
              <w:t>Outback Steakhouse</w:t>
            </w:r>
          </w:p>
        </w:tc>
        <w:tc>
          <w:tcPr>
            <w:tcW w:w="620" w:type="dxa"/>
            <w:vAlign w:val="bottom"/>
          </w:tcPr>
          <w:p>
            <w:pPr>
              <w:jc w:val="right"/>
              <w:spacing w:after="0"/>
              <w:rPr>
                <w:sz w:val="20"/>
                <w:szCs w:val="20"/>
                <w:color w:val="auto"/>
              </w:rPr>
            </w:pPr>
            <w:r>
              <w:rPr>
                <w:rFonts w:ascii="Arial" w:cs="Arial" w:eastAsia="Arial" w:hAnsi="Arial"/>
                <w:sz w:val="16"/>
                <w:szCs w:val="16"/>
                <w:color w:val="auto"/>
              </w:rPr>
              <w:t>0.7 %</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2.7 %</w:t>
            </w:r>
          </w:p>
        </w:tc>
      </w:tr>
      <w:tr>
        <w:trPr>
          <w:trHeight w:val="219"/>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Carrabba’s Italian Grill</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8820" w:type="dxa"/>
            <w:vAlign w:val="bottom"/>
            <w:gridSpan w:val="2"/>
          </w:tcPr>
          <w:p>
            <w:pPr>
              <w:ind w:left="360"/>
              <w:spacing w:after="0"/>
              <w:rPr>
                <w:sz w:val="20"/>
                <w:szCs w:val="20"/>
                <w:color w:val="auto"/>
              </w:rPr>
            </w:pPr>
            <w:r>
              <w:rPr>
                <w:rFonts w:ascii="Arial" w:cs="Arial" w:eastAsia="Arial" w:hAnsi="Arial"/>
                <w:sz w:val="16"/>
                <w:szCs w:val="16"/>
                <w:color w:val="auto"/>
              </w:rPr>
              <w:t>Bonefish Grill</w:t>
            </w:r>
          </w:p>
        </w:tc>
        <w:tc>
          <w:tcPr>
            <w:tcW w:w="62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1.8 %</w:t>
            </w:r>
          </w:p>
        </w:tc>
      </w:tr>
      <w:tr>
        <w:trPr>
          <w:trHeight w:val="219"/>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Fleming’s Prime Steakhouse &amp; Wine Bar</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r>
      <w:tr>
        <w:trPr>
          <w:trHeight w:val="213"/>
        </w:trPr>
        <w:tc>
          <w:tcPr>
            <w:tcW w:w="8820" w:type="dxa"/>
            <w:vAlign w:val="bottom"/>
            <w:gridSpan w:val="2"/>
          </w:tcPr>
          <w:p>
            <w:pPr>
              <w:ind w:left="360"/>
              <w:spacing w:after="0"/>
              <w:rPr>
                <w:sz w:val="20"/>
                <w:szCs w:val="20"/>
                <w:color w:val="auto"/>
              </w:rPr>
            </w:pPr>
            <w:r>
              <w:rPr>
                <w:rFonts w:ascii="Arial" w:cs="Arial" w:eastAsia="Arial" w:hAnsi="Arial"/>
                <w:sz w:val="16"/>
                <w:szCs w:val="16"/>
                <w:color w:val="auto"/>
              </w:rPr>
              <w:t>Combined U.S.</w:t>
            </w:r>
          </w:p>
        </w:tc>
        <w:tc>
          <w:tcPr>
            <w:tcW w:w="62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1.8 %</w:t>
            </w:r>
          </w:p>
        </w:tc>
      </w:tr>
      <w:tr>
        <w:trPr>
          <w:trHeight w:val="219"/>
        </w:trPr>
        <w:tc>
          <w:tcPr>
            <w:tcW w:w="8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International</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0"/>
        </w:trPr>
        <w:tc>
          <w:tcPr>
            <w:tcW w:w="8820" w:type="dxa"/>
            <w:vAlign w:val="bottom"/>
            <w:gridSpan w:val="2"/>
          </w:tcPr>
          <w:p>
            <w:pPr>
              <w:ind w:left="360"/>
              <w:spacing w:after="0"/>
              <w:rPr>
                <w:sz w:val="20"/>
                <w:szCs w:val="20"/>
                <w:color w:val="auto"/>
              </w:rPr>
            </w:pPr>
            <w:r>
              <w:rPr>
                <w:rFonts w:ascii="Arial" w:cs="Arial" w:eastAsia="Arial" w:hAnsi="Arial"/>
                <w:sz w:val="16"/>
                <w:szCs w:val="16"/>
                <w:color w:val="auto"/>
              </w:rPr>
              <w:t>Outback Steakhouse - Brazil</w:t>
            </w:r>
          </w:p>
        </w:tc>
        <w:tc>
          <w:tcPr>
            <w:tcW w:w="620" w:type="dxa"/>
            <w:vAlign w:val="bottom"/>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1.8 %</w:t>
            </w:r>
          </w:p>
        </w:tc>
      </w:tr>
    </w:tbl>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Relocated restaurants closed more than 60 days are excluded from comparable restaurant sales until at least 18 months after reopening.</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Excludes the effect of fluctuations in foreign currency rates. Includes trading day impact from calendar period reporting.</w:t>
      </w:r>
    </w:p>
    <w:p>
      <w:pPr>
        <w:spacing w:after="0" w:line="5" w:lineRule="exact"/>
        <w:rPr>
          <w:rFonts w:ascii="Arial" w:cs="Arial" w:eastAsia="Arial" w:hAnsi="Arial"/>
          <w:sz w:val="16"/>
          <w:szCs w:val="16"/>
          <w:color w:val="auto"/>
        </w:rPr>
      </w:pPr>
    </w:p>
    <w:p>
      <w:pPr>
        <w:ind w:left="660" w:hanging="652"/>
        <w:spacing w:after="0" w:line="246"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During 2020, Bonefish Grill replaced guest count with entrée count to measure restaurant traffic. Bonefish Grill and Combined U.S. traffic for 2020 was calculated using the entrée count methodology for Bonefish Grill as if the new methodology was in effect at the start of the fiscal year.</w:t>
      </w:r>
    </w:p>
    <w:p>
      <w:pPr>
        <w:ind w:left="660" w:hanging="652"/>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Average check per person includes the impact of menu pricing changes, product mix and discounts.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Franchise and other revenues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FISCAL YEAR</w:t>
            </w:r>
          </w:p>
        </w:tc>
        <w:tc>
          <w:tcPr>
            <w:tcW w:w="1000" w:type="dxa"/>
            <w:vAlign w:val="bottom"/>
            <w:tcBorders>
              <w:bottom w:val="single" w:sz="8" w:color="auto"/>
            </w:tcBorders>
          </w:tcPr>
          <w:p>
            <w:pPr>
              <w:spacing w:after="0"/>
              <w:rPr>
                <w:sz w:val="17"/>
                <w:szCs w:val="17"/>
                <w:color w:val="auto"/>
              </w:rPr>
            </w:pPr>
          </w:p>
        </w:tc>
      </w:tr>
      <w:tr>
        <w:trPr>
          <w:trHeight w:val="196"/>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Franchise revenues (1)</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52.2</w:t>
            </w:r>
          </w:p>
        </w:tc>
      </w:tr>
      <w:tr>
        <w:trPr>
          <w:trHeight w:val="22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revenues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12.2</w:t>
            </w:r>
          </w:p>
        </w:tc>
      </w:tr>
      <w:tr>
        <w:trPr>
          <w:trHeight w:val="241"/>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Franchise and other revenues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64.4</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40" w:hanging="632"/>
        <w:spacing w:after="0"/>
        <w:tabs>
          <w:tab w:leader="none" w:pos="640" w:val="left"/>
        </w:tabs>
        <w:numPr>
          <w:ilvl w:val="0"/>
          <w:numId w:val="26"/>
        </w:numPr>
        <w:rPr>
          <w:rFonts w:ascii="Arial" w:cs="Arial" w:eastAsia="Arial" w:hAnsi="Arial"/>
          <w:sz w:val="14"/>
          <w:szCs w:val="14"/>
          <w:color w:val="auto"/>
        </w:rPr>
      </w:pPr>
      <w:r>
        <w:rPr>
          <w:rFonts w:ascii="Arial" w:cs="Arial" w:eastAsia="Arial" w:hAnsi="Arial"/>
          <w:sz w:val="16"/>
          <w:szCs w:val="16"/>
          <w:color w:val="auto"/>
        </w:rPr>
        <w:t>Represents franchise royalties, advertising fees and initial franchise fees.</w:t>
      </w:r>
    </w:p>
    <w:p>
      <w:pPr>
        <w:spacing w:after="0" w:line="227" w:lineRule="exact"/>
        <w:rPr>
          <w:sz w:val="20"/>
          <w:szCs w:val="20"/>
          <w:color w:val="auto"/>
        </w:rPr>
      </w:pPr>
    </w:p>
    <w:p>
      <w:pPr>
        <w:jc w:val="both"/>
        <w:spacing w:after="0" w:line="243" w:lineRule="auto"/>
        <w:rPr>
          <w:sz w:val="20"/>
          <w:szCs w:val="20"/>
          <w:color w:val="auto"/>
        </w:rPr>
      </w:pPr>
      <w:r>
        <w:rPr>
          <w:rFonts w:ascii="Arial" w:cs="Arial" w:eastAsia="Arial" w:hAnsi="Arial"/>
          <w:sz w:val="19"/>
          <w:szCs w:val="19"/>
          <w:i w:val="1"/>
          <w:iCs w:val="1"/>
          <w:color w:val="auto"/>
        </w:rPr>
        <w:t xml:space="preserve">Franchisee Deferred Payment Agreement </w:t>
      </w:r>
      <w:r>
        <w:rPr>
          <w:rFonts w:ascii="Arial" w:cs="Arial" w:eastAsia="Arial" w:hAnsi="Arial"/>
          <w:sz w:val="19"/>
          <w:szCs w:val="19"/>
          <w:color w:val="auto"/>
        </w:rPr>
        <w:t>- On December 27, 2020, we entered into an agreement (the “Resolution Agreement”) with Cerca</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Trova Southwest Restaurant Group, LLC (d/b/a Out West Restaurant Group) and certain of its affiliates (collectively, “Out West”), a franchisee of approximately 90 Outback Steakhouse restaurants in the western United States, primarily in California. Under the terms of the Resolution Agreement, we agreed to permanently waive all past due royalties and advertising fees for the period of February 24, 2020 to July 26, 2020 and defer, among other items, all past due royalties and advertising fees for the period of July 27, 2020 to November 22, 2020 due to the significant impact of the COVID-19 pandemic on Out West’s business. See Note 4 - </w:t>
      </w:r>
      <w:r>
        <w:rPr>
          <w:rFonts w:ascii="Arial" w:cs="Arial" w:eastAsia="Arial" w:hAnsi="Arial"/>
          <w:sz w:val="19"/>
          <w:szCs w:val="19"/>
          <w:i w:val="1"/>
          <w:iCs w:val="1"/>
          <w:color w:val="auto"/>
        </w:rPr>
        <w:t>Revenue Recognition</w:t>
      </w:r>
      <w:r>
        <w:rPr>
          <w:rFonts w:ascii="Arial" w:cs="Arial" w:eastAsia="Arial" w:hAnsi="Arial"/>
          <w:sz w:val="19"/>
          <w:szCs w:val="19"/>
          <w:color w:val="auto"/>
        </w:rPr>
        <w:t xml:space="preserve"> of the Notes to Consolidated Financial Statements for further details regarding the Resolution Agreement.</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Following is a summary of franchise and other revenues and comparable restaurant sales for Out West franchised locations for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8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080" w:type="dxa"/>
            <w:vAlign w:val="bottom"/>
            <w:tcBorders>
              <w:bottom w:val="single" w:sz="8" w:color="auto"/>
            </w:tcBorders>
          </w:tcPr>
          <w:p>
            <w:pPr>
              <w:spacing w:after="0"/>
              <w:rPr>
                <w:sz w:val="17"/>
                <w:szCs w:val="17"/>
                <w:color w:val="auto"/>
              </w:rPr>
            </w:pPr>
          </w:p>
        </w:tc>
      </w:tr>
      <w:tr>
        <w:trPr>
          <w:trHeight w:val="196"/>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 (1)</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2019</w:t>
            </w: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Franchise revenues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center"/>
              <w:ind w:left="582"/>
              <w:spacing w:after="0"/>
              <w:rPr>
                <w:sz w:val="20"/>
                <w:szCs w:val="20"/>
                <w:color w:val="auto"/>
              </w:rPr>
            </w:pPr>
            <w:r>
              <w:rPr>
                <w:rFonts w:ascii="Arial" w:cs="Arial" w:eastAsia="Arial" w:hAnsi="Arial"/>
                <w:sz w:val="16"/>
                <w:szCs w:val="16"/>
                <w:color w:val="auto"/>
                <w:w w:val="89"/>
              </w:rPr>
              <w:t>4.4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27.9</w:t>
            </w:r>
          </w:p>
        </w:tc>
      </w:tr>
      <w:tr>
        <w:trPr>
          <w:trHeight w:val="22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revenues</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left="582"/>
              <w:spacing w:after="0"/>
              <w:rPr>
                <w:sz w:val="20"/>
                <w:szCs w:val="20"/>
                <w:color w:val="auto"/>
              </w:rPr>
            </w:pPr>
            <w:r>
              <w:rPr>
                <w:rFonts w:ascii="Arial" w:cs="Arial" w:eastAsia="Arial" w:hAnsi="Arial"/>
                <w:sz w:val="16"/>
                <w:szCs w:val="16"/>
                <w:color w:val="auto"/>
                <w:w w:val="89"/>
              </w:rPr>
              <w:t>1.0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4.5</w:t>
            </w:r>
          </w:p>
        </w:tc>
      </w:tr>
      <w:tr>
        <w:trPr>
          <w:trHeight w:val="241"/>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Franchise and other revenues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center"/>
              <w:ind w:left="582"/>
              <w:spacing w:after="0"/>
              <w:rPr>
                <w:sz w:val="20"/>
                <w:szCs w:val="20"/>
                <w:color w:val="auto"/>
              </w:rPr>
            </w:pPr>
            <w:r>
              <w:rPr>
                <w:rFonts w:ascii="Arial" w:cs="Arial" w:eastAsia="Arial" w:hAnsi="Arial"/>
                <w:sz w:val="16"/>
                <w:szCs w:val="16"/>
                <w:color w:val="auto"/>
                <w:w w:val="89"/>
              </w:rPr>
              <w:t>5.4</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32.4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 West comparable restaurant sales (stores open 18 months or more)</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left="642"/>
              <w:spacing w:after="0"/>
              <w:rPr>
                <w:sz w:val="20"/>
                <w:szCs w:val="20"/>
                <w:color w:val="auto"/>
              </w:rPr>
            </w:pPr>
            <w:r>
              <w:rPr>
                <w:rFonts w:ascii="Arial" w:cs="Arial" w:eastAsia="Arial" w:hAnsi="Arial"/>
                <w:sz w:val="16"/>
                <w:szCs w:val="16"/>
                <w:color w:val="auto"/>
                <w:w w:val="96"/>
              </w:rPr>
              <w:t>(32.9)%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77"/>
        </w:trPr>
        <w:tc>
          <w:tcPr>
            <w:tcW w:w="7840" w:type="dxa"/>
            <w:vAlign w:val="bottom"/>
          </w:tcPr>
          <w:p>
            <w:pPr>
              <w:spacing w:after="0"/>
              <w:rPr>
                <w:sz w:val="20"/>
                <w:szCs w:val="20"/>
                <w:color w:val="auto"/>
              </w:rPr>
            </w:pPr>
            <w:r>
              <w:rPr>
                <w:rFonts w:ascii="Arial" w:cs="Arial" w:eastAsia="Arial" w:hAnsi="Arial"/>
                <w:sz w:val="16"/>
                <w:szCs w:val="16"/>
                <w:color w:val="auto"/>
              </w:rPr>
              <w:t>____________________</w:t>
            </w: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ind w:left="660" w:hanging="652"/>
        <w:spacing w:after="0" w:line="255" w:lineRule="auto"/>
        <w:tabs>
          <w:tab w:leader="none" w:pos="652"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Franchise and other revenues recognized from December 30, 2019 through February 23, 2020. No Franchise and other revenues were recognized after February 23, 2020 since collectability was not reasonably assured.</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2021, we anticipate franchise revenues from Out West to be materially consistent with 2020, assuming a consistent level of COVID-19-related operating restrictions to the level currently in place. However, if government mandated dining room closures are lifted and seating capacity restrictions for the states Out West operates in are relaxed during 2021, our franchise revenues may increase.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COSTS AND EXPENSES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Food and beverage costs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6660" w:type="dxa"/>
            <w:vAlign w:val="bottom"/>
            <w:tcBorders>
              <w:bottom w:val="single" w:sz="8" w:color="CCEEFF"/>
            </w:tcBorders>
          </w:tcPr>
          <w:p>
            <w:pPr>
              <w:jc w:val="right"/>
              <w:ind w:right="5362"/>
              <w:spacing w:after="0"/>
              <w:rPr>
                <w:sz w:val="20"/>
                <w:szCs w:val="20"/>
                <w:color w:val="auto"/>
              </w:rPr>
            </w:pPr>
            <w:r>
              <w:rPr>
                <w:rFonts w:ascii="Arial" w:cs="Arial" w:eastAsia="Arial" w:hAnsi="Arial"/>
                <w:sz w:val="14"/>
                <w:szCs w:val="14"/>
                <w:b w:val="1"/>
                <w:bCs w:val="1"/>
                <w:color w:val="auto"/>
                <w:w w:val="93"/>
              </w:rPr>
              <w:t>(dollars in millions)</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Change</w:t>
            </w:r>
          </w:p>
        </w:tc>
      </w:tr>
      <w:tr>
        <w:trPr>
          <w:trHeight w:val="216"/>
        </w:trPr>
        <w:tc>
          <w:tcPr>
            <w:tcW w:w="6660" w:type="dxa"/>
            <w:vAlign w:val="bottom"/>
            <w:shd w:val="clear" w:color="auto" w:fill="CCEEFF"/>
          </w:tcPr>
          <w:p>
            <w:pPr>
              <w:jc w:val="right"/>
              <w:ind w:right="4962"/>
              <w:spacing w:after="0"/>
              <w:rPr>
                <w:sz w:val="20"/>
                <w:szCs w:val="20"/>
                <w:color w:val="auto"/>
              </w:rPr>
            </w:pPr>
            <w:r>
              <w:rPr>
                <w:rFonts w:ascii="Arial" w:cs="Arial" w:eastAsia="Arial" w:hAnsi="Arial"/>
                <w:sz w:val="16"/>
                <w:szCs w:val="16"/>
                <w:color w:val="auto"/>
                <w:w w:val="88"/>
              </w:rPr>
              <w:t>Food and beverage costs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982.7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1,277.8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0"/>
        </w:trPr>
        <w:tc>
          <w:tcPr>
            <w:tcW w:w="6660" w:type="dxa"/>
            <w:vAlign w:val="bottom"/>
          </w:tcPr>
          <w:p>
            <w:pPr>
              <w:jc w:val="right"/>
              <w:ind w:right="4962"/>
              <w:spacing w:after="0"/>
              <w:rPr>
                <w:sz w:val="20"/>
                <w:szCs w:val="20"/>
                <w:color w:val="auto"/>
              </w:rPr>
            </w:pPr>
            <w:r>
              <w:rPr>
                <w:rFonts w:ascii="Arial" w:cs="Arial" w:eastAsia="Arial" w:hAnsi="Arial"/>
                <w:sz w:val="16"/>
                <w:szCs w:val="16"/>
                <w:color w:val="auto"/>
              </w:rPr>
              <w:t>% of Restaurant sales</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31.3 %</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31.4 %</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(0.1)%</w:t>
            </w:r>
          </w:p>
        </w:tc>
      </w:tr>
    </w:tbl>
    <w:p>
      <w:pPr>
        <w:spacing w:after="0" w:line="32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Food and beverage costs decreased as a percentage of Restaurant sales in 2020 as compared to 2019 primarily due to 0.4% from increases in average check per person and 0.3% from cost savings attributable to waste reduction initiatives, including menu simplification, partially offset by an increase as a percentage of Restaurant sales of 0.4% from commodity inflation.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In 2021, we expect commodity costs to remain flat.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Labor and other related expenses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Change</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Labor and other related</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1,005.3</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1,207.3</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0"/>
        </w:trPr>
        <w:tc>
          <w:tcPr>
            <w:tcW w:w="6660" w:type="dxa"/>
            <w:vAlign w:val="bottom"/>
          </w:tcPr>
          <w:p>
            <w:pPr>
              <w:ind w:left="220"/>
              <w:spacing w:after="0"/>
              <w:rPr>
                <w:sz w:val="20"/>
                <w:szCs w:val="20"/>
                <w:color w:val="auto"/>
              </w:rPr>
            </w:pPr>
            <w:r>
              <w:rPr>
                <w:rFonts w:ascii="Arial" w:cs="Arial" w:eastAsia="Arial" w:hAnsi="Arial"/>
                <w:sz w:val="16"/>
                <w:szCs w:val="16"/>
                <w:color w:val="auto"/>
              </w:rPr>
              <w:t>% of Restaurant sales</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32.0 %</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29.6 %</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2.4 %</w:t>
            </w:r>
          </w:p>
        </w:tc>
      </w:tr>
    </w:tbl>
    <w:p>
      <w:pPr>
        <w:spacing w:after="0" w:line="313"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Labor and other related expenses include all direct and indirect labor costs incurred in operations, including distribution expense to Restaurant Managing Partners, costs related to field deferred compensation plans and other field incentive compensation expenses. Labor and other related expenses increased as a percentage of Restaurant sales in 2020 as compared to 2019 primarily due to: (i) 2.3% from decreased restaurant sales, (ii) 0.9% from relief pay primarily for hourly employees impacted by the closure of dining rooms due to COVID-19, offset by employee retention tax credits, and (iii) 0.6% from higher labor costs. These increases were partially offset by a decrease as a percentage of Restaurant sales of 1.4% from lower prep labor hours.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In 2021, we anticipate approximately 3.0% to 3.5% labor cost inflation.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restaurant operating expenses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Change</w:t>
            </w: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restaurant operating</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846.6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982.1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0"/>
        </w:trPr>
        <w:tc>
          <w:tcPr>
            <w:tcW w:w="6680" w:type="dxa"/>
            <w:vAlign w:val="bottom"/>
          </w:tcPr>
          <w:p>
            <w:pPr>
              <w:ind w:left="220"/>
              <w:spacing w:after="0"/>
              <w:rPr>
                <w:sz w:val="20"/>
                <w:szCs w:val="20"/>
                <w:color w:val="auto"/>
              </w:rPr>
            </w:pPr>
            <w:r>
              <w:rPr>
                <w:rFonts w:ascii="Arial" w:cs="Arial" w:eastAsia="Arial" w:hAnsi="Arial"/>
                <w:sz w:val="16"/>
                <w:szCs w:val="16"/>
                <w:color w:val="auto"/>
              </w:rPr>
              <w:t>% of Restaurant sales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26.9 %</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24.1 %</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2.8 %</w:t>
            </w:r>
          </w:p>
        </w:tc>
      </w:tr>
    </w:tbl>
    <w:p>
      <w:pPr>
        <w:spacing w:after="0" w:line="32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Other restaurant operating expenses include certain unit-level operating costs such as operating supplies, rent, repairs and maintenance, advertising expenses, utilities, pre-opening costs and other occupancy costs. A substantial portion of these expenses is fixed or indirectly variable. Other restaurant operating expenses increased as a percentage of Restaurant sales in 2020 as compared to 2019 primarily due to lower sales volumes and costs incurred as a result of the COVID-19 pandemic, including 2.8% from decreased restaurant sales and 1.9% from incremental delivery-related costs. These increases were partially offset by a decrease as a percentage of Restaurant sales of 2.0% from reduced advertising, utilities and operating expense.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 and amortization</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6"/>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w w:val="97"/>
              </w:rPr>
              <w:t>Change</w:t>
            </w: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ind w:left="780"/>
              <w:spacing w:after="0"/>
              <w:rPr>
                <w:sz w:val="20"/>
                <w:szCs w:val="20"/>
                <w:color w:val="auto"/>
              </w:rPr>
            </w:pPr>
            <w:r>
              <w:rPr>
                <w:rFonts w:ascii="Arial" w:cs="Arial" w:eastAsia="Arial" w:hAnsi="Arial"/>
                <w:sz w:val="16"/>
                <w:szCs w:val="16"/>
                <w:color w:val="auto"/>
                <w:w w:val="99"/>
              </w:rPr>
              <w:t>180.3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196.8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r>
    </w:tbl>
    <w:p>
      <w:pPr>
        <w:spacing w:after="0" w:line="32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Depreciation and amortization decreased in 2020 as compared to 2019 primarily due to impairment and the effect of foreign currency translation.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In 2021, we anticipate approximately $165 million to $175 million of 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 expenses</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General and administrative expense includes salaries and benefits, management incentive programs, related payroll tax and benefits, other employee-related costs and professional services. Following is a summary of the changes in General and administrative expense for the period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80" w:type="dxa"/>
            <w:vAlign w:val="bottom"/>
          </w:tcPr>
          <w:p>
            <w:pPr>
              <w:jc w:val="right"/>
              <w:ind w:right="680"/>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208"/>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4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104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 fiscal year 2019</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275.2</w:t>
            </w: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Change from:</w:t>
            </w:r>
          </w:p>
        </w:tc>
        <w:tc>
          <w:tcPr>
            <w:tcW w:w="4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Compensation, benefits and payroll tax</w:t>
            </w:r>
          </w:p>
        </w:tc>
        <w:tc>
          <w:tcPr>
            <w:tcW w:w="4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3"/>
        </w:trPr>
        <w:tc>
          <w:tcPr>
            <w:tcW w:w="8720" w:type="dxa"/>
            <w:vAlign w:val="bottom"/>
          </w:tcPr>
          <w:p>
            <w:pPr>
              <w:ind w:left="360"/>
              <w:spacing w:after="0"/>
              <w:rPr>
                <w:sz w:val="20"/>
                <w:szCs w:val="20"/>
                <w:color w:val="auto"/>
              </w:rPr>
            </w:pPr>
            <w:r>
              <w:rPr>
                <w:rFonts w:ascii="Arial" w:cs="Arial" w:eastAsia="Arial" w:hAnsi="Arial"/>
                <w:sz w:val="16"/>
                <w:szCs w:val="16"/>
                <w:color w:val="auto"/>
              </w:rPr>
              <w:t>Travel and entertainment (1)</w:t>
            </w:r>
          </w:p>
        </w:tc>
        <w:tc>
          <w:tcPr>
            <w:tcW w:w="4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Legal and professional fees</w:t>
            </w:r>
          </w:p>
        </w:tc>
        <w:tc>
          <w:tcPr>
            <w:tcW w:w="4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3"/>
        </w:trPr>
        <w:tc>
          <w:tcPr>
            <w:tcW w:w="8720" w:type="dxa"/>
            <w:vAlign w:val="bottom"/>
          </w:tcPr>
          <w:p>
            <w:pPr>
              <w:ind w:left="360"/>
              <w:spacing w:after="0"/>
              <w:rPr>
                <w:sz w:val="20"/>
                <w:szCs w:val="20"/>
                <w:color w:val="auto"/>
              </w:rPr>
            </w:pPr>
            <w:r>
              <w:rPr>
                <w:rFonts w:ascii="Arial" w:cs="Arial" w:eastAsia="Arial" w:hAnsi="Arial"/>
                <w:sz w:val="16"/>
                <w:szCs w:val="16"/>
                <w:color w:val="auto"/>
              </w:rPr>
              <w:t>Employee stock-based compensation</w:t>
            </w:r>
          </w:p>
        </w:tc>
        <w:tc>
          <w:tcPr>
            <w:tcW w:w="4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currency exchange</w:t>
            </w:r>
          </w:p>
        </w:tc>
        <w:tc>
          <w:tcPr>
            <w:tcW w:w="4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3"/>
        </w:trPr>
        <w:tc>
          <w:tcPr>
            <w:tcW w:w="8720" w:type="dxa"/>
            <w:vAlign w:val="bottom"/>
          </w:tcPr>
          <w:p>
            <w:pPr>
              <w:ind w:left="360"/>
              <w:spacing w:after="0"/>
              <w:rPr>
                <w:sz w:val="20"/>
                <w:szCs w:val="20"/>
                <w:color w:val="auto"/>
              </w:rPr>
            </w:pPr>
            <w:r>
              <w:rPr>
                <w:rFonts w:ascii="Arial" w:cs="Arial" w:eastAsia="Arial" w:hAnsi="Arial"/>
                <w:sz w:val="16"/>
                <w:szCs w:val="16"/>
                <w:color w:val="auto"/>
              </w:rPr>
              <w:t>Deferred compensation</w:t>
            </w:r>
          </w:p>
        </w:tc>
        <w:tc>
          <w:tcPr>
            <w:tcW w:w="4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Incentive compensation</w:t>
            </w:r>
          </w:p>
        </w:tc>
        <w:tc>
          <w:tcPr>
            <w:tcW w:w="4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3"/>
        </w:trPr>
        <w:tc>
          <w:tcPr>
            <w:tcW w:w="8720" w:type="dxa"/>
            <w:vAlign w:val="bottom"/>
          </w:tcPr>
          <w:p>
            <w:pPr>
              <w:ind w:left="360"/>
              <w:spacing w:after="0"/>
              <w:rPr>
                <w:sz w:val="20"/>
                <w:szCs w:val="20"/>
                <w:color w:val="auto"/>
              </w:rPr>
            </w:pPr>
            <w:r>
              <w:rPr>
                <w:rFonts w:ascii="Arial" w:cs="Arial" w:eastAsia="Arial" w:hAnsi="Arial"/>
                <w:sz w:val="16"/>
                <w:szCs w:val="16"/>
                <w:color w:val="auto"/>
              </w:rPr>
              <w:t>Transformational costs (2)</w:t>
            </w:r>
          </w:p>
        </w:tc>
        <w:tc>
          <w:tcPr>
            <w:tcW w:w="4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Expected credit losses and contingent lease liabilities</w:t>
            </w:r>
          </w:p>
        </w:tc>
        <w:tc>
          <w:tcPr>
            <w:tcW w:w="4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3"/>
        </w:trPr>
        <w:tc>
          <w:tcPr>
            <w:tcW w:w="8720" w:type="dxa"/>
            <w:vAlign w:val="bottom"/>
          </w:tcPr>
          <w:p>
            <w:pPr>
              <w:ind w:left="360"/>
              <w:spacing w:after="0"/>
              <w:rPr>
                <w:sz w:val="20"/>
                <w:szCs w:val="20"/>
                <w:color w:val="auto"/>
              </w:rPr>
            </w:pPr>
            <w:r>
              <w:rPr>
                <w:rFonts w:ascii="Arial" w:cs="Arial" w:eastAsia="Arial" w:hAnsi="Arial"/>
                <w:sz w:val="16"/>
                <w:szCs w:val="16"/>
                <w:color w:val="auto"/>
              </w:rPr>
              <w:t>Severance</w:t>
            </w:r>
          </w:p>
        </w:tc>
        <w:tc>
          <w:tcPr>
            <w:tcW w:w="4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3"/>
        </w:trPr>
        <w:tc>
          <w:tcPr>
            <w:tcW w:w="8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44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6"/>
        </w:trPr>
        <w:tc>
          <w:tcPr>
            <w:tcW w:w="8720" w:type="dxa"/>
            <w:vAlign w:val="bottom"/>
          </w:tcPr>
          <w:p>
            <w:pPr>
              <w:ind w:left="20"/>
              <w:spacing w:after="0"/>
              <w:rPr>
                <w:sz w:val="20"/>
                <w:szCs w:val="20"/>
                <w:color w:val="auto"/>
              </w:rPr>
            </w:pPr>
            <w:r>
              <w:rPr>
                <w:rFonts w:ascii="Arial" w:cs="Arial" w:eastAsia="Arial" w:hAnsi="Arial"/>
                <w:sz w:val="16"/>
                <w:szCs w:val="16"/>
                <w:color w:val="auto"/>
              </w:rPr>
              <w:t>For fiscal year 2020</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254.4</w:t>
            </w:r>
          </w:p>
        </w:tc>
        <w:tc>
          <w:tcPr>
            <w:tcW w:w="0" w:type="dxa"/>
            <w:vAlign w:val="bottom"/>
          </w:tcPr>
          <w:p>
            <w:pPr>
              <w:spacing w:after="0"/>
              <w:rPr>
                <w:sz w:val="1"/>
                <w:szCs w:val="1"/>
                <w:color w:val="auto"/>
              </w:rPr>
            </w:pPr>
          </w:p>
        </w:tc>
      </w:tr>
      <w:tr>
        <w:trPr>
          <w:trHeight w:val="21"/>
        </w:trPr>
        <w:tc>
          <w:tcPr>
            <w:tcW w:w="872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4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872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managing partner conference costs.</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Primarily consists of consulting fees incurred in connection with our transformation initiatives.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In 2021, we anticipate approximately $225 million to $230 million of general and administrative expense.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Provision for impaired assets and restaurant closings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6"/>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Change</w:t>
            </w:r>
          </w:p>
        </w:tc>
      </w:tr>
      <w:tr>
        <w:trPr>
          <w:trHeight w:val="216"/>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impaired assets and restaurant closings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67.3</w:t>
            </w:r>
          </w:p>
        </w:tc>
      </w:tr>
    </w:tbl>
    <w:p>
      <w:pPr>
        <w:spacing w:after="0" w:line="32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COVID-19 Restructuring </w:t>
      </w:r>
      <w:r>
        <w:rPr>
          <w:rFonts w:ascii="Arial" w:cs="Arial" w:eastAsia="Arial" w:hAnsi="Arial"/>
          <w:sz w:val="20"/>
          <w:szCs w:val="20"/>
          <w:color w:val="auto"/>
        </w:rPr>
        <w:t>- During 2020, we recognized asset impairment and closure charges of $66.5 million and $3.6 million within the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U.S. and international segments, respectively, primarily related to the COVID-19 pandemic. COVID-19-related pre-tax impairments and closure costs include $23.8 million in connection with the closure of 22 U.S. restaurants and from the update of certain cash flow assumptions, including lease renewal considerations. During 2020, we also recognized asset impairment charges related to transformational initiatives of $6.3 million, which were not allocated to our operating segments. See Note 5 - </w:t>
      </w:r>
      <w:r>
        <w:rPr>
          <w:rFonts w:ascii="Arial" w:cs="Arial" w:eastAsia="Arial" w:hAnsi="Arial"/>
          <w:sz w:val="20"/>
          <w:szCs w:val="20"/>
          <w:i w:val="1"/>
          <w:iCs w:val="1"/>
          <w:color w:val="auto"/>
        </w:rPr>
        <w:t>Impairments, Exit Costs and Disposals</w:t>
      </w:r>
      <w:r>
        <w:rPr>
          <w:rFonts w:ascii="Arial" w:cs="Arial" w:eastAsia="Arial" w:hAnsi="Arial"/>
          <w:sz w:val="20"/>
          <w:szCs w:val="20"/>
          <w:color w:val="auto"/>
        </w:rPr>
        <w:t xml:space="preserve"> of the Notes to Consolidated Financial Statements for further information.</w:t>
      </w:r>
    </w:p>
    <w:p>
      <w:pPr>
        <w:spacing w:after="0" w:line="22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 xml:space="preserve">International Restructuring </w:t>
      </w:r>
      <w:r>
        <w:rPr>
          <w:rFonts w:ascii="Arial" w:cs="Arial" w:eastAsia="Arial" w:hAnsi="Arial"/>
          <w:sz w:val="20"/>
          <w:szCs w:val="20"/>
          <w:color w:val="auto"/>
        </w:rPr>
        <w:t>- We recognized asset impairment and closure charges of $2.0 million during 2019, related to restructuring of</w:t>
      </w:r>
      <w:r>
        <w:rPr>
          <w:rFonts w:ascii="Arial" w:cs="Arial" w:eastAsia="Arial" w:hAnsi="Arial"/>
          <w:sz w:val="20"/>
          <w:szCs w:val="20"/>
          <w:i w:val="1"/>
          <w:iCs w:val="1"/>
          <w:color w:val="auto"/>
        </w:rPr>
        <w:t xml:space="preserve"> </w:t>
      </w:r>
      <w:r>
        <w:rPr>
          <w:rFonts w:ascii="Arial" w:cs="Arial" w:eastAsia="Arial" w:hAnsi="Arial"/>
          <w:sz w:val="20"/>
          <w:szCs w:val="20"/>
          <w:color w:val="auto"/>
        </w:rPr>
        <w:t>certain international markets, including Puerto Rico within the international segment.</w:t>
      </w:r>
    </w:p>
    <w:p>
      <w:pPr>
        <w:spacing w:after="0" w:line="20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remaining impairment and closing charges for the periods presented primarily resulted from locations identified for remodel, relocation or closure and certain other assets.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(Loss) income from operations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Change</w:t>
            </w: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from operations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(175.0)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191.1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0"/>
        </w:trPr>
        <w:tc>
          <w:tcPr>
            <w:tcW w:w="6680" w:type="dxa"/>
            <w:vAlign w:val="bottom"/>
          </w:tcPr>
          <w:p>
            <w:pPr>
              <w:ind w:left="220"/>
              <w:spacing w:after="0"/>
              <w:rPr>
                <w:sz w:val="20"/>
                <w:szCs w:val="20"/>
                <w:color w:val="auto"/>
              </w:rPr>
            </w:pPr>
            <w:r>
              <w:rPr>
                <w:rFonts w:ascii="Arial" w:cs="Arial" w:eastAsia="Arial" w:hAnsi="Arial"/>
                <w:sz w:val="16"/>
                <w:szCs w:val="16"/>
                <w:color w:val="auto"/>
              </w:rPr>
              <w:t>% of Total revenues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4.6 %</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(10.1)%</w:t>
            </w:r>
          </w:p>
        </w:tc>
      </w:tr>
    </w:tbl>
    <w:p>
      <w:pPr>
        <w:spacing w:after="0" w:line="31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Loss from operations during 2020 as compared to income from operations during 2019 was primarily due to: (i) significantly lower comparable restaurant sales and franchise revenues, and costs incurred in connection with the COVID-19 pandemic, including asset impairment charges, incremental delivery-related costs and relief pay (net of tax credits), and (ii) certain costs incurred in connection with our transformation initiatives. These losses were partially offset by reduced advertising, utilities and operating expenses and a reduction in prep labor hours, offset by higher labor costs.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 net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564"/>
              <w:spacing w:after="0"/>
              <w:rPr>
                <w:sz w:val="20"/>
                <w:szCs w:val="20"/>
                <w:color w:val="auto"/>
              </w:rPr>
            </w:pPr>
            <w:r>
              <w:rPr>
                <w:rFonts w:ascii="Arial" w:cs="Arial" w:eastAsia="Arial" w:hAnsi="Arial"/>
                <w:sz w:val="14"/>
                <w:szCs w:val="14"/>
                <w:b w:val="1"/>
                <w:bCs w:val="1"/>
                <w:color w:val="auto"/>
              </w:rPr>
              <w:t>FISCAL YEAR</w:t>
            </w:r>
          </w:p>
        </w:tc>
        <w:tc>
          <w:tcPr>
            <w:tcW w:w="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6"/>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Change</w:t>
            </w:r>
          </w:p>
        </w:tc>
      </w:tr>
      <w:tr>
        <w:trPr>
          <w:trHeight w:val="216"/>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040" w:type="dxa"/>
            <w:vAlign w:val="bottom"/>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4"/>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15.1</w:t>
            </w:r>
          </w:p>
        </w:tc>
      </w:tr>
    </w:tbl>
    <w:p>
      <w:pPr>
        <w:spacing w:after="0" w:line="32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increase in Interest expense, net during 2020 as compared to 2019 was primarily due to interest expense from our convertible senior notes issued in May 2020 and additional draws on our revolving credit facility, partially offset by lower interest rates on our unhedged variable rate debt balances.</w:t>
      </w: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See Note 2 - </w:t>
      </w:r>
      <w:r>
        <w:rPr>
          <w:rFonts w:ascii="Arial" w:cs="Arial" w:eastAsia="Arial" w:hAnsi="Arial"/>
          <w:sz w:val="20"/>
          <w:szCs w:val="20"/>
          <w:i w:val="1"/>
          <w:iCs w:val="1"/>
          <w:color w:val="auto"/>
        </w:rPr>
        <w:t>Summary of Significant Accounting Policies</w:t>
      </w:r>
      <w:r>
        <w:rPr>
          <w:rFonts w:ascii="Arial" w:cs="Arial" w:eastAsia="Arial" w:hAnsi="Arial"/>
          <w:sz w:val="20"/>
          <w:szCs w:val="20"/>
          <w:color w:val="auto"/>
        </w:rPr>
        <w:t xml:space="preserve"> of the Notes to Consolidated Financial Statements for details regarding the 2021 interest expense impact from the adoption of Accounting Standards Update No. 2020-06.</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(Benefit) provision for income taxes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2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Change</w:t>
            </w: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before (benefit) provision for income taxes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(239.5)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141.7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(381.2)</w:t>
            </w:r>
          </w:p>
        </w:tc>
      </w:tr>
      <w:tr>
        <w:trPr>
          <w:trHeight w:val="213"/>
        </w:trPr>
        <w:tc>
          <w:tcPr>
            <w:tcW w:w="6400" w:type="dxa"/>
            <w:vAlign w:val="bottom"/>
          </w:tcPr>
          <w:p>
            <w:pPr>
              <w:ind w:left="20"/>
              <w:spacing w:after="0"/>
              <w:rPr>
                <w:sz w:val="20"/>
                <w:szCs w:val="20"/>
                <w:color w:val="auto"/>
              </w:rPr>
            </w:pPr>
            <w:r>
              <w:rPr>
                <w:rFonts w:ascii="Arial" w:cs="Arial" w:eastAsia="Arial" w:hAnsi="Arial"/>
                <w:sz w:val="16"/>
                <w:szCs w:val="16"/>
                <w:color w:val="auto"/>
              </w:rPr>
              <w:t>(Benefit) provision for income taxes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83"/>
              <w:spacing w:after="0"/>
              <w:rPr>
                <w:sz w:val="20"/>
                <w:szCs w:val="20"/>
                <w:color w:val="auto"/>
              </w:rPr>
            </w:pPr>
            <w:r>
              <w:rPr>
                <w:rFonts w:ascii="Arial" w:cs="Arial" w:eastAsia="Arial" w:hAnsi="Arial"/>
                <w:sz w:val="16"/>
                <w:szCs w:val="16"/>
                <w:color w:val="auto"/>
              </w:rPr>
              <w:t>(80.7)</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21"/>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(88.3)</w:t>
            </w:r>
          </w:p>
        </w:tc>
      </w:tr>
      <w:tr>
        <w:trPr>
          <w:trHeight w:val="219"/>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income tax rate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28.4 %</w:t>
            </w:r>
          </w:p>
        </w:tc>
      </w:tr>
    </w:tbl>
    <w:p>
      <w:pPr>
        <w:spacing w:after="0" w:line="32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net increase in the effective income tax rate in 2020 as compared to 2019 was primarily due to the benefit of the tax credits for FICA taxes on certain employees’ tips in 2020 and the 2020 pre-tax book loss.</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have a blended federal and state statutory rate of approximately 26%. The effective income tax rate for 2020 was higher than the blended federal and state statutory rate primarily due to the benefit of tax credits for FICA taxes on certain employees’ tips. The effective income tax rate for fiscal year 2019 was lower than the blended federal and state statutory rate primarily due to the benefit of tax credits for FICA taxes on certain employees’ tips.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Segments</w:t>
      </w:r>
    </w:p>
    <w:p>
      <w:pPr>
        <w:spacing w:after="0" w:line="24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consider our restaurant concepts and international markets as operating segments, which reflects how we manage our business, review operating performance and allocate resources. Resources are allocated and performance is assessed by our Chief Executive Officer, whom we have determined to be our Chief Operating Decision Maker (“CODM”). We aggregate our operating segments into two reportable segments, U.S. and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international. The U.S. segment includes all restaurants operating in the U.S. while restaurants operating outside the U.S. are included in the international segment.</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Revenues for both segments include only transactions with customers and excludes intersegment revenues. Excluded from (Loss) income from operations for U.S. and international are certain legal and corporate costs not directly related to the performance of the segments, most stock-based compensation expenses and certain bonus expenses.</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During 2020, we recorded $32.4 million of pre-tax charges as a part of transformational initiatives implemented in connection with our previously announced review of strategic alternatives. These costs were primarily recorded within General and administrative expense and Provision for impaired assets and restaurant closings and were not allocated to our segments since our CODM does not consider the impact of transformational initiatives when assessing segment performance.</w:t>
      </w:r>
    </w:p>
    <w:p>
      <w:pPr>
        <w:spacing w:after="0" w:line="21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Refer to Note 23 </w:t>
      </w:r>
      <w:r>
        <w:rPr>
          <w:rFonts w:ascii="Arial" w:cs="Arial" w:eastAsia="Arial" w:hAnsi="Arial"/>
          <w:sz w:val="17"/>
          <w:szCs w:val="17"/>
          <w:color w:val="auto"/>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Segment Reporting</w:t>
      </w:r>
      <w:r>
        <w:rPr>
          <w:rFonts w:ascii="Arial" w:cs="Arial" w:eastAsia="Arial" w:hAnsi="Arial"/>
          <w:sz w:val="20"/>
          <w:szCs w:val="20"/>
          <w:color w:val="auto"/>
        </w:rPr>
        <w:t xml:space="preserve"> of the Notes to Consolidated Financial Statements for a reconciliation of segment (loss) income from operations to the consolidated operating results.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Segment</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78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080" w:type="dxa"/>
            <w:vAlign w:val="bottom"/>
            <w:tcBorders>
              <w:bottom w:val="single" w:sz="8" w:color="auto"/>
            </w:tcBorders>
          </w:tcPr>
          <w:p>
            <w:pPr>
              <w:spacing w:after="0"/>
              <w:rPr>
                <w:sz w:val="17"/>
                <w:szCs w:val="17"/>
                <w:color w:val="auto"/>
              </w:rPr>
            </w:pPr>
          </w:p>
        </w:tc>
      </w:tr>
      <w:tr>
        <w:trPr>
          <w:trHeight w:val="196"/>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2019</w:t>
            </w:r>
          </w:p>
        </w:tc>
      </w:tr>
      <w:tr>
        <w:trPr>
          <w:trHeight w:val="203"/>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3"/>
        </w:trPr>
        <w:tc>
          <w:tcPr>
            <w:tcW w:w="7800" w:type="dxa"/>
            <w:vAlign w:val="bottom"/>
          </w:tcPr>
          <w:p>
            <w:pPr>
              <w:ind w:left="140"/>
              <w:spacing w:after="0"/>
              <w:rPr>
                <w:sz w:val="20"/>
                <w:szCs w:val="20"/>
                <w:color w:val="auto"/>
              </w:rPr>
            </w:pPr>
            <w:r>
              <w:rPr>
                <w:rFonts w:ascii="Arial" w:cs="Arial" w:eastAsia="Arial" w:hAnsi="Arial"/>
                <w:sz w:val="16"/>
                <w:szCs w:val="16"/>
                <w:color w:val="auto"/>
              </w:rPr>
              <w:t>Restaurant sales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41"/>
              <w:spacing w:after="0"/>
              <w:rPr>
                <w:sz w:val="20"/>
                <w:szCs w:val="20"/>
                <w:color w:val="auto"/>
              </w:rPr>
            </w:pPr>
            <w:r>
              <w:rPr>
                <w:rFonts w:ascii="Arial" w:cs="Arial" w:eastAsia="Arial" w:hAnsi="Arial"/>
                <w:sz w:val="16"/>
                <w:szCs w:val="16"/>
                <w:color w:val="auto"/>
              </w:rPr>
              <w:t>2,869,547</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3,634,668</w:t>
            </w:r>
          </w:p>
        </w:tc>
      </w:tr>
      <w:tr>
        <w:trPr>
          <w:trHeight w:val="239"/>
        </w:trPr>
        <w:tc>
          <w:tcPr>
            <w:tcW w:w="7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Franchise and other revenues</w:t>
            </w:r>
          </w:p>
        </w:tc>
        <w:tc>
          <w:tcPr>
            <w:tcW w:w="4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15,995</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53,250</w:t>
            </w:r>
          </w:p>
        </w:tc>
      </w:tr>
      <w:tr>
        <w:trPr>
          <w:trHeight w:val="196"/>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revenues</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2,885,542</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3,687,918</w:t>
            </w:r>
          </w:p>
        </w:tc>
      </w:tr>
      <w:tr>
        <w:trPr>
          <w:trHeight w:val="216"/>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Restaurant-level operating margin</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9.8 %</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14.2 %</w:t>
            </w:r>
          </w:p>
        </w:tc>
      </w:tr>
      <w:tr>
        <w:trPr>
          <w:trHeight w:val="213"/>
        </w:trPr>
        <w:tc>
          <w:tcPr>
            <w:tcW w:w="7800" w:type="dxa"/>
            <w:vAlign w:val="bottom"/>
          </w:tcPr>
          <w:p>
            <w:pPr>
              <w:ind w:left="140"/>
              <w:spacing w:after="0"/>
              <w:rPr>
                <w:sz w:val="20"/>
                <w:szCs w:val="20"/>
                <w:color w:val="auto"/>
              </w:rPr>
            </w:pPr>
            <w:r>
              <w:rPr>
                <w:rFonts w:ascii="Arial" w:cs="Arial" w:eastAsia="Arial" w:hAnsi="Arial"/>
                <w:sz w:val="16"/>
                <w:szCs w:val="16"/>
                <w:color w:val="auto"/>
              </w:rPr>
              <w:t>(Loss) income from operations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01"/>
              <w:spacing w:after="0"/>
              <w:rPr>
                <w:sz w:val="20"/>
                <w:szCs w:val="20"/>
                <w:color w:val="auto"/>
              </w:rPr>
            </w:pPr>
            <w:r>
              <w:rPr>
                <w:rFonts w:ascii="Arial" w:cs="Arial" w:eastAsia="Arial" w:hAnsi="Arial"/>
                <w:sz w:val="16"/>
                <w:szCs w:val="16"/>
                <w:color w:val="auto"/>
              </w:rPr>
              <w:t>(1,630)</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311,666</w:t>
            </w:r>
          </w:p>
        </w:tc>
      </w:tr>
      <w:tr>
        <w:trPr>
          <w:trHeight w:val="219"/>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(loss) income margin</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8.5 %</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Restaurant sales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change in U.S. segment Restaurant sales for the period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80" w:type="dxa"/>
            <w:vAlign w:val="bottom"/>
          </w:tcPr>
          <w:p>
            <w:pPr>
              <w:jc w:val="right"/>
              <w:ind w:right="681"/>
              <w:spacing w:after="0"/>
              <w:rPr>
                <w:sz w:val="20"/>
                <w:szCs w:val="20"/>
                <w:color w:val="auto"/>
              </w:rPr>
            </w:pPr>
            <w:r>
              <w:rPr>
                <w:rFonts w:ascii="Arial" w:cs="Arial" w:eastAsia="Arial" w:hAnsi="Arial"/>
                <w:sz w:val="14"/>
                <w:szCs w:val="14"/>
                <w:b w:val="1"/>
                <w:bCs w:val="1"/>
                <w:color w:val="auto"/>
              </w:rPr>
              <w:t>FISCAL YEAR</w:t>
            </w:r>
          </w:p>
        </w:tc>
      </w:tr>
      <w:tr>
        <w:trPr>
          <w:trHeight w:val="208"/>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4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1041"/>
              <w:spacing w:after="0"/>
              <w:rPr>
                <w:sz w:val="20"/>
                <w:szCs w:val="20"/>
                <w:color w:val="auto"/>
              </w:rPr>
            </w:pPr>
            <w:r>
              <w:rPr>
                <w:rFonts w:ascii="Arial" w:cs="Arial" w:eastAsia="Arial" w:hAnsi="Arial"/>
                <w:sz w:val="14"/>
                <w:szCs w:val="14"/>
                <w:b w:val="1"/>
                <w:bCs w:val="1"/>
                <w:color w:val="auto"/>
              </w:rPr>
              <w:t>2020</w:t>
            </w:r>
          </w:p>
        </w:tc>
      </w:tr>
      <w:tr>
        <w:trPr>
          <w:trHeight w:val="216"/>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 fiscal year 2019</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3,634.6</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Change from:</w:t>
            </w:r>
          </w:p>
        </w:tc>
        <w:tc>
          <w:tcPr>
            <w:tcW w:w="44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9"/>
        </w:trPr>
        <w:tc>
          <w:tcPr>
            <w:tcW w:w="8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Comparable restaurant sales (1)</w:t>
            </w:r>
          </w:p>
        </w:tc>
        <w:tc>
          <w:tcPr>
            <w:tcW w:w="4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(698.5)</w:t>
            </w:r>
          </w:p>
        </w:tc>
      </w:tr>
      <w:tr>
        <w:trPr>
          <w:trHeight w:val="213"/>
        </w:trPr>
        <w:tc>
          <w:tcPr>
            <w:tcW w:w="8720" w:type="dxa"/>
            <w:vAlign w:val="bottom"/>
          </w:tcPr>
          <w:p>
            <w:pPr>
              <w:ind w:left="360"/>
              <w:spacing w:after="0"/>
              <w:rPr>
                <w:sz w:val="20"/>
                <w:szCs w:val="20"/>
                <w:color w:val="auto"/>
              </w:rPr>
            </w:pPr>
            <w:r>
              <w:rPr>
                <w:rFonts w:ascii="Arial" w:cs="Arial" w:eastAsia="Arial" w:hAnsi="Arial"/>
                <w:sz w:val="16"/>
                <w:szCs w:val="16"/>
                <w:color w:val="auto"/>
              </w:rPr>
              <w:t>Restaurant closures</w:t>
            </w:r>
          </w:p>
        </w:tc>
        <w:tc>
          <w:tcPr>
            <w:tcW w:w="4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(63.4)</w:t>
            </w:r>
          </w:p>
        </w:tc>
      </w:tr>
      <w:tr>
        <w:trPr>
          <w:trHeight w:val="219"/>
        </w:trPr>
        <w:tc>
          <w:tcPr>
            <w:tcW w:w="8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Divestiture of restaurants through refranchising transactions</w:t>
            </w:r>
          </w:p>
        </w:tc>
        <w:tc>
          <w:tcPr>
            <w:tcW w:w="4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23"/>
        </w:trPr>
        <w:tc>
          <w:tcPr>
            <w:tcW w:w="87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Restaurant openings (1)</w:t>
            </w:r>
          </w:p>
        </w:tc>
        <w:tc>
          <w:tcPr>
            <w:tcW w:w="4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241"/>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 fiscal year 2020</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2,869.5</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line="257"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Summation of quarterly changes for restaurant openings and comparable restaurant sales will not total to annual amounts as the restaurants that meet the definition of a comparable restaurant will differ each period based on when the restaurant opened.</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decrease in U.S. Restaurant sales in 2020 as compared to 2019 was primarily due to: (i) significantly lower comparable restaurant sales principally attributable to the COVID-19 pandemic, (ii) the closure of 46 restaurants since December 30, 2018 and (iii) the refranchising of certain Company-owned restaurants. The decrease in U.S. Restaurant sales was partially offset by the opening of 11 new restaurants not included in our comparable restaurant sales base.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(Loss) income from operations</w:t>
      </w:r>
    </w:p>
    <w:p>
      <w:pPr>
        <w:spacing w:after="0" w:line="2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U.S. loss from operations generated during 2020 as compared to income from operations during 2019 was primarily due to significantly lower comparable restaurant sales and franchise revenues, and costs incurred in connection with the COVID-19 pandemic, including asset impairment charges, incremental delivery-related costs and relief pay (net of tax credits). These losses were partially offset by reduced advertising, utilities and operating expenses and a reduction in prep labor hours, offset by higher labor costs.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International Segment</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78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080" w:type="dxa"/>
            <w:vAlign w:val="bottom"/>
            <w:tcBorders>
              <w:bottom w:val="single" w:sz="8" w:color="auto"/>
            </w:tcBorders>
          </w:tcPr>
          <w:p>
            <w:pPr>
              <w:spacing w:after="0"/>
              <w:rPr>
                <w:sz w:val="17"/>
                <w:szCs w:val="17"/>
                <w:color w:val="auto"/>
              </w:rPr>
            </w:pPr>
          </w:p>
        </w:tc>
      </w:tr>
      <w:tr>
        <w:trPr>
          <w:trHeight w:val="196"/>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2019</w:t>
            </w:r>
          </w:p>
        </w:tc>
      </w:tr>
      <w:tr>
        <w:trPr>
          <w:trHeight w:val="20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Restaurant sales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275,089</w:t>
            </w:r>
          </w:p>
        </w:tc>
        <w:tc>
          <w:tcPr>
            <w:tcW w:w="12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440,346</w:t>
            </w:r>
          </w:p>
        </w:tc>
      </w:tr>
      <w:tr>
        <w:trPr>
          <w:trHeight w:val="239"/>
        </w:trPr>
        <w:tc>
          <w:tcPr>
            <w:tcW w:w="7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Franchise and other revenues</w:t>
            </w: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9,930</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11,125</w:t>
            </w:r>
          </w:p>
        </w:tc>
      </w:tr>
      <w:tr>
        <w:trPr>
          <w:trHeight w:val="196"/>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revenues</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285,019</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451,471</w:t>
            </w:r>
          </w:p>
        </w:tc>
      </w:tr>
      <w:tr>
        <w:trPr>
          <w:trHeight w:val="216"/>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Restaurant-level operating margin</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20.3 %</w:t>
            </w: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(Loss) income from operations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(13,479)</w:t>
            </w:r>
          </w:p>
        </w:tc>
        <w:tc>
          <w:tcPr>
            <w:tcW w:w="12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44,428</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(loss) income margin</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9.8 %</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Restaurant sales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change in international segment Restaurant sales for the period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80" w:type="dxa"/>
            <w:vAlign w:val="bottom"/>
          </w:tcPr>
          <w:p>
            <w:pPr>
              <w:jc w:val="right"/>
              <w:ind w:right="681"/>
              <w:spacing w:after="0"/>
              <w:rPr>
                <w:sz w:val="20"/>
                <w:szCs w:val="20"/>
                <w:color w:val="auto"/>
              </w:rPr>
            </w:pPr>
            <w:r>
              <w:rPr>
                <w:rFonts w:ascii="Arial" w:cs="Arial" w:eastAsia="Arial" w:hAnsi="Arial"/>
                <w:sz w:val="14"/>
                <w:szCs w:val="14"/>
                <w:b w:val="1"/>
                <w:bCs w:val="1"/>
                <w:color w:val="auto"/>
              </w:rPr>
              <w:t>FISCAL YEAR</w:t>
            </w:r>
          </w:p>
        </w:tc>
      </w:tr>
      <w:tr>
        <w:trPr>
          <w:trHeight w:val="208"/>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4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1041"/>
              <w:spacing w:after="0"/>
              <w:rPr>
                <w:sz w:val="20"/>
                <w:szCs w:val="20"/>
                <w:color w:val="auto"/>
              </w:rPr>
            </w:pPr>
            <w:r>
              <w:rPr>
                <w:rFonts w:ascii="Arial" w:cs="Arial" w:eastAsia="Arial" w:hAnsi="Arial"/>
                <w:sz w:val="14"/>
                <w:szCs w:val="14"/>
                <w:b w:val="1"/>
                <w:bCs w:val="1"/>
                <w:color w:val="auto"/>
              </w:rPr>
              <w:t>2020</w:t>
            </w:r>
          </w:p>
        </w:tc>
      </w:tr>
      <w:tr>
        <w:trPr>
          <w:trHeight w:val="216"/>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 fiscal year 2019</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440.3</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Change from:</w:t>
            </w:r>
          </w:p>
        </w:tc>
        <w:tc>
          <w:tcPr>
            <w:tcW w:w="44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9"/>
        </w:trPr>
        <w:tc>
          <w:tcPr>
            <w:tcW w:w="8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Comparable restaurant sales (1)</w:t>
            </w:r>
          </w:p>
        </w:tc>
        <w:tc>
          <w:tcPr>
            <w:tcW w:w="4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w:t>
            </w:r>
          </w:p>
        </w:tc>
      </w:tr>
      <w:tr>
        <w:trPr>
          <w:trHeight w:val="213"/>
        </w:trPr>
        <w:tc>
          <w:tcPr>
            <w:tcW w:w="8720" w:type="dxa"/>
            <w:vAlign w:val="bottom"/>
          </w:tcPr>
          <w:p>
            <w:pPr>
              <w:ind w:left="360"/>
              <w:spacing w:after="0"/>
              <w:rPr>
                <w:sz w:val="20"/>
                <w:szCs w:val="20"/>
                <w:color w:val="auto"/>
              </w:rPr>
            </w:pPr>
            <w:r>
              <w:rPr>
                <w:rFonts w:ascii="Arial" w:cs="Arial" w:eastAsia="Arial" w:hAnsi="Arial"/>
                <w:sz w:val="16"/>
                <w:szCs w:val="16"/>
                <w:color w:val="auto"/>
              </w:rPr>
              <w:t>Effect of foreign currency translation</w:t>
            </w:r>
          </w:p>
        </w:tc>
        <w:tc>
          <w:tcPr>
            <w:tcW w:w="4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(52.1)</w:t>
            </w:r>
          </w:p>
        </w:tc>
      </w:tr>
      <w:tr>
        <w:trPr>
          <w:trHeight w:val="219"/>
        </w:trPr>
        <w:tc>
          <w:tcPr>
            <w:tcW w:w="8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Restaurant closures</w:t>
            </w:r>
          </w:p>
        </w:tc>
        <w:tc>
          <w:tcPr>
            <w:tcW w:w="4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0"/>
        </w:trPr>
        <w:tc>
          <w:tcPr>
            <w:tcW w:w="87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Restaurant openings (1)</w:t>
            </w:r>
          </w:p>
        </w:tc>
        <w:tc>
          <w:tcPr>
            <w:tcW w:w="4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r>
      <w:tr>
        <w:trPr>
          <w:trHeight w:val="241"/>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 fiscal year 2020</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275.1</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line="257"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Summation of quarterly changes for restaurant openings and comparable restaurant sales will not total to annual amounts as the restaurants that meet the definition of a comparable restaurant will differ each period based on when the restaurant opened.</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decrease in international Restaurant sales in 2020 as compared to 2019 was primarily due to significantly lower comparable restaurant sales principally attributable to the COVID-19 pandemic and the effect of foreign currency translation of the Brazil Real relative to the U.S. dollar. The decrease in international Restaurant sales was partially offset by the opening of 29 new restaurants not included in our comparable restaurant sales base.</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(Loss) income from operations</w:t>
      </w:r>
    </w:p>
    <w:p>
      <w:pPr>
        <w:spacing w:after="0" w:line="24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International loss from operations generated during 2020 as compared to income from operations during 2019 was primarily due to: (i) significantly lower comparable sales and costs incurred in connection with the COVID-19 pandemic, including incremental delivery-related costs and inventory obsolescence, and (ii) commodity inflation. These decreases were partially offset by: (i) reduced utilities, operating and advertising expenses, (ii) lower labor costs and (iii) lower General and administrative expense, primarily from the impact of foreign currency translation.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4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addition to the results provided in accordance with U.S. GAAP, we provide certain non-GAAP measures, which present operating results on an adjusted basis. These are supplemental measures of performance that are not required by or presented in accordance with U.S. GAAP and include the following: (i) system-wide sales, (ii) Adjusted restaurant-level operating margins, (iii) Adjusted (loss) income from operations and the corresponding margins, (iv) Adjusted net (loss) income and (v) Adjusted diluted (loss) earnings per share.</w:t>
      </w:r>
    </w:p>
    <w:p>
      <w:pPr>
        <w:spacing w:after="0" w:line="18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We believe that our use of non-GAAP financial measures permits investors to assess the operating performance of our business relative to our performance based on U.S. GAAP results and relative to other companies within the restaurant industry by isolating the effects of certain items that may vary from period to period without correlation to core operating performance or that vary widely among similar companies. However, our inclusion of these adjusted measures should not be construed as an indication that our future results will be unaffected by unusual or infrequent items or that the items for which we have made adjustments are unusual or infrequent or will not recur. We believe that the disclosure of these non-GAAP measures is useful to investors as they form part of the basis for how our management team and Board of Directors evaluate our operating performance, allocate resources and establish employee incentive plans.</w:t>
      </w:r>
    </w:p>
    <w:p>
      <w:pPr>
        <w:spacing w:after="0" w:line="19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These non-GAAP financial measures are not intended to replace U.S. GAAP financial measures, and they are not necessarily standardized or comparable to similarly titled measures used by other companies. We maintain internal guidelines with respect to the types of adjustments we include in our non-GAAP measures. These guidelines endeavor to differentiate between types of gains and expenses that are reflective of our core operations in a period, and those that may vary from period to period without correlation to our core performance in that period. However, implementation of these guidelines necessarily involves the application of judgment, and the treatment of any items not directly addressed by, or changes to, our guidelines will be considered by our disclosure committee. Refer to the reconciliations of non-GAAP measures for descriptions of the actual adjustments made in the current period and the corresponding prior period.</w:t>
      </w:r>
    </w:p>
    <w:p>
      <w:pPr>
        <w:spacing w:after="0" w:line="19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System-Wide Sales - </w:t>
      </w:r>
      <w:r>
        <w:rPr>
          <w:rFonts w:ascii="Arial" w:cs="Arial" w:eastAsia="Arial" w:hAnsi="Arial"/>
          <w:sz w:val="20"/>
          <w:szCs w:val="20"/>
          <w:color w:val="auto"/>
        </w:rPr>
        <w:t>System-wide sales is a non-GAAP financial measure that includes sales of all restaurants operating under our brand</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names, whether we own them or not. Management uses this information to make decisions about future plans for the development of additional restaurants and new concepts, as well as evaluation of current operations. System-wide sales comprise sales of Company-owned and franchised restaurants. For a summary of sales of Company-owned restaurants, refer to Note 4 - </w:t>
      </w:r>
      <w:r>
        <w:rPr>
          <w:rFonts w:ascii="Arial" w:cs="Arial" w:eastAsia="Arial" w:hAnsi="Arial"/>
          <w:sz w:val="20"/>
          <w:szCs w:val="20"/>
          <w:i w:val="1"/>
          <w:iCs w:val="1"/>
          <w:color w:val="auto"/>
        </w:rPr>
        <w:t>Revenue Recognition</w:t>
      </w:r>
      <w:r>
        <w:rPr>
          <w:rFonts w:ascii="Arial" w:cs="Arial" w:eastAsia="Arial" w:hAnsi="Arial"/>
          <w:sz w:val="20"/>
          <w:szCs w:val="20"/>
          <w:color w:val="auto"/>
        </w:rPr>
        <w:t xml:space="preserve"> of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following table provides a summary of sales of franchised restaurants for the periods indicated, which are not included in our consolidated financial results. Franchise sales within this table do not represent our sales and are presented only as an indicator of changes in the restaurant system, which management believes is important information regarding the health of our restaurant concepts and in determining our royalties and/or service fees.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FISCAL YEAR</w:t>
            </w:r>
          </w:p>
        </w:tc>
        <w:tc>
          <w:tcPr>
            <w:tcW w:w="1000" w:type="dxa"/>
            <w:vAlign w:val="bottom"/>
            <w:tcBorders>
              <w:bottom w:val="single" w:sz="8" w:color="auto"/>
            </w:tcBorders>
          </w:tcPr>
          <w:p>
            <w:pPr>
              <w:spacing w:after="0"/>
              <w:rPr>
                <w:sz w:val="17"/>
                <w:szCs w:val="17"/>
                <w:color w:val="auto"/>
              </w:rPr>
            </w:pPr>
          </w:p>
        </w:tc>
      </w:tr>
      <w:tr>
        <w:trPr>
          <w:trHeight w:val="196"/>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2019</w:t>
            </w:r>
          </w:p>
        </w:tc>
      </w:tr>
      <w:tr>
        <w:trPr>
          <w:trHeight w:val="20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3"/>
        </w:trPr>
        <w:tc>
          <w:tcPr>
            <w:tcW w:w="8060" w:type="dxa"/>
            <w:vAlign w:val="bottom"/>
          </w:tcPr>
          <w:p>
            <w:pPr>
              <w:ind w:left="140"/>
              <w:spacing w:after="0"/>
              <w:rPr>
                <w:sz w:val="20"/>
                <w:szCs w:val="20"/>
                <w:color w:val="auto"/>
              </w:rPr>
            </w:pPr>
            <w:r>
              <w:rPr>
                <w:rFonts w:ascii="Arial" w:cs="Arial" w:eastAsia="Arial" w:hAnsi="Arial"/>
                <w:sz w:val="16"/>
                <w:szCs w:val="16"/>
                <w:color w:val="auto"/>
              </w:rPr>
              <w:t>Outback Steakhouse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Carrabba’s Italian Grill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23"/>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Bonefish Grill</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 total</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Outback Steakhouse-South Korea</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r>
      <w:tr>
        <w:trPr>
          <w:trHeight w:val="223"/>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r>
      <w:tr>
        <w:trPr>
          <w:trHeight w:val="233"/>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International total</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w:t>
            </w:r>
          </w:p>
        </w:tc>
      </w:tr>
      <w:tr>
        <w:trPr>
          <w:trHeight w:val="203"/>
        </w:trPr>
        <w:tc>
          <w:tcPr>
            <w:tcW w:w="8060" w:type="dxa"/>
            <w:vAlign w:val="bottom"/>
          </w:tcPr>
          <w:p>
            <w:pPr>
              <w:ind w:left="20"/>
              <w:spacing w:after="0"/>
              <w:rPr>
                <w:sz w:val="20"/>
                <w:szCs w:val="20"/>
                <w:color w:val="auto"/>
              </w:rPr>
            </w:pPr>
            <w:r>
              <w:rPr>
                <w:rFonts w:ascii="Arial" w:cs="Arial" w:eastAsia="Arial" w:hAnsi="Arial"/>
                <w:sz w:val="16"/>
                <w:szCs w:val="16"/>
                <w:color w:val="auto"/>
              </w:rPr>
              <w:t>Total franchise sales (1)</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w:t>
            </w:r>
          </w:p>
        </w:tc>
      </w:tr>
      <w:tr>
        <w:trPr>
          <w:trHeight w:val="23"/>
        </w:trPr>
        <w:tc>
          <w:tcPr>
            <w:tcW w:w="8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Franchise sales are not included in Total revenues in the Consolidated Statements of Operations and Comprehensive (Loss) Income.</w:t>
      </w:r>
    </w:p>
    <w:p>
      <w:pPr>
        <w:spacing w:after="0" w:line="22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Adjusted restaurant-level operating margin - </w:t>
      </w:r>
      <w:r>
        <w:rPr>
          <w:rFonts w:ascii="Arial" w:cs="Arial" w:eastAsia="Arial" w:hAnsi="Arial"/>
          <w:sz w:val="18"/>
          <w:szCs w:val="18"/>
          <w:color w:val="auto"/>
        </w:rPr>
        <w:t>Restaurant-level operating margin is calculated as Restaurant sales after deduction of the main</w:t>
      </w:r>
      <w:r>
        <w:rPr>
          <w:rFonts w:ascii="Arial" w:cs="Arial" w:eastAsia="Arial" w:hAnsi="Arial"/>
          <w:sz w:val="18"/>
          <w:szCs w:val="18"/>
          <w:i w:val="1"/>
          <w:iCs w:val="1"/>
          <w:color w:val="auto"/>
        </w:rPr>
        <w:t xml:space="preserve"> </w:t>
      </w:r>
      <w:r>
        <w:rPr>
          <w:rFonts w:ascii="Arial" w:cs="Arial" w:eastAsia="Arial" w:hAnsi="Arial"/>
          <w:sz w:val="18"/>
          <w:szCs w:val="18"/>
          <w:color w:val="auto"/>
        </w:rPr>
        <w:t>restaurant-level operating costs, which includes Food and beverage costs, Labor and other related and Other restaurant operating expense. Adjusted restaurant-level operating margin is Restaurant-level operating margin adjusted for certain items, as noted below. The following tables show the percentages of certain operating cost financial statement line items in relation to Restaurant sales for the periods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28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5"/>
          </w:tcPr>
          <w:p>
            <w:pPr>
              <w:jc w:val="right"/>
              <w:ind w:right="1240"/>
              <w:spacing w:after="0"/>
              <w:rPr>
                <w:sz w:val="20"/>
                <w:szCs w:val="20"/>
                <w:color w:val="auto"/>
              </w:rPr>
            </w:pPr>
            <w:r>
              <w:rPr>
                <w:rFonts w:ascii="Arial" w:cs="Arial" w:eastAsia="Arial" w:hAnsi="Arial"/>
                <w:sz w:val="14"/>
                <w:szCs w:val="14"/>
                <w:b w:val="1"/>
                <w:bCs w:val="1"/>
                <w:color w:val="auto"/>
              </w:rPr>
              <w:t>FISCAL YEAR</w:t>
            </w:r>
          </w:p>
        </w:tc>
        <w:tc>
          <w:tcPr>
            <w:tcW w:w="1260" w:type="dxa"/>
            <w:vAlign w:val="bottom"/>
            <w:tcBorders>
              <w:bottom w:val="single" w:sz="8" w:color="auto"/>
            </w:tcBorders>
          </w:tcPr>
          <w:p>
            <w:pPr>
              <w:spacing w:after="0"/>
              <w:rPr>
                <w:sz w:val="17"/>
                <w:szCs w:val="17"/>
                <w:color w:val="auto"/>
              </w:rPr>
            </w:pPr>
          </w:p>
        </w:tc>
      </w:tr>
      <w:tr>
        <w:trPr>
          <w:trHeight w:val="196"/>
        </w:trPr>
        <w:tc>
          <w:tcPr>
            <w:tcW w:w="5280" w:type="dxa"/>
            <w:vAlign w:val="bottom"/>
          </w:tcPr>
          <w:p>
            <w:pPr>
              <w:spacing w:after="0"/>
              <w:rPr>
                <w:sz w:val="17"/>
                <w:szCs w:val="17"/>
                <w:color w:val="auto"/>
              </w:rPr>
            </w:pPr>
          </w:p>
        </w:tc>
        <w:tc>
          <w:tcPr>
            <w:tcW w:w="16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1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1260" w:type="dxa"/>
            <w:vAlign w:val="bottom"/>
            <w:tcBorders>
              <w:bottom w:val="single" w:sz="8" w:color="auto"/>
            </w:tcBorders>
          </w:tcPr>
          <w:p>
            <w:pPr>
              <w:spacing w:after="0"/>
              <w:rPr>
                <w:sz w:val="17"/>
                <w:szCs w:val="17"/>
                <w:color w:val="auto"/>
              </w:rPr>
            </w:pPr>
          </w:p>
        </w:tc>
      </w:tr>
      <w:tr>
        <w:trPr>
          <w:trHeight w:val="196"/>
        </w:trPr>
        <w:tc>
          <w:tcPr>
            <w:tcW w:w="5280" w:type="dxa"/>
            <w:vAlign w:val="bottom"/>
          </w:tcPr>
          <w:p>
            <w:pPr>
              <w:spacing w:after="0"/>
              <w:rPr>
                <w:sz w:val="17"/>
                <w:szCs w:val="17"/>
                <w:color w:val="auto"/>
              </w:rPr>
            </w:pPr>
          </w:p>
        </w:tc>
        <w:tc>
          <w:tcPr>
            <w:tcW w:w="16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U.S. GAAP</w:t>
            </w:r>
          </w:p>
        </w:tc>
        <w:tc>
          <w:tcPr>
            <w:tcW w:w="1240" w:type="dxa"/>
            <w:vAlign w:val="bottom"/>
          </w:tcPr>
          <w:p>
            <w:pPr>
              <w:jc w:val="right"/>
              <w:ind w:right="142"/>
              <w:spacing w:after="0"/>
              <w:rPr>
                <w:sz w:val="20"/>
                <w:szCs w:val="20"/>
                <w:color w:val="auto"/>
              </w:rPr>
            </w:pPr>
            <w:r>
              <w:rPr>
                <w:rFonts w:ascii="Arial" w:cs="Arial" w:eastAsia="Arial" w:hAnsi="Arial"/>
                <w:sz w:val="14"/>
                <w:szCs w:val="14"/>
                <w:b w:val="1"/>
                <w:bCs w:val="1"/>
                <w:color w:val="auto"/>
              </w:rPr>
              <w:t>ADJUSTED (1)</w:t>
            </w:r>
          </w:p>
        </w:tc>
        <w:tc>
          <w:tcPr>
            <w:tcW w:w="120" w:type="dxa"/>
            <w:vAlign w:val="bottom"/>
          </w:tcPr>
          <w:p>
            <w:pPr>
              <w:spacing w:after="0"/>
              <w:rPr>
                <w:sz w:val="17"/>
                <w:szCs w:val="17"/>
                <w:color w:val="auto"/>
              </w:rPr>
            </w:pPr>
          </w:p>
        </w:tc>
        <w:tc>
          <w:tcPr>
            <w:tcW w:w="16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U.S. GAAP</w:t>
            </w:r>
          </w:p>
        </w:tc>
        <w:tc>
          <w:tcPr>
            <w:tcW w:w="1260" w:type="dxa"/>
            <w:vAlign w:val="bottom"/>
          </w:tcPr>
          <w:p>
            <w:pPr>
              <w:jc w:val="right"/>
              <w:ind w:right="161"/>
              <w:spacing w:after="0"/>
              <w:rPr>
                <w:sz w:val="20"/>
                <w:szCs w:val="20"/>
                <w:color w:val="auto"/>
              </w:rPr>
            </w:pPr>
            <w:r>
              <w:rPr>
                <w:rFonts w:ascii="Arial" w:cs="Arial" w:eastAsia="Arial" w:hAnsi="Arial"/>
                <w:sz w:val="14"/>
                <w:szCs w:val="14"/>
                <w:b w:val="1"/>
                <w:bCs w:val="1"/>
                <w:color w:val="auto"/>
              </w:rPr>
              <w:t>ADJUSTED (1)</w:t>
            </w:r>
          </w:p>
        </w:tc>
      </w:tr>
      <w:tr>
        <w:trPr>
          <w:trHeight w:val="216"/>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 sales</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56"/>
        </w:trPr>
        <w:tc>
          <w:tcPr>
            <w:tcW w:w="5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Food and beverage costs</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30.9 %</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31.4 %</w:t>
            </w: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Labor and other related</w:t>
            </w:r>
          </w:p>
        </w:tc>
        <w:tc>
          <w:tcPr>
            <w:tcW w:w="1400" w:type="dxa"/>
            <w:vAlign w:val="bottom"/>
          </w:tcPr>
          <w:p>
            <w:pPr>
              <w:jc w:val="right"/>
              <w:spacing w:after="0"/>
              <w:rPr>
                <w:sz w:val="20"/>
                <w:szCs w:val="20"/>
                <w:color w:val="auto"/>
              </w:rPr>
            </w:pPr>
            <w:r>
              <w:rPr>
                <w:rFonts w:ascii="Arial" w:cs="Arial" w:eastAsia="Arial" w:hAnsi="Arial"/>
                <w:sz w:val="16"/>
                <w:szCs w:val="16"/>
                <w:color w:val="auto"/>
              </w:rPr>
              <w:t>32.0 %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32.0 %</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29.6 %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29.6 %</w:t>
            </w: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restaurant operating</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24.2 %</w:t>
            </w:r>
          </w:p>
        </w:tc>
      </w:tr>
      <w:tr>
        <w:trPr>
          <w:trHeight w:val="257"/>
        </w:trPr>
        <w:tc>
          <w:tcPr>
            <w:tcW w:w="5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Restaurant-level operating margin</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10.2 %</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14.7 %</w:t>
            </w:r>
          </w:p>
        </w:tc>
      </w:tr>
      <w:tr>
        <w:trPr>
          <w:trHeight w:val="288"/>
        </w:trPr>
        <w:tc>
          <w:tcPr>
            <w:tcW w:w="5280" w:type="dxa"/>
            <w:vAlign w:val="bottom"/>
          </w:tcPr>
          <w:p>
            <w:pPr>
              <w:spacing w:after="0"/>
              <w:rPr>
                <w:sz w:val="20"/>
                <w:szCs w:val="20"/>
                <w:color w:val="auto"/>
              </w:rPr>
            </w:pPr>
            <w:r>
              <w:rPr>
                <w:rFonts w:ascii="Arial" w:cs="Arial" w:eastAsia="Arial" w:hAnsi="Arial"/>
                <w:sz w:val="16"/>
                <w:szCs w:val="16"/>
                <w:color w:val="auto"/>
              </w:rPr>
              <w:t>_________________</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jc w:val="both"/>
        <w:ind w:left="660" w:hanging="652"/>
        <w:spacing w:after="0" w:line="251"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Includes unfavorable (favorable) adjustments recorded in Other restaurant operating expense (unless otherwise noted below) for the following activities, as described in the </w:t>
      </w:r>
      <w:r>
        <w:rPr>
          <w:rFonts w:ascii="Arial" w:cs="Arial" w:eastAsia="Arial" w:hAnsi="Arial"/>
          <w:sz w:val="16"/>
          <w:szCs w:val="16"/>
          <w:i w:val="1"/>
          <w:iCs w:val="1"/>
          <w:color w:val="auto"/>
        </w:rPr>
        <w:t>Adjusted (loss) income from operations, Adjusted net (loss) income and Adjusted diluted (loss) earnings per share</w:t>
      </w:r>
      <w:r>
        <w:rPr>
          <w:rFonts w:ascii="Arial" w:cs="Arial" w:eastAsia="Arial" w:hAnsi="Arial"/>
          <w:sz w:val="16"/>
          <w:szCs w:val="16"/>
          <w:color w:val="auto"/>
        </w:rPr>
        <w:t xml:space="preserve"> table below for the periods indicated:</w:t>
      </w:r>
    </w:p>
    <w:p>
      <w:pPr>
        <w:spacing w:after="0" w:line="74" w:lineRule="exact"/>
        <w:rPr>
          <w:sz w:val="20"/>
          <w:szCs w:val="20"/>
          <w:color w:val="auto"/>
        </w:rPr>
      </w:pPr>
    </w:p>
    <w:tbl>
      <w:tblPr>
        <w:tblLayout w:type="fixed"/>
        <w:tblInd w:w="670" w:type="dxa"/>
        <w:tblCellMar>
          <w:top w:w="0" w:type="dxa"/>
          <w:left w:w="0" w:type="dxa"/>
          <w:bottom w:w="0" w:type="dxa"/>
          <w:right w:w="0" w:type="dxa"/>
        </w:tblCellMar>
      </w:tblPr>
      <w:tr>
        <w:trPr>
          <w:trHeight w:val="209"/>
        </w:trPr>
        <w:tc>
          <w:tcPr>
            <w:tcW w:w="6860" w:type="dxa"/>
            <w:vAlign w:val="bottom"/>
            <w:tcBorders>
              <w:top w:val="single" w:sz="8" w:color="auto"/>
              <w:left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940" w:type="dxa"/>
            <w:vAlign w:val="bottom"/>
            <w:tcBorders>
              <w:top w:val="single" w:sz="8" w:color="auto"/>
              <w:bottom w:val="single" w:sz="8" w:color="auto"/>
              <w:right w:val="single" w:sz="8" w:color="auto"/>
            </w:tcBorders>
          </w:tcPr>
          <w:p>
            <w:pPr>
              <w:spacing w:after="0"/>
              <w:rPr>
                <w:sz w:val="18"/>
                <w:szCs w:val="18"/>
                <w:color w:val="auto"/>
              </w:rPr>
            </w:pPr>
          </w:p>
        </w:tc>
      </w:tr>
      <w:tr>
        <w:trPr>
          <w:trHeight w:val="196"/>
        </w:trPr>
        <w:tc>
          <w:tcPr>
            <w:tcW w:w="6860" w:type="dxa"/>
            <w:vAlign w:val="bottom"/>
            <w:tcBorders>
              <w:left w:val="single" w:sz="8" w:color="auto"/>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r>
      <w:tr>
        <w:trPr>
          <w:trHeight w:val="216"/>
        </w:trPr>
        <w:tc>
          <w:tcPr>
            <w:tcW w:w="6860" w:type="dxa"/>
            <w:vAlign w:val="bottom"/>
            <w:tcBorders>
              <w:lef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COVID-19-related costs (1)</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right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3"/>
        </w:trPr>
        <w:tc>
          <w:tcPr>
            <w:tcW w:w="686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Restaurant relocations and related costs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(0.6)</w:t>
            </w:r>
          </w:p>
        </w:tc>
      </w:tr>
      <w:tr>
        <w:trPr>
          <w:trHeight w:val="219"/>
        </w:trPr>
        <w:tc>
          <w:tcPr>
            <w:tcW w:w="6860" w:type="dxa"/>
            <w:vAlign w:val="bottom"/>
            <w:tcBorders>
              <w:lef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Legal and other matters (2)</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4.6</w:t>
            </w:r>
          </w:p>
        </w:tc>
      </w:tr>
      <w:tr>
        <w:trPr>
          <w:trHeight w:val="223"/>
        </w:trPr>
        <w:tc>
          <w:tcPr>
            <w:tcW w:w="6860" w:type="dxa"/>
            <w:vAlign w:val="bottom"/>
            <w:tcBorders>
              <w:left w:val="single" w:sz="8" w:color="auto"/>
              <w:bottom w:val="single" w:sz="8" w:color="CCEEFF"/>
            </w:tcBorders>
          </w:tcPr>
          <w:p>
            <w:pPr>
              <w:ind w:left="20"/>
              <w:spacing w:after="0"/>
              <w:rPr>
                <w:sz w:val="20"/>
                <w:szCs w:val="20"/>
                <w:color w:val="auto"/>
              </w:rPr>
            </w:pPr>
            <w:r>
              <w:rPr>
                <w:rFonts w:ascii="Arial" w:cs="Arial" w:eastAsia="Arial" w:hAnsi="Arial"/>
                <w:sz w:val="16"/>
                <w:szCs w:val="16"/>
                <w:color w:val="auto"/>
              </w:rPr>
              <w:t>Restaurant and asset impairments and closing costs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16"/>
                <w:szCs w:val="16"/>
                <w:color w:val="auto"/>
              </w:rPr>
              <w:t>4.3</w:t>
            </w:r>
          </w:p>
        </w:tc>
      </w:tr>
      <w:tr>
        <w:trPr>
          <w:trHeight w:val="258"/>
        </w:trPr>
        <w:tc>
          <w:tcPr>
            <w:tcW w:w="6860" w:type="dxa"/>
            <w:vAlign w:val="bottom"/>
            <w:tcBorders>
              <w:left w:val="single" w:sz="8" w:color="auto"/>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right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8.3</w:t>
            </w:r>
          </w:p>
        </w:tc>
      </w:tr>
      <w:tr>
        <w:trPr>
          <w:trHeight w:val="20"/>
        </w:trPr>
        <w:tc>
          <w:tcPr>
            <w:tcW w:w="68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CCEEFF"/>
            </w:tcBorders>
            <w:shd w:val="clear" w:color="auto" w:fill="000000"/>
          </w:tcPr>
          <w:p>
            <w:pPr>
              <w:spacing w:after="0" w:line="20" w:lineRule="exact"/>
              <w:rPr>
                <w:sz w:val="1"/>
                <w:szCs w:val="1"/>
                <w:color w:val="auto"/>
              </w:rPr>
            </w:pPr>
          </w:p>
        </w:tc>
        <w:tc>
          <w:tcPr>
            <w:tcW w:w="110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CCEEFF"/>
            </w:tcBorders>
            <w:shd w:val="clear" w:color="auto" w:fill="000000"/>
          </w:tcPr>
          <w:p>
            <w:pPr>
              <w:spacing w:after="0" w:line="20" w:lineRule="exact"/>
              <w:rPr>
                <w:sz w:val="1"/>
                <w:szCs w:val="1"/>
                <w:color w:val="auto"/>
              </w:rPr>
            </w:pPr>
          </w:p>
        </w:tc>
        <w:tc>
          <w:tcPr>
            <w:tcW w:w="940" w:type="dxa"/>
            <w:vAlign w:val="bottom"/>
            <w:tcBorders>
              <w:top w:val="single" w:sz="8" w:color="CCEEFF"/>
              <w:right w:val="single" w:sz="8" w:color="auto"/>
            </w:tcBorders>
            <w:shd w:val="clear" w:color="auto" w:fill="000000"/>
          </w:tcPr>
          <w:p>
            <w:pPr>
              <w:spacing w:after="0" w:line="20" w:lineRule="exact"/>
              <w:rPr>
                <w:sz w:val="1"/>
                <w:szCs w:val="1"/>
                <w:color w:val="auto"/>
              </w:rPr>
            </w:pPr>
          </w:p>
        </w:tc>
      </w:tr>
    </w:tbl>
    <w:p>
      <w:pPr>
        <w:spacing w:after="0" w:line="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_________________</w:t>
      </w:r>
    </w:p>
    <w:p>
      <w:pPr>
        <w:spacing w:after="0" w:line="19"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$11.0 million of adjustments recorded in Food and beverage costs.</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Includes adjustments of $2.7 million and $1.9 million recorded in Food and beverage costs and Other restaurant operating expense, respectively.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9"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i w:val="1"/>
          <w:iCs w:val="1"/>
          <w:color w:val="auto"/>
        </w:rPr>
        <w:t xml:space="preserve">Restaurant-level operating margin </w:t>
      </w:r>
      <w:r>
        <w:rPr>
          <w:rFonts w:ascii="Arial" w:cs="Arial" w:eastAsia="Arial" w:hAnsi="Arial"/>
          <w:sz w:val="20"/>
          <w:szCs w:val="20"/>
          <w:color w:val="auto"/>
        </w:rPr>
        <w:t>- The following tables reconcile consolidated and segment (Loss) income from operations and the</w:t>
      </w:r>
      <w:r>
        <w:rPr>
          <w:rFonts w:ascii="Arial" w:cs="Arial" w:eastAsia="Arial" w:hAnsi="Arial"/>
          <w:sz w:val="20"/>
          <w:szCs w:val="20"/>
          <w:i w:val="1"/>
          <w:iCs w:val="1"/>
          <w:color w:val="auto"/>
        </w:rPr>
        <w:t xml:space="preserve"> </w:t>
      </w:r>
      <w:r>
        <w:rPr>
          <w:rFonts w:ascii="Arial" w:cs="Arial" w:eastAsia="Arial" w:hAnsi="Arial"/>
          <w:sz w:val="20"/>
          <w:szCs w:val="20"/>
          <w:color w:val="auto"/>
        </w:rPr>
        <w:t>corresponding margins to Restaurant-level operating income and the corresponding margins for the periods indicated:</w:t>
      </w:r>
    </w:p>
    <w:p>
      <w:pPr>
        <w:sectPr>
          <w:pgSz w:w="11900" w:h="16838" w:orient="portrait"/>
          <w:cols w:equalWidth="0" w:num="1">
            <w:col w:w="11240"/>
          </w:cols>
          <w:pgMar w:left="320" w:top="122" w:right="339" w:bottom="1440" w:gutter="0" w:footer="0" w:header="0"/>
        </w:sectPr>
      </w:pPr>
    </w:p>
    <w:p>
      <w:pPr>
        <w:spacing w:after="0" w:line="9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Consolidated</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(dollars in thousands)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(Loss) income from operations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Operating (loss) income margin</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Franchise and other revenues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Plus: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Depreciation and amortization</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General and administrative</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Provision for impaired assets and restaurant closings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Restaurant-level operating income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Restaurant-level operating margin</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U.S.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(dollars in thousands)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(Loss) income from operations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Operating (loss) income margin</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Franchise and other revenues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Plus: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Depreciation and amortization</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General and administrative</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Provision for impaired assets and restaurant closings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Restaurant-level operating income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Restaurant-level operating margin</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International</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(dollars in thousands)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(Loss) income from operations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Operating (loss) income margin</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Franchise and other revenues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Plus: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Depreciation and amortization</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General and administrative</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Provision for impaired assets and restaurant closings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Restaurant-level operating income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Restaurant-level operating margin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1500"/>
        <w:spacing w:after="0"/>
        <w:rPr>
          <w:sz w:val="20"/>
          <w:szCs w:val="20"/>
          <w:color w:val="auto"/>
        </w:rPr>
      </w:pPr>
      <w:r>
        <w:rPr>
          <w:rFonts w:ascii="Arial" w:cs="Arial" w:eastAsia="Arial" w:hAnsi="Arial"/>
          <w:sz w:val="14"/>
          <w:szCs w:val="14"/>
          <w:b w:val="1"/>
          <w:bCs w:val="1"/>
          <w:color w:val="auto"/>
        </w:rPr>
        <w:t>FISCAL YEAR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6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7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740"/>
              <w:spacing w:after="0"/>
              <w:rPr>
                <w:sz w:val="20"/>
                <w:szCs w:val="20"/>
                <w:color w:val="auto"/>
              </w:rPr>
            </w:pPr>
            <w:r>
              <w:rPr>
                <w:rFonts w:ascii="Arial" w:cs="Arial" w:eastAsia="Arial" w:hAnsi="Arial"/>
                <w:sz w:val="14"/>
                <w:szCs w:val="14"/>
                <w:b w:val="1"/>
                <w:bCs w:val="1"/>
                <w:color w:val="auto"/>
              </w:rPr>
              <w:t>2019</w:t>
            </w:r>
          </w:p>
        </w:tc>
      </w:tr>
      <w:tr>
        <w:trPr>
          <w:trHeight w:val="210"/>
        </w:trPr>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81"/>
              <w:spacing w:after="0"/>
              <w:rPr>
                <w:sz w:val="20"/>
                <w:szCs w:val="20"/>
                <w:color w:val="auto"/>
              </w:rPr>
            </w:pPr>
            <w:r>
              <w:rPr>
                <w:rFonts w:ascii="Arial" w:cs="Arial" w:eastAsia="Arial" w:hAnsi="Arial"/>
                <w:sz w:val="16"/>
                <w:szCs w:val="16"/>
                <w:color w:val="auto"/>
              </w:rPr>
              <w:t>(174,973)</w:t>
            </w:r>
          </w:p>
        </w:tc>
        <w:tc>
          <w:tcPr>
            <w:tcW w:w="100" w:type="dxa"/>
            <w:vAlign w:val="bottom"/>
          </w:tcPr>
          <w:p>
            <w:pPr>
              <w:spacing w:after="0"/>
              <w:rPr>
                <w:sz w:val="18"/>
                <w:szCs w:val="18"/>
                <w:color w:val="auto"/>
              </w:rPr>
            </w:pP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191,090</w:t>
            </w:r>
          </w:p>
        </w:tc>
      </w:tr>
      <w:tr>
        <w:trPr>
          <w:trHeight w:val="216"/>
        </w:trPr>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4.6 %</w:t>
            </w:r>
          </w:p>
        </w:tc>
      </w:tr>
      <w:tr>
        <w:trPr>
          <w:trHeight w:val="432"/>
        </w:trPr>
        <w:tc>
          <w:tcPr>
            <w:tcW w:w="460" w:type="dxa"/>
            <w:vAlign w:val="bottom"/>
          </w:tcPr>
          <w:p>
            <w:pPr>
              <w:spacing w:after="0"/>
              <w:rPr>
                <w:sz w:val="24"/>
                <w:szCs w:val="24"/>
                <w:color w:val="auto"/>
              </w:rPr>
            </w:pPr>
          </w:p>
        </w:tc>
        <w:tc>
          <w:tcPr>
            <w:tcW w:w="1460" w:type="dxa"/>
            <w:vAlign w:val="bottom"/>
          </w:tcPr>
          <w:p>
            <w:pPr>
              <w:jc w:val="right"/>
              <w:ind w:right="121"/>
              <w:spacing w:after="0"/>
              <w:rPr>
                <w:sz w:val="20"/>
                <w:szCs w:val="20"/>
                <w:color w:val="auto"/>
              </w:rPr>
            </w:pPr>
            <w:r>
              <w:rPr>
                <w:rFonts w:ascii="Arial" w:cs="Arial" w:eastAsia="Arial" w:hAnsi="Arial"/>
                <w:sz w:val="16"/>
                <w:szCs w:val="16"/>
                <w:color w:val="auto"/>
              </w:rPr>
              <w:t>25,925</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64,375</w:t>
            </w:r>
          </w:p>
        </w:tc>
      </w:tr>
      <w:tr>
        <w:trPr>
          <w:trHeight w:val="432"/>
        </w:trPr>
        <w:tc>
          <w:tcPr>
            <w:tcW w:w="460" w:type="dxa"/>
            <w:vAlign w:val="bottom"/>
          </w:tcPr>
          <w:p>
            <w:pPr>
              <w:spacing w:after="0"/>
              <w:rPr>
                <w:sz w:val="24"/>
                <w:szCs w:val="24"/>
                <w:color w:val="auto"/>
              </w:rPr>
            </w:pPr>
          </w:p>
        </w:tc>
        <w:tc>
          <w:tcPr>
            <w:tcW w:w="1460" w:type="dxa"/>
            <w:vAlign w:val="bottom"/>
          </w:tcPr>
          <w:p>
            <w:pPr>
              <w:jc w:val="right"/>
              <w:ind w:right="121"/>
              <w:spacing w:after="0"/>
              <w:rPr>
                <w:sz w:val="20"/>
                <w:szCs w:val="20"/>
                <w:color w:val="auto"/>
              </w:rPr>
            </w:pPr>
            <w:r>
              <w:rPr>
                <w:rFonts w:ascii="Arial" w:cs="Arial" w:eastAsia="Arial" w:hAnsi="Arial"/>
                <w:sz w:val="16"/>
                <w:szCs w:val="16"/>
                <w:color w:val="auto"/>
              </w:rPr>
              <w:t>180,261</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196,811</w:t>
            </w:r>
          </w:p>
        </w:tc>
      </w:tr>
      <w:tr>
        <w:trPr>
          <w:trHeight w:val="216"/>
        </w:trPr>
        <w:tc>
          <w:tcPr>
            <w:tcW w:w="460" w:type="dxa"/>
            <w:vAlign w:val="bottom"/>
          </w:tcPr>
          <w:p>
            <w:pPr>
              <w:spacing w:after="0"/>
              <w:rPr>
                <w:sz w:val="18"/>
                <w:szCs w:val="18"/>
                <w:color w:val="auto"/>
              </w:rPr>
            </w:pPr>
          </w:p>
        </w:tc>
        <w:tc>
          <w:tcPr>
            <w:tcW w:w="1460" w:type="dxa"/>
            <w:vAlign w:val="bottom"/>
          </w:tcPr>
          <w:p>
            <w:pPr>
              <w:jc w:val="right"/>
              <w:ind w:right="121"/>
              <w:spacing w:after="0"/>
              <w:rPr>
                <w:sz w:val="20"/>
                <w:szCs w:val="20"/>
                <w:color w:val="auto"/>
              </w:rPr>
            </w:pPr>
            <w:r>
              <w:rPr>
                <w:rFonts w:ascii="Arial" w:cs="Arial" w:eastAsia="Arial" w:hAnsi="Arial"/>
                <w:sz w:val="16"/>
                <w:szCs w:val="16"/>
                <w:color w:val="auto"/>
              </w:rPr>
              <w:t>254,356</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275,239</w:t>
            </w:r>
          </w:p>
        </w:tc>
      </w:tr>
      <w:tr>
        <w:trPr>
          <w:trHeight w:val="229"/>
        </w:trPr>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76,354</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9,085</w:t>
            </w:r>
          </w:p>
        </w:tc>
      </w:tr>
      <w:tr>
        <w:trPr>
          <w:trHeight w:val="223"/>
        </w:trPr>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310,073</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607,850</w:t>
            </w:r>
          </w:p>
        </w:tc>
      </w:tr>
      <w:tr>
        <w:trPr>
          <w:trHeight w:val="210"/>
        </w:trPr>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9.9 %</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14.9 %</w:t>
            </w:r>
          </w:p>
        </w:tc>
      </w:tr>
      <w:tr>
        <w:trPr>
          <w:trHeight w:val="445"/>
        </w:trPr>
        <w:tc>
          <w:tcPr>
            <w:tcW w:w="4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FISCAL YEAR</w:t>
            </w:r>
          </w:p>
        </w:tc>
        <w:tc>
          <w:tcPr>
            <w:tcW w:w="1300" w:type="dxa"/>
            <w:vAlign w:val="bottom"/>
            <w:tcBorders>
              <w:bottom w:val="single" w:sz="8" w:color="auto"/>
            </w:tcBorders>
          </w:tcPr>
          <w:p>
            <w:pPr>
              <w:spacing w:after="0"/>
              <w:rPr>
                <w:sz w:val="24"/>
                <w:szCs w:val="24"/>
                <w:color w:val="auto"/>
              </w:rPr>
            </w:pPr>
          </w:p>
        </w:tc>
      </w:tr>
      <w:tr>
        <w:trPr>
          <w:trHeight w:val="183"/>
        </w:trPr>
        <w:tc>
          <w:tcPr>
            <w:tcW w:w="4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4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740"/>
              <w:spacing w:after="0"/>
              <w:rPr>
                <w:sz w:val="20"/>
                <w:szCs w:val="20"/>
                <w:color w:val="auto"/>
              </w:rPr>
            </w:pPr>
            <w:r>
              <w:rPr>
                <w:rFonts w:ascii="Arial" w:cs="Arial" w:eastAsia="Arial" w:hAnsi="Arial"/>
                <w:sz w:val="14"/>
                <w:szCs w:val="14"/>
                <w:b w:val="1"/>
                <w:bCs w:val="1"/>
                <w:color w:val="auto"/>
              </w:rPr>
              <w:t>2019</w:t>
            </w:r>
          </w:p>
        </w:tc>
      </w:tr>
      <w:tr>
        <w:trPr>
          <w:trHeight w:val="210"/>
        </w:trPr>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81"/>
              <w:spacing w:after="0"/>
              <w:rPr>
                <w:sz w:val="20"/>
                <w:szCs w:val="20"/>
                <w:color w:val="auto"/>
              </w:rPr>
            </w:pPr>
            <w:r>
              <w:rPr>
                <w:rFonts w:ascii="Arial" w:cs="Arial" w:eastAsia="Arial" w:hAnsi="Arial"/>
                <w:sz w:val="16"/>
                <w:szCs w:val="16"/>
                <w:color w:val="auto"/>
              </w:rPr>
              <w:t>(1,630)</w:t>
            </w:r>
          </w:p>
        </w:tc>
        <w:tc>
          <w:tcPr>
            <w:tcW w:w="100" w:type="dxa"/>
            <w:vAlign w:val="bottom"/>
          </w:tcPr>
          <w:p>
            <w:pPr>
              <w:spacing w:after="0"/>
              <w:rPr>
                <w:sz w:val="18"/>
                <w:szCs w:val="18"/>
                <w:color w:val="auto"/>
              </w:rPr>
            </w:pP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311,666</w:t>
            </w:r>
          </w:p>
        </w:tc>
      </w:tr>
      <w:tr>
        <w:trPr>
          <w:trHeight w:val="216"/>
        </w:trPr>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8.5 %</w:t>
            </w:r>
          </w:p>
        </w:tc>
      </w:tr>
      <w:tr>
        <w:trPr>
          <w:trHeight w:val="432"/>
        </w:trPr>
        <w:tc>
          <w:tcPr>
            <w:tcW w:w="460" w:type="dxa"/>
            <w:vAlign w:val="bottom"/>
          </w:tcPr>
          <w:p>
            <w:pPr>
              <w:spacing w:after="0"/>
              <w:rPr>
                <w:sz w:val="24"/>
                <w:szCs w:val="24"/>
                <w:color w:val="auto"/>
              </w:rPr>
            </w:pPr>
          </w:p>
        </w:tc>
        <w:tc>
          <w:tcPr>
            <w:tcW w:w="1460" w:type="dxa"/>
            <w:vAlign w:val="bottom"/>
          </w:tcPr>
          <w:p>
            <w:pPr>
              <w:jc w:val="right"/>
              <w:ind w:right="121"/>
              <w:spacing w:after="0"/>
              <w:rPr>
                <w:sz w:val="20"/>
                <w:szCs w:val="20"/>
                <w:color w:val="auto"/>
              </w:rPr>
            </w:pPr>
            <w:r>
              <w:rPr>
                <w:rFonts w:ascii="Arial" w:cs="Arial" w:eastAsia="Arial" w:hAnsi="Arial"/>
                <w:sz w:val="16"/>
                <w:szCs w:val="16"/>
                <w:color w:val="auto"/>
              </w:rPr>
              <w:t>15,995</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53,250</w:t>
            </w:r>
          </w:p>
        </w:tc>
      </w:tr>
      <w:tr>
        <w:trPr>
          <w:trHeight w:val="432"/>
        </w:trPr>
        <w:tc>
          <w:tcPr>
            <w:tcW w:w="460" w:type="dxa"/>
            <w:vAlign w:val="bottom"/>
          </w:tcPr>
          <w:p>
            <w:pPr>
              <w:spacing w:after="0"/>
              <w:rPr>
                <w:sz w:val="24"/>
                <w:szCs w:val="24"/>
                <w:color w:val="auto"/>
              </w:rPr>
            </w:pPr>
          </w:p>
        </w:tc>
        <w:tc>
          <w:tcPr>
            <w:tcW w:w="1460" w:type="dxa"/>
            <w:vAlign w:val="bottom"/>
          </w:tcPr>
          <w:p>
            <w:pPr>
              <w:jc w:val="right"/>
              <w:ind w:right="121"/>
              <w:spacing w:after="0"/>
              <w:rPr>
                <w:sz w:val="20"/>
                <w:szCs w:val="20"/>
                <w:color w:val="auto"/>
              </w:rPr>
            </w:pPr>
            <w:r>
              <w:rPr>
                <w:rFonts w:ascii="Arial" w:cs="Arial" w:eastAsia="Arial" w:hAnsi="Arial"/>
                <w:sz w:val="16"/>
                <w:szCs w:val="16"/>
                <w:color w:val="auto"/>
              </w:rPr>
              <w:t>144,298</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152,882</w:t>
            </w:r>
          </w:p>
        </w:tc>
      </w:tr>
      <w:tr>
        <w:trPr>
          <w:trHeight w:val="216"/>
        </w:trPr>
        <w:tc>
          <w:tcPr>
            <w:tcW w:w="460" w:type="dxa"/>
            <w:vAlign w:val="bottom"/>
          </w:tcPr>
          <w:p>
            <w:pPr>
              <w:spacing w:after="0"/>
              <w:rPr>
                <w:sz w:val="18"/>
                <w:szCs w:val="18"/>
                <w:color w:val="auto"/>
              </w:rPr>
            </w:pPr>
          </w:p>
        </w:tc>
        <w:tc>
          <w:tcPr>
            <w:tcW w:w="1460" w:type="dxa"/>
            <w:vAlign w:val="bottom"/>
          </w:tcPr>
          <w:p>
            <w:pPr>
              <w:jc w:val="right"/>
              <w:ind w:right="121"/>
              <w:spacing w:after="0"/>
              <w:rPr>
                <w:sz w:val="20"/>
                <w:szCs w:val="20"/>
                <w:color w:val="auto"/>
              </w:rPr>
            </w:pPr>
            <w:r>
              <w:rPr>
                <w:rFonts w:ascii="Arial" w:cs="Arial" w:eastAsia="Arial" w:hAnsi="Arial"/>
                <w:sz w:val="16"/>
                <w:szCs w:val="16"/>
                <w:color w:val="auto"/>
              </w:rPr>
              <w:t>88,536</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101,374</w:t>
            </w:r>
          </w:p>
        </w:tc>
      </w:tr>
      <w:tr>
        <w:trPr>
          <w:trHeight w:val="229"/>
        </w:trPr>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66,487</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4,703</w:t>
            </w:r>
          </w:p>
        </w:tc>
      </w:tr>
      <w:tr>
        <w:trPr>
          <w:trHeight w:val="223"/>
        </w:trPr>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281,696</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517,375</w:t>
            </w:r>
          </w:p>
        </w:tc>
      </w:tr>
      <w:tr>
        <w:trPr>
          <w:trHeight w:val="210"/>
        </w:trPr>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9.8 %</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14.2 %</w:t>
            </w:r>
          </w:p>
        </w:tc>
      </w:tr>
      <w:tr>
        <w:trPr>
          <w:trHeight w:val="445"/>
        </w:trPr>
        <w:tc>
          <w:tcPr>
            <w:tcW w:w="4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FISCAL YEAR</w:t>
            </w:r>
          </w:p>
        </w:tc>
        <w:tc>
          <w:tcPr>
            <w:tcW w:w="1300" w:type="dxa"/>
            <w:vAlign w:val="bottom"/>
            <w:tcBorders>
              <w:bottom w:val="single" w:sz="8" w:color="auto"/>
            </w:tcBorders>
          </w:tcPr>
          <w:p>
            <w:pPr>
              <w:spacing w:after="0"/>
              <w:rPr>
                <w:sz w:val="24"/>
                <w:szCs w:val="24"/>
                <w:color w:val="auto"/>
              </w:rPr>
            </w:pPr>
          </w:p>
        </w:tc>
      </w:tr>
      <w:tr>
        <w:trPr>
          <w:trHeight w:val="183"/>
        </w:trPr>
        <w:tc>
          <w:tcPr>
            <w:tcW w:w="4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4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740"/>
              <w:spacing w:after="0"/>
              <w:rPr>
                <w:sz w:val="20"/>
                <w:szCs w:val="20"/>
                <w:color w:val="auto"/>
              </w:rPr>
            </w:pPr>
            <w:r>
              <w:rPr>
                <w:rFonts w:ascii="Arial" w:cs="Arial" w:eastAsia="Arial" w:hAnsi="Arial"/>
                <w:sz w:val="14"/>
                <w:szCs w:val="14"/>
                <w:b w:val="1"/>
                <w:bCs w:val="1"/>
                <w:color w:val="auto"/>
              </w:rPr>
              <w:t>2019</w:t>
            </w:r>
          </w:p>
        </w:tc>
      </w:tr>
      <w:tr>
        <w:trPr>
          <w:trHeight w:val="210"/>
        </w:trPr>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81"/>
              <w:spacing w:after="0"/>
              <w:rPr>
                <w:sz w:val="20"/>
                <w:szCs w:val="20"/>
                <w:color w:val="auto"/>
              </w:rPr>
            </w:pPr>
            <w:r>
              <w:rPr>
                <w:rFonts w:ascii="Arial" w:cs="Arial" w:eastAsia="Arial" w:hAnsi="Arial"/>
                <w:sz w:val="16"/>
                <w:szCs w:val="16"/>
                <w:color w:val="auto"/>
              </w:rPr>
              <w:t>(13,479)</w:t>
            </w:r>
          </w:p>
        </w:tc>
        <w:tc>
          <w:tcPr>
            <w:tcW w:w="100" w:type="dxa"/>
            <w:vAlign w:val="bottom"/>
          </w:tcPr>
          <w:p>
            <w:pPr>
              <w:spacing w:after="0"/>
              <w:rPr>
                <w:sz w:val="18"/>
                <w:szCs w:val="18"/>
                <w:color w:val="auto"/>
              </w:rPr>
            </w:pP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44,428</w:t>
            </w:r>
          </w:p>
        </w:tc>
      </w:tr>
      <w:tr>
        <w:trPr>
          <w:trHeight w:val="216"/>
        </w:trPr>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9.8 %</w:t>
            </w:r>
          </w:p>
        </w:tc>
      </w:tr>
      <w:tr>
        <w:trPr>
          <w:trHeight w:val="432"/>
        </w:trPr>
        <w:tc>
          <w:tcPr>
            <w:tcW w:w="460" w:type="dxa"/>
            <w:vAlign w:val="bottom"/>
          </w:tcPr>
          <w:p>
            <w:pPr>
              <w:spacing w:after="0"/>
              <w:rPr>
                <w:sz w:val="24"/>
                <w:szCs w:val="24"/>
                <w:color w:val="auto"/>
              </w:rPr>
            </w:pPr>
          </w:p>
        </w:tc>
        <w:tc>
          <w:tcPr>
            <w:tcW w:w="1460" w:type="dxa"/>
            <w:vAlign w:val="bottom"/>
          </w:tcPr>
          <w:p>
            <w:pPr>
              <w:jc w:val="right"/>
              <w:ind w:right="121"/>
              <w:spacing w:after="0"/>
              <w:rPr>
                <w:sz w:val="20"/>
                <w:szCs w:val="20"/>
                <w:color w:val="auto"/>
              </w:rPr>
            </w:pPr>
            <w:r>
              <w:rPr>
                <w:rFonts w:ascii="Arial" w:cs="Arial" w:eastAsia="Arial" w:hAnsi="Arial"/>
                <w:sz w:val="16"/>
                <w:szCs w:val="16"/>
                <w:color w:val="auto"/>
              </w:rPr>
              <w:t>9,930</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11,125</w:t>
            </w:r>
          </w:p>
        </w:tc>
      </w:tr>
      <w:tr>
        <w:trPr>
          <w:trHeight w:val="432"/>
        </w:trPr>
        <w:tc>
          <w:tcPr>
            <w:tcW w:w="460" w:type="dxa"/>
            <w:vAlign w:val="bottom"/>
          </w:tcPr>
          <w:p>
            <w:pPr>
              <w:spacing w:after="0"/>
              <w:rPr>
                <w:sz w:val="24"/>
                <w:szCs w:val="24"/>
                <w:color w:val="auto"/>
              </w:rPr>
            </w:pPr>
          </w:p>
        </w:tc>
        <w:tc>
          <w:tcPr>
            <w:tcW w:w="1460" w:type="dxa"/>
            <w:vAlign w:val="bottom"/>
          </w:tcPr>
          <w:p>
            <w:pPr>
              <w:jc w:val="right"/>
              <w:ind w:right="121"/>
              <w:spacing w:after="0"/>
              <w:rPr>
                <w:sz w:val="20"/>
                <w:szCs w:val="20"/>
                <w:color w:val="auto"/>
              </w:rPr>
            </w:pPr>
            <w:r>
              <w:rPr>
                <w:rFonts w:ascii="Arial" w:cs="Arial" w:eastAsia="Arial" w:hAnsi="Arial"/>
                <w:sz w:val="16"/>
                <w:szCs w:val="16"/>
                <w:color w:val="auto"/>
              </w:rPr>
              <w:t>23,722</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27,491</w:t>
            </w:r>
          </w:p>
        </w:tc>
      </w:tr>
      <w:tr>
        <w:trPr>
          <w:trHeight w:val="216"/>
        </w:trPr>
        <w:tc>
          <w:tcPr>
            <w:tcW w:w="460" w:type="dxa"/>
            <w:vAlign w:val="bottom"/>
          </w:tcPr>
          <w:p>
            <w:pPr>
              <w:spacing w:after="0"/>
              <w:rPr>
                <w:sz w:val="18"/>
                <w:szCs w:val="18"/>
                <w:color w:val="auto"/>
              </w:rPr>
            </w:pPr>
          </w:p>
        </w:tc>
        <w:tc>
          <w:tcPr>
            <w:tcW w:w="1460" w:type="dxa"/>
            <w:vAlign w:val="bottom"/>
          </w:tcPr>
          <w:p>
            <w:pPr>
              <w:jc w:val="right"/>
              <w:ind w:right="121"/>
              <w:spacing w:after="0"/>
              <w:rPr>
                <w:sz w:val="20"/>
                <w:szCs w:val="20"/>
                <w:color w:val="auto"/>
              </w:rPr>
            </w:pPr>
            <w:r>
              <w:rPr>
                <w:rFonts w:ascii="Arial" w:cs="Arial" w:eastAsia="Arial" w:hAnsi="Arial"/>
                <w:sz w:val="16"/>
                <w:szCs w:val="16"/>
                <w:color w:val="auto"/>
              </w:rPr>
              <w:t>18,916</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26,540</w:t>
            </w:r>
          </w:p>
        </w:tc>
      </w:tr>
      <w:tr>
        <w:trPr>
          <w:trHeight w:val="229"/>
        </w:trPr>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3,640</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2,083</w:t>
            </w:r>
          </w:p>
        </w:tc>
      </w:tr>
      <w:tr>
        <w:trPr>
          <w:trHeight w:val="223"/>
        </w:trPr>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22,869</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89,417</w:t>
            </w:r>
          </w:p>
        </w:tc>
      </w:tr>
      <w:tr>
        <w:trPr>
          <w:trHeight w:val="210"/>
        </w:trPr>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8.3 %</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-5061585</wp:posOffset>
            </wp:positionV>
            <wp:extent cx="713232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-4779010</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-4504690</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-4230370</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-3947795</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-3235960</wp:posOffset>
            </wp:positionV>
            <wp:extent cx="713232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-2952750</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-2678430</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-2404745</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-2121535</wp:posOffset>
            </wp:positionV>
            <wp:extent cx="71323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-1409700</wp:posOffset>
            </wp:positionV>
            <wp:extent cx="713232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-1127125</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-852805</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-578485</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-295910</wp:posOffset>
            </wp:positionV>
            <wp:extent cx="71323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60" w:space="720"/>
            <w:col w:w="396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9" w:name="page50"/>
    <w:bookmarkEnd w:id="4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i w:val="1"/>
          <w:iCs w:val="1"/>
          <w:color w:val="auto"/>
        </w:rPr>
        <w:t xml:space="preserve">Adjusted (loss) income from operations, Adjusted net (loss) income and Adjusted diluted (loss) earnings per share - </w:t>
      </w:r>
      <w:r>
        <w:rPr>
          <w:rFonts w:ascii="Arial" w:cs="Arial" w:eastAsia="Arial" w:hAnsi="Arial"/>
          <w:sz w:val="19"/>
          <w:szCs w:val="19"/>
          <w:color w:val="auto"/>
        </w:rPr>
        <w:t>The following table</w:t>
      </w:r>
      <w:r>
        <w:rPr>
          <w:rFonts w:ascii="Arial" w:cs="Arial" w:eastAsia="Arial" w:hAnsi="Arial"/>
          <w:sz w:val="19"/>
          <w:szCs w:val="19"/>
          <w:i w:val="1"/>
          <w:iCs w:val="1"/>
          <w:color w:val="auto"/>
        </w:rPr>
        <w:t xml:space="preserve"> </w:t>
      </w:r>
      <w:r>
        <w:rPr>
          <w:rFonts w:ascii="Arial" w:cs="Arial" w:eastAsia="Arial" w:hAnsi="Arial"/>
          <w:sz w:val="19"/>
          <w:szCs w:val="19"/>
          <w:color w:val="auto"/>
        </w:rPr>
        <w:t>reconciles Adjusted (loss) income from operations and the corresponding margins, Adjusted (loss) net income and Adjusted diluted (loss) earnings per share to their respective most comparable U.S. GAAP measures for the periods indicated: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FISCAL YEAR</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from operations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(174,973)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191,090</w:t>
            </w:r>
          </w:p>
        </w:tc>
        <w:tc>
          <w:tcPr>
            <w:tcW w:w="0" w:type="dxa"/>
            <w:vAlign w:val="bottom"/>
          </w:tcPr>
          <w:p>
            <w:pPr>
              <w:spacing w:after="0"/>
              <w:rPr>
                <w:sz w:val="1"/>
                <w:szCs w:val="1"/>
                <w:color w:val="auto"/>
              </w:rPr>
            </w:pP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i w:val="1"/>
                <w:iCs w:val="1"/>
                <w:color w:val="auto"/>
              </w:rPr>
              <w:t>Operating (loss) income margin</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4.6 %</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COVID-19-related costs (1)</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93,811</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Severance and other transformational costs (2)</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32,404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5,511</w:t>
            </w:r>
          </w:p>
        </w:tc>
        <w:tc>
          <w:tcPr>
            <w:tcW w:w="0" w:type="dxa"/>
            <w:vAlign w:val="bottom"/>
          </w:tcPr>
          <w:p>
            <w:pPr>
              <w:spacing w:after="0"/>
              <w:rPr>
                <w:sz w:val="1"/>
                <w:szCs w:val="1"/>
                <w:color w:val="auto"/>
              </w:rPr>
            </w:pP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Restaurant relocations and related costs (3)</w:t>
            </w:r>
          </w:p>
        </w:tc>
        <w:tc>
          <w:tcPr>
            <w:tcW w:w="38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592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3,208</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Legal and other matters (4)</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(2,996)</w:t>
            </w:r>
          </w:p>
        </w:tc>
        <w:tc>
          <w:tcPr>
            <w:tcW w:w="0" w:type="dxa"/>
            <w:vAlign w:val="bottom"/>
          </w:tcPr>
          <w:p>
            <w:pPr>
              <w:spacing w:after="0"/>
              <w:rPr>
                <w:sz w:val="1"/>
                <w:szCs w:val="1"/>
                <w:color w:val="auto"/>
              </w:rPr>
            </w:pPr>
          </w:p>
        </w:tc>
      </w:tr>
      <w:tr>
        <w:trPr>
          <w:trHeight w:val="209"/>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Restaurant and asset impairments and closing costs (5)</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(2,797)</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3,550</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(loss) income from operations adjustments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124,188</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9,273</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Adjusted (loss) income from operations</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(50,785)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200,363</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Adjusted operating (loss) income margin</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0" w:type="dxa"/>
            <w:vAlign w:val="bottom"/>
          </w:tcPr>
          <w:p>
            <w:pPr>
              <w:spacing w:after="0"/>
              <w:rPr>
                <w:sz w:val="1"/>
                <w:szCs w:val="1"/>
                <w:color w:val="auto"/>
              </w:rPr>
            </w:pPr>
          </w:p>
        </w:tc>
      </w:tr>
      <w:tr>
        <w:trPr>
          <w:trHeight w:val="257"/>
        </w:trPr>
        <w:tc>
          <w:tcPr>
            <w:tcW w:w="8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 attributable to common stockholders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(162,211)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130,573</w:t>
            </w:r>
          </w:p>
        </w:tc>
        <w:tc>
          <w:tcPr>
            <w:tcW w:w="0" w:type="dxa"/>
            <w:vAlign w:val="bottom"/>
          </w:tcPr>
          <w:p>
            <w:pPr>
              <w:spacing w:after="0"/>
              <w:rPr>
                <w:sz w:val="1"/>
                <w:szCs w:val="1"/>
                <w:color w:val="auto"/>
              </w:rPr>
            </w:pP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income from operations adjustments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124,188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9,273</w:t>
            </w:r>
          </w:p>
        </w:tc>
        <w:tc>
          <w:tcPr>
            <w:tcW w:w="0" w:type="dxa"/>
            <w:vAlign w:val="bottom"/>
          </w:tcPr>
          <w:p>
            <w:pPr>
              <w:spacing w:after="0"/>
              <w:rPr>
                <w:sz w:val="1"/>
                <w:szCs w:val="1"/>
                <w:color w:val="auto"/>
              </w:rPr>
            </w:pPr>
          </w:p>
        </w:tc>
      </w:tr>
      <w:tr>
        <w:trPr>
          <w:trHeight w:val="210"/>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Amortization of debt discount (6)</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6,275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adjustments, before income taxes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130,463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9,273</w:t>
            </w:r>
          </w:p>
        </w:tc>
        <w:tc>
          <w:tcPr>
            <w:tcW w:w="0" w:type="dxa"/>
            <w:vAlign w:val="bottom"/>
          </w:tcPr>
          <w:p>
            <w:pPr>
              <w:spacing w:after="0"/>
              <w:rPr>
                <w:sz w:val="1"/>
                <w:szCs w:val="1"/>
                <w:color w:val="auto"/>
              </w:rPr>
            </w:pP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Adjustment to provision for income taxes (7)</w:t>
            </w:r>
          </w:p>
        </w:tc>
        <w:tc>
          <w:tcPr>
            <w:tcW w:w="380" w:type="dxa"/>
            <w:vAlign w:val="bottom"/>
          </w:tcPr>
          <w:p>
            <w:pPr>
              <w:spacing w:after="0"/>
              <w:rPr>
                <w:sz w:val="18"/>
                <w:szCs w:val="18"/>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(32,526)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(1,263)</w:t>
            </w:r>
          </w:p>
        </w:tc>
        <w:tc>
          <w:tcPr>
            <w:tcW w:w="0" w:type="dxa"/>
            <w:vAlign w:val="bottom"/>
          </w:tcPr>
          <w:p>
            <w:pPr>
              <w:spacing w:after="0"/>
              <w:rPr>
                <w:sz w:val="1"/>
                <w:szCs w:val="1"/>
                <w:color w:val="auto"/>
              </w:rPr>
            </w:pPr>
          </w:p>
        </w:tc>
      </w:tr>
      <w:tr>
        <w:trPr>
          <w:trHeight w:val="22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Redemption of preferred stock in excess of carrying value (8)</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3,496</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adjustments</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101,433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8,010</w:t>
            </w:r>
          </w:p>
        </w:tc>
        <w:tc>
          <w:tcPr>
            <w:tcW w:w="0" w:type="dxa"/>
            <w:vAlign w:val="bottom"/>
          </w:tcPr>
          <w:p>
            <w:pPr>
              <w:spacing w:after="0"/>
              <w:rPr>
                <w:sz w:val="1"/>
                <w:szCs w:val="1"/>
                <w:color w:val="auto"/>
              </w:rPr>
            </w:pPr>
          </w:p>
        </w:tc>
      </w:tr>
      <w:tr>
        <w:trPr>
          <w:trHeight w:val="241"/>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(loss) income</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(60,778)</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138,583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(loss) earnings per share attributable to common stockholders (9)</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20" w:type="dxa"/>
            <w:vAlign w:val="bottom"/>
          </w:tcPr>
          <w:p>
            <w:pPr>
              <w:ind w:left="20"/>
              <w:spacing w:after="0"/>
              <w:rPr>
                <w:sz w:val="20"/>
                <w:szCs w:val="20"/>
                <w:color w:val="auto"/>
              </w:rPr>
            </w:pPr>
            <w:r>
              <w:rPr>
                <w:rFonts w:ascii="Arial" w:cs="Arial" w:eastAsia="Arial" w:hAnsi="Arial"/>
                <w:sz w:val="16"/>
                <w:szCs w:val="16"/>
                <w:color w:val="auto"/>
              </w:rPr>
              <w:t>Adjusted diluted (loss) earnings per share (9)</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(0.69)</w:t>
            </w:r>
          </w:p>
        </w:tc>
        <w:tc>
          <w:tcPr>
            <w:tcW w:w="100" w:type="dxa"/>
            <w:vAlign w:val="bottom"/>
          </w:tcPr>
          <w:p>
            <w:pPr>
              <w:spacing w:after="0"/>
              <w:rPr>
                <w:sz w:val="16"/>
                <w:szCs w:val="16"/>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Arial" w:cs="Arial" w:eastAsia="Arial" w:hAnsi="Arial"/>
                <w:sz w:val="16"/>
                <w:szCs w:val="16"/>
                <w:color w:val="auto"/>
              </w:rPr>
              <w:t>Diluted weighted average common shares outstanding (9)</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87,468</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89,777</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6"/>
                <w:szCs w:val="16"/>
                <w:color w:val="auto"/>
              </w:rPr>
              <w:t>_________________</w:t>
            </w: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802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left="660" w:hanging="652"/>
        <w:spacing w:after="0" w:line="281" w:lineRule="auto"/>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Costs incurred in connection with the economic impact of the COVID-19 pandemic, primarily consisting of fixed asset and right-of-use asset impairments, restructuring charges, inventory obsolescence and spoilage, contingent lease liabilities and current expected credit losses. See Note 3 - </w:t>
      </w:r>
      <w:r>
        <w:rPr>
          <w:rFonts w:ascii="Arial" w:cs="Arial" w:eastAsia="Arial" w:hAnsi="Arial"/>
          <w:sz w:val="14"/>
          <w:szCs w:val="14"/>
          <w:i w:val="1"/>
          <w:iCs w:val="1"/>
          <w:color w:val="auto"/>
        </w:rPr>
        <w:t>COVID-19 Charges</w:t>
      </w:r>
      <w:r>
        <w:rPr>
          <w:rFonts w:ascii="Arial" w:cs="Arial" w:eastAsia="Arial" w:hAnsi="Arial"/>
          <w:sz w:val="14"/>
          <w:szCs w:val="14"/>
          <w:color w:val="auto"/>
        </w:rPr>
        <w:t xml:space="preserve"> of the Notes to Consolidated Financial Statements for additional details regarding the impact of certain COVID-19 pandemic-related charges on our financial results.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Severance, professional fees and other costs incurred as a result of transformational and restructuring activities.</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Asset impairment charges and accelerated depreciation incurred in connection with our relocation program.</w:t>
      </w:r>
    </w:p>
    <w:p>
      <w:pPr>
        <w:spacing w:after="0" w:line="5" w:lineRule="exact"/>
        <w:rPr>
          <w:rFonts w:ascii="Arial" w:cs="Arial" w:eastAsia="Arial" w:hAnsi="Arial"/>
          <w:sz w:val="16"/>
          <w:szCs w:val="16"/>
          <w:color w:val="auto"/>
        </w:rPr>
      </w:pPr>
    </w:p>
    <w:p>
      <w:pPr>
        <w:ind w:left="660" w:hanging="652"/>
        <w:spacing w:after="0" w:line="246"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For 2019, includes the recognition of certain value-added tax credits in Brazil of $4.6 million related to prior years, offset by fees and expenses related to certain legal matters.</w:t>
      </w:r>
    </w:p>
    <w:p>
      <w:pPr>
        <w:jc w:val="both"/>
        <w:ind w:left="660" w:hanging="652"/>
        <w:spacing w:after="0" w:line="246"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Asset impairment charges and related costs during 2019 primarily related to approved closure and restructuring initiatives and the restructuring of certain international markets. Amount also includes a lease termination gain of $2.8 million during 2020 and gains on the sale of certain surplus properties of $3.8 million during 2019.</w:t>
      </w:r>
    </w:p>
    <w:p>
      <w:pPr>
        <w:spacing w:after="0" w:line="1" w:lineRule="exact"/>
        <w:rPr>
          <w:rFonts w:ascii="Arial" w:cs="Arial" w:eastAsia="Arial" w:hAnsi="Arial"/>
          <w:sz w:val="16"/>
          <w:szCs w:val="16"/>
          <w:color w:val="auto"/>
        </w:rPr>
      </w:pPr>
    </w:p>
    <w:p>
      <w:pPr>
        <w:ind w:left="660" w:hanging="652"/>
        <w:spacing w:after="0" w:line="246"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Amortization of the debt discount related to the issuance of the 2025 Notes. See Note 14 - </w:t>
      </w:r>
      <w:r>
        <w:rPr>
          <w:rFonts w:ascii="Arial" w:cs="Arial" w:eastAsia="Arial" w:hAnsi="Arial"/>
          <w:sz w:val="16"/>
          <w:szCs w:val="16"/>
          <w:i w:val="1"/>
          <w:iCs w:val="1"/>
          <w:color w:val="auto"/>
        </w:rPr>
        <w:t>Convertible Senior Notes</w:t>
      </w:r>
      <w:r>
        <w:rPr>
          <w:rFonts w:ascii="Arial" w:cs="Arial" w:eastAsia="Arial" w:hAnsi="Arial"/>
          <w:sz w:val="16"/>
          <w:szCs w:val="16"/>
          <w:color w:val="auto"/>
        </w:rPr>
        <w:t xml:space="preserve"> of the Notes to Consolidated Financial Statements for details.</w:t>
      </w:r>
    </w:p>
    <w:p>
      <w:pPr>
        <w:ind w:left="660" w:hanging="652"/>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Income tax effect of the adjustments for the periods presented.</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Consideration paid in excess of the carrying value for the redemption of preferred stock of our Abbraccio subsidiary.</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Due to the net loss, the effect of dilutive securities was excluded from the calculation of diluted and adjusted diluted loss per share for fiscal year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LIQUIDITY</w:t>
      </w:r>
    </w:p>
    <w:p>
      <w:pPr>
        <w:spacing w:after="0" w:line="24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Typically, cash flows generated from operating activities and availability under our revolving credit facility are our principal sources of liquidity, which we use for operating expenses, payments on our debt, remodeling or relocating older restaurants, obligations related to our deferred compensation plans and investment in technology. During 2020, the temporary closure of our dining rooms and the limitations on seating capacity due to the COVID-19 pandemic resulted in significantly reduced traffic in our restaurants which has negatively impacted our operating cashflows.</w:t>
      </w: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response to the COVID-19 pandemic, we have tightly managed expenses while prioritizing support of our workforce, off-premises business and the safe reopening of our restaurant dining rooms. In addition, we have taken several precautionary measures to preserve liquidity, including the following:</w:t>
      </w:r>
    </w:p>
    <w:p>
      <w:pPr>
        <w:spacing w:after="0" w:line="213" w:lineRule="exact"/>
        <w:rPr>
          <w:sz w:val="20"/>
          <w:szCs w:val="20"/>
          <w:color w:val="auto"/>
        </w:rPr>
      </w:pPr>
    </w:p>
    <w:p>
      <w:pPr>
        <w:ind w:left="640" w:hanging="308"/>
        <w:spacing w:after="0"/>
        <w:tabs>
          <w:tab w:leader="none" w:pos="6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suspended our quarterly cash dividend and stock repurchases;</w:t>
      </w:r>
    </w:p>
    <w:p>
      <w:pPr>
        <w:spacing w:after="0" w:line="15" w:lineRule="exact"/>
        <w:rPr>
          <w:rFonts w:ascii="Arial" w:cs="Arial" w:eastAsia="Arial" w:hAnsi="Arial"/>
          <w:sz w:val="20"/>
          <w:szCs w:val="20"/>
          <w:color w:val="auto"/>
        </w:rPr>
      </w:pPr>
    </w:p>
    <w:p>
      <w:pPr>
        <w:ind w:left="640" w:hanging="308"/>
        <w:spacing w:after="0"/>
        <w:tabs>
          <w:tab w:leader="none" w:pos="6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significantly reduced marketing and tightly managed other expenses;</w:t>
      </w:r>
    </w:p>
    <w:p>
      <w:pPr>
        <w:ind w:left="660" w:hanging="328"/>
        <w:spacing w:after="0" w:line="239" w:lineRule="auto"/>
        <w:tabs>
          <w:tab w:leader="none" w:pos="648" w:val="left"/>
        </w:tabs>
        <w:numPr>
          <w:ilvl w:val="0"/>
          <w:numId w:val="35"/>
        </w:numPr>
        <w:rPr>
          <w:rFonts w:ascii="Arial" w:cs="Arial" w:eastAsia="Arial" w:hAnsi="Arial"/>
          <w:sz w:val="20"/>
          <w:szCs w:val="20"/>
          <w:color w:val="auto"/>
        </w:rPr>
      </w:pPr>
      <w:r>
        <w:rPr>
          <w:rFonts w:ascii="Arial" w:cs="Arial" w:eastAsia="Arial" w:hAnsi="Arial"/>
          <w:sz w:val="20"/>
          <w:szCs w:val="20"/>
          <w:color w:val="auto"/>
        </w:rPr>
        <w:t>substantially limited capital expenditures to facility maintenance in support of our off-premises business and safe reopening of our restaurant dining rooms; and</w:t>
      </w:r>
    </w:p>
    <w:p>
      <w:pPr>
        <w:ind w:left="640" w:hanging="308"/>
        <w:spacing w:after="0"/>
        <w:tabs>
          <w:tab w:leader="none" w:pos="6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engaged in constructive dialogue with our landlords regarding operating lease agreement amendments or deferrals.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above actions are in addition to the significant cost cutting measures for 2020 that we announced and implemented earlier in the year.</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May 2020, we issued $230.0 million aggregate principal amount of 5.00% convertible senior notes due in 2025. Net proceeds from the 2025 Notes were approximately $221.6 million, after deducting the initial purchaser’s discounts and commissions and our offering expenses. See “</w:t>
      </w:r>
      <w:r>
        <w:rPr>
          <w:rFonts w:ascii="Arial" w:cs="Arial" w:eastAsia="Arial" w:hAnsi="Arial"/>
          <w:sz w:val="20"/>
          <w:szCs w:val="20"/>
          <w:i w:val="1"/>
          <w:iCs w:val="1"/>
          <w:color w:val="auto"/>
        </w:rPr>
        <w:t>2025 Notes”</w:t>
      </w:r>
      <w:r>
        <w:rPr>
          <w:rFonts w:ascii="Arial" w:cs="Arial" w:eastAsia="Arial" w:hAnsi="Arial"/>
          <w:sz w:val="20"/>
          <w:szCs w:val="20"/>
          <w:color w:val="auto"/>
        </w:rPr>
        <w:t xml:space="preserve"> below for additional details regarding the convertible senior notes.</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Subsequent to December 27, 2020, we made payments of $92.0 million on our revolving credit facility. After consideration of payments made on the revolving credit facility in the second half of 2020 and subsequent to 2020, our total outstanding debt approximates pre-COVID-19 levels.</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believe that our expected liquidity sources are adequate to fund debt service requirements, lease obligations, capital expenditures and working capital obligations during the 12 months following this filing. However, our ability to continue to meet these requirements and obligations will depend on, among other things, our ability to achieve anticipated levels of revenue and cash flow and our ability to manage costs and working capital successfully.</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Cash and Cash Equivalents </w:t>
      </w:r>
      <w:r>
        <w:rPr>
          <w:rFonts w:ascii="Arial" w:cs="Arial" w:eastAsia="Arial" w:hAnsi="Arial"/>
          <w:sz w:val="20"/>
          <w:szCs w:val="20"/>
          <w:color w:val="auto"/>
        </w:rPr>
        <w:t>- As of December 27, 2020, we had $110.0 million in cash and cash equivalents, of which $40.4 million was held</w:t>
      </w:r>
      <w:r>
        <w:rPr>
          <w:rFonts w:ascii="Arial" w:cs="Arial" w:eastAsia="Arial" w:hAnsi="Arial"/>
          <w:sz w:val="20"/>
          <w:szCs w:val="20"/>
          <w:i w:val="1"/>
          <w:iCs w:val="1"/>
          <w:color w:val="auto"/>
        </w:rPr>
        <w:t xml:space="preserve"> </w:t>
      </w:r>
      <w:r>
        <w:rPr>
          <w:rFonts w:ascii="Arial" w:cs="Arial" w:eastAsia="Arial" w:hAnsi="Arial"/>
          <w:sz w:val="20"/>
          <w:szCs w:val="20"/>
          <w:color w:val="auto"/>
        </w:rPr>
        <w:t>by foreign affiliates. The international jurisdictions in which we have significant cash do not have any known restrictions that would prohibit repatriation.</w:t>
      </w:r>
    </w:p>
    <w:p>
      <w:pPr>
        <w:spacing w:after="0" w:line="21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As of December 27, 2020, we had aggregate accumulated foreign earnings of approximately $40.2 million. This amount primarily consists of historical earnings from 2017 and prior that were previously taxed in the U.S. under the 2017 Tax Cuts and Jobs Act and post-2017 foreign earnings, which we may repatriate to the U.S. without additional material U.S. federal income taxes. These amounts are no longer considered indefinitely reinvested in our foreign subsidiaries. See Note 21 - </w:t>
      </w:r>
      <w:r>
        <w:rPr>
          <w:rFonts w:ascii="Arial" w:cs="Arial" w:eastAsia="Arial" w:hAnsi="Arial"/>
          <w:sz w:val="20"/>
          <w:szCs w:val="20"/>
          <w:i w:val="1"/>
          <w:iCs w:val="1"/>
          <w:color w:val="auto"/>
        </w:rPr>
        <w:t>Income Taxes</w:t>
      </w:r>
      <w:r>
        <w:rPr>
          <w:rFonts w:ascii="Arial" w:cs="Arial" w:eastAsia="Arial" w:hAnsi="Arial"/>
          <w:sz w:val="20"/>
          <w:szCs w:val="20"/>
          <w:color w:val="auto"/>
        </w:rPr>
        <w:t xml:space="preserve"> of the Notes to Consolidated Financial Statements for further information regarding our indefinite reinvestment assertion.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Closure and Restructuring Initiatives </w:t>
      </w:r>
      <w:r>
        <w:rPr>
          <w:rFonts w:ascii="Arial" w:cs="Arial" w:eastAsia="Arial" w:hAnsi="Arial"/>
          <w:sz w:val="20"/>
          <w:szCs w:val="20"/>
          <w:color w:val="auto"/>
        </w:rPr>
        <w:t>- Total aggregate future undiscounted cash expenditures of $9.7 million to $11.8 million related to lease</w:t>
      </w:r>
      <w:r>
        <w:rPr>
          <w:rFonts w:ascii="Arial" w:cs="Arial" w:eastAsia="Arial" w:hAnsi="Arial"/>
          <w:sz w:val="20"/>
          <w:szCs w:val="20"/>
          <w:i w:val="1"/>
          <w:iCs w:val="1"/>
          <w:color w:val="auto"/>
        </w:rPr>
        <w:t xml:space="preserve"> </w:t>
      </w:r>
      <w:r>
        <w:rPr>
          <w:rFonts w:ascii="Arial" w:cs="Arial" w:eastAsia="Arial" w:hAnsi="Arial"/>
          <w:sz w:val="20"/>
          <w:szCs w:val="20"/>
          <w:color w:val="auto"/>
        </w:rPr>
        <w:t>liabilities for certain closure and restructuring initiatives are expected to occur over the remaining lease terms with the final term ending in January 2029.</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Capital Expenditures </w:t>
      </w:r>
      <w:r>
        <w:rPr>
          <w:rFonts w:ascii="Arial" w:cs="Arial" w:eastAsia="Arial" w:hAnsi="Arial"/>
          <w:sz w:val="19"/>
          <w:szCs w:val="19"/>
          <w:color w:val="auto"/>
        </w:rPr>
        <w:t>- We estimate that our capital expenditures will total approximately $170 million to $185 million in 2021. The amount</w:t>
      </w:r>
      <w:r>
        <w:rPr>
          <w:rFonts w:ascii="Arial" w:cs="Arial" w:eastAsia="Arial" w:hAnsi="Arial"/>
          <w:sz w:val="19"/>
          <w:szCs w:val="19"/>
          <w:i w:val="1"/>
          <w:iCs w:val="1"/>
          <w:color w:val="auto"/>
        </w:rPr>
        <w:t xml:space="preserve"> </w:t>
      </w:r>
      <w:r>
        <w:rPr>
          <w:rFonts w:ascii="Arial" w:cs="Arial" w:eastAsia="Arial" w:hAnsi="Arial"/>
          <w:sz w:val="19"/>
          <w:szCs w:val="19"/>
          <w:color w:val="auto"/>
        </w:rPr>
        <w:t>of actual capital expenditures may be affected by general economic, financial, competitive, legislative and regulatory factors, among other things, including restrictions imposed by our borrowing arrangements. Under the Amended Credit Agreement, we are limited to $100.0 million of aggregate capital expenditures for the four fiscal quarters through March 28, 2021.</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Credit Facilities </w:t>
      </w:r>
      <w:r>
        <w:rPr>
          <w:rFonts w:ascii="Arial" w:cs="Arial" w:eastAsia="Arial" w:hAnsi="Arial"/>
          <w:sz w:val="20"/>
          <w:szCs w:val="20"/>
          <w:color w:val="auto"/>
        </w:rPr>
        <w:t>- As of December 27, 2020, we had $1.1 billion of outstanding borrowings under our Senior Secured Credit Facility and</w:t>
      </w:r>
      <w:r>
        <w:rPr>
          <w:rFonts w:ascii="Arial" w:cs="Arial" w:eastAsia="Arial" w:hAnsi="Arial"/>
          <w:sz w:val="20"/>
          <w:szCs w:val="20"/>
          <w:i w:val="1"/>
          <w:iCs w:val="1"/>
          <w:color w:val="auto"/>
        </w:rPr>
        <w:t xml:space="preserve"> </w:t>
      </w:r>
      <w:r>
        <w:rPr>
          <w:rFonts w:ascii="Arial" w:cs="Arial" w:eastAsia="Arial" w:hAnsi="Arial"/>
          <w:sz w:val="20"/>
          <w:szCs w:val="20"/>
          <w:color w:val="auto"/>
        </w:rPr>
        <w:t>2025 Notes. Following is a summary of our outstanding credit facilities as of the dates indicated and principal payments and debt issuance during the periods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SENIOR SECURED CREDIT FACILITY</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6"/>
                <w:szCs w:val="16"/>
                <w:color w:val="auto"/>
              </w:rPr>
            </w:pPr>
          </w:p>
        </w:tc>
        <w:tc>
          <w:tcPr>
            <w:tcW w:w="150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TERM LOAN A</w:t>
            </w:r>
          </w:p>
        </w:tc>
        <w:tc>
          <w:tcPr>
            <w:tcW w:w="100" w:type="dxa"/>
            <w:vAlign w:val="bottom"/>
            <w:vMerge w:val="restart"/>
          </w:tcPr>
          <w:p>
            <w:pPr>
              <w:spacing w:after="0"/>
              <w:rPr>
                <w:sz w:val="16"/>
                <w:szCs w:val="16"/>
                <w:color w:val="auto"/>
              </w:rPr>
            </w:pPr>
          </w:p>
        </w:tc>
        <w:tc>
          <w:tcPr>
            <w:tcW w:w="1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REVOLVING FACILITY</w:t>
            </w:r>
          </w:p>
        </w:tc>
        <w:tc>
          <w:tcPr>
            <w:tcW w:w="100" w:type="dxa"/>
            <w:vAlign w:val="bottom"/>
            <w:vMerge w:val="restart"/>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2025 NOTES</w:t>
            </w:r>
          </w:p>
        </w:tc>
        <w:tc>
          <w:tcPr>
            <w:tcW w:w="100" w:type="dxa"/>
            <w:vAlign w:val="bottom"/>
            <w:vMerge w:val="restart"/>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CREDIT</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74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FACILITIES</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30, 2018</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475,000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center"/>
              <w:ind w:left="219"/>
              <w:spacing w:after="0"/>
              <w:rPr>
                <w:sz w:val="20"/>
                <w:szCs w:val="20"/>
                <w:color w:val="auto"/>
              </w:rPr>
            </w:pPr>
            <w:r>
              <w:rPr>
                <w:rFonts w:ascii="Arial" w:cs="Arial" w:eastAsia="Arial" w:hAnsi="Arial"/>
                <w:sz w:val="16"/>
                <w:szCs w:val="16"/>
                <w:color w:val="auto"/>
                <w:w w:val="89"/>
              </w:rPr>
              <w:t>599,500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1,074,500</w:t>
            </w:r>
          </w:p>
        </w:tc>
        <w:tc>
          <w:tcPr>
            <w:tcW w:w="0" w:type="dxa"/>
            <w:vAlign w:val="bottom"/>
          </w:tcPr>
          <w:p>
            <w:pPr>
              <w:spacing w:after="0"/>
              <w:rPr>
                <w:sz w:val="1"/>
                <w:szCs w:val="1"/>
                <w:color w:val="auto"/>
              </w:rPr>
            </w:pPr>
          </w:p>
        </w:tc>
      </w:tr>
      <w:tr>
        <w:trPr>
          <w:trHeight w:val="213"/>
        </w:trPr>
        <w:tc>
          <w:tcPr>
            <w:tcW w:w="4800" w:type="dxa"/>
            <w:vAlign w:val="bottom"/>
          </w:tcPr>
          <w:p>
            <w:pPr>
              <w:ind w:left="140"/>
              <w:spacing w:after="0"/>
              <w:rPr>
                <w:sz w:val="20"/>
                <w:szCs w:val="20"/>
                <w:color w:val="auto"/>
              </w:rPr>
            </w:pPr>
            <w:r>
              <w:rPr>
                <w:rFonts w:ascii="Arial" w:cs="Arial" w:eastAsia="Arial" w:hAnsi="Arial"/>
                <w:sz w:val="16"/>
                <w:szCs w:val="16"/>
                <w:color w:val="auto"/>
              </w:rPr>
              <w:t>2019 new debt</w:t>
            </w:r>
          </w:p>
        </w:tc>
        <w:tc>
          <w:tcPr>
            <w:tcW w:w="22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220" w:type="dxa"/>
            <w:vAlign w:val="bottom"/>
          </w:tcPr>
          <w:p>
            <w:pPr>
              <w:jc w:val="center"/>
              <w:ind w:left="219"/>
              <w:spacing w:after="0"/>
              <w:rPr>
                <w:sz w:val="20"/>
                <w:szCs w:val="20"/>
                <w:color w:val="auto"/>
              </w:rPr>
            </w:pPr>
            <w:r>
              <w:rPr>
                <w:rFonts w:ascii="Arial" w:cs="Arial" w:eastAsia="Arial" w:hAnsi="Arial"/>
                <w:sz w:val="16"/>
                <w:szCs w:val="16"/>
                <w:color w:val="auto"/>
                <w:w w:val="89"/>
              </w:rPr>
              <w:t>670,800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670,800</w:t>
            </w:r>
          </w:p>
        </w:tc>
        <w:tc>
          <w:tcPr>
            <w:tcW w:w="0" w:type="dxa"/>
            <w:vAlign w:val="bottom"/>
          </w:tcPr>
          <w:p>
            <w:pPr>
              <w:spacing w:after="0"/>
              <w:rPr>
                <w:sz w:val="1"/>
                <w:szCs w:val="1"/>
                <w:color w:val="auto"/>
              </w:rPr>
            </w:pPr>
          </w:p>
        </w:tc>
      </w:tr>
      <w:tr>
        <w:trPr>
          <w:trHeight w:val="226"/>
        </w:trPr>
        <w:tc>
          <w:tcPr>
            <w:tcW w:w="4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2019 payments</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(25,000)</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179"/>
              <w:spacing w:after="0"/>
              <w:rPr>
                <w:sz w:val="20"/>
                <w:szCs w:val="20"/>
                <w:color w:val="auto"/>
              </w:rPr>
            </w:pPr>
            <w:r>
              <w:rPr>
                <w:rFonts w:ascii="Arial" w:cs="Arial" w:eastAsia="Arial" w:hAnsi="Arial"/>
                <w:sz w:val="16"/>
                <w:szCs w:val="16"/>
                <w:color w:val="auto"/>
                <w:w w:val="93"/>
              </w:rPr>
              <w:t>(671,300)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(696,300)</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Balance as of December 29, 2019</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450,000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color w:val="auto"/>
                <w:w w:val="89"/>
              </w:rPr>
              <w:t>599,000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1,049,000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2020 new debt</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219"/>
              <w:spacing w:after="0"/>
              <w:rPr>
                <w:sz w:val="20"/>
                <w:szCs w:val="20"/>
                <w:color w:val="auto"/>
              </w:rPr>
            </w:pPr>
            <w:r>
              <w:rPr>
                <w:rFonts w:ascii="Arial" w:cs="Arial" w:eastAsia="Arial" w:hAnsi="Arial"/>
                <w:sz w:val="16"/>
                <w:szCs w:val="16"/>
                <w:color w:val="auto"/>
                <w:w w:val="89"/>
              </w:rPr>
              <w:t>505,000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230,000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735,000</w:t>
            </w:r>
          </w:p>
        </w:tc>
        <w:tc>
          <w:tcPr>
            <w:tcW w:w="0" w:type="dxa"/>
            <w:vAlign w:val="bottom"/>
          </w:tcPr>
          <w:p>
            <w:pPr>
              <w:spacing w:after="0"/>
              <w:rPr>
                <w:sz w:val="1"/>
                <w:szCs w:val="1"/>
                <w:color w:val="auto"/>
              </w:rPr>
            </w:pPr>
          </w:p>
        </w:tc>
      </w:tr>
      <w:tr>
        <w:trPr>
          <w:trHeight w:val="223"/>
        </w:trPr>
        <w:tc>
          <w:tcPr>
            <w:tcW w:w="4800" w:type="dxa"/>
            <w:vAlign w:val="bottom"/>
          </w:tcPr>
          <w:p>
            <w:pPr>
              <w:ind w:left="140"/>
              <w:spacing w:after="0"/>
              <w:rPr>
                <w:sz w:val="20"/>
                <w:szCs w:val="20"/>
                <w:color w:val="auto"/>
              </w:rPr>
            </w:pPr>
            <w:r>
              <w:rPr>
                <w:rFonts w:ascii="Arial" w:cs="Arial" w:eastAsia="Arial" w:hAnsi="Arial"/>
                <w:sz w:val="16"/>
                <w:szCs w:val="16"/>
                <w:color w:val="auto"/>
              </w:rPr>
              <w:t>2020 payments</w:t>
            </w:r>
          </w:p>
        </w:tc>
        <w:tc>
          <w:tcPr>
            <w:tcW w:w="220" w:type="dxa"/>
            <w:vAlign w:val="bottom"/>
          </w:tcPr>
          <w:p>
            <w:pPr>
              <w:spacing w:after="0"/>
              <w:rPr>
                <w:sz w:val="19"/>
                <w:szCs w:val="19"/>
                <w:color w:val="auto"/>
              </w:rPr>
            </w:pPr>
          </w:p>
        </w:tc>
        <w:tc>
          <w:tcPr>
            <w:tcW w:w="1500" w:type="dxa"/>
            <w:vAlign w:val="bottom"/>
          </w:tcPr>
          <w:p>
            <w:pPr>
              <w:jc w:val="right"/>
              <w:ind w:right="81"/>
              <w:spacing w:after="0"/>
              <w:rPr>
                <w:sz w:val="20"/>
                <w:szCs w:val="20"/>
                <w:color w:val="auto"/>
              </w:rPr>
            </w:pPr>
            <w:r>
              <w:rPr>
                <w:rFonts w:ascii="Arial" w:cs="Arial" w:eastAsia="Arial" w:hAnsi="Arial"/>
                <w:sz w:val="16"/>
                <w:szCs w:val="16"/>
                <w:color w:val="auto"/>
              </w:rPr>
              <w:t>(25,000)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tcPr>
          <w:p>
            <w:pPr>
              <w:jc w:val="center"/>
              <w:ind w:left="179"/>
              <w:spacing w:after="0"/>
              <w:rPr>
                <w:sz w:val="20"/>
                <w:szCs w:val="20"/>
                <w:color w:val="auto"/>
              </w:rPr>
            </w:pPr>
            <w:r>
              <w:rPr>
                <w:rFonts w:ascii="Arial" w:cs="Arial" w:eastAsia="Arial" w:hAnsi="Arial"/>
                <w:sz w:val="16"/>
                <w:szCs w:val="16"/>
                <w:color w:val="auto"/>
                <w:w w:val="93"/>
              </w:rPr>
              <w:t>(657,000)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(682,000)</w:t>
            </w:r>
          </w:p>
        </w:tc>
        <w:tc>
          <w:tcPr>
            <w:tcW w:w="0" w:type="dxa"/>
            <w:vAlign w:val="bottom"/>
          </w:tcPr>
          <w:p>
            <w:pPr>
              <w:spacing w:after="0"/>
              <w:rPr>
                <w:sz w:val="1"/>
                <w:szCs w:val="1"/>
                <w:color w:val="auto"/>
              </w:rPr>
            </w:pPr>
          </w:p>
        </w:tc>
      </w:tr>
      <w:tr>
        <w:trPr>
          <w:trHeight w:val="241"/>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27, 2020 (1)</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425,000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42"/>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center"/>
              <w:ind w:left="219"/>
              <w:spacing w:after="0"/>
              <w:rPr>
                <w:sz w:val="20"/>
                <w:szCs w:val="20"/>
                <w:color w:val="auto"/>
              </w:rPr>
            </w:pPr>
            <w:r>
              <w:rPr>
                <w:rFonts w:ascii="Arial" w:cs="Arial" w:eastAsia="Arial" w:hAnsi="Arial"/>
                <w:sz w:val="16"/>
                <w:szCs w:val="16"/>
                <w:color w:val="auto"/>
                <w:w w:val="89"/>
              </w:rPr>
              <w:t>447,000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230,000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1,102,000</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interest rate, as of December 27, 2020</w:t>
            </w:r>
          </w:p>
        </w:tc>
        <w:tc>
          <w:tcPr>
            <w:tcW w:w="23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2.88 %</w:t>
            </w:r>
          </w:p>
        </w:tc>
        <w:tc>
          <w:tcPr>
            <w:tcW w:w="192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2.88 %</w:t>
            </w:r>
          </w:p>
        </w:tc>
        <w:tc>
          <w:tcPr>
            <w:tcW w:w="2420" w:type="dxa"/>
            <w:vAlign w:val="bottom"/>
            <w:shd w:val="clear" w:color="auto" w:fill="CCEEFF"/>
          </w:tcPr>
          <w:p>
            <w:pPr>
              <w:jc w:val="right"/>
              <w:ind w:right="1199"/>
              <w:spacing w:after="0"/>
              <w:rPr>
                <w:sz w:val="20"/>
                <w:szCs w:val="20"/>
                <w:color w:val="auto"/>
              </w:rPr>
            </w:pPr>
            <w:r>
              <w:rPr>
                <w:rFonts w:ascii="Arial" w:cs="Arial" w:eastAsia="Arial" w:hAnsi="Arial"/>
                <w:sz w:val="16"/>
                <w:szCs w:val="16"/>
                <w:color w:val="auto"/>
              </w:rPr>
              <w:t>5.00 %</w:t>
            </w:r>
          </w:p>
        </w:tc>
      </w:tr>
      <w:tr>
        <w:trPr>
          <w:trHeight w:val="210"/>
        </w:trPr>
        <w:tc>
          <w:tcPr>
            <w:tcW w:w="4580" w:type="dxa"/>
            <w:vAlign w:val="bottom"/>
          </w:tcPr>
          <w:p>
            <w:pPr>
              <w:ind w:left="20"/>
              <w:spacing w:after="0"/>
              <w:rPr>
                <w:sz w:val="20"/>
                <w:szCs w:val="20"/>
                <w:color w:val="auto"/>
              </w:rPr>
            </w:pPr>
            <w:r>
              <w:rPr>
                <w:rFonts w:ascii="Arial" w:cs="Arial" w:eastAsia="Arial" w:hAnsi="Arial"/>
                <w:sz w:val="16"/>
                <w:szCs w:val="16"/>
                <w:color w:val="auto"/>
              </w:rPr>
              <w:t>Principal maturity date</w:t>
            </w:r>
          </w:p>
        </w:tc>
        <w:tc>
          <w:tcPr>
            <w:tcW w:w="2320" w:type="dxa"/>
            <w:vAlign w:val="bottom"/>
          </w:tcPr>
          <w:p>
            <w:pPr>
              <w:jc w:val="right"/>
              <w:ind w:right="319"/>
              <w:spacing w:after="0"/>
              <w:rPr>
                <w:sz w:val="20"/>
                <w:szCs w:val="20"/>
                <w:color w:val="auto"/>
              </w:rPr>
            </w:pPr>
            <w:r>
              <w:rPr>
                <w:rFonts w:ascii="Arial" w:cs="Arial" w:eastAsia="Arial" w:hAnsi="Arial"/>
                <w:sz w:val="16"/>
                <w:szCs w:val="16"/>
                <w:color w:val="auto"/>
              </w:rPr>
              <w:t>November 2022</w:t>
            </w:r>
          </w:p>
        </w:tc>
        <w:tc>
          <w:tcPr>
            <w:tcW w:w="1920" w:type="dxa"/>
            <w:vAlign w:val="bottom"/>
          </w:tcPr>
          <w:p>
            <w:pPr>
              <w:jc w:val="right"/>
              <w:ind w:right="399"/>
              <w:spacing w:after="0"/>
              <w:rPr>
                <w:sz w:val="20"/>
                <w:szCs w:val="20"/>
                <w:color w:val="auto"/>
              </w:rPr>
            </w:pPr>
            <w:r>
              <w:rPr>
                <w:rFonts w:ascii="Arial" w:cs="Arial" w:eastAsia="Arial" w:hAnsi="Arial"/>
                <w:sz w:val="16"/>
                <w:szCs w:val="16"/>
                <w:color w:val="auto"/>
              </w:rPr>
              <w:t>November 2022</w:t>
            </w:r>
          </w:p>
        </w:tc>
        <w:tc>
          <w:tcPr>
            <w:tcW w:w="2420" w:type="dxa"/>
            <w:vAlign w:val="bottom"/>
          </w:tcPr>
          <w:p>
            <w:pPr>
              <w:jc w:val="right"/>
              <w:ind w:right="1199"/>
              <w:spacing w:after="0"/>
              <w:rPr>
                <w:sz w:val="20"/>
                <w:szCs w:val="20"/>
                <w:color w:val="auto"/>
              </w:rPr>
            </w:pPr>
            <w:r>
              <w:rPr>
                <w:rFonts w:ascii="Arial" w:cs="Arial" w:eastAsia="Arial" w:hAnsi="Arial"/>
                <w:sz w:val="16"/>
                <w:szCs w:val="16"/>
                <w:color w:val="auto"/>
              </w:rPr>
              <w:t>May 2025</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Subsequent to December 27, 2020, we made payments of $92.0 million on our revolving credit facility.</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December 27, 2020, we had $533.7 million in available unused borrowing capacity under our revolving credit facility, net of letters of credit of $19.3 million.</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Amended Credit Agreement - </w:t>
      </w:r>
      <w:r>
        <w:rPr>
          <w:rFonts w:ascii="Arial" w:cs="Arial" w:eastAsia="Arial" w:hAnsi="Arial"/>
          <w:sz w:val="20"/>
          <w:szCs w:val="20"/>
          <w:color w:val="auto"/>
        </w:rPr>
        <w:t>On November 30, 2017, we and OSI, as co-borrowers, entered into a credit agreement (the “Credit</w:t>
      </w:r>
      <w:r>
        <w:rPr>
          <w:rFonts w:ascii="Arial" w:cs="Arial" w:eastAsia="Arial" w:hAnsi="Arial"/>
          <w:sz w:val="20"/>
          <w:szCs w:val="20"/>
          <w:i w:val="1"/>
          <w:iCs w:val="1"/>
          <w:color w:val="auto"/>
        </w:rPr>
        <w:t xml:space="preserve"> </w:t>
      </w:r>
      <w:r>
        <w:rPr>
          <w:rFonts w:ascii="Arial" w:cs="Arial" w:eastAsia="Arial" w:hAnsi="Arial"/>
          <w:sz w:val="20"/>
          <w:szCs w:val="20"/>
          <w:color w:val="auto"/>
        </w:rPr>
        <w:t>Agreement”) with a syndicate of institutional lenders, providing for senior secured financing of up to $1.5 billion, consisting of a $500.0 million Term loan A and a $1.0 billion revolving credit facility (the “Senior Secured Credit Facility”), including letter of credit and swing line loan sub-facilities.</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Our Credit Agreement contains various financial and non-financial covenants. A violation of these covenants could negatively impact our liquidity by restricting our ability to borrow under the revolving credit facility and cause an acceleration of the amounts due under the credit facilities. See Note 13 - </w:t>
      </w:r>
      <w:r>
        <w:rPr>
          <w:rFonts w:ascii="Arial" w:cs="Arial" w:eastAsia="Arial" w:hAnsi="Arial"/>
          <w:sz w:val="19"/>
          <w:szCs w:val="19"/>
          <w:i w:val="1"/>
          <w:iCs w:val="1"/>
          <w:color w:val="auto"/>
        </w:rPr>
        <w:t>Long-term Debt, Net</w:t>
      </w:r>
      <w:r>
        <w:rPr>
          <w:rFonts w:ascii="Arial" w:cs="Arial" w:eastAsia="Arial" w:hAnsi="Arial"/>
          <w:sz w:val="19"/>
          <w:szCs w:val="19"/>
          <w:color w:val="auto"/>
        </w:rPr>
        <w:t xml:space="preserve"> of the Notes to Consolidated Financial Statements for further information.</w:t>
      </w:r>
    </w:p>
    <w:p>
      <w:pPr>
        <w:spacing w:after="0" w:line="19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On May 4, 2020, we and OSI, as co-borrowers, entered into the Amended Credit Agreement which provides relief for the financial covenant to maintain a specified quarterly Total Net Leverage Ratio (“TNLR”). Without such amendment, violation of financial covenants under the original credit agreement could have resulted in default. The Amended Credit Agreement waived the TNLR requirement for the remainder of fiscal year 2020 and requires a TNLR based on a seasonally annualized calculation of Consolidated EBITDA (earnings before interest, taxes,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depreciation and amortization and certain other adjustments as defined in the Amended Credit Agreement) not to exceed the following thresholds for the periods indicated: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QUARTERLY PERIOD ENDED</w:t>
            </w:r>
          </w:p>
        </w:tc>
        <w:tc>
          <w:tcPr>
            <w:tcW w:w="10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MAXIMUM RATIO</w:t>
            </w:r>
          </w:p>
        </w:tc>
      </w:tr>
      <w:tr>
        <w:trPr>
          <w:trHeight w:val="216"/>
        </w:trPr>
        <w:tc>
          <w:tcPr>
            <w:tcW w:w="9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March 28, 2021 (1)</w:t>
            </w: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5.50</w:t>
            </w:r>
          </w:p>
        </w:tc>
        <w:tc>
          <w:tcPr>
            <w:tcW w:w="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to</w:t>
            </w:r>
          </w:p>
        </w:tc>
        <w:tc>
          <w:tcPr>
            <w:tcW w:w="82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1.00</w:t>
            </w:r>
          </w:p>
        </w:tc>
      </w:tr>
      <w:tr>
        <w:trPr>
          <w:trHeight w:val="213"/>
        </w:trPr>
        <w:tc>
          <w:tcPr>
            <w:tcW w:w="9360" w:type="dxa"/>
            <w:vAlign w:val="bottom"/>
            <w:gridSpan w:val="2"/>
          </w:tcPr>
          <w:p>
            <w:pPr>
              <w:ind w:left="20"/>
              <w:spacing w:after="0"/>
              <w:rPr>
                <w:sz w:val="20"/>
                <w:szCs w:val="20"/>
                <w:color w:val="auto"/>
              </w:rPr>
            </w:pPr>
            <w:r>
              <w:rPr>
                <w:rFonts w:ascii="Arial" w:cs="Arial" w:eastAsia="Arial" w:hAnsi="Arial"/>
                <w:sz w:val="16"/>
                <w:szCs w:val="16"/>
                <w:color w:val="auto"/>
              </w:rPr>
              <w:t>June 27, 2021 (2)</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5.00</w:t>
            </w:r>
          </w:p>
        </w:tc>
        <w:tc>
          <w:tcPr>
            <w:tcW w:w="260" w:type="dxa"/>
            <w:vAlign w:val="bottom"/>
          </w:tcPr>
          <w:p>
            <w:pPr>
              <w:jc w:val="center"/>
              <w:spacing w:after="0"/>
              <w:rPr>
                <w:sz w:val="20"/>
                <w:szCs w:val="20"/>
                <w:color w:val="auto"/>
              </w:rPr>
            </w:pPr>
            <w:r>
              <w:rPr>
                <w:rFonts w:ascii="Arial" w:cs="Arial" w:eastAsia="Arial" w:hAnsi="Arial"/>
                <w:sz w:val="16"/>
                <w:szCs w:val="16"/>
                <w:color w:val="auto"/>
                <w:w w:val="89"/>
              </w:rPr>
              <w:t>to</w:t>
            </w:r>
          </w:p>
        </w:tc>
        <w:tc>
          <w:tcPr>
            <w:tcW w:w="820" w:type="dxa"/>
            <w:vAlign w:val="bottom"/>
          </w:tcPr>
          <w:p>
            <w:pPr>
              <w:jc w:val="right"/>
              <w:ind w:right="379"/>
              <w:spacing w:after="0"/>
              <w:rPr>
                <w:sz w:val="20"/>
                <w:szCs w:val="20"/>
                <w:color w:val="auto"/>
              </w:rPr>
            </w:pPr>
            <w:r>
              <w:rPr>
                <w:rFonts w:ascii="Arial" w:cs="Arial" w:eastAsia="Arial" w:hAnsi="Arial"/>
                <w:sz w:val="16"/>
                <w:szCs w:val="16"/>
                <w:color w:val="auto"/>
              </w:rPr>
              <w:t>1.00</w:t>
            </w:r>
          </w:p>
        </w:tc>
      </w:tr>
      <w:tr>
        <w:trPr>
          <w:trHeight w:val="219"/>
        </w:trPr>
        <w:tc>
          <w:tcPr>
            <w:tcW w:w="9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September 26, 2021 and thereafter (3)</w:t>
            </w: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4.50</w:t>
            </w:r>
          </w:p>
        </w:tc>
        <w:tc>
          <w:tcPr>
            <w:tcW w:w="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to</w:t>
            </w:r>
          </w:p>
        </w:tc>
        <w:tc>
          <w:tcPr>
            <w:tcW w:w="82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1.00</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Seasonally annualized Consolidated EBITDA calculated as Consolidated EBITDA for the fiscal quarter ending March 28, 2021 divided by 34.1%.</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Seasonally annualized Consolidated EBITDA calculated as Consolidated EBITDA for the two consecutive quarters ending June 27, 2021 divided by 58.5%.</w:t>
      </w:r>
    </w:p>
    <w:p>
      <w:pPr>
        <w:spacing w:after="0" w:line="16" w:lineRule="exact"/>
        <w:rPr>
          <w:rFonts w:ascii="Arial" w:cs="Arial" w:eastAsia="Arial" w:hAnsi="Arial"/>
          <w:sz w:val="15"/>
          <w:szCs w:val="15"/>
          <w:color w:val="auto"/>
        </w:rPr>
      </w:pPr>
    </w:p>
    <w:p>
      <w:pPr>
        <w:ind w:left="660" w:right="20" w:hanging="652"/>
        <w:spacing w:after="0" w:line="257"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Seasonally annualized Consolidated EBITDA calculated as Consolidated EBITDA for the three consecutive quarters ending September 26, 2021 divided by 77.0%.</w:t>
      </w:r>
    </w:p>
    <w:p>
      <w:pPr>
        <w:spacing w:after="0" w:line="20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Under the terms of the Amended Credit Agreement, we are required to meet a minimum monthly liquidity threshold of $125.0 million through March 28, 2021, calculated as the sum of available capacity under our revolving credit facility, unrestricted domestic cash on hand and up to $25.0 million of unrestricted cash held by foreign subsidiaries. We are also prohibited from making certain restricted payments, investments or acquisitions until after September 26, 2021, with an exception for investments in our foreign subsidiaries which are capped at $27.5 million. Repurchasing shares of our outstanding common stock and paying dividends are also restricted until after September 26, 2021.</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Interest rates under the Amended Credit Agreement are 275 and 175 basis points above the Eurocurrency Rate and Base Rate, respectively, and letter of credit fees and fees for the daily unused availability under the revolving credit facility are 2.75% and 0.40%, respectively, subject to reversion to rates under the original credit agreement when we are in compliance with the TNLR covenant for the test period ending September 26, 2021. We are also subject to a 0% Eurocurrency floor under the Amended Credit Agreement.</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Amended Credit Agreement contains term loan mandatory prepayment requirements of 50% of our annual excess cash flow (as defined in the Amended Credit Agreement) after December 27, 2020. The amount outstanding required to be prepaid may vary based on our leverage ratio and year end results. Other than the annual required minimum amortization premiums of $37.5 million, we do not anticipate any other payments will be required through December 26, 2021.</w:t>
      </w:r>
    </w:p>
    <w:p>
      <w:pPr>
        <w:spacing w:after="0" w:line="21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December 27, 2020 and December 29, 2019, we were in compliance with our debt covenants. We believe that we will remain in compliance with our debt covenants during the 12 months following the issuance of our financial statements.</w:t>
      </w:r>
    </w:p>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2025 Notes </w:t>
      </w:r>
      <w:r>
        <w:rPr>
          <w:rFonts w:ascii="Arial" w:cs="Arial" w:eastAsia="Arial" w:hAnsi="Arial"/>
          <w:sz w:val="20"/>
          <w:szCs w:val="20"/>
          <w:color w:val="auto"/>
        </w:rPr>
        <w:t>- On May 8, 2020, we completed a $200.0 million principal amount private offering of 5.00% convertible senior notes due in</w:t>
      </w:r>
      <w:r>
        <w:rPr>
          <w:rFonts w:ascii="Arial" w:cs="Arial" w:eastAsia="Arial" w:hAnsi="Arial"/>
          <w:sz w:val="20"/>
          <w:szCs w:val="20"/>
          <w:i w:val="1"/>
          <w:iCs w:val="1"/>
          <w:color w:val="auto"/>
        </w:rPr>
        <w:t xml:space="preserve"> </w:t>
      </w:r>
      <w:r>
        <w:rPr>
          <w:rFonts w:ascii="Arial" w:cs="Arial" w:eastAsia="Arial" w:hAnsi="Arial"/>
          <w:sz w:val="20"/>
          <w:szCs w:val="20"/>
          <w:color w:val="auto"/>
        </w:rPr>
        <w:t>2025 and on May 12, 2020, issued an additional $30.0 million principal amount in connection with the option granted to the initial purchasers as part of the offering (collectively, the “2025 Notes”). The 2025 Notes will mature on May 1, 2025, unless earlier converted, redeemed or purchased by us. The 2025 Notes bear cash interest at an annual rate of 5.00%, payable semi-annually in arrears on May 1 and November 1 of each year, beginning on November 1, 2020.</w:t>
      </w:r>
    </w:p>
    <w:p>
      <w:pPr>
        <w:spacing w:after="0" w:line="22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Net proceeds from this offering were approximately $221.6 million, after deducting the initial purchaser’s discounts and commissions and our offering expenses.</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initial conversion rate applicable to the 2025 Notes is 84.122 shares of common stock per $1,000 principal amount of 2025 Notes, or a total of approximately 19.348 million shares for the total $230.0 million principal amount. This initial conversion rate is equivalent to an initial conversion price of approximately $11.89 per share.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 of December 27, 2020, we had the option to settle conversions by paying or delivering, as applicable, cash, shares of our common stock or a combination of cash and shares of our common stock, at our election, based on the applicable conversion rate.</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In February 2021, we provided the trustee of </w:t>
      </w:r>
      <w:r>
        <w:rPr>
          <w:rFonts w:ascii="Arial" w:cs="Arial" w:eastAsia="Arial" w:hAnsi="Arial"/>
          <w:sz w:val="20"/>
          <w:szCs w:val="20"/>
          <w:color w:val="252525"/>
        </w:rPr>
        <w:t>the</w:t>
      </w:r>
      <w:r>
        <w:rPr>
          <w:rFonts w:ascii="Arial" w:cs="Arial" w:eastAsia="Arial" w:hAnsi="Arial"/>
          <w:sz w:val="20"/>
          <w:szCs w:val="20"/>
          <w:color w:val="auto"/>
        </w:rPr>
        <w:t xml:space="preserve"> 2025 Notes notice of our irrevocable election under the indenture to settle the principal portion of </w:t>
      </w:r>
      <w:r>
        <w:rPr>
          <w:rFonts w:ascii="Arial" w:cs="Arial" w:eastAsia="Arial" w:hAnsi="Arial"/>
          <w:sz w:val="20"/>
          <w:szCs w:val="20"/>
          <w:color w:val="252525"/>
        </w:rPr>
        <w:t>the</w:t>
      </w:r>
      <w:r>
        <w:rPr>
          <w:rFonts w:ascii="Arial" w:cs="Arial" w:eastAsia="Arial" w:hAnsi="Arial"/>
          <w:sz w:val="20"/>
          <w:szCs w:val="20"/>
          <w:color w:val="auto"/>
        </w:rPr>
        <w:t xml:space="preserve"> 2025 Notes in cash and any excess in shares.</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 xml:space="preserve">Convertible Note Hedge and Warrant Transactions </w:t>
      </w:r>
      <w:r>
        <w:rPr>
          <w:rFonts w:ascii="Arial" w:cs="Arial" w:eastAsia="Arial" w:hAnsi="Arial"/>
          <w:sz w:val="18"/>
          <w:szCs w:val="18"/>
          <w:color w:val="252525"/>
        </w:rPr>
        <w:t>- In connection with the offering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2025 Notes</w:t>
      </w:r>
      <w:r>
        <w:rPr>
          <w:rFonts w:ascii="Arial" w:cs="Arial" w:eastAsia="Arial" w:hAnsi="Arial"/>
          <w:sz w:val="18"/>
          <w:szCs w:val="18"/>
          <w:color w:val="252525"/>
        </w:rPr>
        <w:t>, we entered into convertible note</w:t>
      </w:r>
      <w:r>
        <w:rPr>
          <w:rFonts w:ascii="Arial" w:cs="Arial" w:eastAsia="Arial" w:hAnsi="Arial"/>
          <w:sz w:val="18"/>
          <w:szCs w:val="18"/>
          <w:i w:val="1"/>
          <w:iCs w:val="1"/>
          <w:color w:val="auto"/>
        </w:rPr>
        <w:t xml:space="preserve"> </w:t>
      </w:r>
      <w:r>
        <w:rPr>
          <w:rFonts w:ascii="Arial" w:cs="Arial" w:eastAsia="Arial" w:hAnsi="Arial"/>
          <w:sz w:val="18"/>
          <w:szCs w:val="18"/>
          <w:color w:val="252525"/>
        </w:rPr>
        <w:t xml:space="preserve">hedge transactions (the “Convertible Note Hedge Transactions”) with certain of the initial purchasers of the </w:t>
      </w:r>
      <w:r>
        <w:rPr>
          <w:rFonts w:ascii="Arial" w:cs="Arial" w:eastAsia="Arial" w:hAnsi="Arial"/>
          <w:sz w:val="18"/>
          <w:szCs w:val="18"/>
          <w:color w:val="000000"/>
        </w:rPr>
        <w:t>2025 Notes</w:t>
      </w:r>
      <w:r>
        <w:rPr>
          <w:rFonts w:ascii="Arial" w:cs="Arial" w:eastAsia="Arial" w:hAnsi="Arial"/>
          <w:sz w:val="18"/>
          <w:szCs w:val="18"/>
          <w:color w:val="252525"/>
        </w:rPr>
        <w:t xml:space="preserve"> and/or their respective affiliates and other financial institutions (in this capacity, the (“Hedge Counterparties”). Concurrently with our entry into the Convertible Note Hedge Transactions, we also entered into separate warrant transactions with the Hedge Counterparties collectively relating to the same number of shares of our common stock, subject to customary anti-dilution adjustments, and for which we received proceeds that partially offset the cost of entering into the Convertible Note Hedge Transactions (the “Warrant Transactions”).</w:t>
      </w:r>
    </w:p>
    <w:p>
      <w:pPr>
        <w:spacing w:after="0" w:line="192"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252525"/>
        </w:rPr>
        <w:t xml:space="preserve">The portion of the net proceeds from our offering of the </w:t>
      </w:r>
      <w:r>
        <w:rPr>
          <w:rFonts w:ascii="Arial" w:cs="Arial" w:eastAsia="Arial" w:hAnsi="Arial"/>
          <w:sz w:val="19"/>
          <w:szCs w:val="19"/>
          <w:color w:val="000000"/>
        </w:rPr>
        <w:t>2025 Notes</w:t>
      </w:r>
      <w:r>
        <w:rPr>
          <w:rFonts w:ascii="Arial" w:cs="Arial" w:eastAsia="Arial" w:hAnsi="Arial"/>
          <w:sz w:val="19"/>
          <w:szCs w:val="19"/>
          <w:color w:val="252525"/>
        </w:rPr>
        <w:t xml:space="preserve"> that was used to pay the premium on the Convertible Note Hedge Transactions (calculated after taking into account our proceeds from the Warrant Transactions) was approximately </w:t>
      </w:r>
      <w:r>
        <w:rPr>
          <w:rFonts w:ascii="Arial" w:cs="Arial" w:eastAsia="Arial" w:hAnsi="Arial"/>
          <w:sz w:val="19"/>
          <w:szCs w:val="19"/>
          <w:color w:val="000000"/>
        </w:rPr>
        <w:t>$19.6 million</w:t>
      </w:r>
      <w:r>
        <w:rPr>
          <w:rFonts w:ascii="Arial" w:cs="Arial" w:eastAsia="Arial" w:hAnsi="Arial"/>
          <w:sz w:val="19"/>
          <w:szCs w:val="19"/>
          <w:color w:val="252525"/>
        </w:rPr>
        <w:t>.</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See Note 14 </w:t>
      </w:r>
      <w:r>
        <w:rPr>
          <w:rFonts w:ascii="Arial" w:cs="Arial" w:eastAsia="Arial" w:hAnsi="Arial"/>
          <w:sz w:val="17"/>
          <w:szCs w:val="17"/>
          <w:color w:val="auto"/>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Convertible Senior Notes</w:t>
      </w:r>
      <w:r>
        <w:rPr>
          <w:rFonts w:ascii="Arial" w:cs="Arial" w:eastAsia="Arial" w:hAnsi="Arial"/>
          <w:sz w:val="20"/>
          <w:szCs w:val="20"/>
          <w:color w:val="auto"/>
        </w:rPr>
        <w:t xml:space="preserve"> of the Notes to Consolidated Financial Statements for additional details regarding the convertible senior notes and related hedge and warrant transactions.</w:t>
      </w:r>
    </w:p>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Cash Flow Hedges of Interest Rate Risk - </w:t>
      </w:r>
      <w:r>
        <w:rPr>
          <w:rFonts w:ascii="Arial" w:cs="Arial" w:eastAsia="Arial" w:hAnsi="Arial"/>
          <w:sz w:val="20"/>
          <w:szCs w:val="20"/>
          <w:color w:val="252525"/>
        </w:rPr>
        <w:t>We have variable-to-fixed interest rate swap agreements with 12 counterparties to hedge a portion</w:t>
      </w:r>
      <w:r>
        <w:rPr>
          <w:rFonts w:ascii="Arial" w:cs="Arial" w:eastAsia="Arial" w:hAnsi="Arial"/>
          <w:sz w:val="20"/>
          <w:szCs w:val="20"/>
          <w:i w:val="1"/>
          <w:iCs w:val="1"/>
          <w:color w:val="auto"/>
        </w:rPr>
        <w:t xml:space="preserve"> </w:t>
      </w:r>
      <w:r>
        <w:rPr>
          <w:rFonts w:ascii="Arial" w:cs="Arial" w:eastAsia="Arial" w:hAnsi="Arial"/>
          <w:sz w:val="20"/>
          <w:szCs w:val="20"/>
          <w:color w:val="252525"/>
        </w:rPr>
        <w:t xml:space="preserve">of the cash flows of our variable rate debt. The swap agreements have an aggregate notional amount of $550.0 million </w:t>
      </w:r>
      <w:r>
        <w:rPr>
          <w:rFonts w:ascii="Arial" w:cs="Arial" w:eastAsia="Arial" w:hAnsi="Arial"/>
          <w:sz w:val="20"/>
          <w:szCs w:val="20"/>
          <w:color w:val="000000"/>
        </w:rPr>
        <w:t>and mature on</w:t>
      </w:r>
      <w:r>
        <w:rPr>
          <w:rFonts w:ascii="Arial" w:cs="Arial" w:eastAsia="Arial" w:hAnsi="Arial"/>
          <w:sz w:val="20"/>
          <w:szCs w:val="20"/>
          <w:color w:val="252525"/>
        </w:rPr>
        <w:t xml:space="preserve"> </w:t>
      </w:r>
      <w:r>
        <w:rPr>
          <w:rFonts w:ascii="Arial" w:cs="Arial" w:eastAsia="Arial" w:hAnsi="Arial"/>
          <w:sz w:val="20"/>
          <w:szCs w:val="20"/>
          <w:color w:val="000000"/>
        </w:rPr>
        <w:t xml:space="preserve">November 30, 2022. We pay a weighted-average fixed rate of 3.04% on the notional amount and receive payments from the counterparties based on the one-month London Inter-Bank Offered Rate (“LIBOR”) rate. See Note 17 - </w:t>
      </w:r>
      <w:r>
        <w:rPr>
          <w:rFonts w:ascii="Arial" w:cs="Arial" w:eastAsia="Arial" w:hAnsi="Arial"/>
          <w:sz w:val="20"/>
          <w:szCs w:val="20"/>
          <w:i w:val="1"/>
          <w:iCs w:val="1"/>
          <w:color w:val="000000"/>
        </w:rPr>
        <w:t>Derivative Instruments and Hedging Activities</w:t>
      </w:r>
      <w:r>
        <w:rPr>
          <w:rFonts w:ascii="Arial" w:cs="Arial" w:eastAsia="Arial" w:hAnsi="Arial"/>
          <w:sz w:val="20"/>
          <w:szCs w:val="20"/>
          <w:color w:val="000000"/>
        </w:rPr>
        <w:t xml:space="preserve"> of the Notes to Consolidated Financial Statements for further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SUMMARY OF CASH FLOWS</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presents a summary of our cash flows provided by (used in) operating, investing and financing activities for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9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2019</w:t>
            </w: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138,849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317,603</w:t>
            </w: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(76,639)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(131,291)</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(16,773)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(189,359)</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(1,631)</w:t>
            </w:r>
          </w:p>
        </w:tc>
      </w:tr>
      <w:tr>
        <w:trPr>
          <w:trHeight w:val="23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43,263</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Operating activities - </w:t>
      </w:r>
      <w:r>
        <w:rPr>
          <w:rFonts w:ascii="Arial" w:cs="Arial" w:eastAsia="Arial" w:hAnsi="Arial"/>
          <w:sz w:val="20"/>
          <w:szCs w:val="20"/>
          <w:color w:val="auto"/>
        </w:rPr>
        <w:t>Net cash provided by operating activities decreased during 2020 as compared to 2019 primarily due to a decrease in net</w:t>
      </w:r>
      <w:r>
        <w:rPr>
          <w:rFonts w:ascii="Arial" w:cs="Arial" w:eastAsia="Arial" w:hAnsi="Arial"/>
          <w:sz w:val="20"/>
          <w:szCs w:val="20"/>
          <w:i w:val="1"/>
          <w:iCs w:val="1"/>
          <w:color w:val="auto"/>
        </w:rPr>
        <w:t xml:space="preserve"> </w:t>
      </w:r>
      <w:r>
        <w:rPr>
          <w:rFonts w:ascii="Arial" w:cs="Arial" w:eastAsia="Arial" w:hAnsi="Arial"/>
          <w:sz w:val="20"/>
          <w:szCs w:val="20"/>
          <w:color w:val="auto"/>
        </w:rPr>
        <w:t>restaurant sales and lower gift card sales. These decreases were partially offset by: (i) decreased variable operating costs as a result of lower net restaurant sales, offset by relief payments made to employees as a result of the COVID-19 pandemic, (ii) deferral of payroll tax payments as a result of the CARES Act, (iii) the timing of collections of receivables and payments made, (iv) lower inventory purchases and (v) lower income tax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Investing activities - </w:t>
      </w:r>
      <w:r>
        <w:rPr>
          <w:rFonts w:ascii="Arial" w:cs="Arial" w:eastAsia="Arial" w:hAnsi="Arial"/>
          <w:sz w:val="18"/>
          <w:szCs w:val="18"/>
          <w:color w:val="auto"/>
        </w:rPr>
        <w:t>The decrease in net cash used in investing activities during 2020 as compared to 2019 was primarily due to: (i) lower</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expenditures from liquidity management in response to the COVID-19 pandemic and restrictions under the Amended Credit Agreement and (ii) an increase in cash withdrawn from Company-owned life insurances policies to settle deferred compensation obligations, partially offset by lower proceeds from the disposal of property, fixtures and equipment and from sale-leaseback transactions.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i w:val="1"/>
          <w:iCs w:val="1"/>
          <w:color w:val="auto"/>
        </w:rPr>
        <w:t xml:space="preserve">Financing activities - </w:t>
      </w:r>
      <w:r>
        <w:rPr>
          <w:rFonts w:ascii="Arial" w:cs="Arial" w:eastAsia="Arial" w:hAnsi="Arial"/>
          <w:sz w:val="19"/>
          <w:szCs w:val="19"/>
          <w:color w:val="auto"/>
        </w:rPr>
        <w:t>The decrease in net cash used in financing activities during 2020 as compared to 2019 was primarily due to: (i)</w:t>
      </w:r>
      <w:r>
        <w:rPr>
          <w:rFonts w:ascii="Arial" w:cs="Arial" w:eastAsia="Arial" w:hAnsi="Arial"/>
          <w:sz w:val="19"/>
          <w:szCs w:val="19"/>
          <w:i w:val="1"/>
          <w:iCs w:val="1"/>
          <w:color w:val="auto"/>
        </w:rPr>
        <w:t xml:space="preserve"> </w:t>
      </w:r>
      <w:r>
        <w:rPr>
          <w:rFonts w:ascii="Arial" w:cs="Arial" w:eastAsia="Arial" w:hAnsi="Arial"/>
          <w:sz w:val="19"/>
          <w:szCs w:val="19"/>
          <w:color w:val="auto"/>
        </w:rPr>
        <w:t>proceeds from issuance of convertible senior notes and related warrant transactions and (ii) a decrease in the repurchase of our common stock and payment of dividends on our common stock from liquidity management in response to the COVID-19 pandemic and restrictions under the Amended Credit Agreement. These decreases were partially offset by increases primarily due to: (i) increased repayments on our revolving credit facility, net of drawdowns, (ii) premium payments for Convertible Note Hedge Transactions and (iii) issuance costs and financing fees in connection with our 2025 Notes and Amended Credit Agreement.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FINANCIAL CONDITION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our current assets, current liabilities and working capital (deficit) as of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27, 2020</w:t>
            </w:r>
          </w:p>
        </w:tc>
        <w:tc>
          <w:tcPr>
            <w:tcW w:w="200" w:type="dxa"/>
            <w:vAlign w:val="bottom"/>
          </w:tcPr>
          <w:p>
            <w:pPr>
              <w:spacing w:after="0"/>
              <w:rPr>
                <w:sz w:val="17"/>
                <w:szCs w:val="17"/>
                <w:color w:val="auto"/>
              </w:rPr>
            </w:pPr>
          </w:p>
        </w:tc>
        <w:tc>
          <w:tcPr>
            <w:tcW w:w="1740" w:type="dxa"/>
            <w:vAlign w:val="bottom"/>
          </w:tcPr>
          <w:p>
            <w:pPr>
              <w:ind w:left="80"/>
              <w:spacing w:after="0"/>
              <w:rPr>
                <w:sz w:val="20"/>
                <w:szCs w:val="20"/>
                <w:color w:val="auto"/>
              </w:rPr>
            </w:pPr>
            <w:r>
              <w:rPr>
                <w:rFonts w:ascii="Arial" w:cs="Arial" w:eastAsia="Arial" w:hAnsi="Arial"/>
                <w:sz w:val="14"/>
                <w:szCs w:val="14"/>
                <w:b w:val="1"/>
                <w:bCs w:val="1"/>
                <w:color w:val="auto"/>
              </w:rPr>
              <w:t>DECEMBER 29, 2019</w:t>
            </w:r>
          </w:p>
        </w:tc>
      </w:tr>
      <w:tr>
        <w:trPr>
          <w:trHeight w:val="216"/>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center"/>
              <w:ind w:left="1001"/>
              <w:spacing w:after="0"/>
              <w:rPr>
                <w:sz w:val="20"/>
                <w:szCs w:val="20"/>
                <w:color w:val="auto"/>
              </w:rPr>
            </w:pPr>
            <w:r>
              <w:rPr>
                <w:rFonts w:ascii="Arial" w:cs="Arial" w:eastAsia="Arial" w:hAnsi="Arial"/>
                <w:sz w:val="16"/>
                <w:szCs w:val="16"/>
                <w:color w:val="auto"/>
                <w:w w:val="93"/>
              </w:rPr>
              <w:t>323,854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center"/>
              <w:ind w:left="1001"/>
              <w:spacing w:after="0"/>
              <w:rPr>
                <w:sz w:val="20"/>
                <w:szCs w:val="20"/>
                <w:color w:val="auto"/>
              </w:rPr>
            </w:pPr>
            <w:r>
              <w:rPr>
                <w:rFonts w:ascii="Arial" w:cs="Arial" w:eastAsia="Arial" w:hAnsi="Arial"/>
                <w:sz w:val="16"/>
                <w:szCs w:val="16"/>
                <w:color w:val="auto"/>
                <w:w w:val="93"/>
              </w:rPr>
              <w:t>340,468</w:t>
            </w:r>
          </w:p>
        </w:tc>
      </w:tr>
      <w:tr>
        <w:trPr>
          <w:trHeight w:val="223"/>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left="1001"/>
              <w:spacing w:after="0"/>
              <w:rPr>
                <w:sz w:val="20"/>
                <w:szCs w:val="20"/>
                <w:color w:val="auto"/>
              </w:rPr>
            </w:pPr>
            <w:r>
              <w:rPr>
                <w:rFonts w:ascii="Arial" w:cs="Arial" w:eastAsia="Arial" w:hAnsi="Arial"/>
                <w:sz w:val="16"/>
                <w:szCs w:val="16"/>
                <w:color w:val="auto"/>
                <w:w w:val="93"/>
              </w:rPr>
              <w:t>950,104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left="1001"/>
              <w:spacing w:after="0"/>
              <w:rPr>
                <w:sz w:val="20"/>
                <w:szCs w:val="20"/>
                <w:color w:val="auto"/>
              </w:rPr>
            </w:pPr>
            <w:r>
              <w:rPr>
                <w:rFonts w:ascii="Arial" w:cs="Arial" w:eastAsia="Arial" w:hAnsi="Arial"/>
                <w:sz w:val="16"/>
                <w:szCs w:val="16"/>
                <w:color w:val="auto"/>
                <w:w w:val="93"/>
              </w:rPr>
              <w:t>962,021</w:t>
            </w:r>
          </w:p>
        </w:tc>
      </w:tr>
      <w:tr>
        <w:trPr>
          <w:trHeight w:val="241"/>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Working capital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center"/>
              <w:ind w:left="981"/>
              <w:spacing w:after="0"/>
              <w:rPr>
                <w:sz w:val="20"/>
                <w:szCs w:val="20"/>
                <w:color w:val="auto"/>
              </w:rPr>
            </w:pPr>
            <w:r>
              <w:rPr>
                <w:rFonts w:ascii="Arial" w:cs="Arial" w:eastAsia="Arial" w:hAnsi="Arial"/>
                <w:sz w:val="16"/>
                <w:szCs w:val="16"/>
                <w:color w:val="auto"/>
                <w:w w:val="93"/>
              </w:rPr>
              <w:t>(626,250)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center"/>
              <w:ind w:left="981"/>
              <w:spacing w:after="0"/>
              <w:rPr>
                <w:sz w:val="20"/>
                <w:szCs w:val="20"/>
                <w:color w:val="auto"/>
              </w:rPr>
            </w:pPr>
            <w:r>
              <w:rPr>
                <w:rFonts w:ascii="Arial" w:cs="Arial" w:eastAsia="Arial" w:hAnsi="Arial"/>
                <w:sz w:val="16"/>
                <w:szCs w:val="16"/>
                <w:color w:val="auto"/>
                <w:w w:val="93"/>
              </w:rPr>
              <w:t>(621,553)</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Working capital (deficit) includes: (i) Unearned revenue primarily from unredeemed gift cards of $381.6 million and $369.3 million as of December 27, 2020 and December 29, 2019, respectively and (ii) current operating lease liabilities of $176.8 million and $171.9 million as of December 27, 2020 and December 29, 2019, respectively, with the corresponding operating right-of-use assets recorded as non-current on our Consolidated Balance Sheets. We have, and in the future may continue to have, negative working capital balances (as is common for many restaurant companies). We operate successfully with negative working capital because cash collected on restaurant sales is typically received before payment is due on our current liabilities, and our inventory turnover rates require relatively low investment in inventories. Additionally, ongoing cash flows from restaurant operations and gift card sales are used to service debt obligations and make capital expenditures.</w:t>
      </w: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i w:val="1"/>
          <w:iCs w:val="1"/>
          <w:color w:val="auto"/>
        </w:rPr>
        <w:t xml:space="preserve">Deferred Compensation Programs - </w:t>
      </w:r>
      <w:r>
        <w:rPr>
          <w:rFonts w:ascii="Arial" w:cs="Arial" w:eastAsia="Arial" w:hAnsi="Arial"/>
          <w:sz w:val="18"/>
          <w:szCs w:val="18"/>
          <w:color w:val="auto"/>
        </w:rPr>
        <w:t>Certain Restaurant Managing Partners and Chef Partners in the U.S. (“U.S. Partners”) participate in</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compensation programs that are subject to the rules of Section 409A of the Internal Revenue Code. The deferred compensation obligation due under these plans was $28.1 million and $49.0 million as of December 27, 2020 and December 29, 2019, respectively. We invest in various corporate-owned life insurance policies, which are held within an irrevocable grantor or “rabbi” trust account for settlement of our obligations under these deferred compensation plans. The rabbi trust is funded through our voluntary contributions. The obligation for U.S. Partners’ deferred compensation was fully funded as of December 27, 2020. From time to time, we may utilize operating cash for short periods to fund deferred compensation plan distributions due to restrictions on the timing of withdrawals from the “rabbi” trust account, however, once available for withdrawal, funds from the “rabbi” trust may be returned to operating cash.</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Other Compensation Programs </w:t>
      </w:r>
      <w:r>
        <w:rPr>
          <w:rFonts w:ascii="Arial" w:cs="Arial" w:eastAsia="Arial" w:hAnsi="Arial"/>
          <w:sz w:val="20"/>
          <w:szCs w:val="20"/>
          <w:color w:val="auto"/>
        </w:rPr>
        <w:t>- Certain U.S. Partners participate in a non-qualified long-term compensation program that we fund as the</w:t>
      </w:r>
      <w:r>
        <w:rPr>
          <w:rFonts w:ascii="Arial" w:cs="Arial" w:eastAsia="Arial" w:hAnsi="Arial"/>
          <w:sz w:val="20"/>
          <w:szCs w:val="20"/>
          <w:i w:val="1"/>
          <w:iCs w:val="1"/>
          <w:color w:val="auto"/>
        </w:rPr>
        <w:t xml:space="preserve"> </w:t>
      </w:r>
      <w:r>
        <w:rPr>
          <w:rFonts w:ascii="Arial" w:cs="Arial" w:eastAsia="Arial" w:hAnsi="Arial"/>
          <w:sz w:val="20"/>
          <w:szCs w:val="20"/>
          <w:color w:val="auto"/>
        </w:rPr>
        <w:t>obligation for each participant becomes due.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DIVIDENDS AND SHARE REPURCHASES</w:t>
      </w:r>
    </w:p>
    <w:p>
      <w:pPr>
        <w:spacing w:after="0" w:line="24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During the first quarter of 2020, we declared and paid dividends of $0.20 per share. In May 2020, we entered into an Amended Credit Agreement, the terms of which contain certain restrictions on cash dividends and share repurchases until after September 26, 2021 and we are compliant with our financial covenants. In 2019, we declared and paid quarterly cash dividends of $0.10 per share.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our share repurchase programs as of December 27, 2020 (dollars in thousands):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8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 REPURCHASE</w:t>
            </w:r>
          </w:p>
        </w:tc>
        <w:tc>
          <w:tcPr>
            <w:tcW w:w="1800" w:type="dxa"/>
            <w:vAlign w:val="bottom"/>
            <w:gridSpan w:val="2"/>
          </w:tcPr>
          <w:p>
            <w:pPr>
              <w:ind w:left="180"/>
              <w:spacing w:after="0"/>
              <w:rPr>
                <w:sz w:val="20"/>
                <w:szCs w:val="20"/>
                <w:color w:val="auto"/>
              </w:rPr>
            </w:pPr>
            <w:r>
              <w:rPr>
                <w:rFonts w:ascii="Arial" w:cs="Arial" w:eastAsia="Arial" w:hAnsi="Arial"/>
                <w:sz w:val="14"/>
                <w:szCs w:val="14"/>
                <w:b w:val="1"/>
                <w:bCs w:val="1"/>
                <w:color w:val="auto"/>
              </w:rPr>
              <w:t>BOARD APPROVAL</w:t>
            </w:r>
          </w:p>
        </w:tc>
        <w:tc>
          <w:tcPr>
            <w:tcW w:w="220" w:type="dxa"/>
            <w:vAlign w:val="bottom"/>
          </w:tcPr>
          <w:p>
            <w:pPr>
              <w:spacing w:after="0"/>
              <w:rPr>
                <w:sz w:val="14"/>
                <w:szCs w:val="14"/>
                <w:color w:val="auto"/>
              </w:rPr>
            </w:pPr>
          </w:p>
        </w:tc>
        <w:tc>
          <w:tcPr>
            <w:tcW w:w="148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AUTHORIZED</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REPURCHASED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CANCELLED OR</w:t>
            </w:r>
          </w:p>
        </w:tc>
        <w:tc>
          <w:tcPr>
            <w:tcW w:w="260" w:type="dxa"/>
            <w:vAlign w:val="bottom"/>
          </w:tcPr>
          <w:p>
            <w:pPr>
              <w:spacing w:after="0"/>
              <w:rPr>
                <w:sz w:val="14"/>
                <w:szCs w:val="14"/>
                <w:color w:val="auto"/>
              </w:rPr>
            </w:pPr>
          </w:p>
        </w:tc>
        <w:tc>
          <w:tcPr>
            <w:tcW w:w="14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96"/>
        </w:trPr>
        <w:tc>
          <w:tcPr>
            <w:tcW w:w="218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PROGRAM</w:t>
            </w:r>
          </w:p>
        </w:tc>
        <w:tc>
          <w:tcPr>
            <w:tcW w:w="10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DATE</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EXPIRED</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6"/>
                <w:szCs w:val="16"/>
                <w:color w:val="auto"/>
              </w:rPr>
              <w:t>2014</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12, 2014</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180" w:type="dxa"/>
            <w:vAlign w:val="bottom"/>
          </w:tcPr>
          <w:p>
            <w:pPr>
              <w:spacing w:after="0"/>
              <w:rPr>
                <w:sz w:val="20"/>
                <w:szCs w:val="20"/>
                <w:color w:val="auto"/>
              </w:rPr>
            </w:pPr>
            <w:r>
              <w:rPr>
                <w:rFonts w:ascii="Arial" w:cs="Arial" w:eastAsia="Arial" w:hAnsi="Arial"/>
                <w:sz w:val="16"/>
                <w:szCs w:val="16"/>
                <w:color w:val="auto"/>
              </w:rPr>
              <w:t>2015</w:t>
            </w:r>
          </w:p>
        </w:tc>
        <w:tc>
          <w:tcPr>
            <w:tcW w:w="10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Arial" w:cs="Arial" w:eastAsia="Arial" w:hAnsi="Arial"/>
                <w:sz w:val="16"/>
                <w:szCs w:val="16"/>
                <w:color w:val="auto"/>
              </w:rPr>
              <w:t>August 3, 2015</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69,999</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
              <w:spacing w:after="0"/>
              <w:rPr>
                <w:sz w:val="20"/>
                <w:szCs w:val="20"/>
                <w:color w:val="auto"/>
              </w:rPr>
            </w:pPr>
            <w:r>
              <w:rPr>
                <w:rFonts w:ascii="Arial" w:cs="Arial" w:eastAsia="Arial" w:hAnsi="Arial"/>
                <w:sz w:val="16"/>
                <w:szCs w:val="16"/>
                <w:color w:val="auto"/>
              </w:rPr>
              <w:t>30,001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180" w:type="dxa"/>
            <w:vAlign w:val="bottom"/>
            <w:shd w:val="clear" w:color="auto" w:fill="CCEEFF"/>
          </w:tcPr>
          <w:p>
            <w:pPr>
              <w:spacing w:after="0"/>
              <w:rPr>
                <w:sz w:val="20"/>
                <w:szCs w:val="20"/>
                <w:color w:val="auto"/>
              </w:rPr>
            </w:pPr>
            <w:r>
              <w:rPr>
                <w:rFonts w:ascii="Arial" w:cs="Arial" w:eastAsia="Arial" w:hAnsi="Arial"/>
                <w:sz w:val="16"/>
                <w:szCs w:val="16"/>
                <w:color w:val="auto"/>
              </w:rPr>
              <w:t>2016</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February 12, 2016</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139,892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110,108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280" w:type="dxa"/>
            <w:vAlign w:val="bottom"/>
            <w:gridSpan w:val="2"/>
          </w:tcPr>
          <w:p>
            <w:pPr>
              <w:spacing w:after="0"/>
              <w:rPr>
                <w:sz w:val="20"/>
                <w:szCs w:val="20"/>
                <w:color w:val="auto"/>
              </w:rPr>
            </w:pPr>
            <w:r>
              <w:rPr>
                <w:rFonts w:ascii="Arial" w:cs="Arial" w:eastAsia="Arial" w:hAnsi="Arial"/>
                <w:sz w:val="16"/>
                <w:szCs w:val="16"/>
                <w:color w:val="auto"/>
              </w:rPr>
              <w:t>July 2016</w:t>
            </w:r>
          </w:p>
        </w:tc>
        <w:tc>
          <w:tcPr>
            <w:tcW w:w="1800" w:type="dxa"/>
            <w:vAlign w:val="bottom"/>
            <w:gridSpan w:val="2"/>
          </w:tcPr>
          <w:p>
            <w:pPr>
              <w:ind w:left="20"/>
              <w:spacing w:after="0"/>
              <w:rPr>
                <w:sz w:val="20"/>
                <w:szCs w:val="20"/>
                <w:color w:val="auto"/>
              </w:rPr>
            </w:pPr>
            <w:r>
              <w:rPr>
                <w:rFonts w:ascii="Arial" w:cs="Arial" w:eastAsia="Arial" w:hAnsi="Arial"/>
                <w:sz w:val="16"/>
                <w:szCs w:val="16"/>
                <w:color w:val="auto"/>
              </w:rPr>
              <w:t>July 26, 2016</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247,731</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
              <w:spacing w:after="0"/>
              <w:rPr>
                <w:sz w:val="20"/>
                <w:szCs w:val="20"/>
                <w:color w:val="auto"/>
              </w:rPr>
            </w:pPr>
            <w:r>
              <w:rPr>
                <w:rFonts w:ascii="Arial" w:cs="Arial" w:eastAsia="Arial" w:hAnsi="Arial"/>
                <w:sz w:val="16"/>
                <w:szCs w:val="16"/>
                <w:color w:val="auto"/>
              </w:rPr>
              <w:t>52,269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180" w:type="dxa"/>
            <w:vAlign w:val="bottom"/>
            <w:shd w:val="clear" w:color="auto" w:fill="CCEEFF"/>
          </w:tcPr>
          <w:p>
            <w:pPr>
              <w:spacing w:after="0"/>
              <w:rPr>
                <w:sz w:val="20"/>
                <w:szCs w:val="20"/>
                <w:color w:val="auto"/>
              </w:rPr>
            </w:pPr>
            <w:r>
              <w:rPr>
                <w:rFonts w:ascii="Arial" w:cs="Arial" w:eastAsia="Arial" w:hAnsi="Arial"/>
                <w:sz w:val="16"/>
                <w:szCs w:val="16"/>
                <w:color w:val="auto"/>
              </w:rPr>
              <w:t>2017</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April 21, 2017</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195,000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55,000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180" w:type="dxa"/>
            <w:vAlign w:val="bottom"/>
          </w:tcPr>
          <w:p>
            <w:pPr>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Arial" w:cs="Arial" w:eastAsia="Arial" w:hAnsi="Arial"/>
                <w:sz w:val="16"/>
                <w:szCs w:val="16"/>
                <w:color w:val="auto"/>
              </w:rPr>
              <w:t>February 16, 2018</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113,967</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
              <w:spacing w:after="0"/>
              <w:rPr>
                <w:sz w:val="20"/>
                <w:szCs w:val="20"/>
                <w:color w:val="auto"/>
              </w:rPr>
            </w:pPr>
            <w:r>
              <w:rPr>
                <w:rFonts w:ascii="Arial" w:cs="Arial" w:eastAsia="Arial" w:hAnsi="Arial"/>
                <w:sz w:val="16"/>
                <w:szCs w:val="16"/>
                <w:color w:val="auto"/>
              </w:rPr>
              <w:t>36,033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February 12, 2019</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106,992</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43,008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6"/>
                <w:szCs w:val="16"/>
                <w:color w:val="auto"/>
                <w:w w:val="95"/>
              </w:rPr>
              <w:t>Total share repurchase programs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973,581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our dividends and share repurchases for the periods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4"/>
                <w:szCs w:val="14"/>
                <w:color w:val="auto"/>
              </w:rPr>
            </w:pPr>
          </w:p>
        </w:tc>
        <w:tc>
          <w:tcPr>
            <w:tcW w:w="156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DIVIDENDS PAID</w:t>
            </w:r>
          </w:p>
        </w:tc>
        <w:tc>
          <w:tcPr>
            <w:tcW w:w="100" w:type="dxa"/>
            <w:vAlign w:val="bottom"/>
            <w:vMerge w:val="restart"/>
          </w:tcPr>
          <w:p>
            <w:pPr>
              <w:spacing w:after="0"/>
              <w:rPr>
                <w:sz w:val="14"/>
                <w:szCs w:val="14"/>
                <w:color w:val="auto"/>
              </w:rPr>
            </w:pPr>
          </w:p>
        </w:tc>
        <w:tc>
          <w:tcPr>
            <w:tcW w:w="1880" w:type="dxa"/>
            <w:vAlign w:val="bottom"/>
            <w:gridSpan w:val="3"/>
          </w:tcPr>
          <w:p>
            <w:pPr>
              <w:ind w:left="80"/>
              <w:spacing w:after="0"/>
              <w:rPr>
                <w:sz w:val="20"/>
                <w:szCs w:val="20"/>
                <w:color w:val="auto"/>
              </w:rPr>
            </w:pPr>
            <w:r>
              <w:rPr>
                <w:rFonts w:ascii="Arial" w:cs="Arial" w:eastAsia="Arial" w:hAnsi="Arial"/>
                <w:sz w:val="14"/>
                <w:szCs w:val="14"/>
                <w:b w:val="1"/>
                <w:bCs w:val="1"/>
                <w:color w:val="auto"/>
              </w:rPr>
              <w:t>SHARE REPURCHASES</w:t>
            </w:r>
          </w:p>
        </w:tc>
        <w:tc>
          <w:tcPr>
            <w:tcW w:w="360" w:type="dxa"/>
            <w:vAlign w:val="bottom"/>
          </w:tcPr>
          <w:p>
            <w:pPr>
              <w:spacing w:after="0"/>
              <w:rPr>
                <w:sz w:val="14"/>
                <w:szCs w:val="14"/>
                <w:color w:val="auto"/>
              </w:rPr>
            </w:pPr>
          </w:p>
        </w:tc>
        <w:tc>
          <w:tcPr>
            <w:tcW w:w="1400" w:type="dxa"/>
            <w:vAlign w:val="bottom"/>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720"/>
              <w:spacing w:after="0"/>
              <w:rPr>
                <w:sz w:val="20"/>
                <w:szCs w:val="20"/>
                <w:color w:val="auto"/>
              </w:rPr>
            </w:pPr>
            <w:r>
              <w:rPr>
                <w:rFonts w:ascii="Arial" w:cs="Arial" w:eastAsia="Arial" w:hAnsi="Arial"/>
                <w:sz w:val="14"/>
                <w:szCs w:val="14"/>
                <w:b w:val="1"/>
                <w:bCs w:val="1"/>
                <w:color w:val="auto"/>
              </w:rPr>
              <w:t>(1)</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year 2020</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17,480</w:t>
            </w:r>
          </w:p>
        </w:tc>
        <w:tc>
          <w:tcPr>
            <w:tcW w:w="0" w:type="dxa"/>
            <w:vAlign w:val="bottom"/>
          </w:tcPr>
          <w:p>
            <w:pPr>
              <w:spacing w:after="0"/>
              <w:rPr>
                <w:sz w:val="1"/>
                <w:szCs w:val="1"/>
                <w:color w:val="auto"/>
              </w:rPr>
            </w:pP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color w:val="auto"/>
              </w:rPr>
              <w:t>Fiscal year 2019</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35,734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106,992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142,726</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year 2018</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147,279</w:t>
            </w:r>
          </w:p>
        </w:tc>
        <w:tc>
          <w:tcPr>
            <w:tcW w:w="0" w:type="dxa"/>
            <w:vAlign w:val="bottom"/>
          </w:tcPr>
          <w:p>
            <w:pPr>
              <w:spacing w:after="0"/>
              <w:rPr>
                <w:sz w:val="1"/>
                <w:szCs w:val="1"/>
                <w:color w:val="auto"/>
              </w:rPr>
            </w:pP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color w:val="auto"/>
              </w:rPr>
              <w:t>Fiscal year 2017</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30,988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272,736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303,724</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year 2016</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31,379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309,887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341,266</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Fiscal year 2015</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29,332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169,999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199,331</w:t>
            </w:r>
          </w:p>
        </w:tc>
        <w:tc>
          <w:tcPr>
            <w:tcW w:w="0" w:type="dxa"/>
            <w:vAlign w:val="bottom"/>
          </w:tcPr>
          <w:p>
            <w:pPr>
              <w:spacing w:after="0"/>
              <w:rPr>
                <w:sz w:val="1"/>
                <w:szCs w:val="1"/>
                <w:color w:val="auto"/>
              </w:rPr>
            </w:pPr>
          </w:p>
        </w:tc>
      </w:tr>
      <w:tr>
        <w:trPr>
          <w:trHeight w:val="241"/>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178,225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973,581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1,151,806</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Excludes share repurchases for the settlement of taxes related to equity awards of $180, $447 and $770 for fiscal years 2017, 2016 and 2015, respectively.</w:t>
      </w:r>
    </w:p>
    <w:p>
      <w:pPr>
        <w:spacing w:after="0" w:line="239"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Our ability to pay dividends and make share repurchases is dependent on our ability to obtain funds from our subsidiaries, have access to our revolving credit facility and the existence of surplus.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OFF-BALANCE SHEET ARRANGEMENTS</w:t>
      </w:r>
    </w:p>
    <w:p>
      <w:pPr>
        <w:spacing w:after="0" w:line="243"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 xml:space="preserve">We guarantee certain lease agreements primarily related to divested restaurant properties in circumstances where we have assigned our lease interest. See Note 22 - </w:t>
      </w:r>
      <w:r>
        <w:rPr>
          <w:rFonts w:ascii="Arial" w:cs="Arial" w:eastAsia="Arial" w:hAnsi="Arial"/>
          <w:sz w:val="19"/>
          <w:szCs w:val="19"/>
          <w:i w:val="1"/>
          <w:iCs w:val="1"/>
          <w:color w:val="auto"/>
        </w:rPr>
        <w:t>Commitments and Contingencies</w:t>
      </w:r>
      <w:r>
        <w:rPr>
          <w:rFonts w:ascii="Arial" w:cs="Arial" w:eastAsia="Arial" w:hAnsi="Arial"/>
          <w:sz w:val="19"/>
          <w:szCs w:val="19"/>
          <w:color w:val="auto"/>
        </w:rPr>
        <w:t xml:space="preserve"> for additional details regarding our lease guarantees.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OTHER MATERIAL COMMITMENTS</w:t>
      </w:r>
    </w:p>
    <w:p>
      <w:pPr>
        <w:spacing w:after="0" w:line="24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Our operating lease obligations, debt obligations, contractual obligations and commitments as of December 27, 2020 are summarized in the following table: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6"/>
          </w:tcPr>
          <w:p>
            <w:pPr>
              <w:jc w:val="center"/>
              <w:ind w:left="682"/>
              <w:spacing w:after="0"/>
              <w:rPr>
                <w:sz w:val="20"/>
                <w:szCs w:val="20"/>
                <w:color w:val="auto"/>
              </w:rPr>
            </w:pPr>
            <w:r>
              <w:rPr>
                <w:rFonts w:ascii="Arial" w:cs="Arial" w:eastAsia="Arial" w:hAnsi="Arial"/>
                <w:sz w:val="14"/>
                <w:szCs w:val="14"/>
                <w:b w:val="1"/>
                <w:bCs w:val="1"/>
                <w:color w:val="auto"/>
              </w:rPr>
              <w:t>PAYMENTS DUE BY PERIOD</w:t>
            </w: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LESS THAN</w:t>
            </w:r>
          </w:p>
        </w:tc>
        <w:tc>
          <w:tcPr>
            <w:tcW w:w="220" w:type="dxa"/>
            <w:vAlign w:val="bottom"/>
          </w:tcPr>
          <w:p>
            <w:pPr>
              <w:spacing w:after="0"/>
              <w:rPr>
                <w:sz w:val="15"/>
                <w:szCs w:val="15"/>
                <w:color w:val="auto"/>
              </w:rPr>
            </w:pPr>
          </w:p>
        </w:tc>
        <w:tc>
          <w:tcPr>
            <w:tcW w:w="1020" w:type="dxa"/>
            <w:vAlign w:val="bottom"/>
          </w:tcPr>
          <w:p>
            <w:pPr>
              <w:jc w:val="center"/>
              <w:ind w:right="161"/>
              <w:spacing w:after="0"/>
              <w:rPr>
                <w:sz w:val="20"/>
                <w:szCs w:val="20"/>
                <w:color w:val="auto"/>
              </w:rPr>
            </w:pPr>
            <w:r>
              <w:rPr>
                <w:rFonts w:ascii="Arial" w:cs="Arial" w:eastAsia="Arial" w:hAnsi="Arial"/>
                <w:sz w:val="14"/>
                <w:szCs w:val="14"/>
                <w:b w:val="1"/>
                <w:bCs w:val="1"/>
                <w:color w:val="auto"/>
                <w:w w:val="88"/>
              </w:rPr>
              <w:t>1-3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ind w:right="421"/>
              <w:spacing w:after="0"/>
              <w:rPr>
                <w:sz w:val="20"/>
                <w:szCs w:val="20"/>
                <w:color w:val="auto"/>
              </w:rPr>
            </w:pPr>
            <w:r>
              <w:rPr>
                <w:rFonts w:ascii="Arial" w:cs="Arial" w:eastAsia="Arial" w:hAnsi="Arial"/>
                <w:sz w:val="14"/>
                <w:szCs w:val="14"/>
                <w:b w:val="1"/>
                <w:bCs w:val="1"/>
                <w:color w:val="auto"/>
              </w:rPr>
              <w:t>3-5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01"/>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205"/>
        </w:trPr>
        <w:tc>
          <w:tcPr>
            <w:tcW w:w="46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1 YEAR</w:t>
            </w:r>
          </w:p>
        </w:tc>
        <w:tc>
          <w:tcPr>
            <w:tcW w:w="22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7"/>
                <w:szCs w:val="17"/>
                <w:color w:val="auto"/>
              </w:rPr>
            </w:pPr>
          </w:p>
        </w:tc>
        <w:tc>
          <w:tcPr>
            <w:tcW w:w="1100" w:type="dxa"/>
            <w:vAlign w:val="bottom"/>
          </w:tcPr>
          <w:p>
            <w:pPr>
              <w:jc w:val="right"/>
              <w:ind w:right="241"/>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3"/>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Recorded Contractual Obligations</w:t>
            </w: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Arial" w:cs="Arial" w:eastAsia="Arial" w:hAnsi="Arial"/>
                <w:sz w:val="16"/>
                <w:szCs w:val="16"/>
                <w:color w:val="auto"/>
              </w:rPr>
              <w:t>Operating leases (1)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2,510,001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196,616</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375,572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349,396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1,588,417</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 (2)</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1,104,405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835,260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Arial" w:cs="Arial" w:eastAsia="Arial" w:hAnsi="Arial"/>
                <w:sz w:val="16"/>
                <w:szCs w:val="16"/>
                <w:color w:val="auto"/>
              </w:rPr>
              <w:t>Deferred compensation and other partner obligations (3)</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47,488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15,182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21,100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6,885</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recorded contractual obligations (4)</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16,918</w:t>
            </w:r>
          </w:p>
        </w:tc>
        <w:tc>
          <w:tcPr>
            <w:tcW w:w="0" w:type="dxa"/>
            <w:vAlign w:val="bottom"/>
          </w:tcPr>
          <w:p>
            <w:pPr>
              <w:spacing w:after="0"/>
              <w:rPr>
                <w:sz w:val="1"/>
                <w:szCs w:val="1"/>
                <w:color w:val="auto"/>
              </w:rPr>
            </w:pPr>
          </w:p>
        </w:tc>
      </w:tr>
      <w:tr>
        <w:trPr>
          <w:trHeight w:val="213"/>
        </w:trPr>
        <w:tc>
          <w:tcPr>
            <w:tcW w:w="4640" w:type="dxa"/>
            <w:vAlign w:val="bottom"/>
          </w:tcPr>
          <w:p>
            <w:pPr>
              <w:ind w:left="20"/>
              <w:spacing w:after="0"/>
              <w:rPr>
                <w:sz w:val="20"/>
                <w:szCs w:val="20"/>
                <w:color w:val="auto"/>
              </w:rPr>
            </w:pPr>
            <w:r>
              <w:rPr>
                <w:rFonts w:ascii="Arial" w:cs="Arial" w:eastAsia="Arial" w:hAnsi="Arial"/>
                <w:sz w:val="16"/>
                <w:szCs w:val="16"/>
                <w:b w:val="1"/>
                <w:bCs w:val="1"/>
                <w:color w:val="auto"/>
              </w:rPr>
              <w:t>Unrecorded Contractual Obligations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(5)</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62,511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Purchase obligations (6)</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230,608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146,550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49,981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34,077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4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contractual obligations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4,053,072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456,769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1,348,880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635,203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1,612,220</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60" w:right="20" w:hanging="652"/>
        <w:spacing w:after="0" w:line="246"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Amounts represent undiscounted future minimum rental commitments under non-cancelable operating leases. Includes $1.0 billion related to lease renewal options that are reasonably certain of exercise.</w:t>
      </w:r>
    </w:p>
    <w:p>
      <w:pPr>
        <w:ind w:left="660" w:hanging="652"/>
        <w:spacing w:after="0" w:line="246"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finance lease obligations and convertible senior notes. Amount is not reduced by unamortized debt discount, debt issuance costs and finance lease interest totaling $67.9 million.</w:t>
      </w:r>
    </w:p>
    <w:p>
      <w:pPr>
        <w:ind w:left="660" w:right="20" w:hanging="652"/>
        <w:spacing w:after="0" w:line="246"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deferred compensation obligations, deposits and other accrued obligations due to our restaurant partners. Timing and amounts of payments may vary significantly based on employee turnover, return of deposits and changes to buyout values.</w:t>
      </w:r>
    </w:p>
    <w:p>
      <w:pPr>
        <w:ind w:left="660" w:hanging="652"/>
        <w:spacing w:after="0" w:line="246"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other long-term liabilities, primarily consisting of non-partner deferred compensation obligations. Unrecognized tax benefits are excluded from this table since it is not possible to estimate when these future payments will occur.</w:t>
      </w:r>
    </w:p>
    <w:p>
      <w:pPr>
        <w:ind w:left="660" w:hanging="652"/>
        <w:spacing w:after="0" w:line="246"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Projected future interest payments on long-term debt are based on interest rates in effect as of December 27, 2020 and assume only scheduled principal payments. Estimated interest expense includes the impact of our variable-to-fixed interest rate swap agreements.</w:t>
      </w:r>
    </w:p>
    <w:p>
      <w:pPr>
        <w:jc w:val="both"/>
        <w:ind w:left="660" w:right="20" w:hanging="652"/>
        <w:spacing w:after="0" w:line="251"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Purchase obligations include agreements to purchase goods or services that are enforceable, legally binding and specify all significant terms, including fixed or minimum quantities to be purchased; fixed, minimum or variable price provisions; and the approximate timing of the transaction. We have purchase obligations with various vendors that consist primarily of inventory, technology, advertising and restaurant-level service contracts.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24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consolidated financial statements, which have been prepared in accordance with U.S. GAAP. The preparation of these accompanying consolidated financial statements requires us to make estimates and judgments that affect the reported amounts of assets, liabilities, revenues and expenses, and related disclosure of contingent assets and liabilities during the reporting period. We base our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consider an accounting estimate to be critical if it requires assumptions to be made and changes in these assumptions could have a material impact on our consolidated financial condition or results of operations.</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 xml:space="preserve">Impairment or Disposal of Long-Lived Assets - </w:t>
      </w:r>
      <w:r>
        <w:rPr>
          <w:rFonts w:ascii="Arial" w:cs="Arial" w:eastAsia="Arial" w:hAnsi="Arial"/>
          <w:sz w:val="18"/>
          <w:szCs w:val="18"/>
          <w:color w:val="auto"/>
        </w:rPr>
        <w:t>Long-lived assets are reviewed for impairment whenever events or changes 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 that the carrying value may not be recoverable. The evaluation is performed at the lowest level of identifiable cash flows independent of other assets. For long-lived assets deployed at our restaurants, we review for impairment at the individual restaurant level.</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When evaluating for impairment, the total future undiscounted cash flows expected to be generated by the assets are compared to the carrying amount. If the total future undiscounted cash flows expected to be generated by the assets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are less than the carrying amount, this may be an indicator of impairment. An impairment loss is recognized in earnings when the asset’s carrying value exceeds its estimated fair value. Fair value is generally estimated using a discounted cash flow model. The key estimates and assumptions used in this model are future cash flow estimates, with material changes generally driven by changes in expected use, and the discount rate.</w:t>
      </w: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 xml:space="preserve">Goodwill and Indefinite-Lived Intangible Assets - </w:t>
      </w:r>
      <w:r>
        <w:rPr>
          <w:rFonts w:ascii="Arial" w:cs="Arial" w:eastAsia="Arial" w:hAnsi="Arial"/>
          <w:sz w:val="19"/>
          <w:szCs w:val="19"/>
          <w:color w:val="auto"/>
        </w:rPr>
        <w:t>Goodwill and indefinite-lived intangible assets are tested for impairment annually in the</w:t>
      </w:r>
      <w:r>
        <w:rPr>
          <w:rFonts w:ascii="Arial" w:cs="Arial" w:eastAsia="Arial" w:hAnsi="Arial"/>
          <w:sz w:val="19"/>
          <w:szCs w:val="19"/>
          <w:i w:val="1"/>
          <w:iCs w:val="1"/>
          <w:color w:val="auto"/>
        </w:rPr>
        <w:t xml:space="preserve"> </w:t>
      </w:r>
      <w:r>
        <w:rPr>
          <w:rFonts w:ascii="Arial" w:cs="Arial" w:eastAsia="Arial" w:hAnsi="Arial"/>
          <w:sz w:val="19"/>
          <w:szCs w:val="19"/>
          <w:color w:val="auto"/>
        </w:rPr>
        <w:t>second fiscal quarter, or whenever events or changes in circumstances indicate that the carrying amount may not be recoverable.</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may elect to perform a qualitative assessment to determine whether it is more likely than not that a reporting unit is impaired. In considering the qualitative approach, we evaluate factors including, but not limited to, macro-economic conditions, market and industry conditions, commodity cost fluctuations, competitive environment, share price performance, results of prior impairment tests, operational stability and the overall financial performance of the reporting units.</w:t>
      </w:r>
    </w:p>
    <w:p>
      <w:pPr>
        <w:spacing w:after="0" w:line="21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If the qualitative assessment is not performed or if we determine that it is not more likely than not that the fair value of the reporting unit exceeds the carrying value, the fair value of the reporting unit is calculated. Fair value of a reporting unit is the price a willing buyer would pay for the reporting unit and is estimated by utilizing a weighted average of the income approach, using a discounted cash flow model, and, when appropriate, the market approach including the guideline public company method and guideline transaction method. The key estimates and assumptions used in these models are future cash flow estimates, which are heavily influenced by revenue growth rates, operating margins and capital expenditures. The fair value of the trade name is determined through a relief from royalty method.</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carrying value of the reporting unit is compared to its estimated fair value, with any excess of carrying value over fair value deemed to be an indicator of impairment.</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carrying value of goodwill as of December 27, 2020 was $271.2 million. The COVID-19 outbreak was considered a triggering event during the first quarter of 2020 and therefore we performed a quantitative assessment for our four U.S. and three international reporting units. Based on this assessment, which utilized a discounted cash flow analysis, we recorded full impairment of goodwill related to our Hong Kong reporting unit of $2.0 million, within the international segment during the first quarter of 2020. We also determined the fair value of each remaining reporting unit was more than 100% in excess of its carrying value with the exception of one international reporting unit, which had a goodwill carrying value of $69.3 million and a reporting unit fair value approximately 39% in excess of its reporting unit carrying value.</w:t>
      </w:r>
    </w:p>
    <w:p>
      <w:pPr>
        <w:spacing w:after="0" w:line="19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We also performed our annual impairment test in the second quarter of 2020 by utilizing the quantitative approach with the same assumptions and analysis used in the first quarter and determined that there were no additional events or circumstances to indicate that it was more likely than not that the fair value of our reporting units was less than their carrying values. Our interim and annual impairment tests utilized a discounted cash flows model, using significant assumptions to project future cash flows including operating margins, to estimate the fair value of our reporting units.</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Sales declines at our restaurants, unplanned increases in commodity or labor costs, deterioration in overall economic conditions and challenges in the restaurant industry may result in future impairment charges. It is possible that changes in circumstances or changes in our judgments, assumptions and estimates could result in an impairment charge of a portion or all of our goodwill or other intangible assets.</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Leases - </w:t>
      </w:r>
      <w:r>
        <w:rPr>
          <w:rFonts w:ascii="Arial" w:cs="Arial" w:eastAsia="Arial" w:hAnsi="Arial"/>
          <w:sz w:val="20"/>
          <w:szCs w:val="20"/>
          <w:color w:val="auto"/>
        </w:rPr>
        <w:t>We use judgment to determine the reasonably certain lease term, which in turn, impacts the applicable incremental borrowing rate</w:t>
      </w:r>
      <w:r>
        <w:rPr>
          <w:rFonts w:ascii="Arial" w:cs="Arial" w:eastAsia="Arial" w:hAnsi="Arial"/>
          <w:sz w:val="20"/>
          <w:szCs w:val="20"/>
          <w:i w:val="1"/>
          <w:iCs w:val="1"/>
          <w:color w:val="auto"/>
        </w:rPr>
        <w:t xml:space="preserve"> </w:t>
      </w:r>
      <w:r>
        <w:rPr>
          <w:rFonts w:ascii="Arial" w:cs="Arial" w:eastAsia="Arial" w:hAnsi="Arial"/>
          <w:sz w:val="20"/>
          <w:szCs w:val="20"/>
          <w:color w:val="auto"/>
        </w:rPr>
        <w:t>(“IBR”) used to calculate the initial lease liability for each portfolio of leases. We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determined the present value of the lease liabilities by using a country specific IBR and applying a single rate to the respective portfolio of leases based on term, regardless of the underlying asset type.</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reasonably certain lease term used in the evaluation of existing leases at transition and new leases after adoption of the new lease standard includes renewal option periods only in instances in which the exercise of the renewal option is reasonably certain because failure to exercise such an option would result in an economic penalty. Such an economic penalty would typically result from having to abandon a building or equipment with remaining economic value upon vacating a property.</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use our estimated IBR, which is derived from information available at the lease commencement date, in determining the present value of lease payments. We give consideration to market data as well as publicly available data for instruments with similar characteristics when calculating our IBR.</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At the inception of each lease, we evaluate the property and the lease to determine whether the lease is an operating lease or a financing lease. This lease accounting evaluation may require significant judgment in determining the fair value and useful life of the leased property and the appropriate reasonably certain lease term. These judgments may produce materially different amounts of rent expense in a given reporting period than would be reported if different assumed lease terms were used.</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Insurance Reserves - </w:t>
      </w:r>
      <w:r>
        <w:rPr>
          <w:rFonts w:ascii="Arial" w:cs="Arial" w:eastAsia="Arial" w:hAnsi="Arial"/>
          <w:sz w:val="20"/>
          <w:szCs w:val="20"/>
          <w:color w:val="auto"/>
        </w:rPr>
        <w:t>We carry insurance programs with specific retention levels or high per-claim deductibles for a significant portion of</w:t>
      </w:r>
      <w:r>
        <w:rPr>
          <w:rFonts w:ascii="Arial" w:cs="Arial" w:eastAsia="Arial" w:hAnsi="Arial"/>
          <w:sz w:val="20"/>
          <w:szCs w:val="20"/>
          <w:i w:val="1"/>
          <w:iCs w:val="1"/>
          <w:color w:val="auto"/>
        </w:rPr>
        <w:t xml:space="preserve"> </w:t>
      </w:r>
      <w:r>
        <w:rPr>
          <w:rFonts w:ascii="Arial" w:cs="Arial" w:eastAsia="Arial" w:hAnsi="Arial"/>
          <w:sz w:val="20"/>
          <w:szCs w:val="20"/>
          <w:color w:val="auto"/>
        </w:rPr>
        <w:t>expected losses under our workers’ compensation, general or liquor liability, health, property and management liability insurance programs. For some programs, we maintain stop-loss coverage to limit the exposure relating to certain risks.</w:t>
      </w:r>
    </w:p>
    <w:p>
      <w:pPr>
        <w:spacing w:after="0" w:line="21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record a liability for all unresolved claims and for an estimate of incurred but not reported claims at the anticipated cost that falls below our specified retention levels or per-claim deductible amounts. Our liability for insurance claims was $52.8 million and $54.3 million as of December 27, 2020 and December 29, 2019, respectively. In establishing our reserves, we consider certain actuarial assumptions and judgments regarding economic conditions, and the frequency and severity of claims. Reserves recorded for workers’ compensation and general or liquor liability claims are discounted using the average of the one-year and five-year risk-free rate of monetary assets that have comparable maturities.</w:t>
      </w: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actual results are not consistent with our estimates or assumptions, we may be exposed to losses or gains that could be material. A 50 basis point increase to the discount rate and a decrease to a zero discount rate in our insurance claim liabilities as of December 27, 2020, would have affected net earnings by $0.8 million and $(0.4) million, respectively, in 2020.</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Stock-Based Compensation - </w:t>
      </w:r>
      <w:r>
        <w:rPr>
          <w:rFonts w:ascii="Arial" w:cs="Arial" w:eastAsia="Arial" w:hAnsi="Arial"/>
          <w:sz w:val="20"/>
          <w:szCs w:val="20"/>
          <w:color w:val="auto"/>
        </w:rPr>
        <w:t>We have a stock-based compensation plan that permits the grant of stock options, stock appreciation rights,</w:t>
      </w:r>
      <w:r>
        <w:rPr>
          <w:rFonts w:ascii="Arial" w:cs="Arial" w:eastAsia="Arial" w:hAnsi="Arial"/>
          <w:sz w:val="20"/>
          <w:szCs w:val="20"/>
          <w:i w:val="1"/>
          <w:iCs w:val="1"/>
          <w:color w:val="auto"/>
        </w:rPr>
        <w:t xml:space="preserve"> </w:t>
      </w:r>
      <w:r>
        <w:rPr>
          <w:rFonts w:ascii="Arial" w:cs="Arial" w:eastAsia="Arial" w:hAnsi="Arial"/>
          <w:sz w:val="20"/>
          <w:szCs w:val="20"/>
          <w:color w:val="auto"/>
        </w:rPr>
        <w:t>restricted stock units, performance awards and other stock-based awards to our management and other key employees. We account for our stock-based employee compensation using a fair value-based method of accounting.</w:t>
      </w:r>
    </w:p>
    <w:p>
      <w:pPr>
        <w:spacing w:after="0" w:line="21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use the Black-Scholes option pricing model to estimate the weighted-average grant date fair value of stock options granted. Expected volatility is based on historical volatility of our stock. The expected term of options granted represents the period of time that options granted are expected to be outstanding. Expected term is estimated based on historical exercise experience of our stock options. Dividend yield is the level of dividends expected to be paid on our common stock over the expected term of our options. The risk-free rate for periods within the expected life of the option is based on the U.S. Treasury yield curve in effect as of the grant date. Forfeitures of share-based compensation awards are recognized as they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Estimates and assumptions are based upon information currently available, including historical experience and current business and economic conditions. A simultaneous 10% change in our volatility, forfeiture rate, weighted-average risk-free interest rate, dividend rate and term of grant in our stock option pricing model for 2020 would not have a material effect on net income.</w:t>
      </w:r>
    </w:p>
    <w:p>
      <w:pPr>
        <w:spacing w:after="0" w:line="197" w:lineRule="exact"/>
        <w:rPr>
          <w:sz w:val="20"/>
          <w:szCs w:val="20"/>
          <w:color w:val="auto"/>
        </w:rPr>
      </w:pPr>
    </w:p>
    <w:p>
      <w:pPr>
        <w:jc w:val="both"/>
        <w:spacing w:after="0" w:line="385" w:lineRule="auto"/>
        <w:rPr>
          <w:sz w:val="20"/>
          <w:szCs w:val="20"/>
          <w:color w:val="auto"/>
        </w:rPr>
      </w:pPr>
      <w:r>
        <w:rPr>
          <w:rFonts w:ascii="Arial" w:cs="Arial" w:eastAsia="Arial" w:hAnsi="Arial"/>
          <w:sz w:val="16"/>
          <w:szCs w:val="16"/>
          <w:color w:val="auto"/>
        </w:rPr>
        <w:t>Our performance-based share units (“PSUs”) require assumptions regarding the likelihood of achieving certain Company performance criteria set forth in the award agreements. Assumptions used in our assessment are consistent with our internal forecasts and operating plans</w:t>
      </w:r>
      <w:r>
        <w:rPr>
          <w:rFonts w:ascii="Arial" w:cs="Arial" w:eastAsia="Arial" w:hAnsi="Arial"/>
          <w:sz w:val="14"/>
          <w:szCs w:val="14"/>
          <w:i w:val="1"/>
          <w:iCs w:val="1"/>
          <w:color w:val="auto"/>
        </w:rPr>
        <w:t>.</w:t>
      </w:r>
    </w:p>
    <w:p>
      <w:pPr>
        <w:spacing w:after="0" w:line="11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If we assumed that the PSU performance conditions for stock-based awards were not met, stock-based compensation expense would have decreased by $8.1 million for 2020, including reversal of expense recorded in prior years. If we assumed that all granted PSU share awards met or will meet their maximum threshold, expense would have increased by $5.1 million for 2020.</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9"/>
          <w:szCs w:val="19"/>
          <w:i w:val="1"/>
          <w:iCs w:val="1"/>
          <w:color w:val="auto"/>
        </w:rPr>
        <w:t xml:space="preserve">Income Taxes - </w:t>
      </w:r>
      <w:r>
        <w:rPr>
          <w:rFonts w:ascii="Arial" w:cs="Arial" w:eastAsia="Arial" w:hAnsi="Arial"/>
          <w:sz w:val="19"/>
          <w:szCs w:val="19"/>
          <w:color w:val="auto"/>
        </w:rPr>
        <w:t>Deferred tax assets and liabilities are recognized based on the differences between the financial statement carrying amounts of</w:t>
      </w:r>
      <w:r>
        <w:rPr>
          <w:rFonts w:ascii="Arial" w:cs="Arial" w:eastAsia="Arial" w:hAnsi="Arial"/>
          <w:sz w:val="19"/>
          <w:szCs w:val="19"/>
          <w:i w:val="1"/>
          <w:iCs w:val="1"/>
          <w:color w:val="auto"/>
        </w:rPr>
        <w:t xml:space="preserve"> </w:t>
      </w:r>
      <w:r>
        <w:rPr>
          <w:rFonts w:ascii="Arial" w:cs="Arial" w:eastAsia="Arial" w:hAnsi="Arial"/>
          <w:sz w:val="19"/>
          <w:szCs w:val="19"/>
          <w:color w:val="auto"/>
        </w:rPr>
        <w:t>assets and liabilities and their respective tax basis. Deferred tax assets and liabilities are measured using the tax rates, based on certain judgments regarding enacted tax laws and published guidance, in effect in the years in which we expect those temporary differences to reverse. As of December 27, 2020, tax loss carryforwards and credit carryforwards that do not have a valuation allowance are expected to be recoverable within the applicable statutory expiration periods. We currently expect to utilize general business tax credit carryforwards within a 10-year period. However, our ability to utilize these tax credits could be adversely impacted by, among other items, a future “ownership change” as defined under Section 382 of the Internal Revenue Code. A valuation allowance is established against the deferred tax assets when it is more likely than not that some portion or all of the deferred taxes may not be realized. Changes in assumptions regarding our level and composition of earnings, tax laws or the deferred tax valuation allowance and the results of tax audits, may materially impact the effective income tax rate.`</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Our income tax returns, like those of most companies, are periodically audited by U.S. and foreign tax authorities. In determining taxable income, income or loss before taxes is adjusted for differences between local tax laws and generally accepted accounting principles. A tax benefit from an uncertain position is recognized only if it is more likely than not that the position is sustainable based on its technical merits. For uncertain tax positions that do not meet this threshold, we recognize a liability. The liability for unrecognized tax benefits requires significant management judgment regarding exposures about our various tax positions. These assumptions and probabilities are reviewed and updated based upon new information. An unfavorable tax settlement generally requires the use of cash and an increase in the amount of income tax expense we recognize.</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20"/>
          <w:szCs w:val="20"/>
          <w:i w:val="1"/>
          <w:iCs w:val="1"/>
          <w:color w:val="auto"/>
        </w:rPr>
        <w:t xml:space="preserve">Revenue Recognition </w:t>
      </w:r>
      <w:r>
        <w:rPr>
          <w:rFonts w:ascii="Arial" w:cs="Arial" w:eastAsia="Arial" w:hAnsi="Arial"/>
          <w:sz w:val="20"/>
          <w:szCs w:val="20"/>
          <w:color w:val="auto"/>
        </w:rPr>
        <w:t>- We sell gift cards to customers in our restaurants, through our websites and through select third parties. A liability is</w:t>
      </w:r>
      <w:r>
        <w:rPr>
          <w:rFonts w:ascii="Arial" w:cs="Arial" w:eastAsia="Arial" w:hAnsi="Arial"/>
          <w:sz w:val="20"/>
          <w:szCs w:val="20"/>
          <w:i w:val="1"/>
          <w:iCs w:val="1"/>
          <w:color w:val="auto"/>
        </w:rPr>
        <w:t xml:space="preserve"> </w:t>
      </w:r>
      <w:r>
        <w:rPr>
          <w:rFonts w:ascii="Arial" w:cs="Arial" w:eastAsia="Arial" w:hAnsi="Arial"/>
          <w:sz w:val="20"/>
          <w:szCs w:val="20"/>
          <w:color w:val="auto"/>
        </w:rPr>
        <w:t>initially established for the value of the gift card when sold. We recognize revenue from gift cards when the card is redeemed by the customer. There is uncertainty when calculating gift card breakage, the amount of gift cards which will not be redeemed, because management is required to make assumptions and to apply judgment regarding the effects of future events. We recognize gift card breakage revenue using estimates based on historical redemption patterns. If actual redemptions vary from the estimated breakage, gift card breakage revenue may differ from the amount recorded. We periodically update our estimates used for breakage and apply that rate to gift card redemptions. A change in our breakage rate estimates by 50 basis points would have resulted in an adjustment in our breakage revenue of $1.5 million for 2020.</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Financial Accounting Standards</w:t>
      </w: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For a description of recently issued Financial Accounting Standards that we adopted in 2020 and, that are applicable to us and likely to have material effect on our consolidated financial statements, but have not yet been adopted, see Note 2 - </w:t>
      </w:r>
      <w:r>
        <w:rPr>
          <w:rFonts w:ascii="Arial" w:cs="Arial" w:eastAsia="Arial" w:hAnsi="Arial"/>
          <w:sz w:val="20"/>
          <w:szCs w:val="20"/>
          <w:i w:val="1"/>
          <w:iCs w:val="1"/>
          <w:color w:val="auto"/>
        </w:rPr>
        <w:t>Summary of Significant Accounting</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Policies </w:t>
      </w:r>
      <w:r>
        <w:rPr>
          <w:rFonts w:ascii="Arial" w:cs="Arial" w:eastAsia="Arial" w:hAnsi="Arial"/>
          <w:sz w:val="20"/>
          <w:szCs w:val="20"/>
          <w:color w:val="auto"/>
        </w:rPr>
        <w:t>of the Notes to Consolidated Financial Statements.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are exposed to market risk from changes in interest rates on debt, changes in foreign currency exchange rates and changes in commodity prices.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 Risk</w:t>
      </w:r>
    </w:p>
    <w:p>
      <w:pPr>
        <w:spacing w:after="0" w:line="24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are exposed to market risk from fluctuations in interest rates, which could affect our consolidated balance sheet, earnings and cash flows. Stockholders’ equity can be adversely affected by changing interest rates, as after-tax changes in the fair value of interest rate swaps designated as cash flow hedges are reflected as increases and decreases to a component of stockholders’ equity.</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 xml:space="preserve">We manage our exposure to market risk through regular operating and financing activities and when deemed appropriate, through the use of derivative financial instruments. We use derivative financial instruments as risk management tools and not for speculative purposes. See Note 17 -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xml:space="preserve"> of the Notes to Consolidated Financial Statements for further information.</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As of December 27, 2020, our interest rate risk was primarily from variable interest rate changes on our Senior Secured Credit Facility. To manage the risk of fluctuations in variable interest rate debt, we have interest rate swaps for an aggregate notional amount of </w:t>
      </w:r>
      <w:r>
        <w:rPr>
          <w:rFonts w:ascii="Arial" w:cs="Arial" w:eastAsia="Arial" w:hAnsi="Arial"/>
          <w:sz w:val="20"/>
          <w:szCs w:val="20"/>
          <w:color w:val="252525"/>
        </w:rPr>
        <w:t>$550.0 million</w:t>
      </w:r>
      <w:r>
        <w:rPr>
          <w:rFonts w:ascii="Arial" w:cs="Arial" w:eastAsia="Arial" w:hAnsi="Arial"/>
          <w:sz w:val="20"/>
          <w:szCs w:val="20"/>
          <w:color w:val="auto"/>
        </w:rPr>
        <w:t xml:space="preserve"> that </w:t>
      </w:r>
      <w:r>
        <w:rPr>
          <w:rFonts w:ascii="Arial" w:cs="Arial" w:eastAsia="Arial" w:hAnsi="Arial"/>
          <w:sz w:val="20"/>
          <w:szCs w:val="20"/>
          <w:color w:val="252525"/>
        </w:rPr>
        <w:t>mature on November 30, 2022.</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utilize valuation models to estimate the effects of changing interest rates. The following table summarizes the changes to fair value and interest expense under a shock scenario. This analysis assumes that interest rates change suddenly, as an interest rate “shock” and continue to increase or decrease at a consistent level above or below the LIBOR curve.</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80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822"/>
              <w:spacing w:after="0"/>
              <w:rPr>
                <w:sz w:val="20"/>
                <w:szCs w:val="20"/>
                <w:color w:val="auto"/>
              </w:rPr>
            </w:pPr>
            <w:r>
              <w:rPr>
                <w:rFonts w:ascii="Arial" w:cs="Arial" w:eastAsia="Arial" w:hAnsi="Arial"/>
                <w:sz w:val="14"/>
                <w:szCs w:val="14"/>
                <w:b w:val="1"/>
                <w:bCs w:val="1"/>
                <w:color w:val="auto"/>
              </w:rPr>
              <w:t>DECEMBER 27, 2020</w:t>
            </w:r>
          </w:p>
        </w:tc>
      </w:tr>
      <w:tr>
        <w:trPr>
          <w:trHeight w:val="196"/>
        </w:trPr>
        <w:tc>
          <w:tcPr>
            <w:tcW w:w="802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7"/>
                <w:szCs w:val="17"/>
                <w:color w:val="auto"/>
              </w:rPr>
            </w:pPr>
          </w:p>
        </w:tc>
        <w:tc>
          <w:tcPr>
            <w:tcW w:w="1400" w:type="dxa"/>
            <w:vAlign w:val="bottom"/>
            <w:gridSpan w:val="2"/>
          </w:tcPr>
          <w:p>
            <w:pPr>
              <w:ind w:left="160"/>
              <w:spacing w:after="0"/>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7"/>
                <w:szCs w:val="17"/>
                <w:color w:val="auto"/>
              </w:rPr>
            </w:pPr>
          </w:p>
        </w:tc>
        <w:tc>
          <w:tcPr>
            <w:tcW w:w="1300" w:type="dxa"/>
            <w:vAlign w:val="bottom"/>
          </w:tcPr>
          <w:p>
            <w:pPr>
              <w:jc w:val="right"/>
              <w:ind w:right="302"/>
              <w:spacing w:after="0"/>
              <w:rPr>
                <w:sz w:val="20"/>
                <w:szCs w:val="20"/>
                <w:color w:val="auto"/>
              </w:rPr>
            </w:pPr>
            <w:r>
              <w:rPr>
                <w:rFonts w:ascii="Arial" w:cs="Arial" w:eastAsia="Arial" w:hAnsi="Arial"/>
                <w:sz w:val="14"/>
                <w:szCs w:val="14"/>
                <w:b w:val="1"/>
                <w:bCs w:val="1"/>
                <w:color w:val="auto"/>
              </w:rPr>
              <w:t>DECREASE</w:t>
            </w:r>
          </w:p>
        </w:tc>
      </w:tr>
      <w:tr>
        <w:trPr>
          <w:trHeight w:val="203"/>
        </w:trPr>
        <w:tc>
          <w:tcPr>
            <w:tcW w:w="8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Change in fair value (1):</w:t>
            </w:r>
          </w:p>
        </w:tc>
        <w:tc>
          <w:tcPr>
            <w:tcW w:w="2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213"/>
        </w:trPr>
        <w:tc>
          <w:tcPr>
            <w:tcW w:w="8020" w:type="dxa"/>
            <w:vAlign w:val="bottom"/>
          </w:tcPr>
          <w:p>
            <w:pPr>
              <w:ind w:left="120"/>
              <w:spacing w:after="0"/>
              <w:rPr>
                <w:sz w:val="20"/>
                <w:szCs w:val="20"/>
                <w:color w:val="auto"/>
              </w:rPr>
            </w:pPr>
            <w:r>
              <w:rPr>
                <w:rFonts w:ascii="Arial" w:cs="Arial" w:eastAsia="Arial" w:hAnsi="Arial"/>
                <w:sz w:val="16"/>
                <w:szCs w:val="16"/>
                <w:color w:val="auto"/>
              </w:rPr>
              <w:t>Interest rate swap</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
              <w:spacing w:after="0"/>
              <w:rPr>
                <w:sz w:val="20"/>
                <w:szCs w:val="20"/>
                <w:color w:val="auto"/>
              </w:rPr>
            </w:pPr>
            <w:r>
              <w:rPr>
                <w:rFonts w:ascii="Arial" w:cs="Arial" w:eastAsia="Arial" w:hAnsi="Arial"/>
                <w:sz w:val="16"/>
                <w:szCs w:val="16"/>
                <w:color w:val="auto"/>
              </w:rPr>
              <w:t>10,716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(10,983)</w:t>
            </w:r>
          </w:p>
        </w:tc>
      </w:tr>
      <w:tr>
        <w:trPr>
          <w:trHeight w:val="273"/>
        </w:trPr>
        <w:tc>
          <w:tcPr>
            <w:tcW w:w="80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13"/>
        </w:trPr>
        <w:tc>
          <w:tcPr>
            <w:tcW w:w="8020" w:type="dxa"/>
            <w:vAlign w:val="bottom"/>
          </w:tcPr>
          <w:p>
            <w:pPr>
              <w:spacing w:after="0"/>
              <w:rPr>
                <w:sz w:val="20"/>
                <w:szCs w:val="20"/>
                <w:color w:val="auto"/>
              </w:rPr>
            </w:pPr>
            <w:r>
              <w:rPr>
                <w:rFonts w:ascii="Arial" w:cs="Arial" w:eastAsia="Arial" w:hAnsi="Arial"/>
                <w:sz w:val="16"/>
                <w:szCs w:val="16"/>
                <w:b w:val="1"/>
                <w:bCs w:val="1"/>
                <w:color w:val="auto"/>
              </w:rPr>
              <w:t>Change in annual interest expense (2):</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Variable rate debt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3,079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potential change from a hypothetical 100 basis point increase (decrease) in short-term interest rates.</w:t>
      </w:r>
    </w:p>
    <w:p>
      <w:pPr>
        <w:spacing w:after="0" w:line="5" w:lineRule="exact"/>
        <w:rPr>
          <w:rFonts w:ascii="Arial" w:cs="Arial" w:eastAsia="Arial" w:hAnsi="Arial"/>
          <w:sz w:val="16"/>
          <w:szCs w:val="16"/>
          <w:color w:val="auto"/>
        </w:rPr>
      </w:pPr>
    </w:p>
    <w:p>
      <w:pPr>
        <w:ind w:left="660" w:hanging="652"/>
        <w:spacing w:after="0" w:line="257"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potential change from a hypothetical 100 basis point increase and a decrease to zero basis points in short-term interest rates based on the LIBOR curve. The curve ranges from our interest rate of 11 basis points to 13 basis points.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Exchange Rate Risk</w:t>
      </w:r>
    </w:p>
    <w:p>
      <w:pPr>
        <w:spacing w:after="0" w:line="24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are subject to foreign currency exchange risk for our restaurants operating in foreign countries. Our exposure to foreign currency exchange risk is primarily related to fluctuations in the Brazilian Real relative to the U.S. dollar. Our operations in other markets consist of Company-owned restaurants on a smaller scale than Brazil. If foreign currency exchange rates depreciate in the countries in which we operate, we may experience declines in our operating results.</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 2020, 9.0% of our revenue was generated in foreign currencies. A 10% change in average foreign currency rates against the U.S. dollar would have increased or decreased our Total revenues and Net (loss) income for our foreign entities by $30.6 million and $1.7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Commodity Pricing Risk</w:t>
      </w:r>
    </w:p>
    <w:p>
      <w:pPr>
        <w:spacing w:after="0" w:line="249"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Many of the ingredients used in the products sold in our restaurants are commodities that are subject to unpredictable price volatility. Although we attempt to minimize the effect of price volatility by negotiating fixed price contracts for the supply of key ingredients, there are no established fixed price markets for certain commodities such as produce and wild fish, and we are subject to prevailing market conditions when purchasing those types of commodities. Other commodities are purchased based upon negotiated price ranges established with vendors with reference to the fluctuating market prices. The related agreements may contain contractual features that limit the price paid by establishing certain price floors and caps. Extreme changes in commodity prices or long-term changes could affect our financial results adversely. We expect that in most cases increased commodity prices could be passed through to our customers through increases in menu prices. However, if there is a time lag between the increasing commodity prices and our ability to increase menu prices, or if we believe the commodity price increase to be short in duration and we choose not to pass on the cost increases, our short-term financial results could be negatively affected. Additionally, from time to time, competitive circumstances could limit menu price flexibility, and in those cases, margins would be negatively impacted by increased commodity prices.</w:t>
      </w:r>
    </w:p>
    <w:p>
      <w:pPr>
        <w:spacing w:after="0" w:line="21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Historically, we have utilized derivative instruments to mitigate some of our overall exposure to material increases in natural gas prices. As of December 27, 2020 and December 29, 2019, no derivatives were included in our consolidated financial statements.</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In addition to the market risks identified above, we are subject to business risk as our U.S. beef supply is highly dependent upon a limited number of vendors. If these vendors were unable to fulfill their obligations under their contracts, we could encounter supply shortages and incur higher costs to secure adequate supplies. See Note 22 - </w:t>
      </w:r>
      <w:r>
        <w:rPr>
          <w:rFonts w:ascii="Arial" w:cs="Arial" w:eastAsia="Arial" w:hAnsi="Arial"/>
          <w:sz w:val="20"/>
          <w:szCs w:val="20"/>
          <w:i w:val="1"/>
          <w:iCs w:val="1"/>
          <w:color w:val="auto"/>
        </w:rPr>
        <w:t>Commitments and Contingencies</w:t>
      </w:r>
      <w:r>
        <w:rPr>
          <w:rFonts w:ascii="Arial" w:cs="Arial" w:eastAsia="Arial" w:hAnsi="Arial"/>
          <w:sz w:val="20"/>
          <w:szCs w:val="20"/>
          <w:color w:val="auto"/>
        </w:rPr>
        <w:t xml:space="preserve"> of the Notes to Consolidated Financial Statements for further details.</w:t>
      </w:r>
    </w:p>
    <w:p>
      <w:pPr>
        <w:spacing w:after="0" w:line="21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This market risk discussion contains forward-looking statements. Actual results may differ materially from the discussion based upon general market conditions and changes in U.S. and global financial markets.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INDEX TO FINANCIAL INFORMATION</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1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6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b w:val="1"/>
                <w:bCs w:val="1"/>
                <w:color w:val="auto"/>
              </w:rPr>
              <w:t>PAGE NO.</w:t>
            </w:r>
          </w:p>
        </w:tc>
        <w:tc>
          <w:tcPr>
            <w:tcW w:w="0" w:type="dxa"/>
            <w:vAlign w:val="bottom"/>
          </w:tcPr>
          <w:p>
            <w:pPr>
              <w:spacing w:after="0"/>
              <w:rPr>
                <w:sz w:val="1"/>
                <w:szCs w:val="1"/>
                <w:color w:val="auto"/>
              </w:rPr>
            </w:pPr>
          </w:p>
        </w:tc>
      </w:tr>
      <w:tr>
        <w:trPr>
          <w:trHeight w:val="500"/>
        </w:trPr>
        <w:tc>
          <w:tcPr>
            <w:tcW w:w="9920" w:type="dxa"/>
            <w:vAlign w:val="bottom"/>
            <w:gridSpan w:val="6"/>
          </w:tcPr>
          <w:p>
            <w:pPr>
              <w:spacing w:after="0"/>
              <w:rPr>
                <w:rFonts w:ascii="Arial" w:cs="Arial" w:eastAsia="Arial" w:hAnsi="Arial"/>
                <w:sz w:val="20"/>
                <w:szCs w:val="20"/>
                <w:u w:val="single" w:color="auto"/>
                <w:color w:val="0000FF"/>
              </w:rPr>
            </w:pPr>
            <w:hyperlink w:anchor="page63">
              <w:r>
                <w:rPr>
                  <w:rFonts w:ascii="Arial" w:cs="Arial" w:eastAsia="Arial" w:hAnsi="Arial"/>
                  <w:sz w:val="20"/>
                  <w:szCs w:val="20"/>
                  <w:u w:val="single" w:color="auto"/>
                  <w:color w:val="0000FF"/>
                </w:rPr>
                <w:t>Management’s Annual Report on Internal Control over Financial Reporting</w:t>
              </w:r>
            </w:hyperlink>
          </w:p>
        </w:tc>
        <w:tc>
          <w:tcPr>
            <w:tcW w:w="1260" w:type="dxa"/>
            <w:vAlign w:val="bottom"/>
          </w:tcPr>
          <w:p>
            <w:pPr>
              <w:jc w:val="right"/>
              <w:spacing w:after="0"/>
              <w:rPr>
                <w:rFonts w:ascii="Arial" w:cs="Arial" w:eastAsia="Arial" w:hAnsi="Arial"/>
                <w:sz w:val="20"/>
                <w:szCs w:val="20"/>
                <w:u w:val="single" w:color="auto"/>
                <w:color w:val="0000FF"/>
              </w:rPr>
            </w:pPr>
            <w:hyperlink w:anchor="page63">
              <w:r>
                <w:rPr>
                  <w:rFonts w:ascii="Arial" w:cs="Arial" w:eastAsia="Arial" w:hAnsi="Arial"/>
                  <w:sz w:val="20"/>
                  <w:szCs w:val="20"/>
                  <w:u w:val="single" w:color="auto"/>
                  <w:color w:val="0000FF"/>
                </w:rPr>
                <w:t>63</w:t>
              </w:r>
            </w:hyperlink>
          </w:p>
        </w:tc>
        <w:tc>
          <w:tcPr>
            <w:tcW w:w="0" w:type="dxa"/>
            <w:vAlign w:val="bottom"/>
          </w:tcPr>
          <w:p>
            <w:pPr>
              <w:spacing w:after="0"/>
              <w:rPr>
                <w:sz w:val="1"/>
                <w:szCs w:val="1"/>
                <w:color w:val="auto"/>
              </w:rPr>
            </w:pPr>
          </w:p>
        </w:tc>
      </w:tr>
      <w:tr>
        <w:trPr>
          <w:trHeight w:val="513"/>
        </w:trPr>
        <w:tc>
          <w:tcPr>
            <w:tcW w:w="9920" w:type="dxa"/>
            <w:vAlign w:val="bottom"/>
            <w:gridSpan w:val="6"/>
          </w:tcPr>
          <w:p>
            <w:pPr>
              <w:spacing w:after="0"/>
              <w:rPr>
                <w:rFonts w:ascii="Arial" w:cs="Arial" w:eastAsia="Arial" w:hAnsi="Arial"/>
                <w:sz w:val="20"/>
                <w:szCs w:val="20"/>
                <w:u w:val="single" w:color="auto"/>
                <w:color w:val="0000FF"/>
              </w:rPr>
            </w:pPr>
            <w:hyperlink w:anchor="page64">
              <w:r>
                <w:rPr>
                  <w:rFonts w:ascii="Arial" w:cs="Arial" w:eastAsia="Arial" w:hAnsi="Arial"/>
                  <w:sz w:val="20"/>
                  <w:szCs w:val="20"/>
                  <w:u w:val="single" w:color="auto"/>
                  <w:color w:val="0000FF"/>
                </w:rPr>
                <w:t>Report of Independent Registered Public Accounting Firm</w:t>
              </w:r>
            </w:hyperlink>
          </w:p>
        </w:tc>
        <w:tc>
          <w:tcPr>
            <w:tcW w:w="1260" w:type="dxa"/>
            <w:vAlign w:val="bottom"/>
          </w:tcPr>
          <w:p>
            <w:pPr>
              <w:jc w:val="right"/>
              <w:spacing w:after="0"/>
              <w:rPr>
                <w:rFonts w:ascii="Arial" w:cs="Arial" w:eastAsia="Arial" w:hAnsi="Arial"/>
                <w:sz w:val="20"/>
                <w:szCs w:val="20"/>
                <w:u w:val="single" w:color="auto"/>
                <w:color w:val="0000FF"/>
              </w:rPr>
            </w:pPr>
            <w:hyperlink w:anchor="page64">
              <w:r>
                <w:rPr>
                  <w:rFonts w:ascii="Arial" w:cs="Arial" w:eastAsia="Arial" w:hAnsi="Arial"/>
                  <w:sz w:val="20"/>
                  <w:szCs w:val="20"/>
                  <w:u w:val="single" w:color="auto"/>
                  <w:color w:val="0000FF"/>
                </w:rPr>
                <w:t>64</w:t>
              </w:r>
            </w:hyperlink>
          </w:p>
        </w:tc>
        <w:tc>
          <w:tcPr>
            <w:tcW w:w="0" w:type="dxa"/>
            <w:vAlign w:val="bottom"/>
          </w:tcPr>
          <w:p>
            <w:pPr>
              <w:spacing w:after="0"/>
              <w:rPr>
                <w:sz w:val="1"/>
                <w:szCs w:val="1"/>
                <w:color w:val="auto"/>
              </w:rPr>
            </w:pPr>
          </w:p>
        </w:tc>
      </w:tr>
      <w:tr>
        <w:trPr>
          <w:trHeight w:val="468"/>
        </w:trPr>
        <w:tc>
          <w:tcPr>
            <w:tcW w:w="9920" w:type="dxa"/>
            <w:vAlign w:val="bottom"/>
            <w:gridSpan w:val="6"/>
          </w:tcPr>
          <w:p>
            <w:pPr>
              <w:spacing w:after="0"/>
              <w:rPr>
                <w:rFonts w:ascii="Arial" w:cs="Arial" w:eastAsia="Arial" w:hAnsi="Arial"/>
                <w:sz w:val="20"/>
                <w:szCs w:val="20"/>
                <w:color w:val="0000FF"/>
              </w:rPr>
            </w:pPr>
            <w:hyperlink w:anchor="page67">
              <w:r>
                <w:rPr>
                  <w:rFonts w:ascii="Arial" w:cs="Arial" w:eastAsia="Arial" w:hAnsi="Arial"/>
                  <w:sz w:val="20"/>
                  <w:szCs w:val="20"/>
                  <w:u w:val="single" w:color="auto"/>
                  <w:color w:val="0000FF"/>
                </w:rPr>
                <w:t xml:space="preserve">Consolidated Balance Sheets — December </w:t>
              </w:r>
            </w:hyperlink>
            <w:r>
              <w:rPr>
                <w:rFonts w:ascii="Arial" w:cs="Arial" w:eastAsia="Arial" w:hAnsi="Arial"/>
                <w:sz w:val="20"/>
                <w:szCs w:val="20"/>
                <w:color w:val="0000FF"/>
              </w:rPr>
              <w:t xml:space="preserve">27, </w:t>
            </w:r>
            <w:hyperlink w:anchor="page67">
              <w:r>
                <w:rPr>
                  <w:rFonts w:ascii="Arial" w:cs="Arial" w:eastAsia="Arial" w:hAnsi="Arial"/>
                  <w:sz w:val="20"/>
                  <w:szCs w:val="20"/>
                  <w:color w:val="0000FF"/>
                </w:rPr>
                <w:t xml:space="preserve">2020 and December 29, </w:t>
              </w:r>
            </w:hyperlink>
            <w:r>
              <w:rPr>
                <w:rFonts w:ascii="Arial" w:cs="Arial" w:eastAsia="Arial" w:hAnsi="Arial"/>
                <w:sz w:val="20"/>
                <w:szCs w:val="20"/>
                <w:u w:val="single" w:color="auto"/>
                <w:color w:val="0000FF"/>
              </w:rPr>
              <w:t>2019</w:t>
            </w:r>
          </w:p>
        </w:tc>
        <w:tc>
          <w:tcPr>
            <w:tcW w:w="1260" w:type="dxa"/>
            <w:vAlign w:val="bottom"/>
          </w:tcPr>
          <w:p>
            <w:pPr>
              <w:jc w:val="right"/>
              <w:spacing w:after="0"/>
              <w:rPr>
                <w:rFonts w:ascii="Arial" w:cs="Arial" w:eastAsia="Arial" w:hAnsi="Arial"/>
                <w:sz w:val="20"/>
                <w:szCs w:val="20"/>
                <w:u w:val="single" w:color="auto"/>
                <w:color w:val="0000FF"/>
              </w:rPr>
            </w:pPr>
            <w:hyperlink w:anchor="page67">
              <w:r>
                <w:rPr>
                  <w:rFonts w:ascii="Arial" w:cs="Arial" w:eastAsia="Arial" w:hAnsi="Arial"/>
                  <w:sz w:val="20"/>
                  <w:szCs w:val="20"/>
                  <w:u w:val="single" w:color="auto"/>
                  <w:color w:val="0000FF"/>
                </w:rPr>
                <w:t>67</w:t>
              </w:r>
            </w:hyperlink>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9920" w:type="dxa"/>
            <w:vAlign w:val="bottom"/>
            <w:gridSpan w:val="6"/>
          </w:tcPr>
          <w:p>
            <w:pPr>
              <w:spacing w:after="0"/>
              <w:rPr>
                <w:rFonts w:ascii="Arial" w:cs="Arial" w:eastAsia="Arial" w:hAnsi="Arial"/>
                <w:sz w:val="20"/>
                <w:szCs w:val="20"/>
                <w:u w:val="single" w:color="auto"/>
                <w:color w:val="0000FF"/>
              </w:rPr>
            </w:pPr>
            <w:hyperlink w:anchor="page68">
              <w:r>
                <w:rPr>
                  <w:rFonts w:ascii="Arial" w:cs="Arial" w:eastAsia="Arial" w:hAnsi="Arial"/>
                  <w:sz w:val="20"/>
                  <w:szCs w:val="20"/>
                  <w:u w:val="single" w:color="auto"/>
                  <w:color w:val="0000FF"/>
                </w:rPr>
                <w:t>Consolidated Statements of Operations and Comprehensive (Loss) Income —</w:t>
              </w:r>
            </w:hyperlink>
          </w:p>
        </w:tc>
        <w:tc>
          <w:tcPr>
            <w:tcW w:w="1260" w:type="dxa"/>
            <w:vAlign w:val="bottom"/>
            <w:vMerge w:val="restart"/>
          </w:tcPr>
          <w:p>
            <w:pPr>
              <w:jc w:val="right"/>
              <w:spacing w:after="0"/>
              <w:rPr>
                <w:rFonts w:ascii="Arial" w:cs="Arial" w:eastAsia="Arial" w:hAnsi="Arial"/>
                <w:sz w:val="20"/>
                <w:szCs w:val="20"/>
                <w:u w:val="single" w:color="auto"/>
                <w:color w:val="0000FF"/>
              </w:rPr>
            </w:pPr>
            <w:hyperlink w:anchor="page68">
              <w:r>
                <w:rPr>
                  <w:rFonts w:ascii="Arial" w:cs="Arial" w:eastAsia="Arial" w:hAnsi="Arial"/>
                  <w:sz w:val="20"/>
                  <w:szCs w:val="20"/>
                  <w:u w:val="single" w:color="auto"/>
                  <w:color w:val="0000FF"/>
                </w:rPr>
                <w:t>68</w:t>
              </w:r>
            </w:hyperlink>
          </w:p>
        </w:tc>
        <w:tc>
          <w:tcPr>
            <w:tcW w:w="0" w:type="dxa"/>
            <w:vAlign w:val="bottom"/>
          </w:tcPr>
          <w:p>
            <w:pPr>
              <w:spacing w:after="0"/>
              <w:rPr>
                <w:sz w:val="1"/>
                <w:szCs w:val="1"/>
                <w:color w:val="auto"/>
              </w:rPr>
            </w:pPr>
          </w:p>
        </w:tc>
      </w:tr>
      <w:tr>
        <w:trPr>
          <w:trHeight w:val="203"/>
        </w:trPr>
        <w:tc>
          <w:tcPr>
            <w:tcW w:w="9920" w:type="dxa"/>
            <w:vAlign w:val="bottom"/>
            <w:gridSpan w:val="6"/>
          </w:tcPr>
          <w:p>
            <w:pPr>
              <w:spacing w:after="0" w:line="203" w:lineRule="exact"/>
              <w:rPr>
                <w:rFonts w:ascii="Arial" w:cs="Arial" w:eastAsia="Arial" w:hAnsi="Arial"/>
                <w:sz w:val="20"/>
                <w:szCs w:val="20"/>
                <w:color w:val="0000FF"/>
              </w:rPr>
            </w:pPr>
            <w:hyperlink w:anchor="page68">
              <w:r>
                <w:rPr>
                  <w:rFonts w:ascii="Arial" w:cs="Arial" w:eastAsia="Arial" w:hAnsi="Arial"/>
                  <w:sz w:val="20"/>
                  <w:szCs w:val="20"/>
                  <w:color w:val="0000FF"/>
                </w:rPr>
                <w:t xml:space="preserve">For Fiscal Years </w:t>
              </w:r>
            </w:hyperlink>
            <w:r>
              <w:rPr>
                <w:rFonts w:ascii="Arial" w:cs="Arial" w:eastAsia="Arial" w:hAnsi="Arial"/>
                <w:sz w:val="20"/>
                <w:szCs w:val="20"/>
                <w:color w:val="0000FF"/>
              </w:rPr>
              <w:t>2020</w:t>
            </w:r>
            <w:hyperlink w:anchor="page68">
              <w:r>
                <w:rPr>
                  <w:rFonts w:ascii="Arial" w:cs="Arial" w:eastAsia="Arial" w:hAnsi="Arial"/>
                  <w:sz w:val="20"/>
                  <w:szCs w:val="20"/>
                  <w:color w:val="0000FF"/>
                </w:rPr>
                <w:t xml:space="preserve">, 2019 and </w:t>
              </w:r>
            </w:hyperlink>
            <w:r>
              <w:rPr>
                <w:rFonts w:ascii="Arial" w:cs="Arial" w:eastAsia="Arial" w:hAnsi="Arial"/>
                <w:sz w:val="20"/>
                <w:szCs w:val="20"/>
                <w:color w:val="0000FF"/>
              </w:rPr>
              <w:t>2018</w:t>
            </w: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900" w:type="dxa"/>
            <w:vAlign w:val="bottom"/>
            <w:tcBorders>
              <w:left w:val="single" w:sz="8" w:color="0000FF"/>
            </w:tcBorders>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9920" w:type="dxa"/>
            <w:vAlign w:val="bottom"/>
            <w:gridSpan w:val="6"/>
          </w:tcPr>
          <w:p>
            <w:pPr>
              <w:spacing w:after="0"/>
              <w:rPr>
                <w:rFonts w:ascii="Arial" w:cs="Arial" w:eastAsia="Arial" w:hAnsi="Arial"/>
                <w:sz w:val="20"/>
                <w:szCs w:val="20"/>
                <w:u w:val="single" w:color="auto"/>
                <w:color w:val="0000FF"/>
              </w:rPr>
            </w:pPr>
            <w:hyperlink w:anchor="page69">
              <w:r>
                <w:rPr>
                  <w:rFonts w:ascii="Arial" w:cs="Arial" w:eastAsia="Arial" w:hAnsi="Arial"/>
                  <w:sz w:val="20"/>
                  <w:szCs w:val="20"/>
                  <w:u w:val="single" w:color="auto"/>
                  <w:color w:val="0000FF"/>
                </w:rPr>
                <w:t>Consolidated Statements of Changes in Stockholders’ Equity —</w:t>
              </w:r>
            </w:hyperlink>
          </w:p>
        </w:tc>
        <w:tc>
          <w:tcPr>
            <w:tcW w:w="1260" w:type="dxa"/>
            <w:vAlign w:val="bottom"/>
            <w:vMerge w:val="restart"/>
          </w:tcPr>
          <w:p>
            <w:pPr>
              <w:jc w:val="right"/>
              <w:spacing w:after="0"/>
              <w:rPr>
                <w:rFonts w:ascii="Arial" w:cs="Arial" w:eastAsia="Arial" w:hAnsi="Arial"/>
                <w:sz w:val="20"/>
                <w:szCs w:val="20"/>
                <w:u w:val="single" w:color="auto"/>
                <w:color w:val="0000FF"/>
              </w:rPr>
            </w:pPr>
            <w:hyperlink w:anchor="page69">
              <w:r>
                <w:rPr>
                  <w:rFonts w:ascii="Arial" w:cs="Arial" w:eastAsia="Arial" w:hAnsi="Arial"/>
                  <w:sz w:val="20"/>
                  <w:szCs w:val="20"/>
                  <w:u w:val="single" w:color="auto"/>
                  <w:color w:val="0000FF"/>
                </w:rPr>
                <w:t>69</w:t>
              </w:r>
            </w:hyperlink>
          </w:p>
        </w:tc>
        <w:tc>
          <w:tcPr>
            <w:tcW w:w="0" w:type="dxa"/>
            <w:vAlign w:val="bottom"/>
          </w:tcPr>
          <w:p>
            <w:pPr>
              <w:spacing w:after="0"/>
              <w:rPr>
                <w:sz w:val="1"/>
                <w:szCs w:val="1"/>
                <w:color w:val="auto"/>
              </w:rPr>
            </w:pPr>
          </w:p>
        </w:tc>
      </w:tr>
      <w:tr>
        <w:trPr>
          <w:trHeight w:val="203"/>
        </w:trPr>
        <w:tc>
          <w:tcPr>
            <w:tcW w:w="9920" w:type="dxa"/>
            <w:vAlign w:val="bottom"/>
            <w:gridSpan w:val="6"/>
          </w:tcPr>
          <w:p>
            <w:pPr>
              <w:spacing w:after="0" w:line="203" w:lineRule="exact"/>
              <w:rPr>
                <w:rFonts w:ascii="Arial" w:cs="Arial" w:eastAsia="Arial" w:hAnsi="Arial"/>
                <w:sz w:val="20"/>
                <w:szCs w:val="20"/>
                <w:color w:val="0000FF"/>
              </w:rPr>
            </w:pPr>
            <w:hyperlink w:anchor="page69">
              <w:r>
                <w:rPr>
                  <w:rFonts w:ascii="Arial" w:cs="Arial" w:eastAsia="Arial" w:hAnsi="Arial"/>
                  <w:sz w:val="20"/>
                  <w:szCs w:val="20"/>
                  <w:color w:val="0000FF"/>
                </w:rPr>
                <w:t xml:space="preserve">For Fiscal Years </w:t>
              </w:r>
            </w:hyperlink>
            <w:r>
              <w:rPr>
                <w:rFonts w:ascii="Arial" w:cs="Arial" w:eastAsia="Arial" w:hAnsi="Arial"/>
                <w:sz w:val="20"/>
                <w:szCs w:val="20"/>
                <w:color w:val="0000FF"/>
              </w:rPr>
              <w:t>2020</w:t>
            </w:r>
            <w:hyperlink w:anchor="page69">
              <w:r>
                <w:rPr>
                  <w:rFonts w:ascii="Arial" w:cs="Arial" w:eastAsia="Arial" w:hAnsi="Arial"/>
                  <w:sz w:val="20"/>
                  <w:szCs w:val="20"/>
                  <w:color w:val="0000FF"/>
                </w:rPr>
                <w:t>, 2019 and 2018</w:t>
              </w:r>
            </w:hyperlink>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9920" w:type="dxa"/>
            <w:vAlign w:val="bottom"/>
            <w:gridSpan w:val="6"/>
          </w:tcPr>
          <w:p>
            <w:pPr>
              <w:spacing w:after="0"/>
              <w:rPr>
                <w:rFonts w:ascii="Arial" w:cs="Arial" w:eastAsia="Arial" w:hAnsi="Arial"/>
                <w:sz w:val="20"/>
                <w:szCs w:val="20"/>
                <w:u w:val="single" w:color="auto"/>
                <w:color w:val="0000FF"/>
              </w:rPr>
            </w:pPr>
            <w:hyperlink w:anchor="page71">
              <w:r>
                <w:rPr>
                  <w:rFonts w:ascii="Arial" w:cs="Arial" w:eastAsia="Arial" w:hAnsi="Arial"/>
                  <w:sz w:val="20"/>
                  <w:szCs w:val="20"/>
                  <w:u w:val="single" w:color="auto"/>
                  <w:color w:val="0000FF"/>
                </w:rPr>
                <w:t>Consolidated Statements of Cash Flows —</w:t>
              </w:r>
            </w:hyperlink>
          </w:p>
        </w:tc>
        <w:tc>
          <w:tcPr>
            <w:tcW w:w="1260" w:type="dxa"/>
            <w:vAlign w:val="bottom"/>
            <w:vMerge w:val="restart"/>
          </w:tcPr>
          <w:p>
            <w:pPr>
              <w:jc w:val="right"/>
              <w:spacing w:after="0"/>
              <w:rPr>
                <w:rFonts w:ascii="Arial" w:cs="Arial" w:eastAsia="Arial" w:hAnsi="Arial"/>
                <w:sz w:val="20"/>
                <w:szCs w:val="20"/>
                <w:u w:val="single" w:color="auto"/>
                <w:color w:val="0000FF"/>
              </w:rPr>
            </w:pPr>
            <w:hyperlink w:anchor="page71">
              <w:r>
                <w:rPr>
                  <w:rFonts w:ascii="Arial" w:cs="Arial" w:eastAsia="Arial" w:hAnsi="Arial"/>
                  <w:sz w:val="20"/>
                  <w:szCs w:val="20"/>
                  <w:u w:val="single" w:color="auto"/>
                  <w:color w:val="0000FF"/>
                </w:rPr>
                <w:t>71</w:t>
              </w:r>
            </w:hyperlink>
          </w:p>
        </w:tc>
        <w:tc>
          <w:tcPr>
            <w:tcW w:w="0" w:type="dxa"/>
            <w:vAlign w:val="bottom"/>
          </w:tcPr>
          <w:p>
            <w:pPr>
              <w:spacing w:after="0"/>
              <w:rPr>
                <w:sz w:val="1"/>
                <w:szCs w:val="1"/>
                <w:color w:val="auto"/>
              </w:rPr>
            </w:pPr>
          </w:p>
        </w:tc>
      </w:tr>
      <w:tr>
        <w:trPr>
          <w:trHeight w:val="203"/>
        </w:trPr>
        <w:tc>
          <w:tcPr>
            <w:tcW w:w="9920" w:type="dxa"/>
            <w:vAlign w:val="bottom"/>
            <w:gridSpan w:val="6"/>
          </w:tcPr>
          <w:p>
            <w:pPr>
              <w:spacing w:after="0" w:line="203" w:lineRule="exact"/>
              <w:rPr>
                <w:rFonts w:ascii="Arial" w:cs="Arial" w:eastAsia="Arial" w:hAnsi="Arial"/>
                <w:sz w:val="20"/>
                <w:szCs w:val="20"/>
                <w:color w:val="0000FF"/>
              </w:rPr>
            </w:pPr>
            <w:hyperlink w:anchor="page71">
              <w:r>
                <w:rPr>
                  <w:rFonts w:ascii="Arial" w:cs="Arial" w:eastAsia="Arial" w:hAnsi="Arial"/>
                  <w:sz w:val="20"/>
                  <w:szCs w:val="20"/>
                  <w:color w:val="0000FF"/>
                </w:rPr>
                <w:t xml:space="preserve">For Fiscal Years </w:t>
              </w:r>
            </w:hyperlink>
            <w:r>
              <w:rPr>
                <w:rFonts w:ascii="Arial" w:cs="Arial" w:eastAsia="Arial" w:hAnsi="Arial"/>
                <w:sz w:val="20"/>
                <w:szCs w:val="20"/>
                <w:color w:val="0000FF"/>
              </w:rPr>
              <w:t>2020</w:t>
            </w:r>
            <w:hyperlink w:anchor="page71">
              <w:r>
                <w:rPr>
                  <w:rFonts w:ascii="Arial" w:cs="Arial" w:eastAsia="Arial" w:hAnsi="Arial"/>
                  <w:sz w:val="20"/>
                  <w:szCs w:val="20"/>
                  <w:color w:val="0000FF"/>
                </w:rPr>
                <w:t xml:space="preserve">, 2019 and </w:t>
              </w:r>
            </w:hyperlink>
            <w:r>
              <w:rPr>
                <w:rFonts w:ascii="Arial" w:cs="Arial" w:eastAsia="Arial" w:hAnsi="Arial"/>
                <w:sz w:val="20"/>
                <w:szCs w:val="20"/>
                <w:color w:val="0000FF"/>
              </w:rPr>
              <w:t>2018</w:t>
            </w: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900" w:type="dxa"/>
            <w:vAlign w:val="bottom"/>
            <w:tcBorders>
              <w:left w:val="single" w:sz="8" w:color="0000FF"/>
            </w:tcBorders>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9920" w:type="dxa"/>
            <w:vAlign w:val="bottom"/>
            <w:gridSpan w:val="6"/>
          </w:tcPr>
          <w:p>
            <w:pPr>
              <w:spacing w:after="0"/>
              <w:rPr>
                <w:rFonts w:ascii="Arial" w:cs="Arial" w:eastAsia="Arial" w:hAnsi="Arial"/>
                <w:sz w:val="20"/>
                <w:szCs w:val="20"/>
                <w:u w:val="single" w:color="auto"/>
                <w:color w:val="0000FF"/>
              </w:rPr>
            </w:pPr>
            <w:hyperlink w:anchor="page73">
              <w:r>
                <w:rPr>
                  <w:rFonts w:ascii="Arial" w:cs="Arial" w:eastAsia="Arial" w:hAnsi="Arial"/>
                  <w:sz w:val="20"/>
                  <w:szCs w:val="20"/>
                  <w:u w:val="single" w:color="auto"/>
                  <w:color w:val="0000FF"/>
                </w:rPr>
                <w:t>Notes to Consolidated Financial Statements</w:t>
              </w:r>
            </w:hyperlink>
          </w:p>
        </w:tc>
        <w:tc>
          <w:tcPr>
            <w:tcW w:w="1260" w:type="dxa"/>
            <w:vAlign w:val="bottom"/>
          </w:tcPr>
          <w:p>
            <w:pPr>
              <w:jc w:val="right"/>
              <w:spacing w:after="0"/>
              <w:rPr>
                <w:rFonts w:ascii="Arial" w:cs="Arial" w:eastAsia="Arial" w:hAnsi="Arial"/>
                <w:sz w:val="20"/>
                <w:szCs w:val="20"/>
                <w:u w:val="single" w:color="auto"/>
                <w:color w:val="0000FF"/>
              </w:rPr>
            </w:pPr>
            <w:hyperlink w:anchor="page73">
              <w:r>
                <w:rPr>
                  <w:rFonts w:ascii="Arial" w:cs="Arial" w:eastAsia="Arial" w:hAnsi="Arial"/>
                  <w:sz w:val="20"/>
                  <w:szCs w:val="20"/>
                  <w:u w:val="single" w:color="auto"/>
                  <w:color w:val="0000FF"/>
                </w:rPr>
                <w:t>73</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Annual Report on Internal Control over Financial Reporting</w:t>
      </w:r>
    </w:p>
    <w:p>
      <w:pPr>
        <w:spacing w:after="0" w:line="24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Management is responsible for establishing and maintaining adequate internal control over financial reporting, as such term is defined in Exchange Act Rule 13a-15(f). 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2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Under the supervision and with the participation of management, including our Chief Executive Officer and Chief Financial Officer, we carried out an evaluation of the effectiveness of our internal control over financial reporting as of December 27, 2020 using the criteria described in </w:t>
      </w:r>
      <w:r>
        <w:rPr>
          <w:rFonts w:ascii="Arial" w:cs="Arial" w:eastAsia="Arial" w:hAnsi="Arial"/>
          <w:sz w:val="20"/>
          <w:szCs w:val="20"/>
          <w:i w:val="1"/>
          <w:iCs w:val="1"/>
          <w:color w:val="auto"/>
        </w:rPr>
        <w:t>Internal Control—Integrated Framework</w:t>
      </w:r>
      <w:r>
        <w:rPr>
          <w:rFonts w:ascii="Arial" w:cs="Arial" w:eastAsia="Arial" w:hAnsi="Arial"/>
          <w:sz w:val="20"/>
          <w:szCs w:val="20"/>
          <w:color w:val="auto"/>
        </w:rPr>
        <w:t xml:space="preserve"> issued by the Committee of Sponsoring Organizations of the Treadway Commission (2013 Framework) (“COSO”). Based upon our evaluation, management concluded that our internal control over financial reporting was effective as of December 27, 2020.</w:t>
      </w:r>
    </w:p>
    <w:p>
      <w:pPr>
        <w:spacing w:after="0" w:line="22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effectiveness of our internal control over financial reporting as of December 27, 2020 has been audited by PricewaterhouseCoopers LLP, an independent registered public accounting firm,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399" w:lineRule="exact"/>
        <w:rPr>
          <w:sz w:val="20"/>
          <w:szCs w:val="20"/>
          <w:color w:val="auto"/>
        </w:rPr>
      </w:pPr>
    </w:p>
    <w:p>
      <w:pPr>
        <w:ind w:left="314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Stockholders of Bloomin’ Brands, Inc.</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Opinions on the Financial Statements and Internal Control over Financial Reporting</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 xml:space="preserve">We have audited the accompanying consolidated balance sheets of Bloomin’ Brands, Inc. and its subsidiaries (the “Company”) as of December 27, 2020 and December 29, 2019, and the related consolidated statements of operations and comprehensive (loss) income, of changes in stockholders’ equity and of cash flows for each of the three years in the period ended December 27, 2020, including the related notes (collectively referred to as the “consolidated financial statements”). We also have audited the Company’s internal control over financial reporting as of December 27, 2020, based on criteria established in </w:t>
      </w:r>
      <w:r>
        <w:rPr>
          <w:rFonts w:ascii="Arial" w:cs="Arial" w:eastAsia="Arial" w:hAnsi="Arial"/>
          <w:sz w:val="19"/>
          <w:szCs w:val="19"/>
          <w:i w:val="1"/>
          <w:iCs w:val="1"/>
          <w:color w:val="auto"/>
        </w:rPr>
        <w:t>Internal Control - Integrated Framework</w:t>
      </w:r>
      <w:r>
        <w:rPr>
          <w:rFonts w:ascii="Arial" w:cs="Arial" w:eastAsia="Arial" w:hAnsi="Arial"/>
          <w:sz w:val="19"/>
          <w:szCs w:val="19"/>
          <w:color w:val="auto"/>
        </w:rPr>
        <w:t xml:space="preserve"> (2013) issued by the Committee of Sponsoring Organizations of the Treadway Commission (COSO).</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 xml:space="preserve">In our opinion, the consolidated financial statements referred to above present fairly, in all material respects, the financial position of the Company as of December 27, 2020 and December 29, 2019, and the results of its operations and its cash flows for each of the three years in the period ended December 27, 2020 in conformity with accounting principles generally accepted in the United States of America. Also in our opinion, the Company maintained, in all material respects, effective internal control over financial reporting as of December 27, 2020, based on criteria established in </w:t>
      </w:r>
      <w:r>
        <w:rPr>
          <w:rFonts w:ascii="Arial" w:cs="Arial" w:eastAsia="Arial" w:hAnsi="Arial"/>
          <w:sz w:val="19"/>
          <w:szCs w:val="19"/>
          <w:i w:val="1"/>
          <w:iCs w:val="1"/>
          <w:color w:val="auto"/>
        </w:rPr>
        <w:t>Internal Control - Integrated Framework</w:t>
      </w:r>
      <w:r>
        <w:rPr>
          <w:rFonts w:ascii="Arial" w:cs="Arial" w:eastAsia="Arial" w:hAnsi="Arial"/>
          <w:sz w:val="19"/>
          <w:szCs w:val="19"/>
          <w:color w:val="auto"/>
        </w:rPr>
        <w:t xml:space="preserve"> (2013) issued by the COSO.</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Change in Accounting Principle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in 2019.</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Opinions</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Definition and Limitations of Internal Control over Financial Reporting</w:t>
      </w:r>
    </w:p>
    <w:p>
      <w:pPr>
        <w:spacing w:after="0" w:line="24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Critical Audit Matters</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Valuation of Insurance Reserves</w:t>
      </w: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As described in Notes 2 and 22 to the consolidated financial statements, the Company’s consolidated discounted insurance reserves balance was $52.8 million as of December 27, 2020. The Company carries insurance programs with specific retention levels or high per-claim deductibles for a significant portion of expected losses under its workers’ compensation, general or liquor liability, health, property and management liability insurance programs. The Company records a liability for all unresolved claims and for an estimate of incurred but not reported claims at the anticipated cost that falls below its specified retention levels or per-claim deductible amounts. In establishing reserves, management considers certain actuarial assumptions and judgments regarding economic conditions and the frequency and severity of claims. Reserves recorded for workers’ compensation and general liability claims are discounted using the average of the one-year and five-year risk-free rate of monetary assets that have comparable maturities.</w:t>
      </w:r>
    </w:p>
    <w:p>
      <w:pPr>
        <w:spacing w:after="0" w:line="20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principal considerations for our determination that performing procedures relating to the valuation of insurance reserves is a critical audit matter are (i) the significant judgment by management when developing the estimated reserves, which in turn led to (ii) a high degree of auditor judgment, subjectivity, and effort in performing procedures and evaluating the actuarial assumptions related to economic conditions and the frequency and severity of claims, and (iii) the audit effort included the involvement of professionals with specialized skill and knowledge.</w:t>
      </w:r>
    </w:p>
    <w:p>
      <w:pPr>
        <w:spacing w:after="0" w:line="22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valuation of insurance reserves. These procedures also included, among others (i) evaluating management’s process for developing the insurance reserves, (ii) evaluating the appropriateness of management’s actuarial methods used, (iii) evaluating the reasonableness of the actuarial assumptions related to economic conditions and the frequency and severity of claims, and (iv) testing the completeness and accuracy of underlying</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36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data used in the valuation. Evaluating the actuarial assumptions related to economic conditions and the frequency and severity of claims involved evaluating whether the assumptions were reasonable considering inflation and the environment and whether these assumptions were consistent with evidence obtained in other areas of the audit. Professionals with specialized skill and knowledge were used to assist in evaluating the appropriateness of management’s actuarial methods used in determining the insurance reserves and evaluating the reasonableness of assumptions related to economic conditions.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Goodwill Interim Impairment Assessment of One International Reporting Unit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described in Notes 2 and 10 to the consolidated financial statements, the Company’s consolidated goodwill balance was $271.2 million as of December 27, 2020 and $282.6 million as of March 29, 2020, and the goodwill associated with one international reporting unit was $69.3 million as of March 29, 2020. The Company conducts an impairment test annually, in the second fiscal quarter, or whenever events or changes in circumstances indicate that the carrying amount may not be recoverable. The COVID-19 outbreak was considered a triggering event during the first quarter of 2020, and management performed a quantitative assessment for four U.S. and three international reporting units as of March 29, 2020. As a result of this test, management determined the fair value of each reporting unit was more than 100% in excess of its carrying value with the exception of (i) one international reporting unit, which had a goodwill carrying value of $69.3 million and a reporting unit fair value approximately 39% in excess of its reporting unit carrying value; and (ii) the Hong Kong reporting unit, for which management recorded a full impairment. Management utilized a discounted cash flow model to estimate fair value of the reporting units. Determining the fair value of the one international reporting unit involved the use of significant assumptions with respect to the calculation of projected future cash flows, including operating margins.</w:t>
      </w:r>
    </w:p>
    <w:p>
      <w:pPr>
        <w:spacing w:after="0" w:line="20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principal considerations for our determination that performing procedures relating to the goodwill interim impairment assessment of one international reporting unit is a critical audit matter are (i) the significant judgment by management when developing the fair value measurement of the reporting unit, which in turn led to (ii) a high degree of auditor judgment, subjectivity, and effort in performing procedures and evaluating management’s significant assumptions related to operating margins, and (iii) the audit effort involved the use of professionals with specialized skill and knowledge.</w:t>
      </w:r>
    </w:p>
    <w:p>
      <w:pPr>
        <w:spacing w:after="0" w:line="211"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one of the Company’s international reporting units. These procedures also included, among others (i) testing management’s process for developing the fair value estimate of the reporting unit, (ii) evaluating the appropriateness of the discounted cash flow model, (iii) testing the completeness and accuracy of underlying data used in the model, and (iv) evaluating the significant assumptions used by management related to operating margins. Evaluating management’s assumptions related to operating margins involved evaluating whether the assumptions were reasonable considering the current and past performance of the reporting unit, the consistency with external market and industry data, and whether the assumptions were consistent with evidence obtained in other areas of the audit. Professionals with specialized skill and knowledge were used to assist in evaluating the appropriateness of the Company’s discounted cash flow model.</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LLP</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Tampa, Florida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24, 2021</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1998.</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27, 2020</w:t>
            </w:r>
          </w:p>
        </w:tc>
        <w:tc>
          <w:tcPr>
            <w:tcW w:w="200" w:type="dxa"/>
            <w:vAlign w:val="bottom"/>
          </w:tcPr>
          <w:p>
            <w:pPr>
              <w:spacing w:after="0"/>
              <w:rPr>
                <w:sz w:val="17"/>
                <w:szCs w:val="17"/>
                <w:color w:val="auto"/>
              </w:rPr>
            </w:pPr>
          </w:p>
        </w:tc>
        <w:tc>
          <w:tcPr>
            <w:tcW w:w="1820" w:type="dxa"/>
            <w:vAlign w:val="bottom"/>
          </w:tcPr>
          <w:p>
            <w:pPr>
              <w:jc w:val="right"/>
              <w:ind w:right="239"/>
              <w:spacing w:after="0"/>
              <w:rPr>
                <w:sz w:val="20"/>
                <w:szCs w:val="20"/>
                <w:color w:val="auto"/>
              </w:rPr>
            </w:pPr>
            <w:r>
              <w:rPr>
                <w:rFonts w:ascii="Arial" w:cs="Arial" w:eastAsia="Arial" w:hAnsi="Arial"/>
                <w:sz w:val="14"/>
                <w:szCs w:val="14"/>
                <w:b w:val="1"/>
                <w:bCs w:val="1"/>
                <w:color w:val="auto"/>
              </w:rPr>
              <w:t>DECEMBER 29, 2019</w:t>
            </w:r>
          </w:p>
        </w:tc>
        <w:tc>
          <w:tcPr>
            <w:tcW w:w="0" w:type="dxa"/>
            <w:vAlign w:val="bottom"/>
          </w:tcPr>
          <w:p>
            <w:pPr>
              <w:spacing w:after="0"/>
              <w:rPr>
                <w:sz w:val="1"/>
                <w:szCs w:val="1"/>
                <w:color w:val="auto"/>
              </w:rPr>
            </w:pPr>
          </w:p>
        </w:tc>
      </w:tr>
      <w:tr>
        <w:trPr>
          <w:trHeight w:val="203"/>
        </w:trPr>
        <w:tc>
          <w:tcPr>
            <w:tcW w:w="7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67,145</w:t>
            </w:r>
          </w:p>
        </w:tc>
        <w:tc>
          <w:tcPr>
            <w:tcW w:w="0" w:type="dxa"/>
            <w:vAlign w:val="bottom"/>
          </w:tcPr>
          <w:p>
            <w:pPr>
              <w:spacing w:after="0"/>
              <w:rPr>
                <w:sz w:val="1"/>
                <w:szCs w:val="1"/>
                <w:color w:val="auto"/>
              </w:rPr>
            </w:pPr>
          </w:p>
        </w:tc>
      </w:tr>
      <w:tr>
        <w:trPr>
          <w:trHeight w:val="213"/>
        </w:trPr>
        <w:tc>
          <w:tcPr>
            <w:tcW w:w="7080" w:type="dxa"/>
            <w:vAlign w:val="bottom"/>
          </w:tcPr>
          <w:p>
            <w:pPr>
              <w:ind w:left="140"/>
              <w:spacing w:after="0"/>
              <w:rPr>
                <w:sz w:val="20"/>
                <w:szCs w:val="20"/>
                <w:color w:val="auto"/>
              </w:rPr>
            </w:pPr>
            <w:r>
              <w:rPr>
                <w:rFonts w:ascii="Arial" w:cs="Arial" w:eastAsia="Arial" w:hAnsi="Arial"/>
                <w:sz w:val="16"/>
                <w:szCs w:val="16"/>
                <w:color w:val="auto"/>
              </w:rPr>
              <w:t>Restricted cash and cash equivalents</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86,861</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 net</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151,518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186,462</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assets</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323,854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340,468</w:t>
            </w:r>
          </w:p>
        </w:tc>
        <w:tc>
          <w:tcPr>
            <w:tcW w:w="0" w:type="dxa"/>
            <w:vAlign w:val="bottom"/>
          </w:tcPr>
          <w:p>
            <w:pPr>
              <w:spacing w:after="0"/>
              <w:rPr>
                <w:sz w:val="1"/>
                <w:szCs w:val="1"/>
                <w:color w:val="auto"/>
              </w:rPr>
            </w:pP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Property, fixtures and equipment, net</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887,687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1,036,077</w:t>
            </w: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1,172,910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1,266,548</w:t>
            </w:r>
          </w:p>
        </w:tc>
        <w:tc>
          <w:tcPr>
            <w:tcW w:w="0" w:type="dxa"/>
            <w:vAlign w:val="bottom"/>
          </w:tcPr>
          <w:p>
            <w:pPr>
              <w:spacing w:after="0"/>
              <w:rPr>
                <w:sz w:val="1"/>
                <w:szCs w:val="1"/>
                <w:color w:val="auto"/>
              </w:rPr>
            </w:pP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271,164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288,439</w:t>
            </w: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459,983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470,615</w:t>
            </w:r>
          </w:p>
        </w:tc>
        <w:tc>
          <w:tcPr>
            <w:tcW w:w="0" w:type="dxa"/>
            <w:vAlign w:val="bottom"/>
          </w:tcPr>
          <w:p>
            <w:pPr>
              <w:spacing w:after="0"/>
              <w:rPr>
                <w:sz w:val="1"/>
                <w:szCs w:val="1"/>
                <w:color w:val="auto"/>
              </w:rPr>
            </w:pP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Deferred income tax assets, net</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153,883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73,426</w:t>
            </w:r>
          </w:p>
        </w:tc>
        <w:tc>
          <w:tcPr>
            <w:tcW w:w="0" w:type="dxa"/>
            <w:vAlign w:val="bottom"/>
          </w:tcPr>
          <w:p>
            <w:pPr>
              <w:spacing w:after="0"/>
              <w:rPr>
                <w:sz w:val="1"/>
                <w:szCs w:val="1"/>
                <w:color w:val="auto"/>
              </w:rPr>
            </w:pPr>
          </w:p>
        </w:tc>
      </w:tr>
      <w:tr>
        <w:trPr>
          <w:trHeight w:val="226"/>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 net</w:t>
            </w: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92,626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117,110</w:t>
            </w:r>
          </w:p>
        </w:tc>
        <w:tc>
          <w:tcPr>
            <w:tcW w:w="0" w:type="dxa"/>
            <w:vAlign w:val="bottom"/>
          </w:tcPr>
          <w:p>
            <w:pPr>
              <w:spacing w:after="0"/>
              <w:rPr>
                <w:sz w:val="1"/>
                <w:szCs w:val="1"/>
                <w:color w:val="auto"/>
              </w:rPr>
            </w:pPr>
          </w:p>
        </w:tc>
      </w:tr>
      <w:tr>
        <w:trPr>
          <w:trHeight w:val="216"/>
        </w:trPr>
        <w:tc>
          <w:tcPr>
            <w:tcW w:w="7080" w:type="dxa"/>
            <w:vAlign w:val="bottom"/>
          </w:tcPr>
          <w:p>
            <w:pPr>
              <w:ind w:left="80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3,362,107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3,592,683</w:t>
            </w:r>
          </w:p>
        </w:tc>
        <w:tc>
          <w:tcPr>
            <w:tcW w:w="0" w:type="dxa"/>
            <w:vAlign w:val="bottom"/>
          </w:tcPr>
          <w:p>
            <w:pPr>
              <w:spacing w:after="0"/>
              <w:rPr>
                <w:sz w:val="1"/>
                <w:szCs w:val="1"/>
                <w:color w:val="auto"/>
              </w:rPr>
            </w:pP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AND STOCKHOLDERS’ EQUITY</w:t>
            </w:r>
          </w:p>
        </w:tc>
        <w:tc>
          <w:tcPr>
            <w:tcW w:w="2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174,877</w:t>
            </w:r>
          </w:p>
        </w:tc>
        <w:tc>
          <w:tcPr>
            <w:tcW w:w="0" w:type="dxa"/>
            <w:vAlign w:val="bottom"/>
          </w:tcPr>
          <w:p>
            <w:pPr>
              <w:spacing w:after="0"/>
              <w:rPr>
                <w:sz w:val="1"/>
                <w:szCs w:val="1"/>
                <w:color w:val="auto"/>
              </w:rPr>
            </w:pPr>
          </w:p>
        </w:tc>
      </w:tr>
      <w:tr>
        <w:trPr>
          <w:trHeight w:val="213"/>
        </w:trPr>
        <w:tc>
          <w:tcPr>
            <w:tcW w:w="7080" w:type="dxa"/>
            <w:vAlign w:val="bottom"/>
          </w:tcPr>
          <w:p>
            <w:pPr>
              <w:ind w:left="140"/>
              <w:spacing w:after="0"/>
              <w:rPr>
                <w:sz w:val="20"/>
                <w:szCs w:val="20"/>
                <w:color w:val="auto"/>
              </w:rPr>
            </w:pPr>
            <w:r>
              <w:rPr>
                <w:rFonts w:ascii="Arial" w:cs="Arial" w:eastAsia="Arial" w:hAnsi="Arial"/>
                <w:sz w:val="16"/>
                <w:szCs w:val="16"/>
                <w:color w:val="auto"/>
              </w:rPr>
              <w:t>Accrued and other current liabilities</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388,321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391,451</w:t>
            </w: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Unearned revenue</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381,616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369,282</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38,710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26,411</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950,104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962,021</w:t>
            </w:r>
          </w:p>
        </w:tc>
        <w:tc>
          <w:tcPr>
            <w:tcW w:w="0" w:type="dxa"/>
            <w:vAlign w:val="bottom"/>
          </w:tcPr>
          <w:p>
            <w:pPr>
              <w:spacing w:after="0"/>
              <w:rPr>
                <w:sz w:val="1"/>
                <w:szCs w:val="1"/>
                <w:color w:val="auto"/>
              </w:rPr>
            </w:pP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Non-current operating lease liabilities</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1,217,921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1,279,051</w:t>
            </w: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 liabilities, net</w:t>
            </w:r>
          </w:p>
        </w:tc>
        <w:tc>
          <w:tcPr>
            <w:tcW w:w="2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13,777</w:t>
            </w:r>
          </w:p>
        </w:tc>
        <w:tc>
          <w:tcPr>
            <w:tcW w:w="0" w:type="dxa"/>
            <w:vAlign w:val="bottom"/>
          </w:tcPr>
          <w:p>
            <w:pPr>
              <w:spacing w:after="0"/>
              <w:rPr>
                <w:sz w:val="1"/>
                <w:szCs w:val="1"/>
                <w:color w:val="auto"/>
              </w:rPr>
            </w:pP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Long-term debt, net</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997,770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1,022,293</w:t>
            </w:r>
          </w:p>
        </w:tc>
        <w:tc>
          <w:tcPr>
            <w:tcW w:w="0" w:type="dxa"/>
            <w:vAlign w:val="bottom"/>
          </w:tcPr>
          <w:p>
            <w:pPr>
              <w:spacing w:after="0"/>
              <w:rPr>
                <w:sz w:val="1"/>
                <w:szCs w:val="1"/>
                <w:color w:val="auto"/>
              </w:rPr>
            </w:pPr>
          </w:p>
        </w:tc>
      </w:tr>
      <w:tr>
        <w:trPr>
          <w:trHeight w:val="226"/>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long-term liabilities, net</w:t>
            </w: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185,355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138,060</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3,351,150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3,415,202</w:t>
            </w:r>
          </w:p>
        </w:tc>
        <w:tc>
          <w:tcPr>
            <w:tcW w:w="0" w:type="dxa"/>
            <w:vAlign w:val="bottom"/>
          </w:tcPr>
          <w:p>
            <w:pPr>
              <w:spacing w:after="0"/>
              <w:rPr>
                <w:sz w:val="1"/>
                <w:szCs w:val="1"/>
                <w:color w:val="auto"/>
              </w:rPr>
            </w:pPr>
          </w:p>
        </w:tc>
      </w:tr>
      <w:tr>
        <w:trPr>
          <w:trHeight w:val="203"/>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22)</w:t>
            </w:r>
          </w:p>
        </w:tc>
        <w:tc>
          <w:tcPr>
            <w:tcW w:w="2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Bloomin’ Brands stockholders’ equity</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7080" w:type="dxa"/>
            <w:vAlign w:val="bottom"/>
          </w:tcPr>
          <w:p>
            <w:pPr>
              <w:ind w:left="360"/>
              <w:spacing w:after="0" w:line="166" w:lineRule="exact"/>
              <w:rPr>
                <w:sz w:val="20"/>
                <w:szCs w:val="20"/>
                <w:color w:val="auto"/>
              </w:rPr>
            </w:pPr>
            <w:r>
              <w:rPr>
                <w:rFonts w:ascii="Arial" w:cs="Arial" w:eastAsia="Arial" w:hAnsi="Arial"/>
                <w:sz w:val="16"/>
                <w:szCs w:val="16"/>
                <w:color w:val="auto"/>
                <w:w w:val="91"/>
              </w:rPr>
              <w:t>Preferred stock, $0.01 par value, 25,000,000 shares authorized; no shares issued and outstanding as of</w:t>
            </w:r>
          </w:p>
        </w:tc>
        <w:tc>
          <w:tcPr>
            <w:tcW w:w="220" w:type="dxa"/>
            <w:vAlign w:val="bottom"/>
          </w:tcPr>
          <w:p>
            <w:pPr>
              <w:spacing w:after="0"/>
              <w:rPr>
                <w:sz w:val="14"/>
                <w:szCs w:val="14"/>
                <w:color w:val="auto"/>
              </w:rPr>
            </w:pPr>
          </w:p>
        </w:tc>
        <w:tc>
          <w:tcPr>
            <w:tcW w:w="1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080" w:type="dxa"/>
            <w:vAlign w:val="bottom"/>
          </w:tcPr>
          <w:p>
            <w:pPr>
              <w:ind w:left="360"/>
              <w:spacing w:after="0"/>
              <w:rPr>
                <w:sz w:val="20"/>
                <w:szCs w:val="20"/>
                <w:color w:val="auto"/>
              </w:rPr>
            </w:pPr>
            <w:r>
              <w:rPr>
                <w:rFonts w:ascii="Arial" w:cs="Arial" w:eastAsia="Arial" w:hAnsi="Arial"/>
                <w:sz w:val="16"/>
                <w:szCs w:val="16"/>
                <w:color w:val="auto"/>
              </w:rPr>
              <w:t>December 27, 2020 and December 29, 2019</w:t>
            </w:r>
          </w:p>
        </w:tc>
        <w:tc>
          <w:tcPr>
            <w:tcW w:w="220" w:type="dxa"/>
            <w:vAlign w:val="bottom"/>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08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4"/>
              </w:rPr>
              <w:t>Common stock, $0.01 par value, 475,000,000 shares authorized; 87,855,571 and 86,945,869 shares</w:t>
            </w:r>
          </w:p>
        </w:tc>
        <w:tc>
          <w:tcPr>
            <w:tcW w:w="220" w:type="dxa"/>
            <w:vAlign w:val="bottom"/>
            <w:shd w:val="clear" w:color="auto" w:fill="CCEEFF"/>
          </w:tcPr>
          <w:p>
            <w:pPr>
              <w:spacing w:after="0"/>
              <w:rPr>
                <w:sz w:val="14"/>
                <w:szCs w:val="14"/>
                <w:color w:val="auto"/>
              </w:rPr>
            </w:pP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0" w:type="dxa"/>
            <w:vAlign w:val="bottom"/>
          </w:tcPr>
          <w:p>
            <w:pPr>
              <w:spacing w:after="0"/>
              <w:rPr>
                <w:sz w:val="1"/>
                <w:szCs w:val="1"/>
                <w:color w:val="auto"/>
              </w:rPr>
            </w:pPr>
          </w:p>
        </w:tc>
      </w:tr>
      <w:tr>
        <w:trPr>
          <w:trHeight w:val="212"/>
        </w:trPr>
        <w:tc>
          <w:tcPr>
            <w:tcW w:w="7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issued and outstanding as of December 27, 2020 and December 29, 2019, respectively</w:t>
            </w:r>
          </w:p>
        </w:tc>
        <w:tc>
          <w:tcPr>
            <w:tcW w:w="220" w:type="dxa"/>
            <w:vAlign w:val="bottom"/>
            <w:shd w:val="clear" w:color="auto" w:fill="CCEEFF"/>
          </w:tcPr>
          <w:p>
            <w:pPr>
              <w:spacing w:after="0"/>
              <w:rPr>
                <w:sz w:val="18"/>
                <w:szCs w:val="18"/>
                <w:color w:val="auto"/>
              </w:rPr>
            </w:pPr>
          </w:p>
        </w:tc>
        <w:tc>
          <w:tcPr>
            <w:tcW w:w="1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8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1,132,808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1,094,338</w:t>
            </w: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deficit</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(918,096)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(755,089)</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(211,446)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(169,776)</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Bloomin’ Brands stockholders’ equity</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170,342</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Noncontrolling interests</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7,139</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10,957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177,481</w:t>
            </w:r>
          </w:p>
        </w:tc>
        <w:tc>
          <w:tcPr>
            <w:tcW w:w="0" w:type="dxa"/>
            <w:vAlign w:val="bottom"/>
          </w:tcPr>
          <w:p>
            <w:pPr>
              <w:spacing w:after="0"/>
              <w:rPr>
                <w:sz w:val="1"/>
                <w:szCs w:val="1"/>
                <w:color w:val="auto"/>
              </w:rPr>
            </w:pPr>
          </w:p>
        </w:tc>
      </w:tr>
      <w:tr>
        <w:trPr>
          <w:trHeight w:val="216"/>
        </w:trPr>
        <w:tc>
          <w:tcPr>
            <w:tcW w:w="7080" w:type="dxa"/>
            <w:vAlign w:val="bottom"/>
          </w:tcPr>
          <w:p>
            <w:pPr>
              <w:ind w:left="80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3,362,107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3,592,683</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CONSOLIDATED STATEMENTS OF OPERATIONS AND COMPREHENSIVE (LOSS)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6"/>
        </w:trPr>
        <w:tc>
          <w:tcPr>
            <w:tcW w:w="64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2018</w:t>
            </w: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6440" w:type="dxa"/>
            <w:vAlign w:val="bottom"/>
          </w:tcPr>
          <w:p>
            <w:pPr>
              <w:ind w:left="140"/>
              <w:spacing w:after="0"/>
              <w:rPr>
                <w:sz w:val="20"/>
                <w:szCs w:val="20"/>
                <w:color w:val="auto"/>
              </w:rPr>
            </w:pPr>
            <w:r>
              <w:rPr>
                <w:rFonts w:ascii="Arial" w:cs="Arial" w:eastAsia="Arial" w:hAnsi="Arial"/>
                <w:sz w:val="16"/>
                <w:szCs w:val="16"/>
                <w:color w:val="auto"/>
              </w:rPr>
              <w:t>Restaurant sales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3,144,636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4,075,014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4,060,871</w:t>
            </w:r>
          </w:p>
        </w:tc>
      </w:tr>
      <w:tr>
        <w:trPr>
          <w:trHeight w:val="226"/>
        </w:trPr>
        <w:tc>
          <w:tcPr>
            <w:tcW w:w="6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Franchise and other revenues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25,925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64,375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65,542</w:t>
            </w:r>
          </w:p>
        </w:tc>
      </w:tr>
      <w:tr>
        <w:trPr>
          <w:trHeight w:val="223"/>
        </w:trPr>
        <w:tc>
          <w:tcPr>
            <w:tcW w:w="644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revenues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3,170,561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4,139,389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4,126,413</w:t>
            </w: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6440" w:type="dxa"/>
            <w:vAlign w:val="bottom"/>
          </w:tcPr>
          <w:p>
            <w:pPr>
              <w:ind w:left="140"/>
              <w:spacing w:after="0"/>
              <w:rPr>
                <w:sz w:val="20"/>
                <w:szCs w:val="20"/>
                <w:color w:val="auto"/>
              </w:rPr>
            </w:pPr>
            <w:r>
              <w:rPr>
                <w:rFonts w:ascii="Arial" w:cs="Arial" w:eastAsia="Arial" w:hAnsi="Arial"/>
                <w:sz w:val="16"/>
                <w:szCs w:val="16"/>
                <w:color w:val="auto"/>
              </w:rPr>
              <w:t>Food and beverage costs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982,702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1,277,824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1,295,588</w:t>
            </w:r>
          </w:p>
        </w:tc>
      </w:tr>
      <w:tr>
        <w:trPr>
          <w:trHeight w:val="219"/>
        </w:trPr>
        <w:tc>
          <w:tcPr>
            <w:tcW w:w="6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Labor and other related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1,005,295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1,207,289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1,197,297</w:t>
            </w:r>
          </w:p>
        </w:tc>
      </w:tr>
      <w:tr>
        <w:trPr>
          <w:trHeight w:val="213"/>
        </w:trPr>
        <w:tc>
          <w:tcPr>
            <w:tcW w:w="6440" w:type="dxa"/>
            <w:vAlign w:val="bottom"/>
          </w:tcPr>
          <w:p>
            <w:pPr>
              <w:ind w:left="140"/>
              <w:spacing w:after="0"/>
              <w:rPr>
                <w:sz w:val="20"/>
                <w:szCs w:val="20"/>
                <w:color w:val="auto"/>
              </w:rPr>
            </w:pPr>
            <w:r>
              <w:rPr>
                <w:rFonts w:ascii="Arial" w:cs="Arial" w:eastAsia="Arial" w:hAnsi="Arial"/>
                <w:sz w:val="16"/>
                <w:szCs w:val="16"/>
                <w:color w:val="auto"/>
              </w:rPr>
              <w:t>Other restaurant operating</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846,566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982,051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967,099</w:t>
            </w:r>
          </w:p>
        </w:tc>
      </w:tr>
      <w:tr>
        <w:trPr>
          <w:trHeight w:val="219"/>
        </w:trPr>
        <w:tc>
          <w:tcPr>
            <w:tcW w:w="6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180,261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196,811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201,593</w:t>
            </w:r>
          </w:p>
        </w:tc>
      </w:tr>
      <w:tr>
        <w:trPr>
          <w:trHeight w:val="213"/>
        </w:trPr>
        <w:tc>
          <w:tcPr>
            <w:tcW w:w="644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254,356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275,239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282,720</w:t>
            </w:r>
          </w:p>
        </w:tc>
      </w:tr>
      <w:tr>
        <w:trPr>
          <w:trHeight w:val="226"/>
        </w:trPr>
        <w:tc>
          <w:tcPr>
            <w:tcW w:w="6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Provision for impaired assets and restaurant closings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76,354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36,863</w:t>
            </w:r>
          </w:p>
        </w:tc>
      </w:tr>
      <w:tr>
        <w:trPr>
          <w:trHeight w:val="223"/>
        </w:trPr>
        <w:tc>
          <w:tcPr>
            <w:tcW w:w="644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costs and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3,345,534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3,948,299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3,981,160</w:t>
            </w: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from operations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(174,973)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145,253</w:t>
            </w: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Loss on modification of debt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2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(64,442)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(49,257)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(44,937)</w:t>
            </w: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before (benefit) provision for income taxes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(239,521)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100,305</w:t>
            </w:r>
          </w:p>
        </w:tc>
      </w:tr>
      <w:tr>
        <w:trPr>
          <w:trHeight w:val="22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provision for income taxes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(9,233)</w:t>
            </w: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109,538</w:t>
            </w:r>
          </w:p>
        </w:tc>
      </w:tr>
      <w:tr>
        <w:trPr>
          <w:trHeight w:val="223"/>
        </w:trPr>
        <w:tc>
          <w:tcPr>
            <w:tcW w:w="6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net (loss) income attributable to noncontrolling interests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2,440</w:t>
            </w:r>
          </w:p>
        </w:tc>
      </w:tr>
      <w:tr>
        <w:trPr>
          <w:trHeight w:val="223"/>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 attributable to Bloomin’ Brands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(158,715)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130,573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107,098</w:t>
            </w:r>
          </w:p>
        </w:tc>
      </w:tr>
      <w:tr>
        <w:trPr>
          <w:trHeight w:val="223"/>
        </w:trPr>
        <w:tc>
          <w:tcPr>
            <w:tcW w:w="6440" w:type="dxa"/>
            <w:vAlign w:val="bottom"/>
          </w:tcPr>
          <w:p>
            <w:pPr>
              <w:ind w:left="20"/>
              <w:spacing w:after="0"/>
              <w:rPr>
                <w:sz w:val="20"/>
                <w:szCs w:val="20"/>
                <w:color w:val="auto"/>
              </w:rPr>
            </w:pPr>
            <w:r>
              <w:rPr>
                <w:rFonts w:ascii="Arial" w:cs="Arial" w:eastAsia="Arial" w:hAnsi="Arial"/>
                <w:sz w:val="16"/>
                <w:szCs w:val="16"/>
                <w:color w:val="auto"/>
              </w:rPr>
              <w:t>Redemption of preferred stock in excess of carrying value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1"/>
        </w:trPr>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 attributable to common stockholders</w:t>
            </w: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(162,211)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130,573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107,098</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109,538</w:t>
            </w: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Other comprehensive (loss) income:</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6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(36,132)</w:t>
            </w:r>
          </w:p>
        </w:tc>
      </w:tr>
      <w:tr>
        <w:trPr>
          <w:trHeight w:val="213"/>
        </w:trPr>
        <w:tc>
          <w:tcPr>
            <w:tcW w:w="6440" w:type="dxa"/>
            <w:vAlign w:val="bottom"/>
          </w:tcPr>
          <w:p>
            <w:pPr>
              <w:ind w:left="140"/>
              <w:spacing w:after="0"/>
              <w:rPr>
                <w:sz w:val="20"/>
                <w:szCs w:val="20"/>
                <w:color w:val="auto"/>
              </w:rPr>
            </w:pPr>
            <w:r>
              <w:rPr>
                <w:rFonts w:ascii="Arial" w:cs="Arial" w:eastAsia="Arial" w:hAnsi="Arial"/>
                <w:sz w:val="16"/>
                <w:szCs w:val="16"/>
                <w:color w:val="auto"/>
              </w:rPr>
              <w:t>Unrealized loss on derivatives, net of tax</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(14,741)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(11,944)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(7,100)</w:t>
            </w:r>
          </w:p>
        </w:tc>
      </w:tr>
      <w:tr>
        <w:trPr>
          <w:trHeight w:val="239"/>
        </w:trPr>
        <w:tc>
          <w:tcPr>
            <w:tcW w:w="6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5"/>
              </w:rPr>
              <w:t>Reclassification of adjustment for loss on derivatives included in Net (loss) income, net of tax</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00"/>
        </w:trPr>
        <w:tc>
          <w:tcPr>
            <w:tcW w:w="6440" w:type="dxa"/>
            <w:vAlign w:val="bottom"/>
          </w:tcPr>
          <w:p>
            <w:pPr>
              <w:ind w:left="20"/>
              <w:spacing w:after="0"/>
              <w:rPr>
                <w:sz w:val="20"/>
                <w:szCs w:val="20"/>
                <w:color w:val="auto"/>
              </w:rPr>
            </w:pPr>
            <w:r>
              <w:rPr>
                <w:rFonts w:ascii="Arial" w:cs="Arial" w:eastAsia="Arial" w:hAnsi="Arial"/>
                <w:sz w:val="16"/>
                <w:szCs w:val="16"/>
                <w:color w:val="auto"/>
              </w:rPr>
              <w:t>Comprehensive (loss) income</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(201,129)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107,353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66,426</w:t>
            </w:r>
          </w:p>
        </w:tc>
      </w:tr>
      <w:tr>
        <w:trPr>
          <w:trHeight w:val="226"/>
        </w:trPr>
        <w:tc>
          <w:tcPr>
            <w:tcW w:w="6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Less: comprehensive (loss) income attributable to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2,884</w:t>
            </w:r>
          </w:p>
        </w:tc>
      </w:tr>
      <w:tr>
        <w:trPr>
          <w:trHeight w:val="216"/>
        </w:trPr>
        <w:tc>
          <w:tcPr>
            <w:tcW w:w="6440" w:type="dxa"/>
            <w:vAlign w:val="bottom"/>
          </w:tcPr>
          <w:p>
            <w:pPr>
              <w:ind w:left="20"/>
              <w:spacing w:after="0"/>
              <w:rPr>
                <w:sz w:val="20"/>
                <w:szCs w:val="20"/>
                <w:color w:val="auto"/>
              </w:rPr>
            </w:pPr>
            <w:r>
              <w:rPr>
                <w:rFonts w:ascii="Arial" w:cs="Arial" w:eastAsia="Arial" w:hAnsi="Arial"/>
                <w:sz w:val="16"/>
                <w:szCs w:val="16"/>
                <w:color w:val="auto"/>
              </w:rPr>
              <w:t>Comprehensive (loss) income attributable to Bloomin’ Brands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(200,385)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103,552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63,542</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64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(Loss) earnings per share attributable to common stockholders: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44"/>
        </w:trPr>
        <w:tc>
          <w:tcPr>
            <w:tcW w:w="6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440" w:type="dxa"/>
            <w:vAlign w:val="bottom"/>
          </w:tcPr>
          <w:p>
            <w:pPr>
              <w:ind w:left="14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16"/>
        </w:trPr>
        <w:tc>
          <w:tcPr>
            <w:tcW w:w="6440" w:type="dxa"/>
            <w:vAlign w:val="bottom"/>
          </w:tcPr>
          <w:p>
            <w:pPr>
              <w:ind w:left="14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87,468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88,839</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92,042</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5"/>
        </w:trPr>
        <w:tc>
          <w:tcPr>
            <w:tcW w:w="6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87,468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89,777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94,075</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4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dividends declared per common share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0.36</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CONSOLIDATED STATEMENTS OF CHANGES IN STOCKHOLDERS’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2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BLOOMIN’ BRANDS</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2"/>
                <w:szCs w:val="12"/>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w:t>
            </w:r>
          </w:p>
        </w:tc>
        <w:tc>
          <w:tcPr>
            <w:tcW w:w="160" w:type="dxa"/>
            <w:vAlign w:val="bottom"/>
          </w:tcPr>
          <w:p>
            <w:pPr>
              <w:spacing w:after="0"/>
              <w:rPr>
                <w:sz w:val="12"/>
                <w:szCs w:val="12"/>
                <w:color w:val="auto"/>
              </w:rPr>
            </w:pP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1940" w:type="dxa"/>
            <w:vAlign w:val="bottom"/>
            <w:gridSpan w:val="4"/>
            <w:vMerge w:val="restart"/>
          </w:tcPr>
          <w:p>
            <w:pPr>
              <w:jc w:val="right"/>
              <w:ind w:right="259"/>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220" w:type="dxa"/>
            <w:vAlign w:val="bottom"/>
          </w:tcPr>
          <w:p>
            <w:pPr>
              <w:spacing w:after="0"/>
              <w:rPr>
                <w:sz w:val="10"/>
                <w:szCs w:val="10"/>
                <w:color w:val="auto"/>
              </w:rPr>
            </w:pPr>
          </w:p>
        </w:tc>
        <w:tc>
          <w:tcPr>
            <w:tcW w:w="194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240"/>
              <w:spacing w:after="0" w:line="115" w:lineRule="exact"/>
              <w:rPr>
                <w:sz w:val="20"/>
                <w:szCs w:val="20"/>
                <w:color w:val="auto"/>
              </w:rPr>
            </w:pPr>
            <w:r>
              <w:rPr>
                <w:rFonts w:ascii="Arial" w:cs="Arial" w:eastAsia="Arial" w:hAnsi="Arial"/>
                <w:sz w:val="13"/>
                <w:szCs w:val="13"/>
                <w:b w:val="1"/>
                <w:bCs w:val="1"/>
                <w:color w:val="auto"/>
              </w:rPr>
              <w:t>PAID-IN</w:t>
            </w:r>
          </w:p>
        </w:tc>
        <w:tc>
          <w:tcPr>
            <w:tcW w:w="180" w:type="dxa"/>
            <w:vAlign w:val="bottom"/>
          </w:tcPr>
          <w:p>
            <w:pPr>
              <w:spacing w:after="0"/>
              <w:rPr>
                <w:sz w:val="10"/>
                <w:szCs w:val="10"/>
                <w:color w:val="auto"/>
              </w:rPr>
            </w:pPr>
          </w:p>
        </w:tc>
        <w:tc>
          <w:tcPr>
            <w:tcW w:w="1080" w:type="dxa"/>
            <w:vAlign w:val="bottom"/>
            <w:gridSpan w:val="2"/>
          </w:tcPr>
          <w:p>
            <w:pPr>
              <w:ind w:left="100"/>
              <w:spacing w:after="0" w:line="115" w:lineRule="exact"/>
              <w:rPr>
                <w:sz w:val="20"/>
                <w:szCs w:val="20"/>
                <w:color w:val="auto"/>
              </w:rPr>
            </w:pPr>
            <w:r>
              <w:rPr>
                <w:rFonts w:ascii="Arial" w:cs="Arial" w:eastAsia="Arial" w:hAnsi="Arial"/>
                <w:sz w:val="13"/>
                <w:szCs w:val="13"/>
                <w:b w:val="1"/>
                <w:bCs w:val="1"/>
                <w:color w:val="auto"/>
              </w:rPr>
              <w:t>ULATED</w:t>
            </w:r>
          </w:p>
        </w:tc>
        <w:tc>
          <w:tcPr>
            <w:tcW w:w="160" w:type="dxa"/>
            <w:vAlign w:val="bottom"/>
          </w:tcPr>
          <w:p>
            <w:pPr>
              <w:spacing w:after="0"/>
              <w:rPr>
                <w:sz w:val="10"/>
                <w:szCs w:val="10"/>
                <w:color w:val="auto"/>
              </w:rPr>
            </w:pPr>
          </w:p>
        </w:tc>
        <w:tc>
          <w:tcPr>
            <w:tcW w:w="1660" w:type="dxa"/>
            <w:vAlign w:val="bottom"/>
            <w:gridSpan w:val="2"/>
          </w:tcPr>
          <w:p>
            <w:pPr>
              <w:jc w:val="center"/>
              <w:ind w:right="260"/>
              <w:spacing w:after="0" w:line="115" w:lineRule="exact"/>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10"/>
                <w:szCs w:val="10"/>
                <w:color w:val="auto"/>
              </w:rPr>
            </w:pPr>
          </w:p>
        </w:tc>
        <w:tc>
          <w:tcPr>
            <w:tcW w:w="1440" w:type="dxa"/>
            <w:vAlign w:val="bottom"/>
            <w:gridSpan w:val="2"/>
          </w:tcPr>
          <w:p>
            <w:pPr>
              <w:jc w:val="center"/>
              <w:ind w:right="240"/>
              <w:spacing w:after="0" w:line="115" w:lineRule="exact"/>
              <w:rPr>
                <w:sz w:val="20"/>
                <w:szCs w:val="20"/>
                <w:color w:val="auto"/>
              </w:rPr>
            </w:pPr>
            <w:r>
              <w:rPr>
                <w:rFonts w:ascii="Arial" w:cs="Arial" w:eastAsia="Arial" w:hAnsi="Arial"/>
                <w:sz w:val="13"/>
                <w:szCs w:val="13"/>
                <w:b w:val="1"/>
                <w:bCs w:val="1"/>
                <w:color w:val="auto"/>
              </w:rPr>
              <w:t>CONTROLLING</w:t>
            </w: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22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7"/>
                <w:szCs w:val="17"/>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LOSS</w:t>
            </w: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7"/>
                <w:szCs w:val="17"/>
                <w:color w:val="auto"/>
              </w:rPr>
            </w:pPr>
          </w:p>
        </w:tc>
        <w:tc>
          <w:tcPr>
            <w:tcW w:w="780" w:type="dxa"/>
            <w:vAlign w:val="bottom"/>
          </w:tcPr>
          <w:p>
            <w:pPr>
              <w:jc w:val="right"/>
              <w:ind w:right="1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2017</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91,913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1,081,813</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(913,191)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(99,199)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10,889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81,231</w:t>
            </w: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107,098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ind w:left="1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109,868</w:t>
            </w: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Other comprehensive (loss)</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(43,556)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(43,112)</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net of tax</w:t>
            </w: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20" w:type="dxa"/>
            <w:vAlign w:val="bottom"/>
          </w:tcPr>
          <w:p>
            <w:pPr>
              <w:ind w:left="20"/>
              <w:spacing w:after="0" w:line="166" w:lineRule="exact"/>
              <w:rPr>
                <w:sz w:val="20"/>
                <w:szCs w:val="20"/>
                <w:color w:val="auto"/>
              </w:rPr>
            </w:pPr>
            <w:r>
              <w:rPr>
                <w:rFonts w:ascii="Arial" w:cs="Arial" w:eastAsia="Arial" w:hAnsi="Arial"/>
                <w:sz w:val="16"/>
                <w:szCs w:val="16"/>
                <w:color w:val="auto"/>
                <w:w w:val="97"/>
              </w:rPr>
              <w:t>Cash dividends declared, $0.36</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(33,312)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660" w:type="dxa"/>
            <w:vAlign w:val="bottom"/>
            <w:gridSpan w:val="2"/>
            <w:vMerge w:val="restart"/>
          </w:tcPr>
          <w:p>
            <w:pPr>
              <w:ind w:left="1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(33,312)</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rPr>
              <w:t>per common share</w:t>
            </w: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Repurchase and retirement of</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(5,062)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(113,917)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ind w:left="1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(113,967)</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23,059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60" w:type="dxa"/>
            <w:vAlign w:val="bottom"/>
            <w:gridSpan w:val="2"/>
          </w:tcPr>
          <w:p>
            <w:pPr>
              <w:ind w:left="1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23,059</w:t>
            </w: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Common stock issued under</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4,421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36,568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ind w:left="1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36,612</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plans (1)</w:t>
            </w: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20" w:type="dxa"/>
            <w:vAlign w:val="bottom"/>
          </w:tcPr>
          <w:p>
            <w:pPr>
              <w:ind w:left="20"/>
              <w:spacing w:after="0" w:line="166" w:lineRule="exact"/>
              <w:rPr>
                <w:sz w:val="20"/>
                <w:szCs w:val="20"/>
                <w:color w:val="auto"/>
              </w:rPr>
            </w:pPr>
            <w:r>
              <w:rPr>
                <w:rFonts w:ascii="Arial" w:cs="Arial" w:eastAsia="Arial" w:hAnsi="Arial"/>
                <w:sz w:val="16"/>
                <w:szCs w:val="16"/>
                <w:color w:val="auto"/>
              </w:rPr>
              <w:t>Purchase of noncontrolling</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660" w:type="dxa"/>
            <w:vAlign w:val="bottom"/>
            <w:gridSpan w:val="2"/>
            <w:vMerge w:val="restart"/>
          </w:tcPr>
          <w:p>
            <w:pPr>
              <w:ind w:left="1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rPr>
              <w:t>interests, net of tax of $75</w:t>
            </w: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6"/>
              </w:rPr>
              <w:t>Change in the redemption value</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ind w:left="1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 redeemable interests</w:t>
            </w: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20" w:type="dxa"/>
            <w:vAlign w:val="bottom"/>
          </w:tcPr>
          <w:p>
            <w:pPr>
              <w:ind w:left="20"/>
              <w:spacing w:after="0" w:line="166" w:lineRule="exact"/>
              <w:rPr>
                <w:sz w:val="20"/>
                <w:szCs w:val="20"/>
                <w:color w:val="auto"/>
              </w:rPr>
            </w:pPr>
            <w:r>
              <w:rPr>
                <w:rFonts w:ascii="Arial" w:cs="Arial" w:eastAsia="Arial" w:hAnsi="Arial"/>
                <w:sz w:val="16"/>
                <w:szCs w:val="16"/>
                <w:color w:val="auto"/>
              </w:rPr>
              <w:t>Distributions to noncontrolling</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660" w:type="dxa"/>
            <w:vAlign w:val="bottom"/>
            <w:gridSpan w:val="2"/>
            <w:vMerge w:val="restart"/>
          </w:tcPr>
          <w:p>
            <w:pPr>
              <w:ind w:left="1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(6,943)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(6,943)</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rPr>
              <w:t>interests</w:t>
            </w: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Contributions from</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ind w:left="1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2,037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2,037</w:t>
            </w: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22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6"/>
                <w:szCs w:val="16"/>
                <w:color w:val="auto"/>
              </w:rPr>
              <w:t>Balance, December 30, 2018</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91,272</w:t>
            </w:r>
          </w:p>
        </w:tc>
        <w:tc>
          <w:tcPr>
            <w:tcW w:w="12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913</w:t>
            </w:r>
          </w:p>
        </w:tc>
        <w:tc>
          <w:tcPr>
            <w:tcW w:w="12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1,107,582</w:t>
            </w:r>
          </w:p>
        </w:tc>
        <w:tc>
          <w:tcPr>
            <w:tcW w:w="120" w:type="dxa"/>
            <w:vAlign w:val="bottom"/>
            <w:tcBorders>
              <w:top w:val="single" w:sz="8" w:color="CCEEFF"/>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(920,010)</w:t>
            </w:r>
          </w:p>
        </w:tc>
        <w:tc>
          <w:tcPr>
            <w:tcW w:w="10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(142,755)</w:t>
            </w:r>
          </w:p>
        </w:tc>
        <w:tc>
          <w:tcPr>
            <w:tcW w:w="12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9,087</w:t>
            </w:r>
          </w:p>
        </w:tc>
        <w:tc>
          <w:tcPr>
            <w:tcW w:w="10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54,817</w:t>
            </w:r>
          </w:p>
        </w:tc>
        <w:tc>
          <w:tcPr>
            <w:tcW w:w="0" w:type="dxa"/>
            <w:vAlign w:val="bottom"/>
          </w:tcPr>
          <w:p>
            <w:pPr>
              <w:spacing w:after="0"/>
              <w:rPr>
                <w:sz w:val="1"/>
                <w:szCs w:val="1"/>
                <w:color w:val="auto"/>
              </w:rPr>
            </w:pPr>
          </w:p>
        </w:tc>
      </w:tr>
      <w:tr>
        <w:trPr>
          <w:trHeight w:val="152"/>
        </w:trPr>
        <w:tc>
          <w:tcPr>
            <w:tcW w:w="2220" w:type="dxa"/>
            <w:vAlign w:val="bottom"/>
            <w:shd w:val="clear" w:color="auto" w:fill="CCEEFF"/>
          </w:tcPr>
          <w:p>
            <w:pPr>
              <w:ind w:left="20"/>
              <w:spacing w:after="0" w:line="152" w:lineRule="exact"/>
              <w:rPr>
                <w:sz w:val="20"/>
                <w:szCs w:val="20"/>
                <w:color w:val="auto"/>
              </w:rPr>
            </w:pPr>
            <w:r>
              <w:rPr>
                <w:rFonts w:ascii="Arial" w:cs="Arial" w:eastAsia="Arial" w:hAnsi="Arial"/>
                <w:sz w:val="16"/>
                <w:szCs w:val="16"/>
                <w:color w:val="auto"/>
                <w:w w:val="94"/>
              </w:rPr>
              <w:t>Cumulative-effect from a change</w:t>
            </w: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in accounting principle, net of</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141,285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ind w:left="1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141,285</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w:t>
            </w: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130,573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ind w:left="1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3,544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134,117</w:t>
            </w: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Other comprehensive (loss)</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(27,055)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(26,764)</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net of tax</w:t>
            </w: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20" w:type="dxa"/>
            <w:vAlign w:val="bottom"/>
          </w:tcPr>
          <w:p>
            <w:pPr>
              <w:ind w:left="20"/>
              <w:spacing w:after="0" w:line="166" w:lineRule="exact"/>
              <w:rPr>
                <w:sz w:val="20"/>
                <w:szCs w:val="20"/>
                <w:color w:val="auto"/>
              </w:rPr>
            </w:pPr>
            <w:r>
              <w:rPr>
                <w:rFonts w:ascii="Arial" w:cs="Arial" w:eastAsia="Arial" w:hAnsi="Arial"/>
                <w:sz w:val="16"/>
                <w:szCs w:val="16"/>
                <w:color w:val="auto"/>
                <w:w w:val="97"/>
              </w:rPr>
              <w:t>Cash dividends declared, $0.40</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(35,734)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660" w:type="dxa"/>
            <w:vAlign w:val="bottom"/>
            <w:gridSpan w:val="2"/>
            <w:vMerge w:val="restart"/>
          </w:tcPr>
          <w:p>
            <w:pPr>
              <w:ind w:left="1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(35,734)</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rPr>
              <w:t>per common share</w:t>
            </w: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Repurchase and retirement of</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(5,469)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(106,937)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ind w:left="1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(106,992)</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19,951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60" w:type="dxa"/>
            <w:vAlign w:val="bottom"/>
            <w:gridSpan w:val="2"/>
          </w:tcPr>
          <w:p>
            <w:pPr>
              <w:ind w:left="1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19,951</w:t>
            </w: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Common stock issued under</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1,143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2,696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ind w:left="1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2,707</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plans (1)</w:t>
            </w: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20" w:type="dxa"/>
            <w:vAlign w:val="bottom"/>
          </w:tcPr>
          <w:p>
            <w:pPr>
              <w:ind w:left="20"/>
              <w:spacing w:after="0" w:line="166" w:lineRule="exact"/>
              <w:rPr>
                <w:sz w:val="20"/>
                <w:szCs w:val="20"/>
                <w:color w:val="auto"/>
              </w:rPr>
            </w:pPr>
            <w:r>
              <w:rPr>
                <w:rFonts w:ascii="Arial" w:cs="Arial" w:eastAsia="Arial" w:hAnsi="Arial"/>
                <w:sz w:val="16"/>
                <w:szCs w:val="16"/>
                <w:color w:val="auto"/>
              </w:rPr>
              <w:t>Purchase of noncontrolling</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540" w:type="dxa"/>
            <w:vAlign w:val="bottom"/>
            <w:vMerge w:val="restart"/>
          </w:tcPr>
          <w:p>
            <w:pPr>
              <w:ind w:left="1320"/>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rPr>
              <w:t>interests</w:t>
            </w: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Distributions to noncontrolling</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ind w:left="1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(7,214)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(7,214)</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interests</w:t>
            </w: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20" w:type="dxa"/>
            <w:vAlign w:val="bottom"/>
          </w:tcPr>
          <w:p>
            <w:pPr>
              <w:ind w:left="20"/>
              <w:spacing w:after="0" w:line="166" w:lineRule="exact"/>
              <w:rPr>
                <w:sz w:val="20"/>
                <w:szCs w:val="20"/>
                <w:color w:val="auto"/>
              </w:rPr>
            </w:pPr>
            <w:r>
              <w:rPr>
                <w:rFonts w:ascii="Arial" w:cs="Arial" w:eastAsia="Arial" w:hAnsi="Arial"/>
                <w:sz w:val="16"/>
                <w:szCs w:val="16"/>
                <w:color w:val="auto"/>
              </w:rPr>
              <w:t>Contributions from</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660" w:type="dxa"/>
            <w:vAlign w:val="bottom"/>
            <w:gridSpan w:val="2"/>
            <w:vMerge w:val="restart"/>
          </w:tcPr>
          <w:p>
            <w:pPr>
              <w:ind w:left="1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1,349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1,349</w:t>
            </w:r>
          </w:p>
        </w:tc>
        <w:tc>
          <w:tcPr>
            <w:tcW w:w="0" w:type="dxa"/>
            <w:vAlign w:val="bottom"/>
          </w:tcPr>
          <w:p>
            <w:pPr>
              <w:spacing w:after="0"/>
              <w:rPr>
                <w:sz w:val="1"/>
                <w:szCs w:val="1"/>
                <w:color w:val="auto"/>
              </w:rPr>
            </w:pPr>
          </w:p>
        </w:tc>
      </w:tr>
      <w:tr>
        <w:trPr>
          <w:trHeight w:val="206"/>
        </w:trPr>
        <w:tc>
          <w:tcPr>
            <w:tcW w:w="222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10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29, 2019</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1,094,338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(755,089)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(169,776)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177,481</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10040"/>
        <w:spacing w:after="0"/>
        <w:rPr>
          <w:sz w:val="20"/>
          <w:szCs w:val="20"/>
          <w:color w:val="auto"/>
        </w:rPr>
      </w:pPr>
      <w:r>
        <w:rPr>
          <w:rFonts w:ascii="Arial" w:cs="Arial" w:eastAsia="Arial" w:hAnsi="Arial"/>
          <w:sz w:val="16"/>
          <w:szCs w:val="16"/>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CONSOLIDATED STATEMENTS OF CHANGES IN STOCKHOLDERS’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2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BLOOMIN’ BRANDS</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2"/>
                <w:szCs w:val="12"/>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w:t>
            </w:r>
          </w:p>
        </w:tc>
        <w:tc>
          <w:tcPr>
            <w:tcW w:w="160" w:type="dxa"/>
            <w:vAlign w:val="bottom"/>
          </w:tcPr>
          <w:p>
            <w:pPr>
              <w:spacing w:after="0"/>
              <w:rPr>
                <w:sz w:val="12"/>
                <w:szCs w:val="12"/>
                <w:color w:val="auto"/>
              </w:rPr>
            </w:pP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194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220" w:type="dxa"/>
            <w:vAlign w:val="bottom"/>
          </w:tcPr>
          <w:p>
            <w:pPr>
              <w:spacing w:after="0"/>
              <w:rPr>
                <w:sz w:val="10"/>
                <w:szCs w:val="10"/>
                <w:color w:val="auto"/>
              </w:rPr>
            </w:pPr>
          </w:p>
        </w:tc>
        <w:tc>
          <w:tcPr>
            <w:tcW w:w="194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240"/>
              <w:spacing w:after="0" w:line="115" w:lineRule="exact"/>
              <w:rPr>
                <w:sz w:val="20"/>
                <w:szCs w:val="20"/>
                <w:color w:val="auto"/>
              </w:rPr>
            </w:pPr>
            <w:r>
              <w:rPr>
                <w:rFonts w:ascii="Arial" w:cs="Arial" w:eastAsia="Arial" w:hAnsi="Arial"/>
                <w:sz w:val="13"/>
                <w:szCs w:val="13"/>
                <w:b w:val="1"/>
                <w:bCs w:val="1"/>
                <w:color w:val="auto"/>
              </w:rPr>
              <w:t>PAID-IN</w:t>
            </w:r>
          </w:p>
        </w:tc>
        <w:tc>
          <w:tcPr>
            <w:tcW w:w="180" w:type="dxa"/>
            <w:vAlign w:val="bottom"/>
          </w:tcPr>
          <w:p>
            <w:pPr>
              <w:spacing w:after="0"/>
              <w:rPr>
                <w:sz w:val="10"/>
                <w:szCs w:val="10"/>
                <w:color w:val="auto"/>
              </w:rPr>
            </w:pPr>
          </w:p>
        </w:tc>
        <w:tc>
          <w:tcPr>
            <w:tcW w:w="1080" w:type="dxa"/>
            <w:vAlign w:val="bottom"/>
            <w:gridSpan w:val="2"/>
          </w:tcPr>
          <w:p>
            <w:pPr>
              <w:ind w:left="100"/>
              <w:spacing w:after="0" w:line="115" w:lineRule="exact"/>
              <w:rPr>
                <w:sz w:val="20"/>
                <w:szCs w:val="20"/>
                <w:color w:val="auto"/>
              </w:rPr>
            </w:pPr>
            <w:r>
              <w:rPr>
                <w:rFonts w:ascii="Arial" w:cs="Arial" w:eastAsia="Arial" w:hAnsi="Arial"/>
                <w:sz w:val="13"/>
                <w:szCs w:val="13"/>
                <w:b w:val="1"/>
                <w:bCs w:val="1"/>
                <w:color w:val="auto"/>
              </w:rPr>
              <w:t>ULATED</w:t>
            </w:r>
          </w:p>
        </w:tc>
        <w:tc>
          <w:tcPr>
            <w:tcW w:w="160" w:type="dxa"/>
            <w:vAlign w:val="bottom"/>
          </w:tcPr>
          <w:p>
            <w:pPr>
              <w:spacing w:after="0"/>
              <w:rPr>
                <w:sz w:val="10"/>
                <w:szCs w:val="10"/>
                <w:color w:val="auto"/>
              </w:rPr>
            </w:pPr>
          </w:p>
        </w:tc>
        <w:tc>
          <w:tcPr>
            <w:tcW w:w="1660" w:type="dxa"/>
            <w:vAlign w:val="bottom"/>
            <w:gridSpan w:val="2"/>
          </w:tcPr>
          <w:p>
            <w:pPr>
              <w:jc w:val="center"/>
              <w:ind w:right="260"/>
              <w:spacing w:after="0" w:line="115" w:lineRule="exact"/>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10"/>
                <w:szCs w:val="10"/>
                <w:color w:val="auto"/>
              </w:rPr>
            </w:pPr>
          </w:p>
        </w:tc>
        <w:tc>
          <w:tcPr>
            <w:tcW w:w="1440" w:type="dxa"/>
            <w:vAlign w:val="bottom"/>
            <w:gridSpan w:val="2"/>
          </w:tcPr>
          <w:p>
            <w:pPr>
              <w:jc w:val="center"/>
              <w:ind w:right="240"/>
              <w:spacing w:after="0" w:line="115" w:lineRule="exact"/>
              <w:rPr>
                <w:sz w:val="20"/>
                <w:szCs w:val="20"/>
                <w:color w:val="auto"/>
              </w:rPr>
            </w:pPr>
            <w:r>
              <w:rPr>
                <w:rFonts w:ascii="Arial" w:cs="Arial" w:eastAsia="Arial" w:hAnsi="Arial"/>
                <w:sz w:val="13"/>
                <w:szCs w:val="13"/>
                <w:b w:val="1"/>
                <w:bCs w:val="1"/>
                <w:color w:val="auto"/>
              </w:rPr>
              <w:t>CONTROLLING</w:t>
            </w: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22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7"/>
                <w:szCs w:val="17"/>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LOSS</w:t>
            </w: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7"/>
                <w:szCs w:val="17"/>
                <w:color w:val="auto"/>
              </w:rPr>
            </w:pPr>
          </w:p>
        </w:tc>
        <w:tc>
          <w:tcPr>
            <w:tcW w:w="780" w:type="dxa"/>
            <w:vAlign w:val="bottom"/>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29, 2019</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86,946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1,094,338</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(755,089)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(169,776)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177,481</w:t>
            </w:r>
          </w:p>
        </w:tc>
        <w:tc>
          <w:tcPr>
            <w:tcW w:w="0" w:type="dxa"/>
            <w:vAlign w:val="bottom"/>
          </w:tcPr>
          <w:p>
            <w:pPr>
              <w:spacing w:after="0"/>
              <w:rPr>
                <w:sz w:val="1"/>
                <w:szCs w:val="1"/>
                <w:color w:val="auto"/>
              </w:rPr>
            </w:pPr>
          </w:p>
        </w:tc>
      </w:tr>
      <w:tr>
        <w:trPr>
          <w:trHeight w:val="166"/>
        </w:trPr>
        <w:tc>
          <w:tcPr>
            <w:tcW w:w="2220" w:type="dxa"/>
            <w:vAlign w:val="bottom"/>
          </w:tcPr>
          <w:p>
            <w:pPr>
              <w:ind w:left="20"/>
              <w:spacing w:after="0" w:line="166" w:lineRule="exact"/>
              <w:rPr>
                <w:sz w:val="20"/>
                <w:szCs w:val="20"/>
                <w:color w:val="auto"/>
              </w:rPr>
            </w:pPr>
            <w:r>
              <w:rPr>
                <w:rFonts w:ascii="Arial" w:cs="Arial" w:eastAsia="Arial" w:hAnsi="Arial"/>
                <w:sz w:val="16"/>
                <w:szCs w:val="16"/>
                <w:color w:val="auto"/>
                <w:w w:val="94"/>
              </w:rPr>
              <w:t>Cumulative-effect from a change</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20"/>
              <w:spacing w:after="0" w:line="162" w:lineRule="exact"/>
              <w:rPr>
                <w:sz w:val="20"/>
                <w:szCs w:val="20"/>
                <w:color w:val="auto"/>
              </w:rPr>
            </w:pPr>
            <w:r>
              <w:rPr>
                <w:rFonts w:ascii="Arial" w:cs="Arial" w:eastAsia="Arial" w:hAnsi="Arial"/>
                <w:sz w:val="16"/>
                <w:szCs w:val="16"/>
                <w:color w:val="auto"/>
              </w:rPr>
              <w:t>in accounting principle, net of</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(4,292)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(4,292)</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rPr>
              <w:t>tax</w:t>
            </w: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(158,795)</w:t>
            </w:r>
          </w:p>
        </w:tc>
        <w:tc>
          <w:tcPr>
            <w:tcW w:w="0" w:type="dxa"/>
            <w:vAlign w:val="bottom"/>
          </w:tcPr>
          <w:p>
            <w:pPr>
              <w:spacing w:after="0"/>
              <w:rPr>
                <w:sz w:val="1"/>
                <w:szCs w:val="1"/>
                <w:color w:val="auto"/>
              </w:rPr>
            </w:pPr>
          </w:p>
        </w:tc>
      </w:tr>
      <w:tr>
        <w:trPr>
          <w:trHeight w:val="166"/>
        </w:trPr>
        <w:tc>
          <w:tcPr>
            <w:tcW w:w="2220" w:type="dxa"/>
            <w:vAlign w:val="bottom"/>
          </w:tcPr>
          <w:p>
            <w:pPr>
              <w:ind w:left="20"/>
              <w:spacing w:after="0" w:line="166" w:lineRule="exact"/>
              <w:rPr>
                <w:sz w:val="20"/>
                <w:szCs w:val="20"/>
                <w:color w:val="auto"/>
              </w:rPr>
            </w:pPr>
            <w:r>
              <w:rPr>
                <w:rFonts w:ascii="Arial" w:cs="Arial" w:eastAsia="Arial" w:hAnsi="Arial"/>
                <w:sz w:val="16"/>
                <w:szCs w:val="16"/>
                <w:color w:val="auto"/>
                <w:w w:val="92"/>
              </w:rPr>
              <w:t>Other comprehensive loss, net of</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80" w:type="dxa"/>
            <w:vAlign w:val="bottom"/>
            <w:gridSpan w:val="2"/>
            <w:vMerge w:val="restart"/>
          </w:tcPr>
          <w:p>
            <w:pPr>
              <w:ind w:left="7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(42,187)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(42,334)</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rPr>
              <w:t>tax</w:t>
            </w: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7"/>
              </w:rPr>
              <w:t>Cash dividends declared, $0.20</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(17,480)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(17,480)</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 common share</w:t>
            </w: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14,802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14,802</w:t>
            </w: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3"/>
              </w:rPr>
              <w:t>Consideration for preferred stock</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9"/>
              </w:rPr>
              <w:t>in excess of carrying value, net</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(3,496)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1,261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(1,718)</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 tax</w:t>
            </w: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20" w:type="dxa"/>
            <w:vAlign w:val="bottom"/>
          </w:tcPr>
          <w:p>
            <w:pPr>
              <w:ind w:left="20"/>
              <w:spacing w:after="0" w:line="166" w:lineRule="exact"/>
              <w:rPr>
                <w:sz w:val="20"/>
                <w:szCs w:val="20"/>
                <w:color w:val="auto"/>
              </w:rPr>
            </w:pPr>
            <w:r>
              <w:rPr>
                <w:rFonts w:ascii="Arial" w:cs="Arial" w:eastAsia="Arial" w:hAnsi="Arial"/>
                <w:sz w:val="16"/>
                <w:szCs w:val="16"/>
                <w:color w:val="auto"/>
              </w:rPr>
              <w:t>Common stock issued under</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910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ind w:left="7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6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rPr>
              <w:t>stock plans (1)</w:t>
            </w: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Purchase of noncontrolling</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interests</w:t>
            </w: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20" w:type="dxa"/>
            <w:vAlign w:val="bottom"/>
          </w:tcPr>
          <w:p>
            <w:pPr>
              <w:ind w:left="20"/>
              <w:spacing w:after="0" w:line="166" w:lineRule="exact"/>
              <w:rPr>
                <w:sz w:val="20"/>
                <w:szCs w:val="20"/>
                <w:color w:val="auto"/>
              </w:rPr>
            </w:pPr>
            <w:r>
              <w:rPr>
                <w:rFonts w:ascii="Arial" w:cs="Arial" w:eastAsia="Arial" w:hAnsi="Arial"/>
                <w:sz w:val="16"/>
                <w:szCs w:val="16"/>
                <w:color w:val="auto"/>
              </w:rPr>
              <w:t>Distributions to noncontrolling</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80" w:type="dxa"/>
            <w:vAlign w:val="bottom"/>
            <w:gridSpan w:val="2"/>
            <w:vMerge w:val="restart"/>
          </w:tcPr>
          <w:p>
            <w:pPr>
              <w:ind w:left="7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6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(1,908)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(1,908)</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rPr>
              <w:t>interests</w:t>
            </w: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Contributions from</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20" w:type="dxa"/>
            <w:vAlign w:val="bottom"/>
          </w:tcPr>
          <w:p>
            <w:pPr>
              <w:ind w:left="20"/>
              <w:spacing w:after="0" w:line="166" w:lineRule="exact"/>
              <w:rPr>
                <w:sz w:val="20"/>
                <w:szCs w:val="20"/>
                <w:color w:val="auto"/>
              </w:rPr>
            </w:pPr>
            <w:r>
              <w:rPr>
                <w:rFonts w:ascii="Arial" w:cs="Arial" w:eastAsia="Arial" w:hAnsi="Arial"/>
                <w:sz w:val="16"/>
                <w:szCs w:val="16"/>
                <w:color w:val="auto"/>
              </w:rPr>
              <w:t>Equity component value of</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20"/>
              <w:spacing w:after="0" w:line="162" w:lineRule="exact"/>
              <w:rPr>
                <w:sz w:val="20"/>
                <w:szCs w:val="20"/>
                <w:color w:val="auto"/>
              </w:rPr>
            </w:pPr>
            <w:r>
              <w:rPr>
                <w:rFonts w:ascii="Arial" w:cs="Arial" w:eastAsia="Arial" w:hAnsi="Arial"/>
                <w:sz w:val="16"/>
                <w:szCs w:val="16"/>
                <w:color w:val="auto"/>
                <w:w w:val="93"/>
              </w:rPr>
              <w:t>convertible senior note issuance,</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64,367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ind w:left="7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6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64,367</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rPr>
              <w:t>net of tax of $650</w:t>
            </w: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 of common stock warrant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46,690</w:t>
            </w:r>
          </w:p>
        </w:tc>
        <w:tc>
          <w:tcPr>
            <w:tcW w:w="0" w:type="dxa"/>
            <w:vAlign w:val="bottom"/>
          </w:tcPr>
          <w:p>
            <w:pPr>
              <w:spacing w:after="0"/>
              <w:rPr>
                <w:sz w:val="1"/>
                <w:szCs w:val="1"/>
                <w:color w:val="auto"/>
              </w:rPr>
            </w:pPr>
          </w:p>
        </w:tc>
      </w:tr>
      <w:tr>
        <w:trPr>
          <w:trHeight w:val="166"/>
        </w:trPr>
        <w:tc>
          <w:tcPr>
            <w:tcW w:w="2220" w:type="dxa"/>
            <w:vAlign w:val="bottom"/>
          </w:tcPr>
          <w:p>
            <w:pPr>
              <w:ind w:left="20"/>
              <w:spacing w:after="0" w:line="166" w:lineRule="exact"/>
              <w:rPr>
                <w:sz w:val="20"/>
                <w:szCs w:val="20"/>
                <w:color w:val="auto"/>
              </w:rPr>
            </w:pPr>
            <w:r>
              <w:rPr>
                <w:rFonts w:ascii="Arial" w:cs="Arial" w:eastAsia="Arial" w:hAnsi="Arial"/>
                <w:sz w:val="16"/>
                <w:szCs w:val="16"/>
                <w:color w:val="auto"/>
              </w:rPr>
              <w:t>Purchase of convertible note</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(66,240)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ind w:left="7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6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(66,240)</w:t>
            </w:r>
          </w:p>
        </w:tc>
        <w:tc>
          <w:tcPr>
            <w:tcW w:w="0" w:type="dxa"/>
            <w:vAlign w:val="bottom"/>
          </w:tcPr>
          <w:p>
            <w:pPr>
              <w:spacing w:after="0"/>
              <w:rPr>
                <w:sz w:val="1"/>
                <w:szCs w:val="1"/>
                <w:color w:val="auto"/>
              </w:rPr>
            </w:pPr>
          </w:p>
        </w:tc>
      </w:tr>
      <w:tr>
        <w:trPr>
          <w:trHeight w:val="206"/>
        </w:trPr>
        <w:tc>
          <w:tcPr>
            <w:tcW w:w="2220" w:type="dxa"/>
            <w:vAlign w:val="bottom"/>
          </w:tcPr>
          <w:p>
            <w:pPr>
              <w:ind w:left="20"/>
              <w:spacing w:after="0"/>
              <w:rPr>
                <w:sz w:val="20"/>
                <w:szCs w:val="20"/>
                <w:color w:val="auto"/>
              </w:rPr>
            </w:pPr>
            <w:r>
              <w:rPr>
                <w:rFonts w:ascii="Arial" w:cs="Arial" w:eastAsia="Arial" w:hAnsi="Arial"/>
                <w:sz w:val="16"/>
                <w:szCs w:val="16"/>
                <w:color w:val="auto"/>
              </w:rPr>
              <w:t>hedge</w:t>
            </w:r>
          </w:p>
        </w:tc>
        <w:tc>
          <w:tcPr>
            <w:tcW w:w="10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27, 2020</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87,856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1,132,808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(918,096)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(211,446)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10,957</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Net of forfeitures and shares withheld for employee taxes.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6"/>
        </w:trPr>
        <w:tc>
          <w:tcPr>
            <w:tcW w:w="64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2018</w:t>
            </w:r>
          </w:p>
        </w:tc>
      </w:tr>
      <w:tr>
        <w:trPr>
          <w:trHeight w:val="257"/>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provided by operating activities:</w:t>
            </w: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(158,795)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134,117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109,538</w:t>
            </w: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income to cash provided by operating activities: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180,261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196,811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201,593</w:t>
            </w: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debt discounts and issuance costs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2,561</w:t>
            </w: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Amortization of deferred gift card sales commissions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20,927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26,094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27,227</w:t>
            </w: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Provision for impaired assets and restaurant closings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36,863</w:t>
            </w: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Non-cash operating lease costs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74,436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73,357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Provision for expected credit losses and contingent lease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Inventory obsolescence and spoilage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10,169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Stock-based and other non-cash compensation expense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27,433</w:t>
            </w: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Deferred income tax benefit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(88,256)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(25,890)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(29,490)</w:t>
            </w: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on sale of a business or subsidiary</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Loss on modification of debt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Recognition of deferred gain on sale-leaseback transactions</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(12,336)</w:t>
            </w: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Loss (gain) on disposal of property, fixtures and equipment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(585)</w:t>
            </w: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4,943</w:t>
            </w: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Change in assets and liabilities: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6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Decrease (increase) in inventories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(24,707)</w:t>
            </w:r>
          </w:p>
        </w:tc>
      </w:tr>
      <w:tr>
        <w:trPr>
          <w:trHeight w:val="213"/>
        </w:trPr>
        <w:tc>
          <w:tcPr>
            <w:tcW w:w="6440" w:type="dxa"/>
            <w:vAlign w:val="bottom"/>
          </w:tcPr>
          <w:p>
            <w:pPr>
              <w:ind w:left="680"/>
              <w:spacing w:after="0"/>
              <w:rPr>
                <w:sz w:val="20"/>
                <w:szCs w:val="20"/>
                <w:color w:val="auto"/>
              </w:rPr>
            </w:pPr>
            <w:r>
              <w:rPr>
                <w:rFonts w:ascii="Arial" w:cs="Arial" w:eastAsia="Arial" w:hAnsi="Arial"/>
                <w:sz w:val="16"/>
                <w:szCs w:val="16"/>
                <w:color w:val="auto"/>
              </w:rPr>
              <w:t>Decrease (increase) in other current assets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14,392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(40,519)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(25,405)</w:t>
            </w:r>
          </w:p>
        </w:tc>
      </w:tr>
      <w:tr>
        <w:trPr>
          <w:trHeight w:val="219"/>
        </w:trPr>
        <w:tc>
          <w:tcPr>
            <w:tcW w:w="6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Decrease (increase) in other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(3,190)</w:t>
            </w:r>
          </w:p>
        </w:tc>
      </w:tr>
      <w:tr>
        <w:trPr>
          <w:trHeight w:val="213"/>
        </w:trPr>
        <w:tc>
          <w:tcPr>
            <w:tcW w:w="6440" w:type="dxa"/>
            <w:vAlign w:val="bottom"/>
          </w:tcPr>
          <w:p>
            <w:pPr>
              <w:ind w:left="680"/>
              <w:spacing w:after="0"/>
              <w:rPr>
                <w:sz w:val="20"/>
                <w:szCs w:val="20"/>
                <w:color w:val="auto"/>
              </w:rPr>
            </w:pPr>
            <w:r>
              <w:rPr>
                <w:rFonts w:ascii="Arial" w:cs="Arial" w:eastAsia="Arial" w:hAnsi="Arial"/>
                <w:sz w:val="16"/>
                <w:szCs w:val="16"/>
                <w:color w:val="auto"/>
              </w:rPr>
              <w:t>Decrease in operating right-of-use assets, net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Decrease in accounts payable and accrued and other current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(39,871)</w:t>
            </w:r>
          </w:p>
        </w:tc>
      </w:tr>
      <w:tr>
        <w:trPr>
          <w:trHeight w:val="213"/>
        </w:trPr>
        <w:tc>
          <w:tcPr>
            <w:tcW w:w="6440" w:type="dxa"/>
            <w:vAlign w:val="bottom"/>
          </w:tcPr>
          <w:p>
            <w:pPr>
              <w:ind w:left="680"/>
              <w:spacing w:after="0"/>
              <w:rPr>
                <w:sz w:val="20"/>
                <w:szCs w:val="20"/>
                <w:color w:val="auto"/>
              </w:rPr>
            </w:pPr>
            <w:r>
              <w:rPr>
                <w:rFonts w:ascii="Arial" w:cs="Arial" w:eastAsia="Arial" w:hAnsi="Arial"/>
                <w:sz w:val="16"/>
                <w:szCs w:val="16"/>
                <w:color w:val="auto"/>
              </w:rPr>
              <w:t>Increase in deferred rent</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8,737</w:t>
            </w:r>
          </w:p>
        </w:tc>
      </w:tr>
      <w:tr>
        <w:trPr>
          <w:trHeight w:val="219"/>
        </w:trPr>
        <w:tc>
          <w:tcPr>
            <w:tcW w:w="6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Increase in unearned revenue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12,199</w:t>
            </w:r>
          </w:p>
        </w:tc>
      </w:tr>
      <w:tr>
        <w:trPr>
          <w:trHeight w:val="213"/>
        </w:trPr>
        <w:tc>
          <w:tcPr>
            <w:tcW w:w="6440" w:type="dxa"/>
            <w:vAlign w:val="bottom"/>
          </w:tcPr>
          <w:p>
            <w:pPr>
              <w:ind w:left="680"/>
              <w:spacing w:after="0"/>
              <w:rPr>
                <w:sz w:val="20"/>
                <w:szCs w:val="20"/>
                <w:color w:val="auto"/>
              </w:rPr>
            </w:pPr>
            <w:r>
              <w:rPr>
                <w:rFonts w:ascii="Arial" w:cs="Arial" w:eastAsia="Arial" w:hAnsi="Arial"/>
                <w:sz w:val="16"/>
                <w:szCs w:val="16"/>
                <w:color w:val="auto"/>
              </w:rPr>
              <w:t>Decrease in operating lease liabilities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(50,626)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(69,886)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6"/>
        </w:trPr>
        <w:tc>
          <w:tcPr>
            <w:tcW w:w="64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Increase (decrease) in other long-term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58,625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13,223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(7,436)</w:t>
            </w:r>
          </w:p>
        </w:tc>
      </w:tr>
      <w:tr>
        <w:trPr>
          <w:trHeight w:val="223"/>
        </w:trPr>
        <w:tc>
          <w:tcPr>
            <w:tcW w:w="644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138,849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317,603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288,074</w:t>
            </w: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used in investing activities: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Proceeds from disposal of property, fixtures and equipment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18,291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14,041</w:t>
            </w: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sale-leaseback transactions, net</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16,160</w:t>
            </w: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Capital expenditures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(87,842)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(161,926)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(208,224)</w:t>
            </w:r>
          </w:p>
        </w:tc>
      </w:tr>
      <w:tr>
        <w:trPr>
          <w:trHeight w:val="226"/>
        </w:trPr>
        <w:tc>
          <w:tcPr>
            <w:tcW w:w="6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Other investments,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w:t>
            </w:r>
          </w:p>
        </w:tc>
      </w:tr>
      <w:tr>
        <w:trPr>
          <w:trHeight w:val="223"/>
        </w:trPr>
        <w:tc>
          <w:tcPr>
            <w:tcW w:w="6440" w:type="dxa"/>
            <w:vAlign w:val="bottom"/>
          </w:tcPr>
          <w:p>
            <w:pPr>
              <w:ind w:left="68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(76,639)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(131,291)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(177,296)</w:t>
            </w:r>
          </w:p>
        </w:tc>
      </w:tr>
    </w:tbl>
    <w:p>
      <w:pPr>
        <w:spacing w:after="0" w:line="247" w:lineRule="exact"/>
        <w:rPr>
          <w:sz w:val="20"/>
          <w:szCs w:val="20"/>
          <w:color w:val="auto"/>
        </w:rPr>
      </w:pPr>
    </w:p>
    <w:p>
      <w:pPr>
        <w:ind w:left="10040"/>
        <w:spacing w:after="0"/>
        <w:rPr>
          <w:sz w:val="20"/>
          <w:szCs w:val="20"/>
          <w:color w:val="auto"/>
        </w:rPr>
      </w:pPr>
      <w:r>
        <w:rPr>
          <w:rFonts w:ascii="Arial" w:cs="Arial" w:eastAsia="Arial" w:hAnsi="Arial"/>
          <w:sz w:val="16"/>
          <w:szCs w:val="16"/>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7"/>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used in financing activities:</w:t>
            </w: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Proceeds from issuance of long-term debt, net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1,637</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Repayments of long-term debt and finance lease obligations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(26,686)</w:t>
            </w:r>
          </w:p>
        </w:tc>
        <w:tc>
          <w:tcPr>
            <w:tcW w:w="0" w:type="dxa"/>
            <w:vAlign w:val="bottom"/>
          </w:tcPr>
          <w:p>
            <w:pPr>
              <w:spacing w:after="0"/>
              <w:rPr>
                <w:sz w:val="1"/>
                <w:szCs w:val="1"/>
                <w:color w:val="auto"/>
              </w:rPr>
            </w:pP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Proceeds from borrowings on revolving credit facilities, net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505,000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670,800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476,829</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Repayments of borrowings on revolving credit facilities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(671,300)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(478,500)</w:t>
            </w:r>
          </w:p>
        </w:tc>
        <w:tc>
          <w:tcPr>
            <w:tcW w:w="0" w:type="dxa"/>
            <w:vAlign w:val="bottom"/>
          </w:tcPr>
          <w:p>
            <w:pPr>
              <w:spacing w:after="0"/>
              <w:rPr>
                <w:sz w:val="1"/>
                <w:szCs w:val="1"/>
                <w:color w:val="auto"/>
              </w:rPr>
            </w:pP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Financing fees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issuance of convertible senior notes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Proceeds from issuance of warrants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46,690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 of convertible note hedge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Issuance costs related to convertible senior notes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(8,416)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(Payments of taxes) proceeds from share-based compensation,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36,612</w:t>
            </w:r>
          </w:p>
        </w:tc>
        <w:tc>
          <w:tcPr>
            <w:tcW w:w="0" w:type="dxa"/>
            <w:vAlign w:val="bottom"/>
          </w:tcPr>
          <w:p>
            <w:pPr>
              <w:spacing w:after="0"/>
              <w:rPr>
                <w:sz w:val="1"/>
                <w:szCs w:val="1"/>
                <w:color w:val="auto"/>
              </w:rPr>
            </w:pP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Distributions to noncontrolling interests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(7,214)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(6,943)</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Contributions from noncontrolling interests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2,037</w:t>
            </w:r>
          </w:p>
        </w:tc>
        <w:tc>
          <w:tcPr>
            <w:tcW w:w="0" w:type="dxa"/>
            <w:vAlign w:val="bottom"/>
          </w:tcPr>
          <w:p>
            <w:pPr>
              <w:spacing w:after="0"/>
              <w:rPr>
                <w:sz w:val="1"/>
                <w:szCs w:val="1"/>
                <w:color w:val="auto"/>
              </w:rPr>
            </w:pP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Purchase of limited partnership and noncontrolling interests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(2,112)</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Payments for partner equity plan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(19,947)</w:t>
            </w:r>
          </w:p>
        </w:tc>
        <w:tc>
          <w:tcPr>
            <w:tcW w:w="0" w:type="dxa"/>
            <w:vAlign w:val="bottom"/>
          </w:tcPr>
          <w:p>
            <w:pPr>
              <w:spacing w:after="0"/>
              <w:rPr>
                <w:sz w:val="1"/>
                <w:szCs w:val="1"/>
                <w:color w:val="auto"/>
              </w:rPr>
            </w:pP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Repurchase of common stock</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(106,992)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(113,967)</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dividends paid on common stock</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(33,312)</w:t>
            </w:r>
          </w:p>
        </w:tc>
        <w:tc>
          <w:tcPr>
            <w:tcW w:w="0" w:type="dxa"/>
            <w:vAlign w:val="bottom"/>
          </w:tcPr>
          <w:p>
            <w:pPr>
              <w:spacing w:after="0"/>
              <w:rPr>
                <w:sz w:val="1"/>
                <w:szCs w:val="1"/>
                <w:color w:val="auto"/>
              </w:rPr>
            </w:pPr>
          </w:p>
        </w:tc>
      </w:tr>
      <w:tr>
        <w:trPr>
          <w:trHeight w:val="223"/>
        </w:trPr>
        <w:tc>
          <w:tcPr>
            <w:tcW w:w="6440" w:type="dxa"/>
            <w:vAlign w:val="bottom"/>
          </w:tcPr>
          <w:p>
            <w:pPr>
              <w:ind w:left="360"/>
              <w:spacing w:after="0"/>
              <w:rPr>
                <w:sz w:val="20"/>
                <w:szCs w:val="20"/>
                <w:color w:val="auto"/>
              </w:rPr>
            </w:pPr>
            <w:r>
              <w:rPr>
                <w:rFonts w:ascii="Arial" w:cs="Arial" w:eastAsia="Arial" w:hAnsi="Arial"/>
                <w:sz w:val="16"/>
                <w:szCs w:val="16"/>
                <w:color w:val="auto"/>
              </w:rPr>
              <w:t>Redemption of subsidiary preferred stock</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644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Net cash used in financing activities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(189,359)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(164,352)</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(4,146)</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(57,720)</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as of the beginning of the period</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67,145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129,543</w:t>
            </w:r>
          </w:p>
        </w:tc>
        <w:tc>
          <w:tcPr>
            <w:tcW w:w="0" w:type="dxa"/>
            <w:vAlign w:val="bottom"/>
          </w:tcPr>
          <w:p>
            <w:pPr>
              <w:spacing w:after="0"/>
              <w:rPr>
                <w:sz w:val="1"/>
                <w:szCs w:val="1"/>
                <w:color w:val="auto"/>
              </w:rPr>
            </w:pPr>
          </w:p>
        </w:tc>
      </w:tr>
      <w:tr>
        <w:trPr>
          <w:trHeight w:val="24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as of the end of the period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110,408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67,145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71,823</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4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for interest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41,681</w:t>
            </w:r>
          </w:p>
        </w:tc>
        <w:tc>
          <w:tcPr>
            <w:tcW w:w="0" w:type="dxa"/>
            <w:vAlign w:val="bottom"/>
          </w:tcPr>
          <w:p>
            <w:pPr>
              <w:spacing w:after="0"/>
              <w:rPr>
                <w:sz w:val="1"/>
                <w:szCs w:val="1"/>
                <w:color w:val="auto"/>
              </w:rPr>
            </w:pP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Cash paid for income taxes, net of refunds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8,415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23,995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15,839</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Leased assets obtained in exchange for new operating lease liabilities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19,451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67,955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Leased assets obtained in exchange for new finance lease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440" w:type="dxa"/>
            <w:vAlign w:val="bottom"/>
          </w:tcPr>
          <w:p>
            <w:pPr>
              <w:ind w:left="360"/>
              <w:spacing w:after="0"/>
              <w:rPr>
                <w:sz w:val="20"/>
                <w:szCs w:val="20"/>
                <w:color w:val="auto"/>
              </w:rPr>
            </w:pPr>
            <w:r>
              <w:rPr>
                <w:rFonts w:ascii="Arial" w:cs="Arial" w:eastAsia="Arial" w:hAnsi="Arial"/>
                <w:sz w:val="16"/>
                <w:szCs w:val="16"/>
                <w:color w:val="auto"/>
                <w:w w:val="97"/>
              </w:rPr>
              <w:t>Increase (decrease) in liabilities from the acquisition of property, fixtures and equipment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2,699</w:t>
            </w: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700" w:hanging="692"/>
        <w:spacing w:after="0"/>
        <w:tabs>
          <w:tab w:leader="none" w:pos="700" w:val="left"/>
        </w:tabs>
        <w:numPr>
          <w:ilvl w:val="0"/>
          <w:numId w:val="42"/>
        </w:numPr>
        <w:rPr>
          <w:rFonts w:ascii="Arial" w:cs="Arial" w:eastAsia="Arial" w:hAnsi="Arial"/>
          <w:sz w:val="20"/>
          <w:szCs w:val="20"/>
          <w:color w:val="auto"/>
        </w:rPr>
      </w:pPr>
      <w:r>
        <w:rPr>
          <w:rFonts w:ascii="Arial" w:cs="Arial" w:eastAsia="Arial" w:hAnsi="Arial"/>
          <w:sz w:val="20"/>
          <w:szCs w:val="20"/>
          <w:color w:val="auto"/>
        </w:rPr>
        <w:t>Description of Business</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Bloomin’ Brands, Inc. (“Bloomin’ Brands” or the “Company”), a holding company that conducts its operations through its subsidiaries, is one of the largest casual dining restaurant companies in the world, with a portfolio of leading, differentiated restaurant concepts. OSI Restaurant Partners, LLC (“OSI”) is the Company’s primary operating entity.</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owns and operates casual, upscale casual and fine dining restaurants. The Company’s restaurant portfolio has four concepts: Outback Steakhouse, Carrabba’s Italian Grill, Bonefish Grill and Fleming’s Prime Steakhouse &amp; Wine Bar. Additional Outback Steakhouse, Carrabba’s Italian Grill and Bonefish Grill restaurants in which the Company has no direct investment are operated under franchise agreements.</w:t>
      </w:r>
    </w:p>
    <w:p>
      <w:pPr>
        <w:spacing w:after="0" w:line="218" w:lineRule="exact"/>
        <w:rPr>
          <w:sz w:val="20"/>
          <w:szCs w:val="20"/>
          <w:color w:val="auto"/>
        </w:rPr>
      </w:pPr>
    </w:p>
    <w:p>
      <w:pPr>
        <w:ind w:left="700" w:hanging="692"/>
        <w:spacing w:after="0"/>
        <w:tabs>
          <w:tab w:leader="none" w:pos="700" w:val="left"/>
        </w:tabs>
        <w:numPr>
          <w:ilvl w:val="0"/>
          <w:numId w:val="43"/>
        </w:numPr>
        <w:rPr>
          <w:rFonts w:ascii="Arial" w:cs="Arial" w:eastAsia="Arial" w:hAnsi="Arial"/>
          <w:sz w:val="20"/>
          <w:szCs w:val="20"/>
          <w:color w:val="auto"/>
        </w:rPr>
      </w:pPr>
      <w:r>
        <w:rPr>
          <w:rFonts w:ascii="Arial" w:cs="Arial" w:eastAsia="Arial" w:hAnsi="Arial"/>
          <w:sz w:val="20"/>
          <w:szCs w:val="20"/>
          <w:color w:val="auto"/>
        </w:rPr>
        <w:t>Summary of Significant Accounting Policies</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Basis of Presentation - </w:t>
      </w:r>
      <w:r>
        <w:rPr>
          <w:rFonts w:ascii="Arial" w:cs="Arial" w:eastAsia="Arial" w:hAnsi="Arial"/>
          <w:sz w:val="20"/>
          <w:szCs w:val="20"/>
          <w:color w:val="auto"/>
        </w:rPr>
        <w:t>The Company’s consolidated financial statements include the accounts and operations of Bloomin’ Brands and its</w:t>
      </w:r>
      <w:r>
        <w:rPr>
          <w:rFonts w:ascii="Arial" w:cs="Arial" w:eastAsia="Arial" w:hAnsi="Arial"/>
          <w:sz w:val="20"/>
          <w:szCs w:val="20"/>
          <w:i w:val="1"/>
          <w:iCs w:val="1"/>
          <w:color w:val="auto"/>
        </w:rPr>
        <w:t xml:space="preserve"> </w:t>
      </w:r>
      <w:r>
        <w:rPr>
          <w:rFonts w:ascii="Arial" w:cs="Arial" w:eastAsia="Arial" w:hAnsi="Arial"/>
          <w:sz w:val="20"/>
          <w:szCs w:val="20"/>
          <w:color w:val="auto"/>
        </w:rPr>
        <w:t>subsidiaries.</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To ensure timely reporting, the Company consolidates the results of its Brazil operations on a one month calendar lag. There were no intervening events that would materially affect the Company’s consolidated financial position, results of operations or cash flows as of and for the year ended December 27, 2020.</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i w:val="1"/>
          <w:iCs w:val="1"/>
          <w:color w:val="auto"/>
        </w:rPr>
        <w:t xml:space="preserve">COVID-19 Pandemic </w:t>
      </w:r>
      <w:r>
        <w:rPr>
          <w:rFonts w:ascii="Arial" w:cs="Arial" w:eastAsia="Arial" w:hAnsi="Arial"/>
          <w:sz w:val="19"/>
          <w:szCs w:val="19"/>
          <w:b w:val="1"/>
          <w:bCs w:val="1"/>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In March 2020, the World Health Organization declared the novel strain of coronavirus (“COVID-19”) a global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pandemic and recommended containment and mitigation measures worldwide. In response to COVID-19, the Company temporarily closed all restaurant dining rooms in the U.S. as of March 20, 2020 and shifted operations to provide only take-out and delivery service, resulting in significantly reduced traffic in its restaurants. In early May 2020, the Company began to reopen its restaurant dining rooms with limited seating capacity in compliance with state and local regulations. As of December 27, 2020, 85% of the Company’s restaurant dining rooms were open with many still subject to seating capacity restrictions. The temporary closure of the Company’s dining rooms and the limitations on seating capacity in its reopened dining rooms have resulted in significantly reduced traffic in the Company’s restaurants. The negative effect of COVID-19 on the Company’s business was significant during 2020. See Note 3 - </w:t>
      </w:r>
      <w:r>
        <w:rPr>
          <w:rFonts w:ascii="Arial" w:cs="Arial" w:eastAsia="Arial" w:hAnsi="Arial"/>
          <w:sz w:val="19"/>
          <w:szCs w:val="19"/>
          <w:i w:val="1"/>
          <w:iCs w:val="1"/>
          <w:color w:val="auto"/>
        </w:rPr>
        <w:t>COVID-19 Charges</w:t>
      </w:r>
      <w:r>
        <w:rPr>
          <w:rFonts w:ascii="Arial" w:cs="Arial" w:eastAsia="Arial" w:hAnsi="Arial"/>
          <w:sz w:val="19"/>
          <w:szCs w:val="19"/>
          <w:color w:val="auto"/>
        </w:rPr>
        <w:t xml:space="preserve"> for details regarding certain charges resulting from the COVID-19 pandemic.</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Principles of Consolidation - </w:t>
      </w:r>
      <w:r>
        <w:rPr>
          <w:rFonts w:ascii="Arial" w:cs="Arial" w:eastAsia="Arial" w:hAnsi="Arial"/>
          <w:sz w:val="20"/>
          <w:szCs w:val="20"/>
          <w:color w:val="auto"/>
        </w:rPr>
        <w:t>All intercompany accounts and transactions have been eliminated in consolidation.</w:t>
      </w:r>
    </w:p>
    <w:p>
      <w:pPr>
        <w:spacing w:after="0" w:line="24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consolidates variable interest entities where it has been determined that the Company is the primary beneficiary of those entities’ operations. The Company is a franchisor of 317 restaurants as of December 27, 2020, but does not possess any ownership interests in its franchisees and does not provide material direct financial support to its franchisees. These franchise relationships are not deemed variable interest entities and are not consolidated.</w:t>
      </w:r>
    </w:p>
    <w:p>
      <w:pPr>
        <w:spacing w:after="0" w:line="21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Investments in entities the Company does not control, but where the Company’s interest is generally between 20% and 50% and the Company has the ability to exercise significant influence over the entity, are accounted for under the equity method.</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Fiscal Year - </w:t>
      </w:r>
      <w:r>
        <w:rPr>
          <w:rFonts w:ascii="Arial" w:cs="Arial" w:eastAsia="Arial" w:hAnsi="Arial"/>
          <w:sz w:val="20"/>
          <w:szCs w:val="20"/>
          <w:color w:val="auto"/>
        </w:rPr>
        <w:t>The Company utilizes a 52-53 week year ending on the last Sunday in December. In a 52 week fiscal year, each quarterly period</w:t>
      </w:r>
      <w:r>
        <w:rPr>
          <w:rFonts w:ascii="Arial" w:cs="Arial" w:eastAsia="Arial" w:hAnsi="Arial"/>
          <w:sz w:val="20"/>
          <w:szCs w:val="20"/>
          <w:i w:val="1"/>
          <w:iCs w:val="1"/>
          <w:color w:val="auto"/>
        </w:rPr>
        <w:t xml:space="preserve"> </w:t>
      </w:r>
      <w:r>
        <w:rPr>
          <w:rFonts w:ascii="Arial" w:cs="Arial" w:eastAsia="Arial" w:hAnsi="Arial"/>
          <w:sz w:val="20"/>
          <w:szCs w:val="20"/>
          <w:color w:val="auto"/>
        </w:rPr>
        <w:t>is comprised of 13 weeks. The additional week in a 53 week fiscal year is added to the fourth quarter. Fiscal years 2020, 2019 and 2018 consisted of 52 weeks.</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Use of Estimates - </w:t>
      </w:r>
      <w:r>
        <w:rPr>
          <w:rFonts w:ascii="Arial" w:cs="Arial" w:eastAsia="Arial" w:hAnsi="Arial"/>
          <w:sz w:val="20"/>
          <w:szCs w:val="20"/>
          <w:color w:val="auto"/>
        </w:rPr>
        <w:t>The preparation of the accompanying consolidated financial statements in conformity with generally accepted accounting</w:t>
      </w:r>
      <w:r>
        <w:rPr>
          <w:rFonts w:ascii="Arial" w:cs="Arial" w:eastAsia="Arial" w:hAnsi="Arial"/>
          <w:sz w:val="20"/>
          <w:szCs w:val="20"/>
          <w:i w:val="1"/>
          <w:iCs w:val="1"/>
          <w:color w:val="auto"/>
        </w:rPr>
        <w:t xml:space="preserve"> </w:t>
      </w:r>
      <w:r>
        <w:rPr>
          <w:rFonts w:ascii="Arial" w:cs="Arial" w:eastAsia="Arial" w:hAnsi="Arial"/>
          <w:sz w:val="20"/>
          <w:szCs w:val="20"/>
          <w:color w:val="auto"/>
        </w:rPr>
        <w:t>principles requires management to make estimates and assumptions that affect the reported amounts of assets and liabilities and disclosure of contingent assets and liabilities at the date of the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financial statements and the reported amounts of revenues and expenses during the reporting period. Actual results could differ from those estimated.</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i w:val="1"/>
          <w:iCs w:val="1"/>
          <w:color w:val="auto"/>
        </w:rPr>
        <w:t xml:space="preserve">Cash and Cash Equivalents - </w:t>
      </w:r>
      <w:r>
        <w:rPr>
          <w:rFonts w:ascii="Arial" w:cs="Arial" w:eastAsia="Arial" w:hAnsi="Arial"/>
          <w:sz w:val="19"/>
          <w:szCs w:val="19"/>
          <w:color w:val="auto"/>
        </w:rPr>
        <w:t>Cash equivalents consist of investments that are readily convertible to cash with an original maturity date of</w:t>
      </w:r>
      <w:r>
        <w:rPr>
          <w:rFonts w:ascii="Arial" w:cs="Arial" w:eastAsia="Arial" w:hAnsi="Arial"/>
          <w:sz w:val="19"/>
          <w:szCs w:val="19"/>
          <w:i w:val="1"/>
          <w:iCs w:val="1"/>
          <w:color w:val="auto"/>
        </w:rPr>
        <w:t xml:space="preserve"> </w:t>
      </w:r>
      <w:r>
        <w:rPr>
          <w:rFonts w:ascii="Arial" w:cs="Arial" w:eastAsia="Arial" w:hAnsi="Arial"/>
          <w:sz w:val="19"/>
          <w:szCs w:val="19"/>
          <w:color w:val="auto"/>
        </w:rPr>
        <w:t>three months or less. Cash and cash equivalents include $37.1 million and $44.8 million, as of December 27, 2020 and December 29, 2019, respectively, for amounts in transit from credit card companies since settlement is reasonably assured.</w:t>
      </w:r>
    </w:p>
    <w:p>
      <w:pPr>
        <w:spacing w:after="0" w:line="19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Concentrations of Credit and Counterparty Risk - </w:t>
      </w:r>
      <w:r>
        <w:rPr>
          <w:rFonts w:ascii="Arial" w:cs="Arial" w:eastAsia="Arial" w:hAnsi="Arial"/>
          <w:sz w:val="20"/>
          <w:szCs w:val="20"/>
          <w:color w:val="auto"/>
        </w:rPr>
        <w:t>Financial instruments that potentially subject the Company to a concentration of credit risk</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and credit losses are through credit card receivables and trade accounts receivable consisting primarily of amounts due for gift card, vendor, franchise and other receivables. Gift card, vendor and other receivables consist primarily of amounts due from gift card resellers and vendor rebates. The Company considers the concentration of credit risk for gift card, vendor and other receivables to be minimal due to the payment histories and general financial condition of its gift card resellers and vendors. Amounts due from franchisees consist of initial franchise fees, royalty income and advertising fees. See Note 8 - </w:t>
      </w:r>
      <w:r>
        <w:rPr>
          <w:rFonts w:ascii="Arial" w:cs="Arial" w:eastAsia="Arial" w:hAnsi="Arial"/>
          <w:sz w:val="20"/>
          <w:szCs w:val="20"/>
          <w:i w:val="1"/>
          <w:iCs w:val="1"/>
          <w:color w:val="auto"/>
        </w:rPr>
        <w:t>Other Current Assets, Net</w:t>
      </w:r>
      <w:r>
        <w:rPr>
          <w:rFonts w:ascii="Arial" w:cs="Arial" w:eastAsia="Arial" w:hAnsi="Arial"/>
          <w:sz w:val="20"/>
          <w:szCs w:val="20"/>
          <w:color w:val="auto"/>
        </w:rPr>
        <w:t xml:space="preserve"> for disclosure of trade receivables by category as of December 27, 2020 and December 29, 2019.</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 xml:space="preserve">Financial instruments that potentially subject the Company to concentrations of counterparty risk are cash and cash equivalents, restricted cash and derivatives. The Company attempts to limit its counterparty risk by investing in certificates of deposit, money market funds, noninterest-bearing accounts and other highly rated investments. Whenever possible, the Company selects investment grade counterparties and rated money market funds in order to mitigate its counterparty risk. At times, cash balances may be in excess of FDIC insurance limits. See Note 17 - </w:t>
      </w:r>
      <w:r>
        <w:rPr>
          <w:rFonts w:ascii="Arial" w:cs="Arial" w:eastAsia="Arial" w:hAnsi="Arial"/>
          <w:sz w:val="19"/>
          <w:szCs w:val="19"/>
          <w:i w:val="1"/>
          <w:iCs w:val="1"/>
          <w:color w:val="auto"/>
        </w:rPr>
        <w:t>Derivative Instruments and Hedging Activities</w:t>
      </w:r>
      <w:r>
        <w:rPr>
          <w:rFonts w:ascii="Arial" w:cs="Arial" w:eastAsia="Arial" w:hAnsi="Arial"/>
          <w:sz w:val="19"/>
          <w:szCs w:val="19"/>
          <w:color w:val="auto"/>
        </w:rPr>
        <w:t xml:space="preserve"> for a discussion of the Company’s use of derivative instruments and management of credit risk inherent in derivative instruments.</w:t>
      </w:r>
    </w:p>
    <w:p>
      <w:pPr>
        <w:spacing w:after="0" w:line="205" w:lineRule="exact"/>
        <w:rPr>
          <w:sz w:val="20"/>
          <w:szCs w:val="20"/>
          <w:color w:val="auto"/>
        </w:rPr>
      </w:pPr>
    </w:p>
    <w:p>
      <w:pPr>
        <w:jc w:val="both"/>
        <w:spacing w:after="0" w:line="328" w:lineRule="auto"/>
        <w:rPr>
          <w:sz w:val="20"/>
          <w:szCs w:val="20"/>
          <w:color w:val="auto"/>
        </w:rPr>
      </w:pPr>
      <w:r>
        <w:rPr>
          <w:rFonts w:ascii="Arial" w:cs="Arial" w:eastAsia="Arial" w:hAnsi="Arial"/>
          <w:sz w:val="16"/>
          <w:szCs w:val="16"/>
          <w:i w:val="1"/>
          <w:iCs w:val="1"/>
          <w:color w:val="auto"/>
        </w:rPr>
        <w:t xml:space="preserve">Allowance for Expected Credit Losses - </w:t>
      </w:r>
      <w:r>
        <w:rPr>
          <w:rFonts w:ascii="Arial" w:cs="Arial" w:eastAsia="Arial" w:hAnsi="Arial"/>
          <w:sz w:val="16"/>
          <w:szCs w:val="16"/>
          <w:color w:val="auto"/>
        </w:rPr>
        <w:t>The Company evaluates the collectability of credit card and trade receivables based on historical loss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experience by risk pool and records periodic adjustments for factors such as deterioration of economic conditions, specific customer circumstances and changes in the aging of accounts receivable balances. Losses are charged off in the period in which they are determined to be uncollectible. See Note 20 - </w:t>
      </w:r>
      <w:r>
        <w:rPr>
          <w:rFonts w:ascii="Arial" w:cs="Arial" w:eastAsia="Arial" w:hAnsi="Arial"/>
          <w:sz w:val="16"/>
          <w:szCs w:val="16"/>
          <w:i w:val="1"/>
          <w:iCs w:val="1"/>
          <w:color w:val="auto"/>
        </w:rPr>
        <w:t>Allowance for Expected Credit Losses</w:t>
      </w:r>
      <w:r>
        <w:rPr>
          <w:rFonts w:ascii="Arial" w:cs="Arial" w:eastAsia="Arial" w:hAnsi="Arial"/>
          <w:sz w:val="16"/>
          <w:szCs w:val="16"/>
          <w:color w:val="auto"/>
        </w:rPr>
        <w:t xml:space="preserve"> for a discussion of the Company’s allowance for expected credit losses.</w:t>
      </w:r>
    </w:p>
    <w:p>
      <w:pPr>
        <w:spacing w:after="0" w:line="15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 xml:space="preserve">The Company assigned its interest, and is contingently liable, under certain real estate leases, primarily related to divested restaurant properties. Contingent lease liabilities related to these guarantees are calculated based on management’s estimate of exposure to losses which includes historical analysis of credit losses, including known instances of default, and existing economic conditions. See Note 22 - </w:t>
      </w:r>
      <w:r>
        <w:rPr>
          <w:rFonts w:ascii="Arial" w:cs="Arial" w:eastAsia="Arial" w:hAnsi="Arial"/>
          <w:sz w:val="19"/>
          <w:szCs w:val="19"/>
          <w:i w:val="1"/>
          <w:iCs w:val="1"/>
          <w:color w:val="auto"/>
        </w:rPr>
        <w:t xml:space="preserve">Commitments and Contingencies </w:t>
      </w:r>
      <w:r>
        <w:rPr>
          <w:rFonts w:ascii="Arial" w:cs="Arial" w:eastAsia="Arial" w:hAnsi="Arial"/>
          <w:sz w:val="19"/>
          <w:szCs w:val="19"/>
          <w:color w:val="auto"/>
        </w:rPr>
        <w:t>for a discussion of the Company’s contingent lease liabilities.</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instances where there was no established loss history, S&amp;P speculative-grade default rates are utilized as an estimated expected credit loss rate.</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Fair Value - </w:t>
      </w:r>
      <w:r>
        <w:rPr>
          <w:rFonts w:ascii="Arial" w:cs="Arial" w:eastAsia="Arial" w:hAnsi="Arial"/>
          <w:sz w:val="20"/>
          <w:szCs w:val="20"/>
          <w:color w:val="auto"/>
        </w:rPr>
        <w:t>Fair value is the price that would be received for an asset or paid to transfer a liability, or the exit price, in an orderly transaction</w:t>
      </w:r>
      <w:r>
        <w:rPr>
          <w:rFonts w:ascii="Arial" w:cs="Arial" w:eastAsia="Arial" w:hAnsi="Arial"/>
          <w:sz w:val="20"/>
          <w:szCs w:val="20"/>
          <w:i w:val="1"/>
          <w:iCs w:val="1"/>
          <w:color w:val="auto"/>
        </w:rPr>
        <w:t xml:space="preserve"> </w:t>
      </w:r>
      <w:r>
        <w:rPr>
          <w:rFonts w:ascii="Arial" w:cs="Arial" w:eastAsia="Arial" w:hAnsi="Arial"/>
          <w:sz w:val="20"/>
          <w:szCs w:val="20"/>
          <w:color w:val="auto"/>
        </w:rPr>
        <w:t>between market participants on the measurement date. Fair value is categorized into one of the following three levels based on the lowest level of significant input:</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Level 1</w:t>
            </w:r>
          </w:p>
        </w:tc>
        <w:tc>
          <w:tcPr>
            <w:tcW w:w="10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Unadjusted quoted market prices in active markets for identical assets or liabilities</w:t>
            </w:r>
          </w:p>
        </w:tc>
      </w:tr>
      <w:tr>
        <w:trPr>
          <w:trHeight w:val="213"/>
        </w:trPr>
        <w:tc>
          <w:tcPr>
            <w:tcW w:w="800" w:type="dxa"/>
            <w:vAlign w:val="bottom"/>
          </w:tcPr>
          <w:p>
            <w:pPr>
              <w:ind w:left="20"/>
              <w:spacing w:after="0"/>
              <w:rPr>
                <w:sz w:val="20"/>
                <w:szCs w:val="20"/>
                <w:color w:val="auto"/>
              </w:rPr>
            </w:pPr>
            <w:r>
              <w:rPr>
                <w:rFonts w:ascii="Arial" w:cs="Arial" w:eastAsia="Arial" w:hAnsi="Arial"/>
                <w:sz w:val="16"/>
                <w:szCs w:val="16"/>
                <w:color w:val="auto"/>
              </w:rPr>
              <w:t>Level 2</w:t>
            </w:r>
          </w:p>
        </w:tc>
        <w:tc>
          <w:tcPr>
            <w:tcW w:w="10400" w:type="dxa"/>
            <w:vAlign w:val="bottom"/>
          </w:tcPr>
          <w:p>
            <w:pPr>
              <w:ind w:left="280"/>
              <w:spacing w:after="0"/>
              <w:rPr>
                <w:sz w:val="20"/>
                <w:szCs w:val="20"/>
                <w:color w:val="auto"/>
              </w:rPr>
            </w:pPr>
            <w:r>
              <w:rPr>
                <w:rFonts w:ascii="Arial" w:cs="Arial" w:eastAsia="Arial" w:hAnsi="Arial"/>
                <w:sz w:val="16"/>
                <w:szCs w:val="16"/>
                <w:color w:val="auto"/>
              </w:rPr>
              <w:t>Observable inputs available at measurement date other than quoted prices included in Level 1</w:t>
            </w:r>
          </w:p>
        </w:tc>
      </w:tr>
      <w:tr>
        <w:trPr>
          <w:trHeight w:val="219"/>
        </w:trPr>
        <w:tc>
          <w:tcPr>
            <w:tcW w:w="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Level 3</w:t>
            </w:r>
          </w:p>
        </w:tc>
        <w:tc>
          <w:tcPr>
            <w:tcW w:w="10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Unobservable inputs that cannot be corroborated by observable market data</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Inventories - </w:t>
      </w:r>
      <w:r>
        <w:rPr>
          <w:rFonts w:ascii="Arial" w:cs="Arial" w:eastAsia="Arial" w:hAnsi="Arial"/>
          <w:sz w:val="19"/>
          <w:szCs w:val="19"/>
          <w:color w:val="auto"/>
        </w:rPr>
        <w:t>Inventories consist of food and beverages and are stated at the lower of cost (first-in, first-out) or net realizable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Restricted Cash </w:t>
      </w:r>
      <w:r>
        <w:rPr>
          <w:rFonts w:ascii="Arial" w:cs="Arial" w:eastAsia="Arial" w:hAnsi="Arial"/>
          <w:sz w:val="20"/>
          <w:szCs w:val="20"/>
          <w:color w:val="auto"/>
        </w:rPr>
        <w:t>- From time to time, the Company may have short-term restricted cash balances consisting of amounts pledged for settlement</w:t>
      </w:r>
      <w:r>
        <w:rPr>
          <w:rFonts w:ascii="Arial" w:cs="Arial" w:eastAsia="Arial" w:hAnsi="Arial"/>
          <w:sz w:val="20"/>
          <w:szCs w:val="20"/>
          <w:i w:val="1"/>
          <w:iCs w:val="1"/>
          <w:color w:val="auto"/>
        </w:rPr>
        <w:t xml:space="preserve"> </w:t>
      </w:r>
      <w:r>
        <w:rPr>
          <w:rFonts w:ascii="Arial" w:cs="Arial" w:eastAsia="Arial" w:hAnsi="Arial"/>
          <w:sz w:val="20"/>
          <w:szCs w:val="20"/>
          <w:color w:val="auto"/>
        </w:rPr>
        <w:t>of deferred compensation plan obligations.</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Property, Fixtures and Equipment - </w:t>
      </w:r>
      <w:r>
        <w:rPr>
          <w:rFonts w:ascii="Arial" w:cs="Arial" w:eastAsia="Arial" w:hAnsi="Arial"/>
          <w:sz w:val="20"/>
          <w:szCs w:val="20"/>
          <w:color w:val="auto"/>
        </w:rPr>
        <w:t>Property, fixtures and equipment are stated at cost, net of accumulated depreciation. Depreciation is</w:t>
      </w:r>
      <w:r>
        <w:rPr>
          <w:rFonts w:ascii="Arial" w:cs="Arial" w:eastAsia="Arial" w:hAnsi="Arial"/>
          <w:sz w:val="20"/>
          <w:szCs w:val="20"/>
          <w:i w:val="1"/>
          <w:iCs w:val="1"/>
          <w:color w:val="auto"/>
        </w:rPr>
        <w:t xml:space="preserve"> </w:t>
      </w:r>
      <w:r>
        <w:rPr>
          <w:rFonts w:ascii="Arial" w:cs="Arial" w:eastAsia="Arial" w:hAnsi="Arial"/>
          <w:sz w:val="20"/>
          <w:szCs w:val="20"/>
          <w:color w:val="auto"/>
        </w:rPr>
        <w:t>computed on the straight-line method over the estimated useful life of the assets. Estimated useful lives by major asset category are generally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 (1)</w:t>
            </w:r>
          </w:p>
        </w:tc>
        <w:tc>
          <w:tcPr>
            <w:tcW w:w="4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to 30 years</w:t>
            </w:r>
          </w:p>
        </w:tc>
      </w:tr>
      <w:tr>
        <w:trPr>
          <w:trHeight w:val="213"/>
        </w:trPr>
        <w:tc>
          <w:tcPr>
            <w:tcW w:w="6340" w:type="dxa"/>
            <w:vAlign w:val="bottom"/>
          </w:tcPr>
          <w:p>
            <w:pPr>
              <w:ind w:left="20"/>
              <w:spacing w:after="0"/>
              <w:rPr>
                <w:sz w:val="20"/>
                <w:szCs w:val="20"/>
                <w:color w:val="auto"/>
              </w:rPr>
            </w:pPr>
            <w:r>
              <w:rPr>
                <w:rFonts w:ascii="Arial" w:cs="Arial" w:eastAsia="Arial" w:hAnsi="Arial"/>
                <w:sz w:val="16"/>
                <w:szCs w:val="16"/>
                <w:color w:val="auto"/>
              </w:rPr>
              <w:t>Furniture and fixtures</w:t>
            </w:r>
          </w:p>
        </w:tc>
        <w:tc>
          <w:tcPr>
            <w:tcW w:w="4900" w:type="dxa"/>
            <w:vAlign w:val="bottom"/>
          </w:tcPr>
          <w:p>
            <w:pPr>
              <w:jc w:val="right"/>
              <w:spacing w:after="0"/>
              <w:rPr>
                <w:sz w:val="20"/>
                <w:szCs w:val="20"/>
                <w:color w:val="auto"/>
              </w:rPr>
            </w:pPr>
            <w:r>
              <w:rPr>
                <w:rFonts w:ascii="Arial" w:cs="Arial" w:eastAsia="Arial" w:hAnsi="Arial"/>
                <w:sz w:val="16"/>
                <w:szCs w:val="16"/>
                <w:color w:val="auto"/>
              </w:rPr>
              <w:t>5 to 7 years</w:t>
            </w:r>
          </w:p>
        </w:tc>
      </w:tr>
      <w:tr>
        <w:trPr>
          <w:trHeight w:val="219"/>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Equipment</w:t>
            </w:r>
          </w:p>
        </w:tc>
        <w:tc>
          <w:tcPr>
            <w:tcW w:w="4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to 7 years</w:t>
            </w:r>
          </w:p>
        </w:tc>
      </w:tr>
      <w:tr>
        <w:trPr>
          <w:trHeight w:val="210"/>
        </w:trPr>
        <w:tc>
          <w:tcPr>
            <w:tcW w:w="6340" w:type="dxa"/>
            <w:vAlign w:val="bottom"/>
          </w:tcPr>
          <w:p>
            <w:pPr>
              <w:ind w:left="20"/>
              <w:spacing w:after="0"/>
              <w:rPr>
                <w:sz w:val="20"/>
                <w:szCs w:val="20"/>
                <w:color w:val="auto"/>
              </w:rPr>
            </w:pPr>
            <w:r>
              <w:rPr>
                <w:rFonts w:ascii="Arial" w:cs="Arial" w:eastAsia="Arial" w:hAnsi="Arial"/>
                <w:sz w:val="16"/>
                <w:szCs w:val="16"/>
                <w:color w:val="auto"/>
              </w:rPr>
              <w:t>Computer equipment and software</w:t>
            </w:r>
          </w:p>
        </w:tc>
        <w:tc>
          <w:tcPr>
            <w:tcW w:w="4900" w:type="dxa"/>
            <w:vAlign w:val="bottom"/>
          </w:tcPr>
          <w:p>
            <w:pPr>
              <w:jc w:val="right"/>
              <w:spacing w:after="0"/>
              <w:rPr>
                <w:sz w:val="20"/>
                <w:szCs w:val="20"/>
                <w:color w:val="auto"/>
              </w:rPr>
            </w:pPr>
            <w:r>
              <w:rPr>
                <w:rFonts w:ascii="Arial" w:cs="Arial" w:eastAsia="Arial" w:hAnsi="Arial"/>
                <w:sz w:val="16"/>
                <w:szCs w:val="16"/>
                <w:color w:val="auto"/>
              </w:rPr>
              <w:t>3 to 7 years</w:t>
            </w:r>
          </w:p>
        </w:tc>
      </w:tr>
      <w:tr>
        <w:trPr>
          <w:trHeight w:val="280"/>
        </w:trPr>
        <w:tc>
          <w:tcPr>
            <w:tcW w:w="6340" w:type="dxa"/>
            <w:vAlign w:val="bottom"/>
          </w:tcPr>
          <w:p>
            <w:pPr>
              <w:spacing w:after="0"/>
              <w:rPr>
                <w:sz w:val="20"/>
                <w:szCs w:val="20"/>
                <w:color w:val="auto"/>
              </w:rPr>
            </w:pPr>
            <w:r>
              <w:rPr>
                <w:rFonts w:ascii="Arial" w:cs="Arial" w:eastAsia="Arial" w:hAnsi="Arial"/>
                <w:sz w:val="16"/>
                <w:szCs w:val="16"/>
                <w:color w:val="auto"/>
              </w:rPr>
              <w:t>____________________</w:t>
            </w:r>
          </w:p>
        </w:tc>
        <w:tc>
          <w:tcPr>
            <w:tcW w:w="4900" w:type="dxa"/>
            <w:vAlign w:val="bottom"/>
          </w:tcPr>
          <w:p>
            <w:pPr>
              <w:spacing w:after="0"/>
              <w:rPr>
                <w:sz w:val="24"/>
                <w:szCs w:val="24"/>
                <w:color w:val="auto"/>
              </w:rPr>
            </w:pPr>
          </w:p>
        </w:tc>
      </w:tr>
    </w:tbl>
    <w:p>
      <w:pPr>
        <w:ind w:left="660" w:right="20" w:hanging="652"/>
        <w:spacing w:after="0" w:line="257"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improvements to leased properties which are depreciated over the shorter of their useful life or the reasonably certain lease term, including renewal periods that are reasonably certain.</w:t>
      </w:r>
    </w:p>
    <w:p>
      <w:pPr>
        <w:spacing w:after="0" w:line="20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Repair and maintenance costs that maintain the appearance and functionality of the restaurant, but do not extend the useful life of any restaurant asset are expensed as incurred. The Company suspends depreciation and amortization for assets held for sale. The cost and related accumulated depreciation of assets sold or disposed of are removed from the Company’s Consolidated Balance Sheets, and any resulting gain or loss is generally recognized in Other restaurant operating expense in its Consolidated Statements of Operations and Comprehensive (Loss) Income.</w:t>
      </w:r>
    </w:p>
    <w:p>
      <w:pPr>
        <w:spacing w:after="0" w:line="22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capitalizes direct and indirect internal costs associated with the acquisition, development, design and construction of Company-owned restaurant locations as these costs have a future benefit to the Company. Upon restaurant opening, these costs are depreciated and charged to depreciation and amortization expense. Internal costs of $2.7 million, $6.4 million and $6.9 million were capitalized during 2020, 2019 and 2018, respectively.</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For 2020 and 2019, computer equipment and software costs of $1.4 million and $7.4 million, respectively, were capitalized. As of December 27, 2020 and December 29, 2019, there was $8.8 million and $25.7 million, respectively, of unamortized computer equipment and software included in Property, fixtures and equipment, net on the Company’s Consolidated Balance Sheets.</w:t>
      </w:r>
    </w:p>
    <w:p>
      <w:pPr>
        <w:spacing w:after="0" w:line="19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Goodwill and Intangible Assets - </w:t>
      </w:r>
      <w:r>
        <w:rPr>
          <w:rFonts w:ascii="Arial" w:cs="Arial" w:eastAsia="Arial" w:hAnsi="Arial"/>
          <w:sz w:val="20"/>
          <w:szCs w:val="20"/>
          <w:color w:val="auto"/>
        </w:rPr>
        <w:t>Goodwill represents the excess of the purchase price over the fair value of net assets acquired in business</w:t>
      </w:r>
      <w:r>
        <w:rPr>
          <w:rFonts w:ascii="Arial" w:cs="Arial" w:eastAsia="Arial" w:hAnsi="Arial"/>
          <w:sz w:val="20"/>
          <w:szCs w:val="20"/>
          <w:i w:val="1"/>
          <w:iCs w:val="1"/>
          <w:color w:val="auto"/>
        </w:rPr>
        <w:t xml:space="preserve"> </w:t>
      </w:r>
      <w:r>
        <w:rPr>
          <w:rFonts w:ascii="Arial" w:cs="Arial" w:eastAsia="Arial" w:hAnsi="Arial"/>
          <w:sz w:val="20"/>
          <w:szCs w:val="20"/>
          <w:color w:val="auto"/>
        </w:rPr>
        <w:t>combinations and is assigned to the reporting unit in which the acquired business will operate. The Company’s indefinite-lived intangible assets consist of trade names and are recorded at fair value as of the date of acquisition. Goodwill and indefinite-lived intangible assets are tested for impairment annually, as of the first day of the second fiscal quarter, or whenever events or changes in circumstances indicate that the carrying amount may not be recoverable.</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Company may elect to perform a qualitative assessment to determine whether it is more likely than not that a reporting unit is impaired. If the qualitative assessment is not performed or if the Company determines that it is not more likely than not that the fair value of the reporting unit exceeds the carrying value, the fair value of the reporting unit is calculated. The carrying value of the reporting unit is compared to its estimated fair value, with any excess of carrying value over fair value deemed to be an indicator of impairment.</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Definite-lived intangible assets, which consist primarily of trademarks and reacquired franchise rights, are recorded at fair value as of the date of acquisition, amortized over their estimated useful lives and tested for impairment, using the relief from royalty method, whenever events or changes in circumstances indicate that the carrying value may not be recoverable.</w:t>
      </w: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Derivatives - </w:t>
      </w:r>
      <w:r>
        <w:rPr>
          <w:rFonts w:ascii="Arial" w:cs="Arial" w:eastAsia="Arial" w:hAnsi="Arial"/>
          <w:sz w:val="20"/>
          <w:szCs w:val="20"/>
          <w:color w:val="auto"/>
        </w:rPr>
        <w:t>The Company records all derivatives on the balance sheet at fair value. The accounting for changes in the fair value of</w:t>
      </w:r>
      <w:r>
        <w:rPr>
          <w:rFonts w:ascii="Arial" w:cs="Arial" w:eastAsia="Arial" w:hAnsi="Arial"/>
          <w:sz w:val="20"/>
          <w:szCs w:val="20"/>
          <w:i w:val="1"/>
          <w:iCs w:val="1"/>
          <w:color w:val="auto"/>
        </w:rPr>
        <w:t xml:space="preserve"> </w:t>
      </w:r>
      <w:r>
        <w:rPr>
          <w:rFonts w:ascii="Arial" w:cs="Arial" w:eastAsia="Arial" w:hAnsi="Arial"/>
          <w:sz w:val="20"/>
          <w:szCs w:val="20"/>
          <w:color w:val="auto"/>
        </w:rPr>
        <w:t>derivatives depends on the intended use of the derivative, whether the Company has elected to</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designate a derivative in a hedging relationship and apply hedge accounting and whether the hedging relationship has satisfied the criteria necessary to apply hedge accounting.</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Derivatives designated and qualifying as a hedge of the exposure to variability in expected future cash flows, or other types of forecasted transactions, are considered cash flow hedges. </w:t>
      </w:r>
      <w:r>
        <w:rPr>
          <w:rFonts w:ascii="Arial" w:cs="Arial" w:eastAsia="Arial" w:hAnsi="Arial"/>
          <w:sz w:val="20"/>
          <w:szCs w:val="20"/>
          <w:color w:val="252525"/>
        </w:rPr>
        <w:t>If the derivative qualifies for hedge accounting treatment, any gain or loss on the derivative</w:t>
      </w:r>
      <w:r>
        <w:rPr>
          <w:rFonts w:ascii="Arial" w:cs="Arial" w:eastAsia="Arial" w:hAnsi="Arial"/>
          <w:sz w:val="20"/>
          <w:szCs w:val="20"/>
          <w:color w:val="auto"/>
        </w:rPr>
        <w:t xml:space="preserve"> </w:t>
      </w:r>
      <w:r>
        <w:rPr>
          <w:rFonts w:ascii="Arial" w:cs="Arial" w:eastAsia="Arial" w:hAnsi="Arial"/>
          <w:sz w:val="20"/>
          <w:szCs w:val="20"/>
          <w:color w:val="252525"/>
        </w:rPr>
        <w:t>instrument is recognized in equity as a change to Accumulated other comprehensive loss and reclassified into earnings in the same period or periods during which the hedged transaction affects earnings.</w:t>
      </w:r>
    </w:p>
    <w:p>
      <w:pPr>
        <w:spacing w:after="0" w:line="21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 xml:space="preserve">The Company may enter into derivative contracts that are intended to economically hedge certain of its risk, even though hedge accounting does not apply or the Company elects not to apply hedge accounting. </w:t>
      </w:r>
      <w:r>
        <w:rPr>
          <w:rFonts w:ascii="Arial" w:cs="Arial" w:eastAsia="Arial" w:hAnsi="Arial"/>
          <w:sz w:val="18"/>
          <w:szCs w:val="18"/>
          <w:color w:val="252525"/>
        </w:rPr>
        <w:t>Derivatives not designated as hedges are not speculative and are used to</w:t>
      </w:r>
      <w:r>
        <w:rPr>
          <w:rFonts w:ascii="Arial" w:cs="Arial" w:eastAsia="Arial" w:hAnsi="Arial"/>
          <w:sz w:val="18"/>
          <w:szCs w:val="18"/>
          <w:color w:val="auto"/>
        </w:rPr>
        <w:t xml:space="preserve"> </w:t>
      </w:r>
      <w:r>
        <w:rPr>
          <w:rFonts w:ascii="Arial" w:cs="Arial" w:eastAsia="Arial" w:hAnsi="Arial"/>
          <w:sz w:val="18"/>
          <w:szCs w:val="18"/>
          <w:color w:val="252525"/>
        </w:rPr>
        <w:t>manage the Company’s exposure to interest rate movements, foreign currency exchange rate movements, changes in energy prices and other identified risks. Changes in the fair value of derivatives not designated in hedging relationships are recorded directly in earnings. The Company has elected not to offset derivative positions in the balance sheet with the same counterparty under the same agreement.</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Deferred Financing Fees </w:t>
      </w:r>
      <w:r>
        <w:rPr>
          <w:rFonts w:ascii="Arial" w:cs="Arial" w:eastAsia="Arial" w:hAnsi="Arial"/>
          <w:sz w:val="20"/>
          <w:szCs w:val="20"/>
          <w:color w:val="auto"/>
        </w:rPr>
        <w:t>- For its revolving credit facility, the Company records deferred financing fees related to the issuance of debt</w:t>
      </w:r>
      <w:r>
        <w:rPr>
          <w:rFonts w:ascii="Arial" w:cs="Arial" w:eastAsia="Arial" w:hAnsi="Arial"/>
          <w:sz w:val="20"/>
          <w:szCs w:val="20"/>
          <w:i w:val="1"/>
          <w:iCs w:val="1"/>
          <w:color w:val="auto"/>
        </w:rPr>
        <w:t xml:space="preserve"> </w:t>
      </w:r>
      <w:r>
        <w:rPr>
          <w:rFonts w:ascii="Arial" w:cs="Arial" w:eastAsia="Arial" w:hAnsi="Arial"/>
          <w:sz w:val="20"/>
          <w:szCs w:val="20"/>
          <w:color w:val="auto"/>
        </w:rPr>
        <w:t>obligations in Other assets, net on its Consolidated Balance Sheets. For fees associated with all other debt obligations, the Company records deferred financing fees as a reduction of Long-term debt, net.</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amortizes deferred financing fees to interest expense over the term of the respective financing arrangement, primarily using the effective interest method. The Company amortized deferred financing fees of $3.9 million, $2.5 million and $2.6 million to interest expense for 2020, 2019 and 2018, respectively.</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Liquor Licenses - </w:t>
      </w:r>
      <w:r>
        <w:rPr>
          <w:rFonts w:ascii="Arial" w:cs="Arial" w:eastAsia="Arial" w:hAnsi="Arial"/>
          <w:sz w:val="20"/>
          <w:szCs w:val="20"/>
          <w:color w:val="auto"/>
        </w:rPr>
        <w:t>The fees from obtaining non-transferable liquor licenses directly issued by local government agencies for nominal fees are</w:t>
      </w:r>
      <w:r>
        <w:rPr>
          <w:rFonts w:ascii="Arial" w:cs="Arial" w:eastAsia="Arial" w:hAnsi="Arial"/>
          <w:sz w:val="20"/>
          <w:szCs w:val="20"/>
          <w:i w:val="1"/>
          <w:iCs w:val="1"/>
          <w:color w:val="auto"/>
        </w:rPr>
        <w:t xml:space="preserve"> </w:t>
      </w:r>
      <w:r>
        <w:rPr>
          <w:rFonts w:ascii="Arial" w:cs="Arial" w:eastAsia="Arial" w:hAnsi="Arial"/>
          <w:sz w:val="20"/>
          <w:szCs w:val="20"/>
          <w:color w:val="auto"/>
        </w:rPr>
        <w:t>expensed as incurred. The costs of purchasing transferable liquor licenses through open markets in jurisdictions with a limited number of authorized liquor licenses are capitalized as indefinite-lived intangible assets and included in Other assets, net on the Company’s Consolidated Balance Sheets.</w:t>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i w:val="1"/>
          <w:iCs w:val="1"/>
          <w:color w:val="auto"/>
        </w:rPr>
        <w:t xml:space="preserve">Insurance Reserves - </w:t>
      </w:r>
      <w:r>
        <w:rPr>
          <w:rFonts w:ascii="Arial" w:cs="Arial" w:eastAsia="Arial" w:hAnsi="Arial"/>
          <w:sz w:val="19"/>
          <w:szCs w:val="19"/>
          <w:color w:val="auto"/>
        </w:rPr>
        <w:t>The Company carries insurance programs with specific retention levels or high per-claim deductibles for a significant</w:t>
      </w:r>
      <w:r>
        <w:rPr>
          <w:rFonts w:ascii="Arial" w:cs="Arial" w:eastAsia="Arial" w:hAnsi="Arial"/>
          <w:sz w:val="19"/>
          <w:szCs w:val="19"/>
          <w:i w:val="1"/>
          <w:iCs w:val="1"/>
          <w:color w:val="auto"/>
        </w:rPr>
        <w:t xml:space="preserve"> </w:t>
      </w:r>
      <w:r>
        <w:rPr>
          <w:rFonts w:ascii="Arial" w:cs="Arial" w:eastAsia="Arial" w:hAnsi="Arial"/>
          <w:sz w:val="19"/>
          <w:szCs w:val="19"/>
          <w:color w:val="auto"/>
        </w:rPr>
        <w:t>portion of expected losses under its workers’ compensation, general or liquor liability, health, property and management liability insurance programs. The Company records a liability for all unresolved claims and for an estimate of incurred but not reported claims at the anticipated cost that falls below its specified retention levels or per-claim deductible amounts. In establishing reserves, the Company considers actuarial assumptions and judgments regarding economic conditions, and the frequency and severity of claims. Reserves recorded for workers’ compensation and general liability claims are discounted using the average of the one-year and five-year risk-free rate of monetary assets that have comparable maturities.</w:t>
      </w:r>
    </w:p>
    <w:p>
      <w:pPr>
        <w:spacing w:after="0" w:line="21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 xml:space="preserve">Share Repurchase - </w:t>
      </w:r>
      <w:r>
        <w:rPr>
          <w:rFonts w:ascii="Arial" w:cs="Arial" w:eastAsia="Arial" w:hAnsi="Arial"/>
          <w:sz w:val="20"/>
          <w:szCs w:val="20"/>
          <w:color w:val="auto"/>
        </w:rPr>
        <w:t>Shares repurchased are retired. The par value of the repurchased shares is deducted from common stock and the excess of</w:t>
      </w:r>
      <w:r>
        <w:rPr>
          <w:rFonts w:ascii="Arial" w:cs="Arial" w:eastAsia="Arial" w:hAnsi="Arial"/>
          <w:sz w:val="20"/>
          <w:szCs w:val="20"/>
          <w:i w:val="1"/>
          <w:iCs w:val="1"/>
          <w:color w:val="auto"/>
        </w:rPr>
        <w:t xml:space="preserve"> </w:t>
      </w:r>
      <w:r>
        <w:rPr>
          <w:rFonts w:ascii="Arial" w:cs="Arial" w:eastAsia="Arial" w:hAnsi="Arial"/>
          <w:sz w:val="20"/>
          <w:szCs w:val="20"/>
          <w:color w:val="auto"/>
        </w:rPr>
        <w:t>the purchase price over the par value of the shares is recorded to Accumulated deficit.</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Revenue Recognition - </w:t>
      </w:r>
      <w:r>
        <w:rPr>
          <w:rFonts w:ascii="Arial" w:cs="Arial" w:eastAsia="Arial" w:hAnsi="Arial"/>
          <w:sz w:val="19"/>
          <w:szCs w:val="19"/>
          <w:color w:val="auto"/>
        </w:rPr>
        <w:t>The Company records food and beverage revenues, net of discounts and taxes, upon delivery to the customer.</w:t>
      </w:r>
      <w:r>
        <w:rPr>
          <w:rFonts w:ascii="Arial" w:cs="Arial" w:eastAsia="Arial" w:hAnsi="Arial"/>
          <w:sz w:val="19"/>
          <w:szCs w:val="19"/>
          <w:i w:val="1"/>
          <w:iCs w:val="1"/>
          <w:color w:val="auto"/>
        </w:rPr>
        <w:t xml:space="preserve"> </w:t>
      </w:r>
      <w:r>
        <w:rPr>
          <w:rFonts w:ascii="Arial" w:cs="Arial" w:eastAsia="Arial" w:hAnsi="Arial"/>
          <w:sz w:val="19"/>
          <w:szCs w:val="19"/>
          <w:color w:val="auto"/>
        </w:rPr>
        <w:t>Franchise-related revenues are included in Franchise and other revenues in the Company’s Consolidated Statements of Operations and Comprehensive (Loss) Income. Royalties, which are a percentage of net sales of the franchisee, are recognized as revenue in the period which the sales are reported to have occurred provided collectability is reasonably assured.</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Proceeds from the sale of gift cards, which do not have expiration dates, are recorded as deferred revenue and recognized as revenue upon redemption by the customer. The Company applies the portfolio approach practical expedient to account for gift card contracts and performance obligations. Gift card breakage, the amount of gift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cards which will not be redeemed, is recognized using estimates based on historical redemption patterns. If actual redemptions vary from assumptions used to estimate breakage, gift card breakage income may differ from the amount recorded. The Company periodically updates its estimates used for breakage. Breakage revenue is recorded as a component of Restaurant sales in the Company’s Consolidated Statements of Operations and Comprehensive (Loss) Income. Approximately 84% of deferred gift card revenue is expected to be recognized within 12 months of inception. Gift card sales that are accompanied by a bonus gift card to be used by the customer at a future visit result in a separate deferral of a portion of the original gift card sale. Revenue is recorded when the bonus card is redeemed or expires at the estimated fair market value of the bonus card.</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Gift card sales commissions paid to third-party providers are capitalized and subsequently amortized to Other restaurant operating expense based on historical gift card redemption patterns. See Note 4 - </w:t>
      </w:r>
      <w:r>
        <w:rPr>
          <w:rFonts w:ascii="Arial" w:cs="Arial" w:eastAsia="Arial" w:hAnsi="Arial"/>
          <w:sz w:val="20"/>
          <w:szCs w:val="20"/>
          <w:i w:val="1"/>
          <w:iCs w:val="1"/>
          <w:color w:val="auto"/>
        </w:rPr>
        <w:t>Revenue Recognition</w:t>
      </w:r>
      <w:r>
        <w:rPr>
          <w:rFonts w:ascii="Arial" w:cs="Arial" w:eastAsia="Arial" w:hAnsi="Arial"/>
          <w:sz w:val="20"/>
          <w:szCs w:val="20"/>
          <w:color w:val="auto"/>
        </w:rPr>
        <w:t xml:space="preserve"> for rollforwards of deferred gift card sales commissions and unearned gift card revenue.</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Advertising fees charged to franchisees are recognized in Franchise and other revenues in the Company’s Consolidated Statements of Operations and Comprehensive (Loss) Income provided collectability is reasonably assured. Initial franchise and renewal fees are recognized over the term of the franchise agreement and renewal period, respectively. The weighted average remaining term of franchise agreements and renewal periods was approximately 13 years as of December 27, 2020.</w:t>
      </w:r>
    </w:p>
    <w:p>
      <w:pPr>
        <w:spacing w:after="0" w:line="21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Company maintains a customer loyalty program, Dine Rewards, in the U.S., where customers have the ability to earn a reward after a number of qualified visits. The Company has developed an estimated value of the partial reward earned from each qualified visit, which is recorded as deferred revenue. Each reward has a maximum value and must be redeemed within three months of earning such reward. The revenue associated with the fair value of the qualified visit is recognized upon the earlier of redemption or expiration of the reward. The Company applies the practical expedient to exclude disclosures regarding loyalty program remaining performance obligations, which have original expected durations of less than one year.</w:t>
      </w:r>
    </w:p>
    <w:p>
      <w:pPr>
        <w:spacing w:after="0" w:line="15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Company collects and remits sales, food and beverage, alcoholic beverage and hospitality taxes on transactions with customers and reports revenue net of taxes in its Consolidated Statements of Operations and Comprehensive (Loss) Income.</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9"/>
          <w:szCs w:val="19"/>
          <w:i w:val="1"/>
          <w:iCs w:val="1"/>
          <w:color w:val="auto"/>
        </w:rPr>
        <w:t xml:space="preserve">Leases </w:t>
      </w:r>
      <w:r>
        <w:rPr>
          <w:rFonts w:ascii="Arial" w:cs="Arial" w:eastAsia="Arial" w:hAnsi="Arial"/>
          <w:sz w:val="19"/>
          <w:szCs w:val="19"/>
          <w:color w:val="auto"/>
        </w:rPr>
        <w:t>- The Company’s determination of whether an arrangement contains a lease is based on an evaluation of whether the arrangement</w:t>
      </w:r>
      <w:r>
        <w:rPr>
          <w:rFonts w:ascii="Arial" w:cs="Arial" w:eastAsia="Arial" w:hAnsi="Arial"/>
          <w:sz w:val="19"/>
          <w:szCs w:val="19"/>
          <w:i w:val="1"/>
          <w:iCs w:val="1"/>
          <w:color w:val="auto"/>
        </w:rPr>
        <w:t xml:space="preserve"> </w:t>
      </w:r>
      <w:r>
        <w:rPr>
          <w:rFonts w:ascii="Arial" w:cs="Arial" w:eastAsia="Arial" w:hAnsi="Arial"/>
          <w:sz w:val="19"/>
          <w:szCs w:val="19"/>
          <w:color w:val="auto"/>
        </w:rPr>
        <w:t>conveys the right to use and control specific property or equipment. The Company leases restaurant and office facilities and certain equipment under operating leases primarily having initial terms between one and 20 years. Restaurant facility leases generally have renewal periods totaling five to 30 years, exercisable at the option of the Company. Contingent rentals represent payment of variable lease obligations based on a percentage of gross revenues, as defined by the terms of the applicable lease agreement for certain restaurant facility leases. The Company also has certain leases, which reset periodically based on a specified index. Such leases are recorded using the index that existed at lease commencement. Subsequent changes in the index are recorded as variable rental payments. Variable rental payments are expensed as incurred in the Company’s Consolidated Statements of Operations and Comprehensive (Loss) Income and future variable rent obligations are not included within the lease liabilities on the Consolidated Balance Sheets. The depreciable life of lease assets and leasehold improvements are limited by the expected lease term. None of the Company’s leases contain any material residual value guarantees or material restrictive covenants.</w:t>
      </w:r>
    </w:p>
    <w:p>
      <w:pPr>
        <w:spacing w:after="0" w:line="21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Company accounts for fixed lease and non-lease components of a restaurant facility lease as a single lease component. Additionally, for certain equipment leases, the Company applies a portfolio approach to account for the lease assets and liabilities. Leases with an initial term of 12 months or less are not recorded on its Consolidated Balance Sheets, and are recognized on a straight-line basis over the lease term within Other restaurant operating expense in the Company’s Consolidated Statements of Operations and Comprehensive (Loss) Income.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Rent expense for the Company’s operating leases, which generally have escalating rentals over the term of the lease and may include rent holidays, is recorded on a straight-line basis over the initial lease term and those renewal periods that are reasonably certain. Rent expense is recorded in Other restaurant operating in the Company’s Consolidated Statements of Operations and Comprehensive (Loss) Income. Payments received from landlords as incentives for leasehold improvements are recorded as a reduction of the right-of-use asset and amortized on a straight-line basis over the term of the lease as a reduction of rent expense.</w:t>
      </w:r>
    </w:p>
    <w:p>
      <w:pPr>
        <w:spacing w:after="0" w:line="207"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In April 2020, the FASB issued a question and answer document focused on the application of lease accounting guidance to lease concessions provided as a result of COVID-19 (the “Lease Modification Q&amp;A”). The Lease Modification Q&amp;A provides entities with the option to elect to account for lease concessions as though the enforceable rights and obligations existed in the original lease when the total cash flows resulting from the modified lease are substantially similar to the cash flows in the original lease. The Company elected this practical expedient for COVID-19-related rent concessions, primarily rent deferrals or rent abatements, and has elected not to remeasure the related lease liability and right-of-use asset for those leases. Rent deferrals are accrued with no impact to straight-line rent expense. Rent abatements are recognized as a reduction of variable rent expense in the month they occur. This election will continue while these concessions are in effect.</w:t>
      </w:r>
    </w:p>
    <w:p>
      <w:pPr>
        <w:spacing w:after="0" w:line="216" w:lineRule="exact"/>
        <w:rPr>
          <w:sz w:val="20"/>
          <w:szCs w:val="20"/>
          <w:color w:val="auto"/>
        </w:rPr>
      </w:pPr>
    </w:p>
    <w:p>
      <w:pPr>
        <w:jc w:val="both"/>
        <w:spacing w:after="0" w:line="316" w:lineRule="auto"/>
        <w:rPr>
          <w:sz w:val="20"/>
          <w:szCs w:val="20"/>
          <w:color w:val="auto"/>
        </w:rPr>
      </w:pPr>
      <w:r>
        <w:rPr>
          <w:rFonts w:ascii="Arial" w:cs="Arial" w:eastAsia="Arial" w:hAnsi="Arial"/>
          <w:sz w:val="18"/>
          <w:szCs w:val="18"/>
          <w:i w:val="1"/>
          <w:iCs w:val="1"/>
          <w:color w:val="auto"/>
        </w:rPr>
        <w:t xml:space="preserve">Pre-Opening Expenses - </w:t>
      </w:r>
      <w:r>
        <w:rPr>
          <w:rFonts w:ascii="Arial" w:cs="Arial" w:eastAsia="Arial" w:hAnsi="Arial"/>
          <w:sz w:val="18"/>
          <w:szCs w:val="18"/>
          <w:color w:val="auto"/>
        </w:rPr>
        <w:t>Non-capital expenditures associated with opening new restaurants are expensed as incurred and are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Other restaurant operating expense in the Company’s Consolidated Statements of Operations and Comprehensive (Loss) Income.</w:t>
      </w:r>
    </w:p>
    <w:p>
      <w:pPr>
        <w:spacing w:after="0" w:line="15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Consideration Received from Vendors - </w:t>
      </w:r>
      <w:r>
        <w:rPr>
          <w:rFonts w:ascii="Arial" w:cs="Arial" w:eastAsia="Arial" w:hAnsi="Arial"/>
          <w:sz w:val="18"/>
          <w:szCs w:val="18"/>
          <w:color w:val="auto"/>
        </w:rPr>
        <w:t>The Company receives consideration for a variety of vendor-sponsored programs, such as volume</w:t>
      </w:r>
      <w:r>
        <w:rPr>
          <w:rFonts w:ascii="Arial" w:cs="Arial" w:eastAsia="Arial" w:hAnsi="Arial"/>
          <w:sz w:val="18"/>
          <w:szCs w:val="18"/>
          <w:i w:val="1"/>
          <w:iCs w:val="1"/>
          <w:color w:val="auto"/>
        </w:rPr>
        <w:t xml:space="preserve"> </w:t>
      </w:r>
      <w:r>
        <w:rPr>
          <w:rFonts w:ascii="Arial" w:cs="Arial" w:eastAsia="Arial" w:hAnsi="Arial"/>
          <w:sz w:val="18"/>
          <w:szCs w:val="18"/>
          <w:color w:val="auto"/>
        </w:rPr>
        <w:t>rebates, promotions and advertising allowances. Advertising allowances are intended to offset the Company’s costs of promoting and selling menu items in its restaurants. Vendor consideration is recorded as a reduction of Food and beverage costs or Other restaurant operating expense when recognized in the Company’s Consolidated Statements of Operations and Comprehensive (Loss) Income.</w:t>
      </w:r>
    </w:p>
    <w:p>
      <w:pPr>
        <w:spacing w:after="0" w:line="18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i w:val="1"/>
          <w:iCs w:val="1"/>
          <w:color w:val="auto"/>
        </w:rPr>
        <w:t xml:space="preserve">Impairment of Long-Lived Assets and Costs Associated with Exit Activities - </w:t>
      </w:r>
      <w:r>
        <w:rPr>
          <w:rFonts w:ascii="Arial" w:cs="Arial" w:eastAsia="Arial" w:hAnsi="Arial"/>
          <w:sz w:val="18"/>
          <w:szCs w:val="18"/>
          <w:color w:val="auto"/>
        </w:rPr>
        <w:t>Long-lived assets are reviewed for impairment whenever events</w:t>
      </w:r>
      <w:r>
        <w:rPr>
          <w:rFonts w:ascii="Arial" w:cs="Arial" w:eastAsia="Arial" w:hAnsi="Arial"/>
          <w:sz w:val="18"/>
          <w:szCs w:val="18"/>
          <w:i w:val="1"/>
          <w:iCs w:val="1"/>
          <w:color w:val="auto"/>
        </w:rPr>
        <w:t xml:space="preserve"> </w:t>
      </w:r>
      <w:r>
        <w:rPr>
          <w:rFonts w:ascii="Arial" w:cs="Arial" w:eastAsia="Arial" w:hAnsi="Arial"/>
          <w:sz w:val="18"/>
          <w:szCs w:val="18"/>
          <w:color w:val="auto"/>
        </w:rPr>
        <w:t>or changes in circumstances indicate that the carrying value may not be recoverable. The evaluation is performed at the lowest level of identifiable cash flows independent of other assets. For long-lived assets deployed at its restaurants, the Company reviews for impairment at the individual restaurant level. When evaluating for impairment, the total future undiscounted cash flows expected to be generated by the asset are compared to the carrying amount. If the total future undiscounted cash flows of the asset are less than its carrying amount, recoverability is measured by comparing the fair value of the assets to the carrying amount. An impairment loss is recognized in earnings when the asset’s carrying value exceeds its estimated fair value. Fair value is generally estimated using a discounted cash flow model.</w:t>
      </w:r>
    </w:p>
    <w:p>
      <w:pPr>
        <w:spacing w:after="0" w:line="19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Restaurant closure costs, including lease termination fees, are expensed as incurred. When the Company ceases using the property rights under a non-cancelable operating lease, it records a liability for the net present value of any remaining non-rent lease-related obligations as a result of lease termination, less the estimated subtenant cost recovery that can reasonably be obtained for the property. </w:t>
      </w:r>
      <w:r>
        <w:rPr>
          <w:rFonts w:ascii="Arial" w:cs="Arial" w:eastAsia="Arial" w:hAnsi="Arial"/>
          <w:sz w:val="20"/>
          <w:szCs w:val="20"/>
          <w:color w:val="252525"/>
        </w:rPr>
        <w:t>Any subsequent</w:t>
      </w:r>
      <w:r>
        <w:rPr>
          <w:rFonts w:ascii="Arial" w:cs="Arial" w:eastAsia="Arial" w:hAnsi="Arial"/>
          <w:sz w:val="20"/>
          <w:szCs w:val="20"/>
          <w:color w:val="auto"/>
        </w:rPr>
        <w:t xml:space="preserve"> </w:t>
      </w:r>
      <w:r>
        <w:rPr>
          <w:rFonts w:ascii="Arial" w:cs="Arial" w:eastAsia="Arial" w:hAnsi="Arial"/>
          <w:sz w:val="20"/>
          <w:szCs w:val="20"/>
          <w:color w:val="252525"/>
        </w:rPr>
        <w:t xml:space="preserve">adjustment to that liability as a result of lease termination or changes in estimates of cost recovery is recorded in the period incurred. </w:t>
      </w:r>
      <w:r>
        <w:rPr>
          <w:rFonts w:ascii="Arial" w:cs="Arial" w:eastAsia="Arial" w:hAnsi="Arial"/>
          <w:sz w:val="20"/>
          <w:szCs w:val="20"/>
          <w:color w:val="000000"/>
        </w:rPr>
        <w:t>The</w:t>
      </w:r>
      <w:r>
        <w:rPr>
          <w:rFonts w:ascii="Arial" w:cs="Arial" w:eastAsia="Arial" w:hAnsi="Arial"/>
          <w:sz w:val="20"/>
          <w:szCs w:val="20"/>
          <w:color w:val="252525"/>
        </w:rPr>
        <w:t xml:space="preserve"> </w:t>
      </w:r>
      <w:r>
        <w:rPr>
          <w:rFonts w:ascii="Arial" w:cs="Arial" w:eastAsia="Arial" w:hAnsi="Arial"/>
          <w:sz w:val="20"/>
          <w:szCs w:val="20"/>
          <w:color w:val="000000"/>
        </w:rPr>
        <w:t>associated expense is recorded in Provision for impaired assets and restaurant closings in the Company’s Consolidated Statements of Operations and Comprehensive (Loss) Income.</w:t>
      </w:r>
    </w:p>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Restaurant sites and certain other assets to be sold are included in assets held for sale when certain criteria are met, including the requirement that the likelihood of selling the assets within one year is probable.</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Advertising Costs - </w:t>
      </w:r>
      <w:r>
        <w:rPr>
          <w:rFonts w:ascii="Arial" w:cs="Arial" w:eastAsia="Arial" w:hAnsi="Arial"/>
          <w:sz w:val="20"/>
          <w:szCs w:val="20"/>
          <w:color w:val="auto"/>
        </w:rPr>
        <w:t>Advertising production costs are expensed in the period when the advertising first occurs. All other advertising costs are</w:t>
      </w:r>
      <w:r>
        <w:rPr>
          <w:rFonts w:ascii="Arial" w:cs="Arial" w:eastAsia="Arial" w:hAnsi="Arial"/>
          <w:sz w:val="20"/>
          <w:szCs w:val="20"/>
          <w:i w:val="1"/>
          <w:iCs w:val="1"/>
          <w:color w:val="auto"/>
        </w:rPr>
        <w:t xml:space="preserve"> </w:t>
      </w:r>
      <w:r>
        <w:rPr>
          <w:rFonts w:ascii="Arial" w:cs="Arial" w:eastAsia="Arial" w:hAnsi="Arial"/>
          <w:sz w:val="20"/>
          <w:szCs w:val="20"/>
          <w:color w:val="auto"/>
        </w:rPr>
        <w:t>expensed in the period in which the costs are incurred. Advertising expense of $67.3 million, $146.1 million and $147.8 million for 2020, 2019 and 2018, respectively, was recorded in Other restaurant operating expense in the Company’s Consolidated Statements of Operations and Comprehensive (Loss) Income.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Legal Costs - </w:t>
      </w:r>
      <w:r>
        <w:rPr>
          <w:rFonts w:ascii="Arial" w:cs="Arial" w:eastAsia="Arial" w:hAnsi="Arial"/>
          <w:sz w:val="20"/>
          <w:szCs w:val="20"/>
          <w:color w:val="auto"/>
        </w:rPr>
        <w:t>Settlement costs are accrued when they are deemed probable and reasonably estimable. Legal fees are recognized as incurred</w:t>
      </w:r>
      <w:r>
        <w:rPr>
          <w:rFonts w:ascii="Arial" w:cs="Arial" w:eastAsia="Arial" w:hAnsi="Arial"/>
          <w:sz w:val="20"/>
          <w:szCs w:val="20"/>
          <w:i w:val="1"/>
          <w:iCs w:val="1"/>
          <w:color w:val="auto"/>
        </w:rPr>
        <w:t xml:space="preserve"> </w:t>
      </w:r>
      <w:r>
        <w:rPr>
          <w:rFonts w:ascii="Arial" w:cs="Arial" w:eastAsia="Arial" w:hAnsi="Arial"/>
          <w:sz w:val="20"/>
          <w:szCs w:val="20"/>
          <w:color w:val="auto"/>
        </w:rPr>
        <w:t>and are reported in General and administrative expense in the Company’s Consolidated Statements of Operations and Comprehensive (Loss) Income.</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Research and Development Expenses (“R&amp;D”) - </w:t>
      </w:r>
      <w:r>
        <w:rPr>
          <w:rFonts w:ascii="Arial" w:cs="Arial" w:eastAsia="Arial" w:hAnsi="Arial"/>
          <w:sz w:val="20"/>
          <w:szCs w:val="20"/>
          <w:color w:val="auto"/>
        </w:rPr>
        <w:t>R&amp;D is expensed as incurred in General and administrative expense in the Company’s</w:t>
      </w:r>
      <w:r>
        <w:rPr>
          <w:rFonts w:ascii="Arial" w:cs="Arial" w:eastAsia="Arial" w:hAnsi="Arial"/>
          <w:sz w:val="20"/>
          <w:szCs w:val="20"/>
          <w:i w:val="1"/>
          <w:iCs w:val="1"/>
          <w:color w:val="auto"/>
        </w:rPr>
        <w:t xml:space="preserve"> </w:t>
      </w:r>
      <w:r>
        <w:rPr>
          <w:rFonts w:ascii="Arial" w:cs="Arial" w:eastAsia="Arial" w:hAnsi="Arial"/>
          <w:sz w:val="20"/>
          <w:szCs w:val="20"/>
          <w:color w:val="auto"/>
        </w:rPr>
        <w:t>Consolidated Statements of Operations and Comprehensive (Loss) Income. R&amp;D primarily consists of payroll and benefit costs. R&amp;D was $2.4 million, $3.4 million and $3.8 million for 2020, 2019 and 2018, respectively.</w:t>
      </w:r>
    </w:p>
    <w:p>
      <w:pPr>
        <w:spacing w:after="0" w:line="21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 xml:space="preserve">Partner Compensation - </w:t>
      </w:r>
      <w:r>
        <w:rPr>
          <w:rFonts w:ascii="Arial" w:cs="Arial" w:eastAsia="Arial" w:hAnsi="Arial"/>
          <w:sz w:val="18"/>
          <w:szCs w:val="18"/>
          <w:color w:val="auto"/>
        </w:rPr>
        <w:t>In addition to base salary, Area Operating Partners, Restaurant Managing Partners and Chef Partners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performance-based bonuses for providing management and supervisory services to their restaurants, certain of which may be based on a percentage of their restaurants’ monthly operating results or cash flows and/or total controllable income (“Monthly Payments”).</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Certain Restaurant Managing Partners and Chef Partners in the U.S. (“U.S. Partners”) may also participate in deferred compensation programs and other performance-based compensation programs. The Company may invest in corporate-owned life insurance policies, which are held within an irrevocable grantor or “rabbi” trust account for settlement of certain of the Company’s obligations under the deferred compensation plans.</w:t>
      </w:r>
    </w:p>
    <w:p>
      <w:pPr>
        <w:spacing w:after="0" w:line="21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Many of the Company’s international Restaurant Managing Partners are given the option to purchase participation interests in the cash distributions of the restaurants they manage. The amount, terms and availability vary by country.</w:t>
      </w:r>
    </w:p>
    <w:p>
      <w:pPr>
        <w:spacing w:after="0" w:line="20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Company estimates future bonuses and deferred compensation obligations to U.S. Partners and Area Operating Partners, using current and historical information on restaurant performance and records the long-term portion of partner obligations in Other long-term liabilities, net on its Consolidated Balance Sheets. Monthly Payments and deferred compensation expenses for U.S. Partners are included in Labor and other related expenses and Monthly Payments and bonus expense for Area Operating Partners are included in General and administrative expense in the Company’s Consolidated Statements of Operations and Comprehensive (Loss) Income.</w:t>
      </w:r>
    </w:p>
    <w:p>
      <w:pPr>
        <w:spacing w:after="0" w:line="192" w:lineRule="exact"/>
        <w:rPr>
          <w:sz w:val="20"/>
          <w:szCs w:val="20"/>
          <w:color w:val="auto"/>
        </w:rPr>
      </w:pPr>
    </w:p>
    <w:p>
      <w:pPr>
        <w:jc w:val="both"/>
        <w:ind w:right="20"/>
        <w:spacing w:after="0" w:line="291" w:lineRule="auto"/>
        <w:rPr>
          <w:sz w:val="20"/>
          <w:szCs w:val="20"/>
          <w:color w:val="auto"/>
        </w:rPr>
      </w:pPr>
      <w:r>
        <w:rPr>
          <w:rFonts w:ascii="Arial" w:cs="Arial" w:eastAsia="Arial" w:hAnsi="Arial"/>
          <w:sz w:val="18"/>
          <w:szCs w:val="18"/>
          <w:i w:val="1"/>
          <w:iCs w:val="1"/>
          <w:color w:val="auto"/>
        </w:rPr>
        <w:t xml:space="preserve">Stock-based Compensation - </w:t>
      </w:r>
      <w:r>
        <w:rPr>
          <w:rFonts w:ascii="Arial" w:cs="Arial" w:eastAsia="Arial" w:hAnsi="Arial"/>
          <w:sz w:val="18"/>
          <w:szCs w:val="18"/>
          <w:color w:val="auto"/>
        </w:rPr>
        <w:t>Stock-based compensation awards are measured at fair value at the date of grant and expensed over their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or service periods. Stock-based compensation expense is recognized only for those awards expected to vest. The expense, net of forfeitures, is recognized using the straight-line method. Forfeitures of share-based compensation awards are recognized as they occur.</w:t>
      </w:r>
    </w:p>
    <w:p>
      <w:pPr>
        <w:spacing w:after="0" w:line="173" w:lineRule="exact"/>
        <w:rPr>
          <w:sz w:val="20"/>
          <w:szCs w:val="20"/>
          <w:color w:val="auto"/>
        </w:rPr>
      </w:pPr>
    </w:p>
    <w:p>
      <w:pPr>
        <w:jc w:val="both"/>
        <w:spacing w:after="0" w:line="262" w:lineRule="auto"/>
        <w:rPr>
          <w:sz w:val="20"/>
          <w:szCs w:val="20"/>
          <w:color w:val="auto"/>
        </w:rPr>
      </w:pPr>
      <w:r>
        <w:rPr>
          <w:rFonts w:ascii="Arial" w:cs="Arial" w:eastAsia="Arial" w:hAnsi="Arial"/>
          <w:sz w:val="19"/>
          <w:szCs w:val="19"/>
          <w:i w:val="1"/>
          <w:iCs w:val="1"/>
          <w:color w:val="auto"/>
        </w:rPr>
        <w:t xml:space="preserve">Basic and Diluted (Loss) Earnings per Share </w:t>
      </w:r>
      <w:r>
        <w:rPr>
          <w:rFonts w:ascii="Arial" w:cs="Arial" w:eastAsia="Arial" w:hAnsi="Arial"/>
          <w:sz w:val="19"/>
          <w:szCs w:val="19"/>
          <w:b w:val="1"/>
          <w:bCs w:val="1"/>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 computes basic earnings per share based on the weighted average number of</w:t>
      </w:r>
      <w:r>
        <w:rPr>
          <w:rFonts w:ascii="Arial" w:cs="Arial" w:eastAsia="Arial" w:hAnsi="Arial"/>
          <w:sz w:val="19"/>
          <w:szCs w:val="19"/>
          <w:i w:val="1"/>
          <w:iCs w:val="1"/>
          <w:color w:val="auto"/>
        </w:rPr>
        <w:t xml:space="preserve"> </w:t>
      </w:r>
      <w:r>
        <w:rPr>
          <w:rFonts w:ascii="Arial" w:cs="Arial" w:eastAsia="Arial" w:hAnsi="Arial"/>
          <w:sz w:val="19"/>
          <w:szCs w:val="19"/>
          <w:color w:val="auto"/>
        </w:rPr>
        <w:t>common shares that were outstanding during the period. Except where the result would be antidilutive, diluted earnings per share includes the dilutive effect of common stock equivalents, consisting of restricted stock units, performance-based share units and stock options, and the Company’s convertible senior notes and related warrants, using the treasury stock method. Performance-based share units are considered dilutive when the related performance criterion has been met.</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of December 27, 2020, the Company expected to settle the principal amount of its outstanding convertible senior notes in cash and any excess in shares. As a result, only the amounts in excess of the principal amount, if applicable, were considered in diluted earnings per share under the treasury stock method.</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28, 2020, the Company adopted Accounting Standards Update (“ASU”) No. 2020-06, “Debt - Debt with Conversion and Other Options (Subtopic 470-20) and Derivatives and Hedging - Contracts in Entity’s Own Equity (Subtopic 815-40): Accounting for Convertible Instruments and Contracts in an Entity’s Own Equity,” (“ASU No. 2020-06”) and transitioned to the “if-converted” method for calculating diluted earnings per share required under the new standard beginning in 2021. The “if-converted” method requires inclusion in diluted earnings per share the full number of common shares issuable upon conversion, unless settlement is required to be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paid in cash upon conversion. See </w:t>
      </w:r>
      <w:r>
        <w:rPr>
          <w:rFonts w:ascii="Arial" w:cs="Arial" w:eastAsia="Arial" w:hAnsi="Arial"/>
          <w:sz w:val="20"/>
          <w:szCs w:val="20"/>
          <w:i w:val="1"/>
          <w:iCs w:val="1"/>
          <w:color w:val="auto"/>
        </w:rPr>
        <w:t>Recently Adopted Financial Accounting Standards</w:t>
      </w:r>
      <w:r>
        <w:rPr>
          <w:rFonts w:ascii="Arial" w:cs="Arial" w:eastAsia="Arial" w:hAnsi="Arial"/>
          <w:sz w:val="20"/>
          <w:szCs w:val="20"/>
          <w:color w:val="auto"/>
        </w:rPr>
        <w:t xml:space="preserve"> below for additional details regarding the impact of adopting ASU No. 2020-06.</w:t>
      </w:r>
    </w:p>
    <w:p>
      <w:pPr>
        <w:spacing w:after="0" w:line="20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Foreign Currency Translation and Transactions - </w:t>
      </w:r>
      <w:r>
        <w:rPr>
          <w:rFonts w:ascii="Arial" w:cs="Arial" w:eastAsia="Arial" w:hAnsi="Arial"/>
          <w:sz w:val="20"/>
          <w:szCs w:val="20"/>
          <w:color w:val="auto"/>
        </w:rPr>
        <w:t>For non-U.S. operations, the functional currency is the local currency. Foreign currency</w:t>
      </w:r>
      <w:r>
        <w:rPr>
          <w:rFonts w:ascii="Arial" w:cs="Arial" w:eastAsia="Arial" w:hAnsi="Arial"/>
          <w:sz w:val="20"/>
          <w:szCs w:val="20"/>
          <w:i w:val="1"/>
          <w:iCs w:val="1"/>
          <w:color w:val="auto"/>
        </w:rPr>
        <w:t xml:space="preserve"> </w:t>
      </w:r>
      <w:r>
        <w:rPr>
          <w:rFonts w:ascii="Arial" w:cs="Arial" w:eastAsia="Arial" w:hAnsi="Arial"/>
          <w:sz w:val="20"/>
          <w:szCs w:val="20"/>
          <w:color w:val="auto"/>
        </w:rPr>
        <w:t>denominated assets and liabilities are translated into U.S. dollars using the exchange rates in effect at the balance sheet date with the translation adjustments recorded in Accumulated other comprehensive loss in the Company’s Consolidated Statements of Changes in Stockholders’ Equity. Results of operations are translated using the average exchange rates for the reporting period. Foreign currency exchange transaction losses are recorded in General and administrative expense in the Company’s Consolidated Statements of Operations and Comprehensive (Loss) Income.</w:t>
      </w:r>
    </w:p>
    <w:p>
      <w:pPr>
        <w:spacing w:after="0" w:line="22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Income Taxes - </w:t>
      </w:r>
      <w:r>
        <w:rPr>
          <w:rFonts w:ascii="Arial" w:cs="Arial" w:eastAsia="Arial" w:hAnsi="Arial"/>
          <w:sz w:val="20"/>
          <w:szCs w:val="20"/>
          <w:color w:val="auto"/>
        </w:rPr>
        <w:t>Deferred income tax assets and liabilities are recognized for the future tax consequences attributable to differences between</w:t>
      </w:r>
      <w:r>
        <w:rPr>
          <w:rFonts w:ascii="Arial" w:cs="Arial" w:eastAsia="Arial" w:hAnsi="Arial"/>
          <w:sz w:val="20"/>
          <w:szCs w:val="20"/>
          <w:i w:val="1"/>
          <w:iCs w:val="1"/>
          <w:color w:val="auto"/>
        </w:rPr>
        <w:t xml:space="preserve"> </w:t>
      </w:r>
      <w:r>
        <w:rPr>
          <w:rFonts w:ascii="Arial" w:cs="Arial" w:eastAsia="Arial" w:hAnsi="Arial"/>
          <w:sz w:val="20"/>
          <w:szCs w:val="20"/>
          <w:color w:val="auto"/>
        </w:rPr>
        <w:t>the financial statement carrying amounts of existing assets and liabilities and their respective tax basis. Deferred income tax assets and liabilities are measured using enacted tax rates expected to apply to taxable income in the years in which those temporary differences are expected to be recovered or settled. The effect on deferred income tax assets and liabilities of a change in the tax rate is recognized in income in the period that includes the enactment date of the rate change. A valuation allowance may reduce deferred income tax assets to the amount that is more likely than not to be realized.</w:t>
      </w:r>
    </w:p>
    <w:p>
      <w:pPr>
        <w:spacing w:after="0" w:line="22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Company records a tax benefit for an uncertain tax position using the highest cumulative tax benefit that is more likely than not to be realized. The Company adjusts its liability for unrecognized tax benefits in the period in which it determines the issue is effectively settled, the statute of limitations expires or when more information becomes available. Liabilities for unrecognized tax benefits, including penalties and interest, are recorded in Accrued and other current liabilities and Other long-term liabilities, net on the Company’s Consolidated Balance Sheets.</w:t>
      </w:r>
    </w:p>
    <w:p>
      <w:pPr>
        <w:spacing w:after="0" w:line="22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i w:val="1"/>
          <w:iCs w:val="1"/>
          <w:color w:val="auto"/>
        </w:rPr>
        <w:t xml:space="preserve">Recently Adopted Financial Accounting Standards </w:t>
      </w:r>
      <w:r>
        <w:rPr>
          <w:rFonts w:ascii="Arial" w:cs="Arial" w:eastAsia="Arial" w:hAnsi="Arial"/>
          <w:sz w:val="18"/>
          <w:szCs w:val="18"/>
          <w:color w:val="auto"/>
        </w:rPr>
        <w:t>- On December 28, 2020, the Company adopted ASU No. 2020-06, which removes the</w:t>
      </w:r>
      <w:r>
        <w:rPr>
          <w:rFonts w:ascii="Arial" w:cs="Arial" w:eastAsia="Arial" w:hAnsi="Arial"/>
          <w:sz w:val="18"/>
          <w:szCs w:val="18"/>
          <w:i w:val="1"/>
          <w:iCs w:val="1"/>
          <w:color w:val="auto"/>
        </w:rPr>
        <w:t xml:space="preserve"> </w:t>
      </w:r>
      <w:r>
        <w:rPr>
          <w:rFonts w:ascii="Arial" w:cs="Arial" w:eastAsia="Arial" w:hAnsi="Arial"/>
          <w:sz w:val="18"/>
          <w:szCs w:val="18"/>
          <w:color w:val="auto"/>
        </w:rPr>
        <w:t>separation models for convertible debt with a cash conversion feature or convertible instruments with a beneficial conversion feature. ASU No. 2020-06 also requires the application of the “if-converted” method for calculating diluted earnings per share and the treasury stock method is no longer available. The Company adopted ASU No. 2020-06 using the modified retrospective approach which resulted in a cumulative-effect adjustment that increased (decreased) the following Consolidated Balance Sheet accounts during the first quarter of 2021:</w:t>
      </w:r>
    </w:p>
    <w:tbl>
      <w:tblPr>
        <w:tblLayout w:type="fixed"/>
        <w:tblInd w:w="0" w:type="dxa"/>
        <w:tblCellMar>
          <w:top w:w="0" w:type="dxa"/>
          <w:left w:w="0" w:type="dxa"/>
          <w:bottom w:w="0" w:type="dxa"/>
          <w:right w:w="0" w:type="dxa"/>
        </w:tblCellMar>
      </w:tblPr>
      <w:tr>
        <w:trPr>
          <w:trHeight w:val="145"/>
        </w:trPr>
        <w:tc>
          <w:tcPr>
            <w:tcW w:w="478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ADJUSTMENT</w:t>
            </w:r>
          </w:p>
        </w:tc>
        <w:tc>
          <w:tcPr>
            <w:tcW w:w="100" w:type="dxa"/>
            <w:vAlign w:val="bottom"/>
            <w:vMerge w:val="restart"/>
          </w:tcPr>
          <w:p>
            <w:pPr>
              <w:spacing w:after="0"/>
              <w:rPr>
                <w:sz w:val="12"/>
                <w:szCs w:val="12"/>
                <w:color w:val="auto"/>
              </w:rPr>
            </w:pPr>
          </w:p>
        </w:tc>
        <w:tc>
          <w:tcPr>
            <w:tcW w:w="47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CONSOLIDATED BALANCE SHEET CLASSIFICATION</w:t>
            </w:r>
          </w:p>
        </w:tc>
        <w:tc>
          <w:tcPr>
            <w:tcW w:w="8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right"/>
              <w:ind w:right="362"/>
              <w:spacing w:after="0" w:line="145"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47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Deferred tax impact of cumulative-effect adjustment</w:t>
            </w:r>
          </w:p>
        </w:tc>
        <w:tc>
          <w:tcPr>
            <w:tcW w:w="4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Deferred income tax assets, net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13"/>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Debt discount reclassification</w:t>
            </w:r>
          </w:p>
        </w:tc>
        <w:tc>
          <w:tcPr>
            <w:tcW w:w="4840" w:type="dxa"/>
            <w:vAlign w:val="bottom"/>
            <w:gridSpan w:val="2"/>
          </w:tcPr>
          <w:p>
            <w:pPr>
              <w:ind w:left="20"/>
              <w:spacing w:after="0"/>
              <w:rPr>
                <w:sz w:val="20"/>
                <w:szCs w:val="20"/>
                <w:color w:val="auto"/>
              </w:rPr>
            </w:pPr>
            <w:r>
              <w:rPr>
                <w:rFonts w:ascii="Arial" w:cs="Arial" w:eastAsia="Arial" w:hAnsi="Arial"/>
                <w:sz w:val="16"/>
                <w:szCs w:val="16"/>
                <w:color w:val="auto"/>
              </w:rPr>
              <w:t>Long-term debt, net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219"/>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issuance costs reclassification</w:t>
            </w:r>
          </w:p>
        </w:tc>
        <w:tc>
          <w:tcPr>
            <w:tcW w:w="4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Long-term debt, net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3"/>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Debt discount amortization reclassification, net of tax</w:t>
            </w:r>
          </w:p>
        </w:tc>
        <w:tc>
          <w:tcPr>
            <w:tcW w:w="4840" w:type="dxa"/>
            <w:vAlign w:val="bottom"/>
            <w:gridSpan w:val="2"/>
          </w:tcPr>
          <w:p>
            <w:pPr>
              <w:ind w:left="20"/>
              <w:spacing w:after="0"/>
              <w:rPr>
                <w:sz w:val="20"/>
                <w:szCs w:val="20"/>
                <w:color w:val="auto"/>
              </w:rPr>
            </w:pPr>
            <w:r>
              <w:rPr>
                <w:rFonts w:ascii="Arial" w:cs="Arial" w:eastAsia="Arial" w:hAnsi="Arial"/>
                <w:sz w:val="16"/>
                <w:szCs w:val="16"/>
                <w:color w:val="auto"/>
              </w:rPr>
              <w:t>Accumulated deficit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9"/>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impact of cumulative-effect adjustment</w:t>
            </w:r>
          </w:p>
        </w:tc>
        <w:tc>
          <w:tcPr>
            <w:tcW w:w="4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bl>
    <w:p>
      <w:pPr>
        <w:spacing w:after="0" w:line="33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After adopting ASU No. 2020-06, the Company’s convertible senior notes will be reflected entirely as a liability since the embedded conversion feature is no longer separately presented within stockholders’ equity. During 2020, the Company recognized debt discount amortization of $6.3 million within Interest expense, net related to its convertible senior notes. In February 2021, the Company made an irrevocable election under the indenture to require the principal portion of its convertible senior notes to be settled in cash and any excess in shares. Following the irrevocable notice, only the amounts settled in excess of the principal will be considered in diluted earnings per share under the “if-converted” method.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In March 2020, the Financial Accounting Standards Board (the “FASB”) issued ASU No. 2020-04, “Reference Rate Reform (Topic 848):</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Facilitation of the Effects of Reference Rate Reform on Financial Reporting,” (“ASU No.</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2020-04”). The new guidance provides optional expedients and exceptions for applying U.S. GAAP to contracts, hedging relationships and other transactions affected by reference rate reform if certain criteria are met. ASU No. 2020-04 was effective beginning March 12, 2020 and may be applied prospectively to contract modifications made and hedging relationships entered into or evaluated on or before December 31, 2022. The Company has elected to apply the hedge accounting expedients related to hedge effectiveness for future LIBOR-indexed cash flows, which enables the Company to continue to apply hedge accounting to hedging relationships impacted by reference rate reform. Application of these expedients allows for presentation of derivatives consistent with the Company’s historical presentation. The application of expedients allowable under ASU No. 2020-04 did not have a material effect on the Company’s financial statements. The Company continues to evaluate the impact of the guidance and may apply other elections, as applicable.</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 xml:space="preserve">On December 30, 2019, the Company adopted ASU No. 2016-13, “Financial Instruments – Credit Losses (Topic 326): Measurement of Credit Losses on Financial Instruments,” (“ASU No. 2016-13”), which requires measurement and recognition of losses for financial instruments under the current expected credit loss model versus incurred losses under previous guidance. The Company’s adoption of ASU No. 2016-13 and its related amendments (“the new credit loss standard”) resulted in a cumulative-effect debit adjustment to the beginning balance of Accumulated deficit of $4.3 million, including $4.8 million of contingent lease liabilities related to lease guarantees and $1.0 million of incremental reserve for expected credit losses, net of a $1.5 million increase in deferred tax assets. Measurement processes and related controls have been implemented by the Company to ensure compliance with the new credit loss standard. See Note 20 - </w:t>
      </w:r>
      <w:r>
        <w:rPr>
          <w:rFonts w:ascii="Arial" w:cs="Arial" w:eastAsia="Arial" w:hAnsi="Arial"/>
          <w:sz w:val="18"/>
          <w:szCs w:val="18"/>
          <w:i w:val="1"/>
          <w:iCs w:val="1"/>
          <w:color w:val="auto"/>
        </w:rPr>
        <w:t xml:space="preserve">Allowance for Expected Credit Losses </w:t>
      </w:r>
      <w:r>
        <w:rPr>
          <w:rFonts w:ascii="Arial" w:cs="Arial" w:eastAsia="Arial" w:hAnsi="Arial"/>
          <w:sz w:val="18"/>
          <w:szCs w:val="18"/>
          <w:color w:val="auto"/>
        </w:rPr>
        <w:t>for additional details regarding the Company’s allowance for expected credit losses.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On December 31, 2018, the Company adopted ASU No. 2016-02: Leases (Topic 842) (“ASU No. 2016-02”), ASU No. 2018-01, “Leases</w:t>
      </w:r>
    </w:p>
    <w:p>
      <w:pPr>
        <w:spacing w:after="0" w:line="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(Topic 842): Land Easement Practical Expedient for Transitioning to Topic 842,” (“ASU No. 2018-01”) and ASU No. 2018-11: Leases (Topic 842): Targeted Improvements (“ASU No. 2018-11”). ASU No. 2016-02 requires the lease rights and obligations arising from lease contracts, including existing and new arrangements, to be recognized as assets and liabilities on the balance sheet. ASU No. 2018-01 allows an entity to elect an optional transition practical expedient to not evaluate land easements that exist or expired before the Company’s adoption of ASU No. 2016-02. ASU No. 2018-11 allows for an additional transition method, which permits use of the effective date of adoption as the date of initial application of ASU No. 2016-02 without restating comparative period financial statements and provides entities with a practical expedient that allows entities to elect not to separate lease and non-lease components when certain conditions are met.</w:t>
      </w:r>
    </w:p>
    <w:p>
      <w:pPr>
        <w:spacing w:after="0" w:line="19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Company adopted ASU No. 2016-02 using December 31, 2018 as the date of initial application. Consequently, financial information and the disclosures required under the new standard were not provided for dates and periods before December 31, 2018. The Company also elected a transition package including practical expedients that permitted it not to reassess the classification and initial direct costs of expired or existing contracts and leases, to not separate lease and non-lease components of restaurant facility leases executed subsequent to adoption, and to not evaluate land easements that exist or expired before the adoption. In preparation for adoption, the Company implemented a new lease accounting system.</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 xml:space="preserve">Reclassifications - </w:t>
      </w:r>
      <w:r>
        <w:rPr>
          <w:rFonts w:ascii="Arial" w:cs="Arial" w:eastAsia="Arial" w:hAnsi="Arial"/>
          <w:sz w:val="19"/>
          <w:szCs w:val="19"/>
          <w:color w:val="auto"/>
        </w:rPr>
        <w:t>The Company reclassified certain items in the accompanying consolidated financial statements for prior periods to be</w:t>
      </w:r>
      <w:r>
        <w:rPr>
          <w:rFonts w:ascii="Arial" w:cs="Arial" w:eastAsia="Arial" w:hAnsi="Arial"/>
          <w:sz w:val="19"/>
          <w:szCs w:val="19"/>
          <w:i w:val="1"/>
          <w:iCs w:val="1"/>
          <w:color w:val="auto"/>
        </w:rPr>
        <w:t xml:space="preserve"> </w:t>
      </w:r>
      <w:r>
        <w:rPr>
          <w:rFonts w:ascii="Arial" w:cs="Arial" w:eastAsia="Arial" w:hAnsi="Arial"/>
          <w:sz w:val="19"/>
          <w:szCs w:val="19"/>
          <w:color w:val="auto"/>
        </w:rPr>
        <w:t>comparable with the classification for the current period. These reclassifications had no effect on previously reported net income.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18"/>
          <w:szCs w:val="18"/>
          <w:color w:val="auto"/>
        </w:rPr>
        <w:t>COVID-19 Charges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the charges recorded in connection with the COVID-19 pandemic for the period indicated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6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CONSOLIDATED STATEMENTS OF OPERATIONS AND</w:t>
            </w:r>
          </w:p>
        </w:tc>
        <w:tc>
          <w:tcPr>
            <w:tcW w:w="260" w:type="dxa"/>
            <w:vAlign w:val="bottom"/>
          </w:tcPr>
          <w:p>
            <w:pPr>
              <w:spacing w:after="0"/>
              <w:rPr>
                <w:sz w:val="16"/>
                <w:szCs w:val="16"/>
                <w:color w:val="auto"/>
              </w:rPr>
            </w:pPr>
          </w:p>
        </w:tc>
        <w:tc>
          <w:tcPr>
            <w:tcW w:w="1560" w:type="dxa"/>
            <w:vAlign w:val="bottom"/>
          </w:tcPr>
          <w:p>
            <w:pPr>
              <w:jc w:val="right"/>
              <w:ind w:right="341"/>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66"/>
        </w:trPr>
        <w:tc>
          <w:tcPr>
            <w:tcW w:w="4240" w:type="dxa"/>
            <w:vAlign w:val="bottom"/>
            <w:vMerge w:val="restart"/>
          </w:tcPr>
          <w:p>
            <w:pPr>
              <w:ind w:left="1780"/>
              <w:spacing w:after="0"/>
              <w:rPr>
                <w:sz w:val="20"/>
                <w:szCs w:val="20"/>
                <w:color w:val="auto"/>
              </w:rPr>
            </w:pPr>
            <w:r>
              <w:rPr>
                <w:rFonts w:ascii="Arial" w:cs="Arial" w:eastAsia="Arial" w:hAnsi="Arial"/>
                <w:sz w:val="14"/>
                <w:szCs w:val="14"/>
                <w:b w:val="1"/>
                <w:bCs w:val="1"/>
                <w:color w:val="auto"/>
              </w:rPr>
              <w:t>CHARGES</w:t>
            </w:r>
          </w:p>
        </w:tc>
        <w:tc>
          <w:tcPr>
            <w:tcW w:w="120" w:type="dxa"/>
            <w:vAlign w:val="bottom"/>
            <w:vMerge w:val="restart"/>
          </w:tcPr>
          <w:p>
            <w:pPr>
              <w:spacing w:after="0"/>
              <w:rPr>
                <w:sz w:val="5"/>
                <w:szCs w:val="5"/>
                <w:color w:val="auto"/>
              </w:rPr>
            </w:pPr>
          </w:p>
        </w:tc>
        <w:tc>
          <w:tcPr>
            <w:tcW w:w="50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560" w:type="dxa"/>
            <w:vAlign w:val="bottom"/>
            <w:vMerge w:val="restart"/>
          </w:tcPr>
          <w:p>
            <w:pPr>
              <w:jc w:val="right"/>
              <w:ind w:right="68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42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494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COMPREHENSIVE (LOSS) INCOME CLASSIFICATION</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Inventory obsolescence and spoilage</w:t>
            </w:r>
          </w:p>
        </w:tc>
        <w:tc>
          <w:tcPr>
            <w:tcW w:w="5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Food and beverage costs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10,450</w:t>
            </w:r>
          </w:p>
        </w:tc>
        <w:tc>
          <w:tcPr>
            <w:tcW w:w="0" w:type="dxa"/>
            <w:vAlign w:val="bottom"/>
          </w:tcPr>
          <w:p>
            <w:pPr>
              <w:spacing w:after="0"/>
              <w:rPr>
                <w:sz w:val="1"/>
                <w:szCs w:val="1"/>
                <w:color w:val="auto"/>
              </w:rPr>
            </w:pPr>
          </w:p>
        </w:tc>
      </w:tr>
      <w:tr>
        <w:trPr>
          <w:trHeight w:val="213"/>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Compensation for idle employees (1)</w:t>
            </w:r>
          </w:p>
        </w:tc>
        <w:tc>
          <w:tcPr>
            <w:tcW w:w="5060" w:type="dxa"/>
            <w:vAlign w:val="bottom"/>
            <w:gridSpan w:val="2"/>
          </w:tcPr>
          <w:p>
            <w:pPr>
              <w:ind w:left="20"/>
              <w:spacing w:after="0"/>
              <w:rPr>
                <w:sz w:val="20"/>
                <w:szCs w:val="20"/>
                <w:color w:val="auto"/>
              </w:rPr>
            </w:pPr>
            <w:r>
              <w:rPr>
                <w:rFonts w:ascii="Arial" w:cs="Arial" w:eastAsia="Arial" w:hAnsi="Arial"/>
                <w:sz w:val="16"/>
                <w:szCs w:val="16"/>
                <w:color w:val="auto"/>
              </w:rPr>
              <w:t>Labor and other related</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29,993</w:t>
            </w:r>
          </w:p>
        </w:tc>
        <w:tc>
          <w:tcPr>
            <w:tcW w:w="0" w:type="dxa"/>
            <w:vAlign w:val="bottom"/>
          </w:tcPr>
          <w:p>
            <w:pPr>
              <w:spacing w:after="0"/>
              <w:rPr>
                <w:sz w:val="1"/>
                <w:szCs w:val="1"/>
                <w:color w:val="auto"/>
              </w:rPr>
            </w:pPr>
          </w:p>
        </w:tc>
      </w:tr>
      <w:tr>
        <w:trPr>
          <w:trHeight w:val="21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operating charges</w:t>
            </w:r>
          </w:p>
        </w:tc>
        <w:tc>
          <w:tcPr>
            <w:tcW w:w="5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restaurant operating</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3,219</w:t>
            </w:r>
          </w:p>
        </w:tc>
        <w:tc>
          <w:tcPr>
            <w:tcW w:w="0" w:type="dxa"/>
            <w:vAlign w:val="bottom"/>
          </w:tcPr>
          <w:p>
            <w:pPr>
              <w:spacing w:after="0"/>
              <w:rPr>
                <w:sz w:val="1"/>
                <w:szCs w:val="1"/>
                <w:color w:val="auto"/>
              </w:rPr>
            </w:pPr>
          </w:p>
        </w:tc>
      </w:tr>
      <w:tr>
        <w:trPr>
          <w:trHeight w:val="213"/>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Lease guarantee contingent liabilities (2)</w:t>
            </w:r>
          </w:p>
        </w:tc>
        <w:tc>
          <w:tcPr>
            <w:tcW w:w="5060" w:type="dxa"/>
            <w:vAlign w:val="bottom"/>
            <w:gridSpan w:val="2"/>
          </w:tcPr>
          <w:p>
            <w:pPr>
              <w:ind w:left="20"/>
              <w:spacing w:after="0"/>
              <w:rPr>
                <w:sz w:val="20"/>
                <w:szCs w:val="20"/>
                <w:color w:val="auto"/>
              </w:rPr>
            </w:pPr>
            <w:r>
              <w:rPr>
                <w:rFonts w:ascii="Arial" w:cs="Arial" w:eastAsia="Arial" w:hAnsi="Arial"/>
                <w:sz w:val="16"/>
                <w:szCs w:val="16"/>
                <w:color w:val="auto"/>
              </w:rPr>
              <w:t>General and administrative</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4,188</w:t>
            </w:r>
          </w:p>
        </w:tc>
        <w:tc>
          <w:tcPr>
            <w:tcW w:w="0" w:type="dxa"/>
            <w:vAlign w:val="bottom"/>
          </w:tcPr>
          <w:p>
            <w:pPr>
              <w:spacing w:after="0"/>
              <w:rPr>
                <w:sz w:val="1"/>
                <w:szCs w:val="1"/>
                <w:color w:val="auto"/>
              </w:rPr>
            </w:pPr>
          </w:p>
        </w:tc>
      </w:tr>
      <w:tr>
        <w:trPr>
          <w:trHeight w:val="21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Allowance for expected credit losses (3)</w:t>
            </w:r>
          </w:p>
        </w:tc>
        <w:tc>
          <w:tcPr>
            <w:tcW w:w="5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3,334</w:t>
            </w:r>
          </w:p>
        </w:tc>
        <w:tc>
          <w:tcPr>
            <w:tcW w:w="0" w:type="dxa"/>
            <w:vAlign w:val="bottom"/>
          </w:tcPr>
          <w:p>
            <w:pPr>
              <w:spacing w:after="0"/>
              <w:rPr>
                <w:sz w:val="1"/>
                <w:szCs w:val="1"/>
                <w:color w:val="auto"/>
              </w:rPr>
            </w:pPr>
          </w:p>
        </w:tc>
      </w:tr>
      <w:tr>
        <w:trPr>
          <w:trHeight w:val="213"/>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Other charges</w:t>
            </w:r>
          </w:p>
        </w:tc>
        <w:tc>
          <w:tcPr>
            <w:tcW w:w="5060" w:type="dxa"/>
            <w:vAlign w:val="bottom"/>
            <w:gridSpan w:val="2"/>
          </w:tcPr>
          <w:p>
            <w:pPr>
              <w:ind w:left="20"/>
              <w:spacing w:after="0"/>
              <w:rPr>
                <w:sz w:val="20"/>
                <w:szCs w:val="20"/>
                <w:color w:val="auto"/>
              </w:rPr>
            </w:pPr>
            <w:r>
              <w:rPr>
                <w:rFonts w:ascii="Arial" w:cs="Arial" w:eastAsia="Arial" w:hAnsi="Arial"/>
                <w:sz w:val="16"/>
                <w:szCs w:val="16"/>
                <w:color w:val="auto"/>
              </w:rPr>
              <w:t>General and administrative</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2,719</w:t>
            </w:r>
          </w:p>
        </w:tc>
        <w:tc>
          <w:tcPr>
            <w:tcW w:w="0" w:type="dxa"/>
            <w:vAlign w:val="bottom"/>
          </w:tcPr>
          <w:p>
            <w:pPr>
              <w:spacing w:after="0"/>
              <w:rPr>
                <w:sz w:val="1"/>
                <w:szCs w:val="1"/>
                <w:color w:val="auto"/>
              </w:rPr>
            </w:pPr>
          </w:p>
        </w:tc>
      </w:tr>
      <w:tr>
        <w:trPr>
          <w:trHeight w:val="21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Right-of-use asset impairment (4)</w:t>
            </w:r>
          </w:p>
        </w:tc>
        <w:tc>
          <w:tcPr>
            <w:tcW w:w="5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 for impaired assets and restaurant closings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32,992</w:t>
            </w:r>
          </w:p>
        </w:tc>
        <w:tc>
          <w:tcPr>
            <w:tcW w:w="0" w:type="dxa"/>
            <w:vAlign w:val="bottom"/>
          </w:tcPr>
          <w:p>
            <w:pPr>
              <w:spacing w:after="0"/>
              <w:rPr>
                <w:sz w:val="1"/>
                <w:szCs w:val="1"/>
                <w:color w:val="auto"/>
              </w:rPr>
            </w:pPr>
          </w:p>
        </w:tc>
      </w:tr>
      <w:tr>
        <w:trPr>
          <w:trHeight w:val="213"/>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Fixed asset impairment (4)</w:t>
            </w:r>
          </w:p>
        </w:tc>
        <w:tc>
          <w:tcPr>
            <w:tcW w:w="5060" w:type="dxa"/>
            <w:vAlign w:val="bottom"/>
            <w:gridSpan w:val="2"/>
          </w:tcPr>
          <w:p>
            <w:pPr>
              <w:ind w:left="20"/>
              <w:spacing w:after="0"/>
              <w:rPr>
                <w:sz w:val="20"/>
                <w:szCs w:val="20"/>
                <w:color w:val="auto"/>
              </w:rPr>
            </w:pPr>
            <w:r>
              <w:rPr>
                <w:rFonts w:ascii="Arial" w:cs="Arial" w:eastAsia="Arial" w:hAnsi="Arial"/>
                <w:sz w:val="16"/>
                <w:szCs w:val="16"/>
                <w:color w:val="auto"/>
              </w:rPr>
              <w:t>Provision for impaired assets and restaurant closings</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34,423</w:t>
            </w:r>
          </w:p>
        </w:tc>
        <w:tc>
          <w:tcPr>
            <w:tcW w:w="0" w:type="dxa"/>
            <w:vAlign w:val="bottom"/>
          </w:tcPr>
          <w:p>
            <w:pPr>
              <w:spacing w:after="0"/>
              <w:rPr>
                <w:sz w:val="1"/>
                <w:szCs w:val="1"/>
                <w:color w:val="auto"/>
              </w:rPr>
            </w:pPr>
          </w:p>
        </w:tc>
      </w:tr>
      <w:tr>
        <w:trPr>
          <w:trHeight w:val="213"/>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Goodwill and other impairment (5)</w:t>
            </w:r>
          </w:p>
        </w:tc>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Provision for impaired assets and restaurant closings</w:t>
            </w: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3,190</w:t>
            </w:r>
          </w:p>
        </w:tc>
        <w:tc>
          <w:tcPr>
            <w:tcW w:w="0" w:type="dxa"/>
            <w:vAlign w:val="bottom"/>
          </w:tcPr>
          <w:p>
            <w:pPr>
              <w:spacing w:after="0"/>
              <w:rPr>
                <w:sz w:val="1"/>
                <w:szCs w:val="1"/>
                <w:color w:val="auto"/>
              </w:rPr>
            </w:pPr>
          </w:p>
        </w:tc>
      </w:tr>
      <w:tr>
        <w:trPr>
          <w:trHeight w:val="213"/>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124,508</w:t>
            </w: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Represents relief pay for hourly employees impacted by the closure of dining rooms, net of $14.9 million of employee retention tax credits.</w:t>
      </w:r>
    </w:p>
    <w:p>
      <w:pPr>
        <w:spacing w:after="0" w:line="5" w:lineRule="exact"/>
        <w:rPr>
          <w:rFonts w:ascii="Arial" w:cs="Arial" w:eastAsia="Arial" w:hAnsi="Arial"/>
          <w:sz w:val="16"/>
          <w:szCs w:val="16"/>
          <w:color w:val="auto"/>
        </w:rPr>
      </w:pPr>
    </w:p>
    <w:p>
      <w:pPr>
        <w:ind w:left="660" w:hanging="652"/>
        <w:spacing w:after="0" w:line="246"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Represents additional contingent liabilities recorded for lease guarantees related to certain former restaurant locations now operated by franchisees or other third parties.</w:t>
      </w:r>
    </w:p>
    <w:p>
      <w:pPr>
        <w:ind w:left="660" w:hanging="652"/>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additional reserves to reflect an increase in expected credit losses, primarily related to franchise receivables.</w:t>
      </w:r>
    </w:p>
    <w:p>
      <w:pPr>
        <w:spacing w:after="0" w:line="5" w:lineRule="exact"/>
        <w:rPr>
          <w:rFonts w:ascii="Arial" w:cs="Arial" w:eastAsia="Arial" w:hAnsi="Arial"/>
          <w:sz w:val="16"/>
          <w:szCs w:val="16"/>
          <w:color w:val="auto"/>
        </w:rPr>
      </w:pPr>
    </w:p>
    <w:p>
      <w:pPr>
        <w:jc w:val="both"/>
        <w:ind w:left="660" w:hanging="652"/>
        <w:spacing w:after="0" w:line="262" w:lineRule="auto"/>
        <w:tabs>
          <w:tab w:leader="none" w:pos="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 xml:space="preserve">Includes impairments resulting from the remeasurement of assets utilizing projected future cash flows revised for current economic conditions, restructuring charges, the closure of certain restaurants and in connection with the Out West Resolution Agreement. See Note 5 - </w:t>
      </w:r>
      <w:r>
        <w:rPr>
          <w:rFonts w:ascii="Arial" w:cs="Arial" w:eastAsia="Arial" w:hAnsi="Arial"/>
          <w:sz w:val="15"/>
          <w:szCs w:val="15"/>
          <w:i w:val="1"/>
          <w:iCs w:val="1"/>
          <w:color w:val="auto"/>
        </w:rPr>
        <w:t>Impairments, Exit Costs and Disposals</w:t>
      </w:r>
      <w:r>
        <w:rPr>
          <w:rFonts w:ascii="Arial" w:cs="Arial" w:eastAsia="Arial" w:hAnsi="Arial"/>
          <w:sz w:val="15"/>
          <w:szCs w:val="15"/>
          <w:color w:val="auto"/>
        </w:rPr>
        <w:t xml:space="preserve"> and Note 4 - </w:t>
      </w:r>
      <w:r>
        <w:rPr>
          <w:rFonts w:ascii="Arial" w:cs="Arial" w:eastAsia="Arial" w:hAnsi="Arial"/>
          <w:sz w:val="15"/>
          <w:szCs w:val="15"/>
          <w:i w:val="1"/>
          <w:iCs w:val="1"/>
          <w:color w:val="auto"/>
        </w:rPr>
        <w:t>Revenue Recognition</w:t>
      </w:r>
      <w:r>
        <w:rPr>
          <w:rFonts w:ascii="Arial" w:cs="Arial" w:eastAsia="Arial" w:hAnsi="Arial"/>
          <w:sz w:val="15"/>
          <w:szCs w:val="15"/>
          <w:color w:val="auto"/>
        </w:rPr>
        <w:t>, for details regarding COVID-19 Restructuring costs and the Out West Resolution Agreement, respectively.</w:t>
      </w:r>
    </w:p>
    <w:p>
      <w:pPr>
        <w:spacing w:after="0" w:line="2" w:lineRule="exact"/>
        <w:rPr>
          <w:rFonts w:ascii="Arial" w:cs="Arial" w:eastAsia="Arial" w:hAnsi="Arial"/>
          <w:sz w:val="15"/>
          <w:szCs w:val="15"/>
          <w:color w:val="auto"/>
        </w:rPr>
      </w:pPr>
    </w:p>
    <w:p>
      <w:pPr>
        <w:ind w:left="660" w:hanging="652"/>
        <w:spacing w:after="0" w:line="257"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Includes impairment of goodwill for the Company’s Hong Kong subsidiary. See Note 10 - </w:t>
      </w:r>
      <w:r>
        <w:rPr>
          <w:rFonts w:ascii="Arial" w:cs="Arial" w:eastAsia="Arial" w:hAnsi="Arial"/>
          <w:sz w:val="16"/>
          <w:szCs w:val="16"/>
          <w:i w:val="1"/>
          <w:iCs w:val="1"/>
          <w:color w:val="auto"/>
        </w:rPr>
        <w:t>Goodwill and Intangible Assets, Net</w:t>
      </w:r>
      <w:r>
        <w:rPr>
          <w:rFonts w:ascii="Arial" w:cs="Arial" w:eastAsia="Arial" w:hAnsi="Arial"/>
          <w:sz w:val="16"/>
          <w:szCs w:val="16"/>
          <w:color w:val="auto"/>
        </w:rPr>
        <w:t xml:space="preserve"> for details regarding impairment of goodwill.</w:t>
      </w:r>
    </w:p>
    <w:p>
      <w:pPr>
        <w:spacing w:after="0" w:line="206"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4.</w:t>
      </w:r>
      <w:r>
        <w:rPr>
          <w:sz w:val="20"/>
          <w:szCs w:val="20"/>
          <w:color w:val="auto"/>
        </w:rPr>
        <w:tab/>
      </w:r>
      <w:r>
        <w:rPr>
          <w:rFonts w:ascii="Arial" w:cs="Arial" w:eastAsia="Arial" w:hAnsi="Arial"/>
          <w:sz w:val="16"/>
          <w:szCs w:val="16"/>
          <w:color w:val="auto"/>
        </w:rPr>
        <w:t>Revenue Recognition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the  categories  of  revenue  included  in  the  Company’s  Consolidated  Statements  of  Operations  and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Comprehensive (Loss) Income for the periods indicated:</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57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96"/>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2018</w:t>
            </w:r>
          </w:p>
        </w:tc>
      </w:tr>
      <w:tr>
        <w:trPr>
          <w:trHeight w:val="203"/>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3"/>
        </w:trPr>
        <w:tc>
          <w:tcPr>
            <w:tcW w:w="5780" w:type="dxa"/>
            <w:vAlign w:val="bottom"/>
          </w:tcPr>
          <w:p>
            <w:pPr>
              <w:ind w:left="140"/>
              <w:spacing w:after="0"/>
              <w:rPr>
                <w:sz w:val="20"/>
                <w:szCs w:val="20"/>
                <w:color w:val="auto"/>
              </w:rPr>
            </w:pPr>
            <w:r>
              <w:rPr>
                <w:rFonts w:ascii="Arial" w:cs="Arial" w:eastAsia="Arial" w:hAnsi="Arial"/>
                <w:sz w:val="16"/>
                <w:szCs w:val="16"/>
                <w:color w:val="auto"/>
              </w:rPr>
              <w:t>Restaurant sales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3,144,636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2"/>
              <w:spacing w:after="0"/>
              <w:rPr>
                <w:sz w:val="20"/>
                <w:szCs w:val="20"/>
                <w:color w:val="auto"/>
              </w:rPr>
            </w:pPr>
            <w:r>
              <w:rPr>
                <w:rFonts w:ascii="Arial" w:cs="Arial" w:eastAsia="Arial" w:hAnsi="Arial"/>
                <w:sz w:val="16"/>
                <w:szCs w:val="16"/>
                <w:color w:val="auto"/>
              </w:rPr>
              <w:t>4,075,014</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4,060,871</w:t>
            </w:r>
          </w:p>
        </w:tc>
      </w:tr>
      <w:tr>
        <w:trPr>
          <w:trHeight w:val="219"/>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Franchise and other revenues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5780" w:type="dxa"/>
            <w:vAlign w:val="bottom"/>
          </w:tcPr>
          <w:p>
            <w:pPr>
              <w:ind w:left="220"/>
              <w:spacing w:after="0"/>
              <w:rPr>
                <w:sz w:val="20"/>
                <w:szCs w:val="20"/>
                <w:color w:val="auto"/>
              </w:rPr>
            </w:pPr>
            <w:r>
              <w:rPr>
                <w:rFonts w:ascii="Arial" w:cs="Arial" w:eastAsia="Arial" w:hAnsi="Arial"/>
                <w:sz w:val="16"/>
                <w:szCs w:val="16"/>
                <w:color w:val="auto"/>
              </w:rPr>
              <w:t>Franchise revenue</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21,195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2"/>
              <w:spacing w:after="0"/>
              <w:rPr>
                <w:sz w:val="20"/>
                <w:szCs w:val="20"/>
                <w:color w:val="auto"/>
              </w:rPr>
            </w:pPr>
            <w:r>
              <w:rPr>
                <w:rFonts w:ascii="Arial" w:cs="Arial" w:eastAsia="Arial" w:hAnsi="Arial"/>
                <w:sz w:val="16"/>
                <w:szCs w:val="16"/>
                <w:color w:val="auto"/>
              </w:rPr>
              <w:t>52,147</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52,906</w:t>
            </w:r>
          </w:p>
        </w:tc>
      </w:tr>
      <w:tr>
        <w:trPr>
          <w:trHeight w:val="226"/>
        </w:trPr>
        <w:tc>
          <w:tcPr>
            <w:tcW w:w="5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revenue</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12,228</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12,636</w:t>
            </w:r>
          </w:p>
        </w:tc>
      </w:tr>
      <w:tr>
        <w:trPr>
          <w:trHeight w:val="223"/>
        </w:trPr>
        <w:tc>
          <w:tcPr>
            <w:tcW w:w="57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Franchise and other revenues</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64,375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65,542</w:t>
            </w:r>
          </w:p>
        </w:tc>
      </w:tr>
      <w:tr>
        <w:trPr>
          <w:trHeight w:val="241"/>
        </w:trPr>
        <w:tc>
          <w:tcPr>
            <w:tcW w:w="57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Total revenues</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3,170,561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4,139,389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4,126,413</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includes the disaggregation of Restaurant sales and Franchise revenue, by restaurant concept and major international market, for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FISCAL YEAR</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RESTAURANT</w:t>
            </w:r>
          </w:p>
        </w:tc>
        <w:tc>
          <w:tcPr>
            <w:tcW w:w="120" w:type="dxa"/>
            <w:vAlign w:val="bottom"/>
          </w:tcPr>
          <w:p>
            <w:pPr>
              <w:spacing w:after="0"/>
              <w:rPr>
                <w:sz w:val="11"/>
                <w:szCs w:val="11"/>
                <w:color w:val="auto"/>
              </w:rPr>
            </w:pPr>
          </w:p>
        </w:tc>
        <w:tc>
          <w:tcPr>
            <w:tcW w:w="1060" w:type="dxa"/>
            <w:vAlign w:val="bottom"/>
          </w:tcPr>
          <w:p>
            <w:pPr>
              <w:jc w:val="center"/>
              <w:ind w:right="61"/>
              <w:spacing w:after="0" w:line="135" w:lineRule="exact"/>
              <w:rPr>
                <w:sz w:val="20"/>
                <w:szCs w:val="20"/>
                <w:color w:val="auto"/>
              </w:rPr>
            </w:pPr>
            <w:r>
              <w:rPr>
                <w:rFonts w:ascii="Arial" w:cs="Arial" w:eastAsia="Arial" w:hAnsi="Arial"/>
                <w:sz w:val="14"/>
                <w:szCs w:val="14"/>
                <w:b w:val="1"/>
                <w:bCs w:val="1"/>
                <w:color w:val="auto"/>
              </w:rPr>
              <w:t>FRANCHISE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RESTAURANT</w:t>
            </w:r>
          </w:p>
        </w:tc>
        <w:tc>
          <w:tcPr>
            <w:tcW w:w="120" w:type="dxa"/>
            <w:vAlign w:val="bottom"/>
          </w:tcPr>
          <w:p>
            <w:pPr>
              <w:spacing w:after="0"/>
              <w:rPr>
                <w:sz w:val="11"/>
                <w:szCs w:val="11"/>
                <w:color w:val="auto"/>
              </w:rPr>
            </w:pPr>
          </w:p>
        </w:tc>
        <w:tc>
          <w:tcPr>
            <w:tcW w:w="1060" w:type="dxa"/>
            <w:vAlign w:val="bottom"/>
          </w:tcPr>
          <w:p>
            <w:pPr>
              <w:jc w:val="center"/>
              <w:ind w:right="61"/>
              <w:spacing w:after="0" w:line="135" w:lineRule="exact"/>
              <w:rPr>
                <w:sz w:val="20"/>
                <w:szCs w:val="20"/>
                <w:color w:val="auto"/>
              </w:rPr>
            </w:pPr>
            <w:r>
              <w:rPr>
                <w:rFonts w:ascii="Arial" w:cs="Arial" w:eastAsia="Arial" w:hAnsi="Arial"/>
                <w:sz w:val="14"/>
                <w:szCs w:val="14"/>
                <w:b w:val="1"/>
                <w:bCs w:val="1"/>
                <w:color w:val="auto"/>
              </w:rPr>
              <w:t>FRANCHISE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RESTAURANT</w:t>
            </w:r>
          </w:p>
        </w:tc>
        <w:tc>
          <w:tcPr>
            <w:tcW w:w="120" w:type="dxa"/>
            <w:vAlign w:val="bottom"/>
          </w:tcPr>
          <w:p>
            <w:pPr>
              <w:spacing w:after="0"/>
              <w:rPr>
                <w:sz w:val="11"/>
                <w:szCs w:val="11"/>
                <w:color w:val="auto"/>
              </w:rPr>
            </w:pPr>
          </w:p>
        </w:tc>
        <w:tc>
          <w:tcPr>
            <w:tcW w:w="1060" w:type="dxa"/>
            <w:vAlign w:val="bottom"/>
          </w:tcPr>
          <w:p>
            <w:pPr>
              <w:jc w:val="right"/>
              <w:ind w:right="101"/>
              <w:spacing w:after="0" w:line="135" w:lineRule="exact"/>
              <w:rPr>
                <w:sz w:val="20"/>
                <w:szCs w:val="20"/>
                <w:color w:val="auto"/>
              </w:rPr>
            </w:pPr>
            <w:r>
              <w:rPr>
                <w:rFonts w:ascii="Arial" w:cs="Arial" w:eastAsia="Arial" w:hAnsi="Arial"/>
                <w:sz w:val="14"/>
                <w:szCs w:val="14"/>
                <w:b w:val="1"/>
                <w:bCs w:val="1"/>
                <w:color w:val="auto"/>
              </w:rPr>
              <w:t>FRANCHISE</w:t>
            </w:r>
          </w:p>
        </w:tc>
        <w:tc>
          <w:tcPr>
            <w:tcW w:w="0" w:type="dxa"/>
            <w:vAlign w:val="bottom"/>
          </w:tcPr>
          <w:p>
            <w:pPr>
              <w:spacing w:after="0"/>
              <w:rPr>
                <w:sz w:val="1"/>
                <w:szCs w:val="1"/>
                <w:color w:val="auto"/>
              </w:rPr>
            </w:pPr>
          </w:p>
        </w:tc>
      </w:tr>
      <w:tr>
        <w:trPr>
          <w:trHeight w:val="196"/>
        </w:trPr>
        <w:tc>
          <w:tcPr>
            <w:tcW w:w="31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SALES</w:t>
            </w: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SALES</w:t>
            </w: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SALES</w:t>
            </w:r>
          </w:p>
        </w:tc>
        <w:tc>
          <w:tcPr>
            <w:tcW w:w="120" w:type="dxa"/>
            <w:vAlign w:val="bottom"/>
          </w:tcPr>
          <w:p>
            <w:pPr>
              <w:spacing w:after="0"/>
              <w:rPr>
                <w:sz w:val="17"/>
                <w:szCs w:val="17"/>
                <w:color w:val="auto"/>
              </w:rPr>
            </w:pPr>
          </w:p>
        </w:tc>
        <w:tc>
          <w:tcPr>
            <w:tcW w:w="1060" w:type="dxa"/>
            <w:vAlign w:val="bottom"/>
          </w:tcPr>
          <w:p>
            <w:pPr>
              <w:jc w:val="right"/>
              <w:ind w:right="161"/>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03"/>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40" w:type="dxa"/>
            <w:vAlign w:val="bottom"/>
          </w:tcPr>
          <w:p>
            <w:pPr>
              <w:ind w:left="140"/>
              <w:spacing w:after="0"/>
              <w:rPr>
                <w:sz w:val="20"/>
                <w:szCs w:val="20"/>
                <w:color w:val="auto"/>
              </w:rPr>
            </w:pPr>
            <w:r>
              <w:rPr>
                <w:rFonts w:ascii="Arial" w:cs="Arial" w:eastAsia="Arial" w:hAnsi="Arial"/>
                <w:sz w:val="16"/>
                <w:szCs w:val="16"/>
                <w:color w:val="auto"/>
              </w:rPr>
              <w:t>Outback Steakhouse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1,760,071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9,898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2,135,776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38,614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2,098,696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40,422</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Carrabba’s Italian Grill (1)</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497,212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613,031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647,454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13"/>
        </w:trPr>
        <w:tc>
          <w:tcPr>
            <w:tcW w:w="3140" w:type="dxa"/>
            <w:vAlign w:val="bottom"/>
          </w:tcPr>
          <w:p>
            <w:pPr>
              <w:ind w:left="140"/>
              <w:spacing w:after="0"/>
              <w:rPr>
                <w:sz w:val="20"/>
                <w:szCs w:val="20"/>
                <w:color w:val="auto"/>
              </w:rPr>
            </w:pPr>
            <w:r>
              <w:rPr>
                <w:rFonts w:ascii="Arial" w:cs="Arial" w:eastAsia="Arial" w:hAnsi="Arial"/>
                <w:sz w:val="16"/>
                <w:szCs w:val="16"/>
                <w:color w:val="auto"/>
              </w:rPr>
              <w:t>Bonefish Grill</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396,193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574,004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578,139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833</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Fleming’s Prime Steakhouse &amp; Wine Bar</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209,564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307,199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304,064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3140" w:type="dxa"/>
            <w:vAlign w:val="bottom"/>
          </w:tcPr>
          <w:p>
            <w:pPr>
              <w:ind w:left="14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1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U.S. total</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2,869,547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11,553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3,634,668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41,513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3,634,198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41,856</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Outback Steakhouse Brazil</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206,280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355,837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348,394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31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(2)</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68,809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9,642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84,509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10,634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78,279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11,050</w:t>
            </w:r>
          </w:p>
        </w:tc>
        <w:tc>
          <w:tcPr>
            <w:tcW w:w="0" w:type="dxa"/>
            <w:vAlign w:val="bottom"/>
          </w:tcPr>
          <w:p>
            <w:pPr>
              <w:spacing w:after="0"/>
              <w:rPr>
                <w:sz w:val="1"/>
                <w:szCs w:val="1"/>
                <w:color w:val="auto"/>
              </w:rPr>
            </w:pPr>
          </w:p>
        </w:tc>
      </w:tr>
      <w:tr>
        <w:trPr>
          <w:trHeight w:val="223"/>
        </w:trPr>
        <w:tc>
          <w:tcPr>
            <w:tcW w:w="3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International 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275,089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9,642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440,346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10,634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426,673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11,050</w:t>
            </w:r>
          </w:p>
        </w:tc>
        <w:tc>
          <w:tcPr>
            <w:tcW w:w="0" w:type="dxa"/>
            <w:vAlign w:val="bottom"/>
          </w:tcPr>
          <w:p>
            <w:pPr>
              <w:spacing w:after="0"/>
              <w:rPr>
                <w:sz w:val="1"/>
                <w:szCs w:val="1"/>
                <w:color w:val="auto"/>
              </w:rPr>
            </w:pPr>
          </w:p>
        </w:tc>
      </w:tr>
      <w:tr>
        <w:trPr>
          <w:trHeight w:val="216"/>
        </w:trPr>
        <w:tc>
          <w:tcPr>
            <w:tcW w:w="3140" w:type="dxa"/>
            <w:vAlign w:val="bottom"/>
          </w:tcPr>
          <w:p>
            <w:pPr>
              <w:ind w:left="48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3,144,636</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21,195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4,075,014</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52,147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4,060,871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52,906</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2019, the Company sold 18 Carrabba’s Italian Grill restaurants. These restaurants are now operated as franchises.</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Restaurant sales for the Company’s Abbraccio concept in Brazil.</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includes assets and liabilities from contracts with customers included on the Company’s Consolidated Balance Sheets as of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7"/>
                <w:szCs w:val="17"/>
                <w:color w:val="auto"/>
              </w:rPr>
            </w:pPr>
          </w:p>
        </w:tc>
        <w:tc>
          <w:tcPr>
            <w:tcW w:w="18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27, 2020</w:t>
            </w:r>
          </w:p>
        </w:tc>
        <w:tc>
          <w:tcPr>
            <w:tcW w:w="200" w:type="dxa"/>
            <w:vAlign w:val="bottom"/>
          </w:tcPr>
          <w:p>
            <w:pPr>
              <w:spacing w:after="0"/>
              <w:rPr>
                <w:sz w:val="17"/>
                <w:szCs w:val="17"/>
                <w:color w:val="auto"/>
              </w:rPr>
            </w:pPr>
          </w:p>
        </w:tc>
        <w:tc>
          <w:tcPr>
            <w:tcW w:w="1760" w:type="dxa"/>
            <w:vAlign w:val="bottom"/>
          </w:tcPr>
          <w:p>
            <w:pPr>
              <w:jc w:val="right"/>
              <w:ind w:right="220"/>
              <w:spacing w:after="0"/>
              <w:rPr>
                <w:sz w:val="20"/>
                <w:szCs w:val="20"/>
                <w:color w:val="auto"/>
              </w:rPr>
            </w:pPr>
            <w:r>
              <w:rPr>
                <w:rFonts w:ascii="Arial" w:cs="Arial" w:eastAsia="Arial" w:hAnsi="Arial"/>
                <w:sz w:val="14"/>
                <w:szCs w:val="14"/>
                <w:b w:val="1"/>
                <w:bCs w:val="1"/>
                <w:color w:val="auto"/>
              </w:rPr>
              <w:t>DECEMBER 29, 2019</w:t>
            </w:r>
          </w:p>
        </w:tc>
      </w:tr>
      <w:tr>
        <w:trPr>
          <w:trHeight w:val="203"/>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assets, net</w:t>
            </w:r>
          </w:p>
        </w:tc>
        <w:tc>
          <w:tcPr>
            <w:tcW w:w="20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r>
      <w:tr>
        <w:trPr>
          <w:trHeight w:val="213"/>
        </w:trPr>
        <w:tc>
          <w:tcPr>
            <w:tcW w:w="7220" w:type="dxa"/>
            <w:vAlign w:val="bottom"/>
          </w:tcPr>
          <w:p>
            <w:pPr>
              <w:ind w:left="140"/>
              <w:spacing w:after="0"/>
              <w:rPr>
                <w:sz w:val="20"/>
                <w:szCs w:val="20"/>
                <w:color w:val="auto"/>
              </w:rPr>
            </w:pPr>
            <w:r>
              <w:rPr>
                <w:rFonts w:ascii="Arial" w:cs="Arial" w:eastAsia="Arial" w:hAnsi="Arial"/>
                <w:sz w:val="16"/>
                <w:szCs w:val="16"/>
                <w:color w:val="auto"/>
              </w:rPr>
              <w:t>Deferred gift card sales commissions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19,300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18,554</w:t>
            </w:r>
          </w:p>
        </w:tc>
      </w:tr>
      <w:tr>
        <w:trPr>
          <w:trHeight w:val="259"/>
        </w:trPr>
        <w:tc>
          <w:tcPr>
            <w:tcW w:w="7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r>
      <w:tr>
        <w:trPr>
          <w:trHeight w:val="213"/>
        </w:trPr>
        <w:tc>
          <w:tcPr>
            <w:tcW w:w="7220" w:type="dxa"/>
            <w:vAlign w:val="bottom"/>
          </w:tcPr>
          <w:p>
            <w:pPr>
              <w:ind w:left="20"/>
              <w:spacing w:after="0"/>
              <w:rPr>
                <w:sz w:val="20"/>
                <w:szCs w:val="20"/>
                <w:color w:val="auto"/>
              </w:rPr>
            </w:pPr>
            <w:r>
              <w:rPr>
                <w:rFonts w:ascii="Arial" w:cs="Arial" w:eastAsia="Arial" w:hAnsi="Arial"/>
                <w:sz w:val="16"/>
                <w:szCs w:val="16"/>
                <w:color w:val="auto"/>
              </w:rPr>
              <w:t>Unearned revenue</w:t>
            </w: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gift card revenue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373,048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358,757</w:t>
            </w:r>
          </w:p>
        </w:tc>
      </w:tr>
      <w:tr>
        <w:trPr>
          <w:trHeight w:val="213"/>
        </w:trPr>
        <w:tc>
          <w:tcPr>
            <w:tcW w:w="7220" w:type="dxa"/>
            <w:vAlign w:val="bottom"/>
          </w:tcPr>
          <w:p>
            <w:pPr>
              <w:ind w:left="140"/>
              <w:spacing w:after="0"/>
              <w:rPr>
                <w:sz w:val="20"/>
                <w:szCs w:val="20"/>
                <w:color w:val="auto"/>
              </w:rPr>
            </w:pPr>
            <w:r>
              <w:rPr>
                <w:rFonts w:ascii="Arial" w:cs="Arial" w:eastAsia="Arial" w:hAnsi="Arial"/>
                <w:sz w:val="16"/>
                <w:szCs w:val="16"/>
                <w:color w:val="auto"/>
              </w:rPr>
              <w:t>Deferred loyalty revenue</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8,099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10,034</w:t>
            </w:r>
          </w:p>
        </w:tc>
      </w:tr>
      <w:tr>
        <w:trPr>
          <w:trHeight w:val="213"/>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Deferred franchise fees - current</w:t>
            </w:r>
          </w:p>
        </w:tc>
        <w:tc>
          <w:tcPr>
            <w:tcW w:w="2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w:t>
            </w:r>
          </w:p>
        </w:tc>
      </w:tr>
      <w:tr>
        <w:trPr>
          <w:trHeight w:val="216"/>
        </w:trPr>
        <w:tc>
          <w:tcPr>
            <w:tcW w:w="7220" w:type="dxa"/>
            <w:vAlign w:val="bottom"/>
          </w:tcPr>
          <w:p>
            <w:pPr>
              <w:ind w:left="480"/>
              <w:spacing w:after="0"/>
              <w:rPr>
                <w:sz w:val="20"/>
                <w:szCs w:val="20"/>
                <w:color w:val="auto"/>
              </w:rPr>
            </w:pPr>
            <w:r>
              <w:rPr>
                <w:rFonts w:ascii="Arial" w:cs="Arial" w:eastAsia="Arial" w:hAnsi="Arial"/>
                <w:sz w:val="16"/>
                <w:szCs w:val="16"/>
                <w:color w:val="auto"/>
              </w:rPr>
              <w:t>Total Unearned revenue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381,616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369,282</w:t>
            </w: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24"/>
        </w:trPr>
        <w:tc>
          <w:tcPr>
            <w:tcW w:w="7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3"/>
        </w:trPr>
        <w:tc>
          <w:tcPr>
            <w:tcW w:w="7220" w:type="dxa"/>
            <w:vAlign w:val="bottom"/>
          </w:tcPr>
          <w:p>
            <w:pPr>
              <w:ind w:left="20"/>
              <w:spacing w:after="0"/>
              <w:rPr>
                <w:sz w:val="20"/>
                <w:szCs w:val="20"/>
                <w:color w:val="auto"/>
              </w:rPr>
            </w:pPr>
            <w:r>
              <w:rPr>
                <w:rFonts w:ascii="Arial" w:cs="Arial" w:eastAsia="Arial" w:hAnsi="Arial"/>
                <w:sz w:val="16"/>
                <w:szCs w:val="16"/>
                <w:color w:val="auto"/>
              </w:rPr>
              <w:t>Other long-term liabilities, net</w:t>
            </w: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franchise fees - non-current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4,599</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rollforward of deferred gift card sales commissions for the periods indicated:</w:t>
      </w:r>
    </w:p>
    <w:p>
      <w:pPr>
        <w:spacing w:after="0" w:line="115"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FISCAL YEAR</w:t>
      </w:r>
    </w:p>
    <w:p>
      <w:pPr>
        <w:sectPr>
          <w:pgSz w:w="11900" w:h="16838" w:orient="portrait"/>
          <w:cols w:equalWidth="0" w:num="1">
            <w:col w:w="11240"/>
          </w:cols>
          <w:pgMar w:left="320" w:top="121" w:right="339" w:bottom="1440" w:gutter="0" w:footer="0" w:header="0"/>
        </w:sectPr>
      </w:pPr>
    </w:p>
    <w:p>
      <w:pPr>
        <w:spacing w:after="0" w:line="6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(dollars in thousands)</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16"/>
          <w:szCs w:val="16"/>
          <w:color w:val="auto"/>
        </w:rPr>
        <w:t>Balance, beginning of period</w:t>
      </w:r>
    </w:p>
    <w:p>
      <w:pPr>
        <w:spacing w:after="0" w:line="32" w:lineRule="exact"/>
        <w:rPr>
          <w:sz w:val="20"/>
          <w:szCs w:val="20"/>
          <w:color w:val="auto"/>
        </w:rPr>
      </w:pPr>
    </w:p>
    <w:p>
      <w:pPr>
        <w:jc w:val="both"/>
        <w:ind w:left="180" w:right="2220"/>
        <w:spacing w:after="0" w:line="305" w:lineRule="auto"/>
        <w:rPr>
          <w:sz w:val="20"/>
          <w:szCs w:val="20"/>
          <w:color w:val="auto"/>
        </w:rPr>
      </w:pPr>
      <w:r>
        <w:rPr>
          <w:rFonts w:ascii="Arial" w:cs="Arial" w:eastAsia="Arial" w:hAnsi="Arial"/>
          <w:sz w:val="16"/>
          <w:szCs w:val="16"/>
          <w:color w:val="auto"/>
        </w:rPr>
        <w:t>Deferred gift card sales commissions amortization Deferred gift card sales commissions capitalization Other</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color w:val="auto"/>
        </w:rPr>
        <w:t>Balance, end of period</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2018</w:t>
            </w:r>
          </w:p>
        </w:tc>
      </w:tr>
      <w:tr>
        <w:trPr>
          <w:trHeight w:val="210"/>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18,554</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16,431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16,231</w:t>
            </w:r>
          </w:p>
        </w:tc>
      </w:tr>
      <w:tr>
        <w:trPr>
          <w:trHeight w:val="216"/>
        </w:trPr>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(20,927)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(26,094)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(27,227)</w:t>
            </w:r>
          </w:p>
        </w:tc>
      </w:tr>
      <w:tr>
        <w:trPr>
          <w:trHeight w:val="216"/>
        </w:trPr>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22,923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29,894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28,980</w:t>
            </w:r>
          </w:p>
        </w:tc>
      </w:tr>
      <w:tr>
        <w:trPr>
          <w:trHeight w:val="229"/>
        </w:trPr>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(1,250)</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(1,553)</w:t>
            </w:r>
          </w:p>
        </w:tc>
      </w:tr>
      <w:tr>
        <w:trPr>
          <w:trHeight w:val="213"/>
        </w:trPr>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19,300</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18,554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16,431</w:t>
            </w:r>
          </w:p>
        </w:tc>
      </w:tr>
      <w:tr>
        <w:trPr>
          <w:trHeight w:val="24"/>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-4066540</wp:posOffset>
            </wp:positionH>
            <wp:positionV relativeFrom="paragraph">
              <wp:posOffset>-744855</wp:posOffset>
            </wp:positionV>
            <wp:extent cx="7098030"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-4066540</wp:posOffset>
            </wp:positionH>
            <wp:positionV relativeFrom="paragraph">
              <wp:posOffset>-462280</wp:posOffset>
            </wp:positionV>
            <wp:extent cx="709803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-4066540</wp:posOffset>
            </wp:positionH>
            <wp:positionV relativeFrom="paragraph">
              <wp:posOffset>-179705</wp:posOffset>
            </wp:positionV>
            <wp:extent cx="7098030" cy="162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9803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20" w:space="720"/>
            <w:col w:w="480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4" w:name="page85"/>
    <w:bookmarkEnd w:id="8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rollforward of unearned gift card revenue for the periods indicated:</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6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96"/>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2018</w:t>
            </w:r>
          </w:p>
        </w:tc>
      </w:tr>
      <w:tr>
        <w:trPr>
          <w:trHeight w:val="216"/>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beginning of period</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358,757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333,794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323,628</w:t>
            </w:r>
          </w:p>
        </w:tc>
      </w:tr>
      <w:tr>
        <w:trPr>
          <w:trHeight w:val="213"/>
        </w:trPr>
        <w:tc>
          <w:tcPr>
            <w:tcW w:w="6300" w:type="dxa"/>
            <w:vAlign w:val="bottom"/>
          </w:tcPr>
          <w:p>
            <w:pPr>
              <w:ind w:left="140"/>
              <w:spacing w:after="0"/>
              <w:rPr>
                <w:sz w:val="20"/>
                <w:szCs w:val="20"/>
                <w:color w:val="auto"/>
              </w:rPr>
            </w:pPr>
            <w:r>
              <w:rPr>
                <w:rFonts w:ascii="Arial" w:cs="Arial" w:eastAsia="Arial" w:hAnsi="Arial"/>
                <w:sz w:val="16"/>
                <w:szCs w:val="16"/>
                <w:color w:val="auto"/>
              </w:rPr>
              <w:t>Gift card sales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306,016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420,229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419,172</w:t>
            </w:r>
          </w:p>
        </w:tc>
      </w:tr>
      <w:tr>
        <w:trPr>
          <w:trHeight w:val="219"/>
        </w:trPr>
        <w:tc>
          <w:tcPr>
            <w:tcW w:w="6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Gift card redemptions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(277,675)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(376,477)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(388,954)</w:t>
            </w:r>
          </w:p>
        </w:tc>
      </w:tr>
      <w:tr>
        <w:trPr>
          <w:trHeight w:val="223"/>
        </w:trPr>
        <w:tc>
          <w:tcPr>
            <w:tcW w:w="63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Gift card breakage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(14,050)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(20,052)</w:t>
            </w:r>
          </w:p>
        </w:tc>
      </w:tr>
      <w:tr>
        <w:trPr>
          <w:trHeight w:val="241"/>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end of period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373,048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358,757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333,794</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both"/>
        <w:spacing w:after="0" w:line="242" w:lineRule="auto"/>
        <w:rPr>
          <w:sz w:val="20"/>
          <w:szCs w:val="20"/>
          <w:color w:val="auto"/>
        </w:rPr>
      </w:pPr>
      <w:r>
        <w:rPr>
          <w:rFonts w:ascii="Arial" w:cs="Arial" w:eastAsia="Arial" w:hAnsi="Arial"/>
          <w:sz w:val="19"/>
          <w:szCs w:val="19"/>
          <w:i w:val="1"/>
          <w:iCs w:val="1"/>
          <w:color w:val="auto"/>
        </w:rPr>
        <w:t xml:space="preserve">Franchisee Deferred Payment Agreement </w:t>
      </w:r>
      <w:r>
        <w:rPr>
          <w:rFonts w:ascii="Arial" w:cs="Arial" w:eastAsia="Arial" w:hAnsi="Arial"/>
          <w:sz w:val="19"/>
          <w:szCs w:val="19"/>
          <w:color w:val="auto"/>
        </w:rPr>
        <w:t>- On December 27, 2020, the Company entered into an agreement (the “Resolution Agreement”)</w:t>
      </w:r>
      <w:r>
        <w:rPr>
          <w:rFonts w:ascii="Arial" w:cs="Arial" w:eastAsia="Arial" w:hAnsi="Arial"/>
          <w:sz w:val="19"/>
          <w:szCs w:val="19"/>
          <w:i w:val="1"/>
          <w:iCs w:val="1"/>
          <w:color w:val="auto"/>
        </w:rPr>
        <w:t xml:space="preserve"> </w:t>
      </w:r>
      <w:r>
        <w:rPr>
          <w:rFonts w:ascii="Arial" w:cs="Arial" w:eastAsia="Arial" w:hAnsi="Arial"/>
          <w:sz w:val="19"/>
          <w:szCs w:val="19"/>
          <w:color w:val="auto"/>
        </w:rPr>
        <w:t>with Cerca Trova Southwest Restaurant Group, LLC (d/b/a Out West Restaurant Group) and certain of its affiliates (collectively, “Out West”), a franchisee of approximately 90 Outback Steakhouse restaurants in the western United States, primarily in California. The Resolution Agreement ends on December 31, 2023 or upon the earlier occurrence of certain specified events, including the sale of all or substantially all of the assets or equity of Out West, bankruptcy or a liquidation event (“Qualifying Event”) (the “Forbearance Period”). Prior to the Resolution Agreement, Out West was in default of its franchise agreements for nonpayment of certain amounts due, and simultaneously in default of its credit agreement with its lenders primarily due to the significant impact of the COVID-19 pandemic. Under the terms of the Resolution Agreement, the Company agreed to:</w:t>
      </w:r>
    </w:p>
    <w:p>
      <w:pPr>
        <w:spacing w:after="0" w:line="209" w:lineRule="exact"/>
        <w:rPr>
          <w:sz w:val="20"/>
          <w:szCs w:val="20"/>
          <w:color w:val="auto"/>
        </w:rPr>
      </w:pPr>
    </w:p>
    <w:p>
      <w:pPr>
        <w:ind w:left="640" w:hanging="308"/>
        <w:spacing w:after="0"/>
        <w:tabs>
          <w:tab w:leader="none" w:pos="6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not call upon any previous default under the existing franchise agreements during the Forbearance Period;</w:t>
      </w:r>
    </w:p>
    <w:p>
      <w:pPr>
        <w:spacing w:after="0" w:line="15" w:lineRule="exact"/>
        <w:rPr>
          <w:rFonts w:ascii="Arial" w:cs="Arial" w:eastAsia="Arial" w:hAnsi="Arial"/>
          <w:sz w:val="20"/>
          <w:szCs w:val="20"/>
          <w:color w:val="auto"/>
        </w:rPr>
      </w:pPr>
    </w:p>
    <w:p>
      <w:pPr>
        <w:ind w:left="640" w:hanging="308"/>
        <w:spacing w:after="0"/>
        <w:tabs>
          <w:tab w:leader="none" w:pos="6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reduce future advertising fees to 2.25% of gross sales during the Forbearance Period;</w:t>
      </w:r>
    </w:p>
    <w:p>
      <w:pPr>
        <w:ind w:left="640" w:hanging="308"/>
        <w:spacing w:after="0"/>
        <w:tabs>
          <w:tab w:leader="none" w:pos="6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permanently waive unpaid royalty and advertising fees for the period of February 24, 2020 to July 26, 2020;</w:t>
      </w:r>
    </w:p>
    <w:p>
      <w:pPr>
        <w:ind w:left="640" w:hanging="308"/>
        <w:spacing w:after="0"/>
        <w:tabs>
          <w:tab w:leader="none" w:pos="6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allow for closure of four restaurants and certain sublease modifications (the “Property Concessions”);</w:t>
      </w:r>
    </w:p>
    <w:p>
      <w:pPr>
        <w:ind w:left="660" w:hanging="328"/>
        <w:spacing w:after="0" w:line="239" w:lineRule="auto"/>
        <w:tabs>
          <w:tab w:leader="none" w:pos="648" w:val="left"/>
        </w:tabs>
        <w:numPr>
          <w:ilvl w:val="0"/>
          <w:numId w:val="47"/>
        </w:numPr>
        <w:rPr>
          <w:rFonts w:ascii="Arial" w:cs="Arial" w:eastAsia="Arial" w:hAnsi="Arial"/>
          <w:sz w:val="20"/>
          <w:szCs w:val="20"/>
          <w:color w:val="auto"/>
        </w:rPr>
      </w:pPr>
      <w:r>
        <w:rPr>
          <w:rFonts w:ascii="Arial" w:cs="Arial" w:eastAsia="Arial" w:hAnsi="Arial"/>
          <w:sz w:val="20"/>
          <w:szCs w:val="20"/>
          <w:color w:val="auto"/>
        </w:rPr>
        <w:t>allow for closure of up to ten additional restaurants during the first 12 months of the Resolution Agreement, without imposition of any penalties or accelerated royalties;</w:t>
      </w:r>
    </w:p>
    <w:p>
      <w:pPr>
        <w:jc w:val="both"/>
        <w:ind w:left="660" w:hanging="328"/>
        <w:spacing w:after="0" w:line="250" w:lineRule="auto"/>
        <w:tabs>
          <w:tab w:leader="none" w:pos="6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defer all non-waived past due royalties and advertising fees through November 22, 2020, and for certain permitted restaurant closings in connection with the Property Concessions, defer accelerated rent and royalties that otherwise would have been due under the terms and conditions of the respective franchise agreements and leases or subleases (the “Initial Deferred Balance”), and</w:t>
      </w:r>
    </w:p>
    <w:p>
      <w:pPr>
        <w:spacing w:after="0" w:line="1" w:lineRule="exact"/>
        <w:rPr>
          <w:rFonts w:ascii="Arial" w:cs="Arial" w:eastAsia="Arial" w:hAnsi="Arial"/>
          <w:sz w:val="18"/>
          <w:szCs w:val="18"/>
          <w:color w:val="auto"/>
        </w:rPr>
      </w:pPr>
    </w:p>
    <w:p>
      <w:pPr>
        <w:ind w:left="660" w:hanging="328"/>
        <w:spacing w:after="0" w:line="244" w:lineRule="auto"/>
        <w:tabs>
          <w:tab w:leader="none" w:pos="648" w:val="left"/>
        </w:tabs>
        <w:numPr>
          <w:ilvl w:val="0"/>
          <w:numId w:val="47"/>
        </w:numPr>
        <w:rPr>
          <w:rFonts w:ascii="Arial" w:cs="Arial" w:eastAsia="Arial" w:hAnsi="Arial"/>
          <w:sz w:val="20"/>
          <w:szCs w:val="20"/>
          <w:color w:val="auto"/>
        </w:rPr>
      </w:pPr>
      <w:r>
        <w:rPr>
          <w:rFonts w:ascii="Arial" w:cs="Arial" w:eastAsia="Arial" w:hAnsi="Arial"/>
          <w:sz w:val="20"/>
          <w:szCs w:val="20"/>
          <w:color w:val="auto"/>
        </w:rPr>
        <w:t>defer all past due rents through December 27, 2020 on subleased properties totaling $3.6 million until April 2021 when the balance will be repaid over an 18-month period.</w:t>
      </w:r>
    </w:p>
    <w:p>
      <w:pPr>
        <w:spacing w:after="0" w:line="21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connection with the Property Concessions, the Company recognized $4.7 million of lease right-of-use asset impairment during the thirteen weeks ended December 27, 2020, within the U.S. segment.</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No deferred or previously waived amounts have been recorded as revenue, with the exception of a $3.1 million receivable balance that had been previously fully reserved. Collections of deferred amounts, and any future amounts due under the Resolution Agreement or the Company’s franchise agreements after November 22, 2020, will be recognized when collectability is reasonably assured.</w:t>
      </w:r>
    </w:p>
    <w:p>
      <w:pPr>
        <w:spacing w:after="0" w:line="179"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Out West also entered into a Forbearance Agreement and Second Amendment to Credit and Guaranty Agreement (“Forbearance Agreement”) with its lenders that, in conjunction with the Resolution Agreement, provides, among other things, for a pre-determined calculation of available monthly cash (“Available Cash”) that Out West may use to settle its obligations due to the Company and its lenders. Available Cash is calculated net of operating expenses, including local marketing expenditures required under the Resolution Agreement. Under the Resolution Agreement, if Out West is unable to satisfy monthly royalty or advertising fees with Available Cash, such amounts will automatically increase the Initial Deferred Balance. The entire deferred balance will become collectible upon any Qualifying Event. If the Qualifying Event is the sale of all or substantially all of the assets or equity of Out West, the sale proceeds will be applied, between the Company and Out West’s lenders, in accordance with the payment priority established in the Resolution Agreement and Forbearance Agreement; if the sales proceeds are insufficient to satisfy the deferred balance due to the Company, then the Company agreed to permanently waive any remaining deferred balance due to the Company.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ind w:left="400" w:hanging="392"/>
        <w:spacing w:after="0"/>
        <w:tabs>
          <w:tab w:leader="none" w:pos="400" w:val="left"/>
        </w:tabs>
        <w:numPr>
          <w:ilvl w:val="0"/>
          <w:numId w:val="48"/>
        </w:numPr>
        <w:rPr>
          <w:rFonts w:ascii="Arial" w:cs="Arial" w:eastAsia="Arial" w:hAnsi="Arial"/>
          <w:sz w:val="20"/>
          <w:szCs w:val="20"/>
          <w:color w:val="auto"/>
        </w:rPr>
      </w:pPr>
      <w:r>
        <w:rPr>
          <w:rFonts w:ascii="Arial" w:cs="Arial" w:eastAsia="Arial" w:hAnsi="Arial"/>
          <w:sz w:val="20"/>
          <w:szCs w:val="20"/>
          <w:color w:val="auto"/>
        </w:rPr>
        <w:t>Impairments, Exit Costs and Disposals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Provision for impaired assets and restaurant closings are as follows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losses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220"/>
              <w:spacing w:after="0"/>
              <w:rPr>
                <w:sz w:val="20"/>
                <w:szCs w:val="20"/>
                <w:color w:val="auto"/>
              </w:rPr>
            </w:pPr>
            <w:r>
              <w:rPr>
                <w:rFonts w:ascii="Arial" w:cs="Arial" w:eastAsia="Arial" w:hAnsi="Arial"/>
                <w:sz w:val="16"/>
                <w:szCs w:val="16"/>
                <w:color w:val="auto"/>
              </w:rPr>
              <w:t>U.S. (1)</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65,129</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6,381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15,342</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International (1) (2)</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11,457</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Corporate (3)</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64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impairment losses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74,823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9,134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26,799</w:t>
            </w:r>
          </w:p>
        </w:tc>
        <w:tc>
          <w:tcPr>
            <w:tcW w:w="0" w:type="dxa"/>
            <w:vAlign w:val="bottom"/>
          </w:tcPr>
          <w:p>
            <w:pPr>
              <w:spacing w:after="0"/>
              <w:rPr>
                <w:sz w:val="1"/>
                <w:szCs w:val="1"/>
                <w:color w:val="auto"/>
              </w:rPr>
            </w:pPr>
          </w:p>
        </w:tc>
      </w:tr>
      <w:tr>
        <w:trPr>
          <w:trHeight w:val="187"/>
        </w:trPr>
        <w:tc>
          <w:tcPr>
            <w:tcW w:w="6440" w:type="dxa"/>
            <w:vAlign w:val="bottom"/>
          </w:tcPr>
          <w:p>
            <w:pPr>
              <w:ind w:left="20"/>
              <w:spacing w:after="0"/>
              <w:rPr>
                <w:sz w:val="20"/>
                <w:szCs w:val="20"/>
                <w:color w:val="auto"/>
              </w:rPr>
            </w:pPr>
            <w:r>
              <w:rPr>
                <w:rFonts w:ascii="Arial" w:cs="Arial" w:eastAsia="Arial" w:hAnsi="Arial"/>
                <w:sz w:val="16"/>
                <w:szCs w:val="16"/>
                <w:color w:val="auto"/>
              </w:rPr>
              <w:t>Restaurant closure expenses (benefits)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 (1)</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6,536</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International (1)</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3,528</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restaurant closure expenses (benefits)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1,531</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10,064</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6"/>
                <w:szCs w:val="16"/>
                <w:color w:val="auto"/>
              </w:rPr>
              <w:t>Provision for impaired assets and restaurant closings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76,354</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9,085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36,863</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64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left="660" w:hanging="652"/>
        <w:spacing w:after="0" w:line="246"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U.S. and international impairment and closure charges during 2020 primarily relate to the COVID-19 pandemic, including charges related to the COVID-19 Restructuring discussed below and the Out West Resolution Agreement. See Note 3 - </w:t>
      </w:r>
      <w:r>
        <w:rPr>
          <w:rFonts w:ascii="Arial" w:cs="Arial" w:eastAsia="Arial" w:hAnsi="Arial"/>
          <w:sz w:val="16"/>
          <w:szCs w:val="16"/>
          <w:i w:val="1"/>
          <w:iCs w:val="1"/>
          <w:color w:val="auto"/>
        </w:rPr>
        <w:t>COVID-19 Charges</w:t>
      </w:r>
      <w:r>
        <w:rPr>
          <w:rFonts w:ascii="Arial" w:cs="Arial" w:eastAsia="Arial" w:hAnsi="Arial"/>
          <w:sz w:val="16"/>
          <w:szCs w:val="16"/>
          <w:color w:val="auto"/>
        </w:rPr>
        <w:t xml:space="preserve"> for details regarding the impact of the COVID-19 pandemic on the Company’s financial results.</w:t>
      </w:r>
    </w:p>
    <w:p>
      <w:pPr>
        <w:spacing w:after="0" w:line="1" w:lineRule="exact"/>
        <w:rPr>
          <w:rFonts w:ascii="Arial" w:cs="Arial" w:eastAsia="Arial" w:hAnsi="Arial"/>
          <w:sz w:val="16"/>
          <w:szCs w:val="16"/>
          <w:color w:val="auto"/>
        </w:rPr>
      </w:pPr>
    </w:p>
    <w:p>
      <w:pPr>
        <w:ind w:left="660" w:hanging="652"/>
        <w:spacing w:after="0" w:line="246"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Includes goodwill impairment charges of $2.0 million during 2020. See Note 10 - </w:t>
      </w:r>
      <w:r>
        <w:rPr>
          <w:rFonts w:ascii="Arial" w:cs="Arial" w:eastAsia="Arial" w:hAnsi="Arial"/>
          <w:sz w:val="16"/>
          <w:szCs w:val="16"/>
          <w:i w:val="1"/>
          <w:iCs w:val="1"/>
          <w:color w:val="auto"/>
        </w:rPr>
        <w:t>Goodwill and Intangible Assets, Net</w:t>
      </w:r>
      <w:r>
        <w:rPr>
          <w:rFonts w:ascii="Arial" w:cs="Arial" w:eastAsia="Arial" w:hAnsi="Arial"/>
          <w:sz w:val="16"/>
          <w:szCs w:val="16"/>
          <w:color w:val="auto"/>
        </w:rPr>
        <w:t xml:space="preserve"> for details regarding impairment of goodwill.</w:t>
      </w:r>
    </w:p>
    <w:p>
      <w:pPr>
        <w:ind w:left="660" w:hanging="652"/>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Corporate impairment charges during 2020 primarily relate to transformational initiatives.</w:t>
      </w:r>
    </w:p>
    <w:p>
      <w:pPr>
        <w:spacing w:after="0" w:line="22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COVID-19 Restructuring </w:t>
      </w:r>
      <w:r>
        <w:rPr>
          <w:rFonts w:ascii="Arial" w:cs="Arial" w:eastAsia="Arial" w:hAnsi="Arial"/>
          <w:sz w:val="20"/>
          <w:szCs w:val="20"/>
          <w:color w:val="auto"/>
        </w:rPr>
        <w:t>- During 2020, the Company recognized pre-tax asset impairments and closure charges in connection with the</w:t>
      </w:r>
      <w:r>
        <w:rPr>
          <w:rFonts w:ascii="Arial" w:cs="Arial" w:eastAsia="Arial" w:hAnsi="Arial"/>
          <w:sz w:val="20"/>
          <w:szCs w:val="20"/>
          <w:i w:val="1"/>
          <w:iCs w:val="1"/>
          <w:color w:val="auto"/>
        </w:rPr>
        <w:t xml:space="preserve"> </w:t>
      </w:r>
      <w:r>
        <w:rPr>
          <w:rFonts w:ascii="Arial" w:cs="Arial" w:eastAsia="Arial" w:hAnsi="Arial"/>
          <w:sz w:val="20"/>
          <w:szCs w:val="20"/>
          <w:color w:val="auto"/>
        </w:rPr>
        <w:t>closure of 22 U.S. restaurants and from the update of certain cash flow assumptions, including lease renewal considerations (the “COVID-19 Restructuring”). Following is a summary of the COVID-19 Restructuring charges recognized in the Consolidated Statements of Operations and Comprehensive (Loss) Income for the period indicated (dollars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2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CONSOLIDATED STATEMENTS OF OPERATIONS AND</w:t>
            </w:r>
          </w:p>
        </w:tc>
        <w:tc>
          <w:tcPr>
            <w:tcW w:w="220" w:type="dxa"/>
            <w:vAlign w:val="bottom"/>
          </w:tcPr>
          <w:p>
            <w:pPr>
              <w:spacing w:after="0"/>
              <w:rPr>
                <w:sz w:val="16"/>
                <w:szCs w:val="16"/>
                <w:color w:val="auto"/>
              </w:rPr>
            </w:pPr>
          </w:p>
        </w:tc>
        <w:tc>
          <w:tcPr>
            <w:tcW w:w="1420" w:type="dxa"/>
            <w:vAlign w:val="bottom"/>
          </w:tcPr>
          <w:p>
            <w:pPr>
              <w:jc w:val="right"/>
              <w:ind w:right="262"/>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25"/>
        </w:trPr>
        <w:tc>
          <w:tcPr>
            <w:tcW w:w="4680" w:type="dxa"/>
            <w:vAlign w:val="bottom"/>
            <w:vMerge w:val="restart"/>
          </w:tcPr>
          <w:p>
            <w:pPr>
              <w:ind w:left="184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2"/>
                <w:szCs w:val="2"/>
                <w:color w:val="auto"/>
              </w:rPr>
            </w:pPr>
          </w:p>
        </w:tc>
        <w:tc>
          <w:tcPr>
            <w:tcW w:w="482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vMerge w:val="restart"/>
          </w:tcPr>
          <w:p>
            <w:pPr>
              <w:jc w:val="right"/>
              <w:ind w:right="60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line="20" w:lineRule="exact"/>
              <w:rPr>
                <w:sz w:val="1"/>
                <w:szCs w:val="1"/>
                <w:color w:val="auto"/>
              </w:rPr>
            </w:pPr>
          </w:p>
        </w:tc>
      </w:tr>
      <w:tr>
        <w:trPr>
          <w:trHeight w:val="196"/>
        </w:trPr>
        <w:tc>
          <w:tcPr>
            <w:tcW w:w="4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7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COMPREHENSIVE (LOSS) INCOME CLASSIFICATION</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fixtures and equipment impairments</w:t>
            </w:r>
          </w:p>
        </w:tc>
        <w:tc>
          <w:tcPr>
            <w:tcW w:w="10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 for impaired assets and restaurant closings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18,766</w:t>
            </w:r>
          </w:p>
        </w:tc>
        <w:tc>
          <w:tcPr>
            <w:tcW w:w="0" w:type="dxa"/>
            <w:vAlign w:val="bottom"/>
          </w:tcPr>
          <w:p>
            <w:pPr>
              <w:spacing w:after="0"/>
              <w:rPr>
                <w:sz w:val="1"/>
                <w:szCs w:val="1"/>
                <w:color w:val="auto"/>
              </w:rPr>
            </w:pPr>
          </w:p>
        </w:tc>
      </w:tr>
      <w:tr>
        <w:trPr>
          <w:trHeight w:val="213"/>
        </w:trPr>
        <w:tc>
          <w:tcPr>
            <w:tcW w:w="4680" w:type="dxa"/>
            <w:vAlign w:val="bottom"/>
          </w:tcPr>
          <w:p>
            <w:pPr>
              <w:ind w:left="20"/>
              <w:spacing w:after="0"/>
              <w:rPr>
                <w:sz w:val="20"/>
                <w:szCs w:val="20"/>
                <w:color w:val="auto"/>
              </w:rPr>
            </w:pPr>
            <w:r>
              <w:rPr>
                <w:rFonts w:ascii="Arial" w:cs="Arial" w:eastAsia="Arial" w:hAnsi="Arial"/>
                <w:sz w:val="16"/>
                <w:szCs w:val="16"/>
                <w:color w:val="auto"/>
              </w:rPr>
              <w:t>Lease right-of-use asset impairments and closure charges</w:t>
            </w:r>
          </w:p>
        </w:tc>
        <w:tc>
          <w:tcPr>
            <w:tcW w:w="100" w:type="dxa"/>
            <w:vAlign w:val="bottom"/>
          </w:tcPr>
          <w:p>
            <w:pPr>
              <w:spacing w:after="0"/>
              <w:rPr>
                <w:sz w:val="18"/>
                <w:szCs w:val="18"/>
                <w:color w:val="auto"/>
              </w:rPr>
            </w:pPr>
          </w:p>
        </w:tc>
        <w:tc>
          <w:tcPr>
            <w:tcW w:w="4820" w:type="dxa"/>
            <w:vAlign w:val="bottom"/>
            <w:gridSpan w:val="2"/>
          </w:tcPr>
          <w:p>
            <w:pPr>
              <w:ind w:left="20"/>
              <w:spacing w:after="0"/>
              <w:rPr>
                <w:sz w:val="20"/>
                <w:szCs w:val="20"/>
                <w:color w:val="auto"/>
              </w:rPr>
            </w:pPr>
            <w:r>
              <w:rPr>
                <w:rFonts w:ascii="Arial" w:cs="Arial" w:eastAsia="Arial" w:hAnsi="Arial"/>
                <w:sz w:val="16"/>
                <w:szCs w:val="16"/>
                <w:color w:val="auto"/>
              </w:rPr>
              <w:t>Provision for impaired assets and restaurant closings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5,003</w:t>
            </w:r>
          </w:p>
        </w:tc>
        <w:tc>
          <w:tcPr>
            <w:tcW w:w="0" w:type="dxa"/>
            <w:vAlign w:val="bottom"/>
          </w:tcPr>
          <w:p>
            <w:pPr>
              <w:spacing w:after="0"/>
              <w:rPr>
                <w:sz w:val="1"/>
                <w:szCs w:val="1"/>
                <w:color w:val="auto"/>
              </w:rPr>
            </w:pPr>
          </w:p>
        </w:tc>
      </w:tr>
      <w:tr>
        <w:trPr>
          <w:trHeight w:val="22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Severance and other expenses</w:t>
            </w:r>
          </w:p>
        </w:tc>
        <w:tc>
          <w:tcPr>
            <w:tcW w:w="100" w:type="dxa"/>
            <w:vAlign w:val="bottom"/>
            <w:tcBorders>
              <w:bottom w:val="single" w:sz="8" w:color="CCEEFF"/>
            </w:tcBorders>
            <w:shd w:val="clear" w:color="auto" w:fill="CCEEFF"/>
          </w:tcPr>
          <w:p>
            <w:pPr>
              <w:spacing w:after="0"/>
              <w:rPr>
                <w:sz w:val="19"/>
                <w:szCs w:val="19"/>
                <w:color w:val="auto"/>
              </w:rPr>
            </w:pPr>
          </w:p>
        </w:tc>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w:t>
            </w:r>
          </w:p>
        </w:tc>
        <w:tc>
          <w:tcPr>
            <w:tcW w:w="0" w:type="dxa"/>
            <w:vAlign w:val="bottom"/>
          </w:tcPr>
          <w:p>
            <w:pPr>
              <w:spacing w:after="0"/>
              <w:rPr>
                <w:sz w:val="1"/>
                <w:szCs w:val="1"/>
                <w:color w:val="auto"/>
              </w:rPr>
            </w:pPr>
          </w:p>
        </w:tc>
      </w:tr>
      <w:tr>
        <w:trPr>
          <w:trHeight w:val="213"/>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24,866</w:t>
            </w: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International Restructuring </w:t>
      </w:r>
      <w:r>
        <w:rPr>
          <w:rFonts w:ascii="Arial" w:cs="Arial" w:eastAsia="Arial" w:hAnsi="Arial"/>
          <w:sz w:val="20"/>
          <w:szCs w:val="20"/>
          <w:color w:val="auto"/>
        </w:rPr>
        <w:t>- The Company recognized asset impairment and closure charges of $2.0 million and $13.9 million during 2019</w:t>
      </w:r>
      <w:r>
        <w:rPr>
          <w:rFonts w:ascii="Arial" w:cs="Arial" w:eastAsia="Arial" w:hAnsi="Arial"/>
          <w:sz w:val="20"/>
          <w:szCs w:val="20"/>
          <w:i w:val="1"/>
          <w:iCs w:val="1"/>
          <w:color w:val="auto"/>
        </w:rPr>
        <w:t xml:space="preserve"> </w:t>
      </w:r>
      <w:r>
        <w:rPr>
          <w:rFonts w:ascii="Arial" w:cs="Arial" w:eastAsia="Arial" w:hAnsi="Arial"/>
          <w:sz w:val="20"/>
          <w:szCs w:val="20"/>
          <w:color w:val="auto"/>
        </w:rPr>
        <w:t>and 2018, respectively, related to restructuring of certain international markets, including Puerto Rico and China, within the international segment.</w:t>
      </w:r>
    </w:p>
    <w:p>
      <w:pPr>
        <w:spacing w:after="0" w:line="213" w:lineRule="exact"/>
        <w:rPr>
          <w:sz w:val="20"/>
          <w:szCs w:val="20"/>
          <w:color w:val="auto"/>
        </w:rPr>
      </w:pPr>
    </w:p>
    <w:p>
      <w:pPr>
        <w:jc w:val="both"/>
        <w:spacing w:after="0" w:line="316" w:lineRule="auto"/>
        <w:rPr>
          <w:sz w:val="20"/>
          <w:szCs w:val="20"/>
          <w:color w:val="auto"/>
        </w:rPr>
      </w:pPr>
      <w:r>
        <w:rPr>
          <w:rFonts w:ascii="Arial" w:cs="Arial" w:eastAsia="Arial" w:hAnsi="Arial"/>
          <w:sz w:val="18"/>
          <w:szCs w:val="18"/>
          <w:i w:val="1"/>
          <w:iCs w:val="1"/>
          <w:color w:val="auto"/>
        </w:rPr>
        <w:t xml:space="preserve">Express Concept Restructuring </w:t>
      </w:r>
      <w:r>
        <w:rPr>
          <w:rFonts w:ascii="Arial" w:cs="Arial" w:eastAsia="Arial" w:hAnsi="Arial"/>
          <w:sz w:val="18"/>
          <w:szCs w:val="18"/>
          <w:color w:val="auto"/>
        </w:rPr>
        <w:t>- In 2018, the Company recognized asset impairment charges of $7.4 million related to the restructuring of its</w:t>
      </w:r>
      <w:r>
        <w:rPr>
          <w:rFonts w:ascii="Arial" w:cs="Arial" w:eastAsia="Arial" w:hAnsi="Arial"/>
          <w:sz w:val="18"/>
          <w:szCs w:val="18"/>
          <w:i w:val="1"/>
          <w:iCs w:val="1"/>
          <w:color w:val="auto"/>
        </w:rPr>
        <w:t xml:space="preserve"> </w:t>
      </w:r>
      <w:r>
        <w:rPr>
          <w:rFonts w:ascii="Arial" w:cs="Arial" w:eastAsia="Arial" w:hAnsi="Arial"/>
          <w:sz w:val="18"/>
          <w:szCs w:val="18"/>
          <w:color w:val="auto"/>
        </w:rPr>
        <w:t>Express concept, within the U.S. segment. As a part of the restructuring, three Express locations closed during 2019.</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Refranchising </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252525"/>
        </w:rPr>
        <w:t>During 2019, the Company completed the sale of 18 of its existing U.S. Company-owned Carrabba’s Italian Grill restaurants</w:t>
      </w:r>
      <w:r>
        <w:rPr>
          <w:rFonts w:ascii="Arial" w:cs="Arial" w:eastAsia="Arial" w:hAnsi="Arial"/>
          <w:sz w:val="20"/>
          <w:szCs w:val="20"/>
          <w:i w:val="1"/>
          <w:iCs w:val="1"/>
          <w:color w:val="auto"/>
        </w:rPr>
        <w:t xml:space="preserve"> </w:t>
      </w:r>
      <w:r>
        <w:rPr>
          <w:rFonts w:ascii="Arial" w:cs="Arial" w:eastAsia="Arial" w:hAnsi="Arial"/>
          <w:sz w:val="20"/>
          <w:szCs w:val="20"/>
          <w:color w:val="252525"/>
        </w:rPr>
        <w:t xml:space="preserve">to an existing franchisee for cash proceeds of $3.6 million, net of certain purchase price adjustments. </w:t>
      </w:r>
      <w:r>
        <w:rPr>
          <w:rFonts w:ascii="Arial" w:cs="Arial" w:eastAsia="Arial" w:hAnsi="Arial"/>
          <w:sz w:val="20"/>
          <w:szCs w:val="20"/>
          <w:color w:val="000000"/>
        </w:rPr>
        <w:t>In connection with this, sale the</w:t>
      </w:r>
      <w:r>
        <w:rPr>
          <w:rFonts w:ascii="Arial" w:cs="Arial" w:eastAsia="Arial" w:hAnsi="Arial"/>
          <w:sz w:val="20"/>
          <w:szCs w:val="20"/>
          <w:color w:val="252525"/>
        </w:rPr>
        <w:t xml:space="preserve"> </w:t>
      </w:r>
      <w:r>
        <w:rPr>
          <w:rFonts w:ascii="Arial" w:cs="Arial" w:eastAsia="Arial" w:hAnsi="Arial"/>
          <w:sz w:val="20"/>
          <w:szCs w:val="20"/>
          <w:color w:val="000000"/>
        </w:rPr>
        <w:t xml:space="preserve">Company recognized asset impairment charges of $5.5 million in 2018, within the U.S. segment. </w:t>
      </w:r>
      <w:r>
        <w:rPr>
          <w:rFonts w:ascii="Arial" w:cs="Arial" w:eastAsia="Arial" w:hAnsi="Arial"/>
          <w:sz w:val="20"/>
          <w:szCs w:val="20"/>
          <w:color w:val="252525"/>
        </w:rPr>
        <w:t>The Company remains contingently liable</w:t>
      </w:r>
      <w:r>
        <w:rPr>
          <w:rFonts w:ascii="Arial" w:cs="Arial" w:eastAsia="Arial" w:hAnsi="Arial"/>
          <w:sz w:val="20"/>
          <w:szCs w:val="20"/>
          <w:color w:val="000000"/>
        </w:rPr>
        <w:t xml:space="preserve"> </w:t>
      </w:r>
      <w:r>
        <w:rPr>
          <w:rFonts w:ascii="Arial" w:cs="Arial" w:eastAsia="Arial" w:hAnsi="Arial"/>
          <w:sz w:val="20"/>
          <w:szCs w:val="20"/>
          <w:color w:val="252525"/>
        </w:rPr>
        <w:t>on certain real estate lease agreements assigned to the buyer.</w:t>
      </w:r>
    </w:p>
    <w:p>
      <w:pPr>
        <w:spacing w:after="0" w:line="21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remaining impairment and closing charges for the periods presented primarily resulted from locations identified for remodel, relocation or closure and certain other assets.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spacing w:after="0" w:line="260" w:lineRule="auto"/>
        <w:rPr>
          <w:sz w:val="20"/>
          <w:szCs w:val="20"/>
          <w:color w:val="auto"/>
        </w:rPr>
      </w:pPr>
      <w:r>
        <w:rPr>
          <w:rFonts w:ascii="Arial" w:cs="Arial" w:eastAsia="Arial" w:hAnsi="Arial"/>
          <w:sz w:val="20"/>
          <w:szCs w:val="20"/>
          <w:i w:val="1"/>
          <w:iCs w:val="1"/>
          <w:color w:val="auto"/>
        </w:rPr>
        <w:t xml:space="preserve">Accrued Facility Closure and Other Cost Rollforward </w:t>
      </w:r>
      <w:r>
        <w:rPr>
          <w:rFonts w:ascii="Arial" w:cs="Arial" w:eastAsia="Arial" w:hAnsi="Arial"/>
          <w:sz w:val="20"/>
          <w:szCs w:val="20"/>
          <w:color w:val="auto"/>
        </w:rPr>
        <w:t>- The following table is a rollforward of the Company’s closed facility lease liabilities</w:t>
      </w:r>
      <w:r>
        <w:rPr>
          <w:rFonts w:ascii="Arial" w:cs="Arial" w:eastAsia="Arial" w:hAnsi="Arial"/>
          <w:sz w:val="20"/>
          <w:szCs w:val="20"/>
          <w:i w:val="1"/>
          <w:iCs w:val="1"/>
          <w:color w:val="auto"/>
        </w:rPr>
        <w:t xml:space="preserve"> </w:t>
      </w:r>
      <w:r>
        <w:rPr>
          <w:rFonts w:ascii="Arial" w:cs="Arial" w:eastAsia="Arial" w:hAnsi="Arial"/>
          <w:sz w:val="20"/>
          <w:szCs w:val="20"/>
          <w:color w:val="auto"/>
        </w:rPr>
        <w:t>and other accrued costs associated with the closure and restructuring initiatives for the period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0" w:type="dxa"/>
            <w:vAlign w:val="bottom"/>
          </w:tcPr>
          <w:p>
            <w:pPr>
              <w:jc w:val="right"/>
              <w:ind w:right="901"/>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208"/>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5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ind w:right="124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of the year</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2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14,542</w:t>
            </w:r>
          </w:p>
        </w:tc>
        <w:tc>
          <w:tcPr>
            <w:tcW w:w="0" w:type="dxa"/>
            <w:vAlign w:val="bottom"/>
          </w:tcPr>
          <w:p>
            <w:pPr>
              <w:spacing w:after="0"/>
              <w:rPr>
                <w:sz w:val="1"/>
                <w:szCs w:val="1"/>
                <w:color w:val="auto"/>
              </w:rPr>
            </w:pPr>
          </w:p>
        </w:tc>
      </w:tr>
      <w:tr>
        <w:trPr>
          <w:trHeight w:val="213"/>
        </w:trPr>
        <w:tc>
          <w:tcPr>
            <w:tcW w:w="8300" w:type="dxa"/>
            <w:vAlign w:val="bottom"/>
          </w:tcPr>
          <w:p>
            <w:pPr>
              <w:ind w:left="140"/>
              <w:spacing w:after="0"/>
              <w:rPr>
                <w:sz w:val="20"/>
                <w:szCs w:val="20"/>
                <w:color w:val="auto"/>
              </w:rPr>
            </w:pPr>
            <w:r>
              <w:rPr>
                <w:rFonts w:ascii="Arial" w:cs="Arial" w:eastAsia="Arial" w:hAnsi="Arial"/>
                <w:sz w:val="16"/>
                <w:szCs w:val="16"/>
                <w:color w:val="auto"/>
              </w:rPr>
              <w:t>Additions</w:t>
            </w:r>
          </w:p>
        </w:tc>
        <w:tc>
          <w:tcPr>
            <w:tcW w:w="5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2,458</w:t>
            </w:r>
          </w:p>
        </w:tc>
        <w:tc>
          <w:tcPr>
            <w:tcW w:w="0" w:type="dxa"/>
            <w:vAlign w:val="bottom"/>
          </w:tcPr>
          <w:p>
            <w:pPr>
              <w:spacing w:after="0"/>
              <w:rPr>
                <w:sz w:val="1"/>
                <w:szCs w:val="1"/>
                <w:color w:val="auto"/>
              </w:rPr>
            </w:pPr>
          </w:p>
        </w:tc>
      </w:tr>
      <w:tr>
        <w:trPr>
          <w:trHeight w:val="219"/>
        </w:trPr>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w:t>
            </w:r>
          </w:p>
        </w:tc>
        <w:tc>
          <w:tcPr>
            <w:tcW w:w="54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(4,572)</w:t>
            </w:r>
          </w:p>
        </w:tc>
        <w:tc>
          <w:tcPr>
            <w:tcW w:w="0" w:type="dxa"/>
            <w:vAlign w:val="bottom"/>
          </w:tcPr>
          <w:p>
            <w:pPr>
              <w:spacing w:after="0"/>
              <w:rPr>
                <w:sz w:val="1"/>
                <w:szCs w:val="1"/>
                <w:color w:val="auto"/>
              </w:rPr>
            </w:pPr>
          </w:p>
        </w:tc>
      </w:tr>
      <w:tr>
        <w:trPr>
          <w:trHeight w:val="213"/>
        </w:trPr>
        <w:tc>
          <w:tcPr>
            <w:tcW w:w="8300" w:type="dxa"/>
            <w:vAlign w:val="bottom"/>
          </w:tcPr>
          <w:p>
            <w:pPr>
              <w:ind w:left="140"/>
              <w:spacing w:after="0"/>
              <w:rPr>
                <w:sz w:val="20"/>
                <w:szCs w:val="20"/>
                <w:color w:val="auto"/>
              </w:rPr>
            </w:pPr>
            <w:r>
              <w:rPr>
                <w:rFonts w:ascii="Arial" w:cs="Arial" w:eastAsia="Arial" w:hAnsi="Arial"/>
                <w:sz w:val="16"/>
                <w:szCs w:val="16"/>
                <w:color w:val="auto"/>
              </w:rPr>
              <w:t>Accretion</w:t>
            </w:r>
          </w:p>
        </w:tc>
        <w:tc>
          <w:tcPr>
            <w:tcW w:w="5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1,129</w:t>
            </w:r>
          </w:p>
        </w:tc>
        <w:tc>
          <w:tcPr>
            <w:tcW w:w="0" w:type="dxa"/>
            <w:vAlign w:val="bottom"/>
          </w:tcPr>
          <w:p>
            <w:pPr>
              <w:spacing w:after="0"/>
              <w:rPr>
                <w:sz w:val="1"/>
                <w:szCs w:val="1"/>
                <w:color w:val="auto"/>
              </w:rPr>
            </w:pPr>
          </w:p>
        </w:tc>
      </w:tr>
      <w:tr>
        <w:trPr>
          <w:trHeight w:val="226"/>
        </w:trPr>
        <w:tc>
          <w:tcPr>
            <w:tcW w:w="8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Adjustments</w:t>
            </w:r>
          </w:p>
        </w:tc>
        <w:tc>
          <w:tcPr>
            <w:tcW w:w="54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0" w:type="dxa"/>
            <w:vAlign w:val="bottom"/>
          </w:tcPr>
          <w:p>
            <w:pPr>
              <w:spacing w:after="0"/>
              <w:rPr>
                <w:sz w:val="1"/>
                <w:szCs w:val="1"/>
                <w:color w:val="auto"/>
              </w:rPr>
            </w:pPr>
          </w:p>
        </w:tc>
      </w:tr>
      <w:tr>
        <w:trPr>
          <w:trHeight w:val="216"/>
        </w:trPr>
        <w:tc>
          <w:tcPr>
            <w:tcW w:w="8300" w:type="dxa"/>
            <w:vAlign w:val="bottom"/>
          </w:tcPr>
          <w:p>
            <w:pPr>
              <w:ind w:left="20"/>
              <w:spacing w:after="0"/>
              <w:rPr>
                <w:sz w:val="20"/>
                <w:szCs w:val="20"/>
                <w:color w:val="auto"/>
              </w:rPr>
            </w:pPr>
            <w:r>
              <w:rPr>
                <w:rFonts w:ascii="Arial" w:cs="Arial" w:eastAsia="Arial" w:hAnsi="Arial"/>
                <w:sz w:val="16"/>
                <w:szCs w:val="16"/>
                <w:color w:val="auto"/>
              </w:rPr>
              <w:t>End of the year (1)</w:t>
            </w: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12,879</w:t>
            </w:r>
          </w:p>
        </w:tc>
        <w:tc>
          <w:tcPr>
            <w:tcW w:w="0" w:type="dxa"/>
            <w:vAlign w:val="bottom"/>
          </w:tcPr>
          <w:p>
            <w:pPr>
              <w:spacing w:after="0"/>
              <w:rPr>
                <w:sz w:val="1"/>
                <w:szCs w:val="1"/>
                <w:color w:val="auto"/>
              </w:rPr>
            </w:pPr>
          </w:p>
        </w:tc>
      </w:tr>
      <w:tr>
        <w:trPr>
          <w:trHeight w:val="21"/>
        </w:trPr>
        <w:tc>
          <w:tcPr>
            <w:tcW w:w="830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5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8300" w:type="dxa"/>
            <w:vAlign w:val="bottom"/>
            <w:vMerge w:val="continue"/>
          </w:tcPr>
          <w:p>
            <w:pPr>
              <w:spacing w:after="0"/>
              <w:rPr>
                <w:sz w:val="20"/>
                <w:szCs w:val="20"/>
                <w:color w:val="auto"/>
              </w:rPr>
            </w:pPr>
          </w:p>
        </w:tc>
        <w:tc>
          <w:tcPr>
            <w:tcW w:w="5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hanging="652"/>
        <w:spacing w:after="0" w:line="257"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As of December 27, 2020, the Company had exit-related accruals of $4.3 million recorded in Accrued and other current liabilities and $8.6 million recorded in Non-current operating lease liabilities on its Consolidated Balance Sheet.</w:t>
      </w:r>
    </w:p>
    <w:p>
      <w:pPr>
        <w:spacing w:after="0" w:line="20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 xml:space="preserve">Surplus Property Disposals </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252525"/>
        </w:rPr>
        <w:t>During 2019</w:t>
      </w:r>
      <w:r>
        <w:rPr>
          <w:rFonts w:ascii="Arial" w:cs="Arial" w:eastAsia="Arial" w:hAnsi="Arial"/>
          <w:sz w:val="18"/>
          <w:szCs w:val="18"/>
          <w:color w:val="auto"/>
        </w:rPr>
        <w:t>, the Company completed the sale of five of its U.S. surplus properties to a franchisee for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of $12.7 million, net of certain purchase price adjustments. The transaction resulted in a net gain of $3.6 million, recorded within Other restaurant operating expense in the Company’s Consolidated Statements of Operations and Comprehensive (Loss) Income.</w:t>
      </w:r>
    </w:p>
    <w:p>
      <w:pPr>
        <w:spacing w:after="0" w:line="179" w:lineRule="exact"/>
        <w:rPr>
          <w:sz w:val="20"/>
          <w:szCs w:val="20"/>
          <w:color w:val="auto"/>
        </w:rPr>
      </w:pPr>
    </w:p>
    <w:p>
      <w:pPr>
        <w:ind w:left="600" w:hanging="592"/>
        <w:spacing w:after="0"/>
        <w:tabs>
          <w:tab w:leader="none" w:pos="600" w:val="left"/>
        </w:tabs>
        <w:numPr>
          <w:ilvl w:val="0"/>
          <w:numId w:val="51"/>
        </w:numPr>
        <w:rPr>
          <w:rFonts w:ascii="Arial" w:cs="Arial" w:eastAsia="Arial" w:hAnsi="Arial"/>
          <w:sz w:val="20"/>
          <w:szCs w:val="20"/>
          <w:color w:val="auto"/>
        </w:rPr>
      </w:pPr>
      <w:r>
        <w:rPr>
          <w:rFonts w:ascii="Arial" w:cs="Arial" w:eastAsia="Arial" w:hAnsi="Arial"/>
          <w:sz w:val="20"/>
          <w:szCs w:val="20"/>
          <w:color w:val="auto"/>
        </w:rPr>
        <w:t>(Loss) Earnings Per Share</w:t>
      </w:r>
    </w:p>
    <w:p>
      <w:pPr>
        <w:spacing w:after="0" w:line="24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presents the computation of basic and diluted (loss) earnings per share attributable to common stockholders for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2018</w:t>
            </w:r>
          </w:p>
        </w:tc>
      </w:tr>
      <w:tr>
        <w:trPr>
          <w:trHeight w:val="233"/>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 attributable to Bloomin’ Brands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(158,715)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130,573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107,098</w:t>
            </w: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Redemption of preferred stock in excess of carrying value (1)</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1"/>
        </w:trPr>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 attributable to common stockholders</w:t>
            </w: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(162,211)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130,573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107,098</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weighted average common shares outstanding</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88,839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92,042</w:t>
            </w:r>
          </w:p>
        </w:tc>
      </w:tr>
      <w:tr>
        <w:trPr>
          <w:trHeight w:val="257"/>
        </w:trPr>
        <w:tc>
          <w:tcPr>
            <w:tcW w:w="6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diluted securities: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6440" w:type="dxa"/>
            <w:vAlign w:val="bottom"/>
          </w:tcPr>
          <w:p>
            <w:pPr>
              <w:ind w:left="140"/>
              <w:spacing w:after="0"/>
              <w:rPr>
                <w:sz w:val="20"/>
                <w:szCs w:val="20"/>
                <w:color w:val="auto"/>
              </w:rPr>
            </w:pPr>
            <w:r>
              <w:rPr>
                <w:rFonts w:ascii="Arial" w:cs="Arial" w:eastAsia="Arial" w:hAnsi="Arial"/>
                <w:sz w:val="16"/>
                <w:szCs w:val="16"/>
                <w:color w:val="auto"/>
              </w:rPr>
              <w:t>Stock options</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1,595</w:t>
            </w:r>
          </w:p>
        </w:tc>
      </w:tr>
      <w:tr>
        <w:trPr>
          <w:trHeight w:val="219"/>
        </w:trPr>
        <w:tc>
          <w:tcPr>
            <w:tcW w:w="6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Nonvested restricted stock units</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r>
      <w:tr>
        <w:trPr>
          <w:trHeight w:val="223"/>
        </w:trPr>
        <w:tc>
          <w:tcPr>
            <w:tcW w:w="6440" w:type="dxa"/>
            <w:vAlign w:val="bottom"/>
          </w:tcPr>
          <w:p>
            <w:pPr>
              <w:ind w:left="140"/>
              <w:spacing w:after="0"/>
              <w:rPr>
                <w:sz w:val="20"/>
                <w:szCs w:val="20"/>
                <w:color w:val="auto"/>
              </w:rPr>
            </w:pPr>
            <w:r>
              <w:rPr>
                <w:rFonts w:ascii="Arial" w:cs="Arial" w:eastAsia="Arial" w:hAnsi="Arial"/>
                <w:sz w:val="16"/>
                <w:szCs w:val="16"/>
                <w:color w:val="auto"/>
              </w:rPr>
              <w:t>Nonvested performance-based share units</w:t>
            </w:r>
          </w:p>
        </w:tc>
        <w:tc>
          <w:tcPr>
            <w:tcW w:w="3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38"/>
        </w:trPr>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weighted average common shares outstanding</w:t>
            </w: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87,468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89,777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94,075</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(loss) earnings per share attributable to common stockholders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10"/>
        </w:trPr>
        <w:tc>
          <w:tcPr>
            <w:tcW w:w="6440" w:type="dxa"/>
            <w:vAlign w:val="bottom"/>
          </w:tcPr>
          <w:p>
            <w:pPr>
              <w:ind w:left="20"/>
              <w:spacing w:after="0"/>
              <w:rPr>
                <w:sz w:val="20"/>
                <w:szCs w:val="20"/>
                <w:color w:val="auto"/>
              </w:rPr>
            </w:pPr>
            <w:r>
              <w:rPr>
                <w:rFonts w:ascii="Arial" w:cs="Arial" w:eastAsia="Arial" w:hAnsi="Arial"/>
                <w:sz w:val="16"/>
                <w:szCs w:val="16"/>
                <w:color w:val="auto"/>
              </w:rPr>
              <w:t>Diluted (loss) earnings per share attributable to common stockholders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1.14</w:t>
            </w:r>
          </w:p>
        </w:tc>
      </w:tr>
    </w:tbl>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line="257"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Consideration paid in excess of carrying value for the redemption of preferred stock is considered a deemed dividend and, for purposes of calculating earnings per share, reduces net income attributable to common stockholders during 2020. See Note 16 - </w:t>
      </w:r>
      <w:r>
        <w:rPr>
          <w:rFonts w:ascii="Arial" w:cs="Arial" w:eastAsia="Arial" w:hAnsi="Arial"/>
          <w:sz w:val="16"/>
          <w:szCs w:val="16"/>
          <w:i w:val="1"/>
          <w:iCs w:val="1"/>
          <w:color w:val="auto"/>
        </w:rPr>
        <w:t>Stockholders’ Equity</w:t>
      </w:r>
      <w:r>
        <w:rPr>
          <w:rFonts w:ascii="Arial" w:cs="Arial" w:eastAsia="Arial" w:hAnsi="Arial"/>
          <w:sz w:val="16"/>
          <w:szCs w:val="16"/>
          <w:color w:val="auto"/>
        </w:rPr>
        <w:t xml:space="preserve">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Share-based compensation-related weighted-average securities outstanding not included in the computation of net (loss) earnings per share attributable to common stockholders because their effect was antidilutive were as follows, for the periods indicated: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4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FISCAL YEAR</w:t>
            </w:r>
          </w:p>
        </w:tc>
        <w:tc>
          <w:tcPr>
            <w:tcW w:w="1540" w:type="dxa"/>
            <w:vAlign w:val="bottom"/>
            <w:tcBorders>
              <w:bottom w:val="single" w:sz="8" w:color="auto"/>
            </w:tcBorders>
          </w:tcPr>
          <w:p>
            <w:pPr>
              <w:spacing w:after="0"/>
              <w:rPr>
                <w:sz w:val="17"/>
                <w:szCs w:val="17"/>
                <w:color w:val="auto"/>
              </w:rPr>
            </w:pPr>
          </w:p>
        </w:tc>
      </w:tr>
      <w:tr>
        <w:trPr>
          <w:trHeight w:val="19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152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2018</w:t>
            </w: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5,155</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4,003</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2,879</w:t>
            </w: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Nonvested restricted stock units</w:t>
            </w:r>
          </w:p>
        </w:tc>
        <w:tc>
          <w:tcPr>
            <w:tcW w:w="1520" w:type="dxa"/>
            <w:vAlign w:val="bottom"/>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Pr>
          <w:p>
            <w:pPr>
              <w:spacing w:after="0"/>
              <w:rPr>
                <w:sz w:val="18"/>
                <w:szCs w:val="18"/>
                <w:color w:val="auto"/>
              </w:rPr>
            </w:pPr>
          </w:p>
        </w:tc>
        <w:tc>
          <w:tcPr>
            <w:tcW w:w="1540" w:type="dxa"/>
            <w:vAlign w:val="bottom"/>
          </w:tcPr>
          <w:p>
            <w:pPr>
              <w:jc w:val="right"/>
              <w:ind w:right="3"/>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performance-based share units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r>
    </w:tbl>
    <w:p>
      <w:pPr>
        <w:spacing w:after="0" w:line="3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There are approximately 19.348 million shares of the Company’s common stock that underlie its convertible senior notes based on the initial conversion rate and full principal amount. The convertible senior notes will have a dilutive impact on diluted earnings per share beginning when the average market price of the Company’s common stock for a given period exceeds the conversion price of $11.89 per share of common stock. For 2020, dilutive excess shares, if applicable, have been excluded from the computation of diluted earnings per share as the effect would be antidilutive given the Company’s net loss. Warrants to purchase approximately 19.348 million shares of the Company’s common shares at $16.64 per share were outstanding as of December 27, 2020 but were also excluded from the computation of diluted earnings per share given the Company’s net loss. Had the Company been in a net income position, the dilutive effect of its convertible senior notes and related warrants on 2020 earnings per share would have been approximately 1.8 million shares, assuming settlement of the principal in cash. See Note 14 - </w:t>
      </w:r>
      <w:r>
        <w:rPr>
          <w:rFonts w:ascii="Arial" w:cs="Arial" w:eastAsia="Arial" w:hAnsi="Arial"/>
          <w:sz w:val="18"/>
          <w:szCs w:val="18"/>
          <w:i w:val="1"/>
          <w:iCs w:val="1"/>
          <w:color w:val="auto"/>
        </w:rPr>
        <w:t>Convertible Senior Notes</w:t>
      </w:r>
      <w:r>
        <w:rPr>
          <w:rFonts w:ascii="Arial" w:cs="Arial" w:eastAsia="Arial" w:hAnsi="Arial"/>
          <w:sz w:val="18"/>
          <w:szCs w:val="18"/>
          <w:color w:val="auto"/>
        </w:rPr>
        <w:t xml:space="preserve"> for additional information regarding the Company’s convertible senior notes.</w:t>
      </w:r>
    </w:p>
    <w:p>
      <w:pPr>
        <w:spacing w:after="0" w:line="200" w:lineRule="exact"/>
        <w:rPr>
          <w:sz w:val="20"/>
          <w:szCs w:val="20"/>
          <w:color w:val="auto"/>
        </w:rPr>
      </w:pPr>
    </w:p>
    <w:p>
      <w:pPr>
        <w:ind w:left="700" w:hanging="692"/>
        <w:spacing w:after="0"/>
        <w:tabs>
          <w:tab w:leader="none" w:pos="700" w:val="left"/>
        </w:tabs>
        <w:numPr>
          <w:ilvl w:val="0"/>
          <w:numId w:val="53"/>
        </w:numPr>
        <w:rPr>
          <w:rFonts w:ascii="Arial" w:cs="Arial" w:eastAsia="Arial" w:hAnsi="Arial"/>
          <w:sz w:val="20"/>
          <w:szCs w:val="20"/>
          <w:color w:val="auto"/>
        </w:rPr>
      </w:pPr>
      <w:r>
        <w:rPr>
          <w:rFonts w:ascii="Arial" w:cs="Arial" w:eastAsia="Arial" w:hAnsi="Arial"/>
          <w:sz w:val="20"/>
          <w:szCs w:val="20"/>
          <w:color w:val="auto"/>
        </w:rPr>
        <w:t>Stock-based and Deferred Compensation Plans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Stock-based Compensation Plans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The Company recognized stock-based compensation expense as follows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2018</w:t>
            </w: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6,378</w:t>
            </w: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Restricted stock units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8,559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8,949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9,143</w:t>
            </w:r>
          </w:p>
        </w:tc>
      </w:tr>
      <w:tr>
        <w:trPr>
          <w:trHeight w:val="226"/>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Performance-based share units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5,471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6,911</w:t>
            </w:r>
          </w:p>
        </w:tc>
      </w:tr>
      <w:tr>
        <w:trPr>
          <w:trHeight w:val="213"/>
        </w:trPr>
        <w:tc>
          <w:tcPr>
            <w:tcW w:w="644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14,716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19,690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22,432</w:t>
            </w:r>
          </w:p>
        </w:tc>
      </w:tr>
      <w:tr>
        <w:trPr>
          <w:trHeight w:val="23"/>
        </w:trPr>
        <w:tc>
          <w:tcPr>
            <w:tcW w:w="6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9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Stock Options </w:t>
      </w:r>
      <w:r>
        <w:rPr>
          <w:rFonts w:ascii="Arial" w:cs="Arial" w:eastAsia="Arial" w:hAnsi="Arial"/>
          <w:sz w:val="20"/>
          <w:szCs w:val="20"/>
          <w:color w:val="auto"/>
        </w:rPr>
        <w:t>- Stock options generally vest and become exercisable over a period of four years in an equal number of shares each year.</w:t>
      </w:r>
      <w:r>
        <w:rPr>
          <w:rFonts w:ascii="Arial" w:cs="Arial" w:eastAsia="Arial" w:hAnsi="Arial"/>
          <w:sz w:val="20"/>
          <w:szCs w:val="20"/>
          <w:i w:val="1"/>
          <w:iCs w:val="1"/>
          <w:color w:val="auto"/>
        </w:rPr>
        <w:t xml:space="preserve"> </w:t>
      </w:r>
      <w:r>
        <w:rPr>
          <w:rFonts w:ascii="Arial" w:cs="Arial" w:eastAsia="Arial" w:hAnsi="Arial"/>
          <w:sz w:val="20"/>
          <w:szCs w:val="20"/>
          <w:color w:val="auto"/>
        </w:rPr>
        <w:t>Stock options have an exercisable life of no more than ten years from the date of grant. The Company settles stock option exercises with authorized but unissued shares of the Company’s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a summary of the Company’s stock option activity:</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WEIGHTED-</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1"/>
                <w:szCs w:val="11"/>
                <w:color w:val="auto"/>
              </w:rPr>
            </w:pPr>
          </w:p>
        </w:tc>
        <w:tc>
          <w:tcPr>
            <w:tcW w:w="1340" w:type="dxa"/>
            <w:vAlign w:val="bottom"/>
            <w:vMerge w:val="restart"/>
          </w:tcPr>
          <w:p>
            <w:pPr>
              <w:jc w:val="center"/>
              <w:ind w:right="124"/>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AVERAGE</w:t>
            </w: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exercise price and contractual life)</w:t>
            </w:r>
          </w:p>
        </w:tc>
        <w:tc>
          <w:tcPr>
            <w:tcW w:w="150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EXERCISE</w:t>
            </w: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CONTRACTUAL</w:t>
            </w:r>
          </w:p>
        </w:tc>
        <w:tc>
          <w:tcPr>
            <w:tcW w:w="200" w:type="dxa"/>
            <w:vAlign w:val="bottom"/>
          </w:tcPr>
          <w:p>
            <w:pPr>
              <w:spacing w:after="0"/>
              <w:rPr>
                <w:sz w:val="11"/>
                <w:szCs w:val="11"/>
                <w:color w:val="auto"/>
              </w:rPr>
            </w:pPr>
          </w:p>
        </w:tc>
        <w:tc>
          <w:tcPr>
            <w:tcW w:w="1340" w:type="dxa"/>
            <w:vAlign w:val="bottom"/>
          </w:tcPr>
          <w:p>
            <w:pPr>
              <w:jc w:val="center"/>
              <w:ind w:right="104"/>
              <w:spacing w:after="0" w:line="135"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96"/>
        </w:trPr>
        <w:tc>
          <w:tcPr>
            <w:tcW w:w="4820" w:type="dxa"/>
            <w:vAlign w:val="bottom"/>
            <w:tcBorders>
              <w:bottom w:val="single" w:sz="8" w:color="CCEEFF"/>
            </w:tcBorders>
            <w:vMerge w:val="continue"/>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rPr>
              <w:t>PRICE</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December 29, 2019</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19.40</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18,961</w:t>
            </w:r>
          </w:p>
        </w:tc>
        <w:tc>
          <w:tcPr>
            <w:tcW w:w="0" w:type="dxa"/>
            <w:vAlign w:val="bottom"/>
          </w:tcPr>
          <w:p>
            <w:pPr>
              <w:spacing w:after="0"/>
              <w:rPr>
                <w:sz w:val="1"/>
                <w:szCs w:val="1"/>
                <w:color w:val="auto"/>
              </w:rPr>
            </w:pPr>
          </w:p>
        </w:tc>
      </w:tr>
      <w:tr>
        <w:trPr>
          <w:trHeight w:val="213"/>
        </w:trPr>
        <w:tc>
          <w:tcPr>
            <w:tcW w:w="4820" w:type="dxa"/>
            <w:vAlign w:val="bottom"/>
          </w:tcPr>
          <w:p>
            <w:pPr>
              <w:ind w:left="2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spacing w:after="0"/>
              <w:rPr>
                <w:sz w:val="20"/>
                <w:szCs w:val="20"/>
                <w:color w:val="auto"/>
              </w:rPr>
            </w:pPr>
            <w:r>
              <w:rPr>
                <w:rFonts w:ascii="Arial" w:cs="Arial" w:eastAsia="Arial" w:hAnsi="Arial"/>
                <w:sz w:val="16"/>
                <w:szCs w:val="16"/>
                <w:color w:val="auto"/>
              </w:rPr>
              <w:t>100</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18.45</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 or expired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w:t>
            </w:r>
          </w:p>
        </w:tc>
        <w:tc>
          <w:tcPr>
            <w:tcW w:w="3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20.82</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December 27, 2020</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5,422</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19.76</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6,575</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Exercisable as of December 27, 2020</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20" w:type="dxa"/>
            <w:vAlign w:val="bottom"/>
            <w:vMerge w:val="continue"/>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4,287</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19.61</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6"/>
                <w:szCs w:val="16"/>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6,147</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Assumptions used in the Black-Scholes option pricing model and the weighted-average fair value of option awards granted were as follows for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2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196"/>
        </w:trPr>
        <w:tc>
          <w:tcPr>
            <w:tcW w:w="62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2018</w:t>
            </w:r>
          </w:p>
        </w:tc>
      </w:tr>
      <w:tr>
        <w:trPr>
          <w:trHeight w:val="20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Assumptions:</w:t>
            </w: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3"/>
        </w:trPr>
        <w:tc>
          <w:tcPr>
            <w:tcW w:w="6200" w:type="dxa"/>
            <w:vAlign w:val="bottom"/>
          </w:tcPr>
          <w:p>
            <w:pPr>
              <w:ind w:left="140"/>
              <w:spacing w:after="0"/>
              <w:rPr>
                <w:sz w:val="20"/>
                <w:szCs w:val="20"/>
                <w:color w:val="auto"/>
              </w:rPr>
            </w:pPr>
            <w:r>
              <w:rPr>
                <w:rFonts w:ascii="Arial" w:cs="Arial" w:eastAsia="Arial" w:hAnsi="Arial"/>
                <w:sz w:val="16"/>
                <w:szCs w:val="16"/>
                <w:color w:val="auto"/>
              </w:rPr>
              <w:t>Weighted-average risk-free interest rate (1)</w:t>
            </w: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0.90 %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2.34 %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2.66 %</w:t>
            </w:r>
          </w:p>
        </w:tc>
      </w:tr>
      <w:tr>
        <w:trPr>
          <w:trHeight w:val="219"/>
        </w:trPr>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 yield (2)</w:t>
            </w: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1.50 %</w:t>
            </w:r>
          </w:p>
        </w:tc>
      </w:tr>
      <w:tr>
        <w:trPr>
          <w:trHeight w:val="213"/>
        </w:trPr>
        <w:tc>
          <w:tcPr>
            <w:tcW w:w="6200" w:type="dxa"/>
            <w:vAlign w:val="bottom"/>
          </w:tcPr>
          <w:p>
            <w:pPr>
              <w:ind w:left="140"/>
              <w:spacing w:after="0"/>
              <w:rPr>
                <w:sz w:val="20"/>
                <w:szCs w:val="20"/>
                <w:color w:val="auto"/>
              </w:rPr>
            </w:pPr>
            <w:r>
              <w:rPr>
                <w:rFonts w:ascii="Arial" w:cs="Arial" w:eastAsia="Arial" w:hAnsi="Arial"/>
                <w:sz w:val="16"/>
                <w:szCs w:val="16"/>
                <w:color w:val="auto"/>
              </w:rPr>
              <w:t>Expected term (3)</w:t>
            </w:r>
          </w:p>
        </w:tc>
        <w:tc>
          <w:tcPr>
            <w:tcW w:w="960" w:type="dxa"/>
            <w:vAlign w:val="bottom"/>
          </w:tcPr>
          <w:p>
            <w:pPr>
              <w:spacing w:after="0"/>
              <w:rPr>
                <w:sz w:val="18"/>
                <w:szCs w:val="18"/>
                <w:color w:val="auto"/>
              </w:rPr>
            </w:pPr>
          </w:p>
        </w:tc>
        <w:tc>
          <w:tcPr>
            <w:tcW w:w="740" w:type="dxa"/>
            <w:vAlign w:val="bottom"/>
            <w:gridSpan w:val="2"/>
          </w:tcPr>
          <w:p>
            <w:pPr>
              <w:ind w:left="40"/>
              <w:spacing w:after="0"/>
              <w:rPr>
                <w:sz w:val="20"/>
                <w:szCs w:val="20"/>
                <w:color w:val="auto"/>
              </w:rPr>
            </w:pPr>
            <w:r>
              <w:rPr>
                <w:rFonts w:ascii="Arial" w:cs="Arial" w:eastAsia="Arial" w:hAnsi="Arial"/>
                <w:sz w:val="16"/>
                <w:szCs w:val="16"/>
                <w:color w:val="auto"/>
              </w:rPr>
              <w:t>5.5 years</w:t>
            </w:r>
          </w:p>
        </w:tc>
        <w:tc>
          <w:tcPr>
            <w:tcW w:w="220" w:type="dxa"/>
            <w:vAlign w:val="bottom"/>
          </w:tcPr>
          <w:p>
            <w:pPr>
              <w:spacing w:after="0"/>
              <w:rPr>
                <w:sz w:val="18"/>
                <w:szCs w:val="18"/>
                <w:color w:val="auto"/>
              </w:rPr>
            </w:pPr>
          </w:p>
        </w:tc>
        <w:tc>
          <w:tcPr>
            <w:tcW w:w="1500" w:type="dxa"/>
            <w:vAlign w:val="bottom"/>
            <w:gridSpan w:val="2"/>
          </w:tcPr>
          <w:p>
            <w:pPr>
              <w:ind w:left="780"/>
              <w:spacing w:after="0"/>
              <w:rPr>
                <w:sz w:val="20"/>
                <w:szCs w:val="20"/>
                <w:color w:val="auto"/>
              </w:rPr>
            </w:pPr>
            <w:r>
              <w:rPr>
                <w:rFonts w:ascii="Arial" w:cs="Arial" w:eastAsia="Arial" w:hAnsi="Arial"/>
                <w:sz w:val="16"/>
                <w:szCs w:val="16"/>
                <w:color w:val="auto"/>
              </w:rPr>
              <w:t>4.8 years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 years</w:t>
            </w:r>
          </w:p>
        </w:tc>
      </w:tr>
      <w:tr>
        <w:trPr>
          <w:trHeight w:val="219"/>
        </w:trPr>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Weighted-average volatility (4)</w:t>
            </w: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31.05 %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32.76 %</w:t>
            </w:r>
          </w:p>
        </w:tc>
      </w:tr>
      <w:tr>
        <w:trPr>
          <w:trHeight w:val="257"/>
        </w:trPr>
        <w:tc>
          <w:tcPr>
            <w:tcW w:w="6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grant date fair value per option</w:t>
            </w:r>
          </w:p>
        </w:tc>
        <w:tc>
          <w:tcPr>
            <w:tcW w:w="960" w:type="dxa"/>
            <w:vAlign w:val="bottom"/>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5.07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7.23</w:t>
            </w:r>
          </w:p>
        </w:tc>
      </w:tr>
      <w:tr>
        <w:trPr>
          <w:trHeight w:val="274"/>
        </w:trPr>
        <w:tc>
          <w:tcPr>
            <w:tcW w:w="6200" w:type="dxa"/>
            <w:vAlign w:val="bottom"/>
          </w:tcPr>
          <w:p>
            <w:pPr>
              <w:spacing w:after="0"/>
              <w:rPr>
                <w:sz w:val="20"/>
                <w:szCs w:val="20"/>
                <w:color w:val="auto"/>
              </w:rPr>
            </w:pPr>
            <w:r>
              <w:rPr>
                <w:rFonts w:ascii="Arial" w:cs="Arial" w:eastAsia="Arial" w:hAnsi="Arial"/>
                <w:sz w:val="16"/>
                <w:szCs w:val="16"/>
                <w:color w:val="auto"/>
              </w:rPr>
              <w:t>________________</w:t>
            </w:r>
          </w:p>
        </w:tc>
        <w:tc>
          <w:tcPr>
            <w:tcW w:w="9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r>
    </w:tbl>
    <w:p>
      <w:pPr>
        <w:ind w:left="660" w:hanging="652"/>
        <w:spacing w:after="0"/>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Risk-free interest rate is the U.S. Treasury yield curve in effect as of the grant date for periods within the expected term of the option.</w:t>
      </w:r>
    </w:p>
    <w:p>
      <w:pPr>
        <w:spacing w:after="0" w:line="5" w:lineRule="exact"/>
        <w:rPr>
          <w:rFonts w:ascii="Arial" w:cs="Arial" w:eastAsia="Arial" w:hAnsi="Arial"/>
          <w:sz w:val="16"/>
          <w:szCs w:val="16"/>
          <w:color w:val="auto"/>
        </w:rPr>
      </w:pPr>
    </w:p>
    <w:p>
      <w:pPr>
        <w:jc w:val="both"/>
        <w:ind w:left="660" w:hanging="652"/>
        <w:spacing w:after="0" w:line="246"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Dividend yield is the level of dividends expected to be paid on the Company’s common stock over the expected term of the option. The dividend yield during 2020 relates to options granted prior the Company’s Amended Credit Agreement which restricts the payment of dividends. See Note 13 - </w:t>
      </w:r>
      <w:r>
        <w:rPr>
          <w:rFonts w:ascii="Arial" w:cs="Arial" w:eastAsia="Arial" w:hAnsi="Arial"/>
          <w:sz w:val="16"/>
          <w:szCs w:val="16"/>
          <w:i w:val="1"/>
          <w:iCs w:val="1"/>
          <w:color w:val="auto"/>
        </w:rPr>
        <w:t>Long-term Debt, Net</w:t>
      </w:r>
      <w:r>
        <w:rPr>
          <w:rFonts w:ascii="Arial" w:cs="Arial" w:eastAsia="Arial" w:hAnsi="Arial"/>
          <w:sz w:val="16"/>
          <w:szCs w:val="16"/>
          <w:color w:val="auto"/>
        </w:rPr>
        <w:t xml:space="preserve"> for dividend restriction details.</w:t>
      </w:r>
    </w:p>
    <w:p>
      <w:pPr>
        <w:spacing w:after="0" w:line="1" w:lineRule="exact"/>
        <w:rPr>
          <w:rFonts w:ascii="Arial" w:cs="Arial" w:eastAsia="Arial" w:hAnsi="Arial"/>
          <w:sz w:val="16"/>
          <w:szCs w:val="16"/>
          <w:color w:val="auto"/>
        </w:rPr>
      </w:pPr>
    </w:p>
    <w:p>
      <w:pPr>
        <w:ind w:left="660" w:hanging="652"/>
        <w:spacing w:after="0" w:line="246"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Expected term represents the period of time that the options are expected to be outstanding. The Company estimates the expected term based on historical exercise experience for its stock options.</w:t>
      </w:r>
    </w:p>
    <w:p>
      <w:pPr>
        <w:ind w:left="660" w:hanging="652"/>
        <w:spacing w:after="0"/>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the historical volatility of the Company’s stock.</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represents stock option compensation information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2018</w:t>
            </w: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Intrinsic value of options exercised</w:t>
            </w: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7,929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52,247</w:t>
            </w: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Cash received from option exercises, net of tax withholding</w:t>
            </w: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4,609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6,501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40,501</w:t>
            </w: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stock options vested</w:t>
            </w: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18,136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34,316</w:t>
            </w: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Tax benefits for stock option compensation expense (1)</w:t>
            </w: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535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1,932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13,085</w:t>
            </w:r>
          </w:p>
        </w:tc>
      </w:tr>
      <w:tr>
        <w:trPr>
          <w:trHeight w:val="259"/>
        </w:trPr>
        <w:tc>
          <w:tcPr>
            <w:tcW w:w="64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Unrecognized stock option expense</w:t>
            </w: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Remaining weighted-average vesting period</w:t>
            </w:r>
          </w:p>
        </w:tc>
        <w:tc>
          <w:tcPr>
            <w:tcW w:w="9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1.3 years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line="257"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Includes excess tax benefits for tax deductions related to the exercise of stock options of $0.3 million, $0.2 million and $8.0 million during 2020, 2019 and 2018, respectively.</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Restricted Stock Units </w:t>
      </w:r>
      <w:r>
        <w:rPr>
          <w:rFonts w:ascii="Arial" w:cs="Arial" w:eastAsia="Arial" w:hAnsi="Arial"/>
          <w:sz w:val="20"/>
          <w:szCs w:val="20"/>
          <w:color w:val="auto"/>
        </w:rPr>
        <w:t>- Beginning in 2019, restricted stock units granted generally vest over a period of three years and restricted stock units</w:t>
      </w:r>
      <w:r>
        <w:rPr>
          <w:rFonts w:ascii="Arial" w:cs="Arial" w:eastAsia="Arial" w:hAnsi="Arial"/>
          <w:sz w:val="20"/>
          <w:szCs w:val="20"/>
          <w:i w:val="1"/>
          <w:iCs w:val="1"/>
          <w:color w:val="auto"/>
        </w:rPr>
        <w:t xml:space="preserve"> </w:t>
      </w:r>
      <w:r>
        <w:rPr>
          <w:rFonts w:ascii="Arial" w:cs="Arial" w:eastAsia="Arial" w:hAnsi="Arial"/>
          <w:sz w:val="20"/>
          <w:szCs w:val="20"/>
          <w:color w:val="auto"/>
        </w:rPr>
        <w:t>granted prior to 2019 generally vest over a period of four years, in an equal number of shares each year. Following is a summary of the Company’s restricted stock unit activity:</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ind w:right="64"/>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8080" w:type="dxa"/>
            <w:vAlign w:val="bottom"/>
          </w:tcPr>
          <w:p>
            <w:pPr>
              <w:spacing w:after="0"/>
              <w:rPr>
                <w:sz w:val="11"/>
                <w:szCs w:val="11"/>
                <w:color w:val="auto"/>
              </w:rPr>
            </w:pPr>
          </w:p>
        </w:tc>
        <w:tc>
          <w:tcPr>
            <w:tcW w:w="152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808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35"/>
        </w:trPr>
        <w:tc>
          <w:tcPr>
            <w:tcW w:w="8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15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RESTRICTED STOCK</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jc w:val="center"/>
              <w:ind w:right="44"/>
              <w:spacing w:after="0" w:line="135" w:lineRule="exact"/>
              <w:rPr>
                <w:sz w:val="20"/>
                <w:szCs w:val="20"/>
                <w:color w:val="auto"/>
              </w:rPr>
            </w:pPr>
            <w:r>
              <w:rPr>
                <w:rFonts w:ascii="Arial" w:cs="Arial" w:eastAsia="Arial" w:hAnsi="Arial"/>
                <w:sz w:val="14"/>
                <w:szCs w:val="14"/>
                <w:b w:val="1"/>
                <w:bCs w:val="1"/>
                <w:color w:val="auto"/>
              </w:rPr>
              <w:t>FAIR VALUE PER</w:t>
            </w:r>
          </w:p>
        </w:tc>
        <w:tc>
          <w:tcPr>
            <w:tcW w:w="0" w:type="dxa"/>
            <w:vAlign w:val="bottom"/>
          </w:tcPr>
          <w:p>
            <w:pPr>
              <w:spacing w:after="0"/>
              <w:rPr>
                <w:sz w:val="1"/>
                <w:szCs w:val="1"/>
                <w:color w:val="auto"/>
              </w:rPr>
            </w:pPr>
          </w:p>
        </w:tc>
      </w:tr>
      <w:tr>
        <w:trPr>
          <w:trHeight w:val="196"/>
        </w:trPr>
        <w:tc>
          <w:tcPr>
            <w:tcW w:w="8080" w:type="dxa"/>
            <w:vAlign w:val="bottom"/>
            <w:tcBorders>
              <w:bottom w:val="single" w:sz="8" w:color="CCEEFF"/>
            </w:tcBorders>
            <w:vMerge w:val="continue"/>
          </w:tcPr>
          <w:p>
            <w:pPr>
              <w:spacing w:after="0"/>
              <w:rPr>
                <w:sz w:val="17"/>
                <w:szCs w:val="17"/>
                <w:color w:val="auto"/>
              </w:rPr>
            </w:pPr>
          </w:p>
        </w:tc>
        <w:tc>
          <w:tcPr>
            <w:tcW w:w="15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UNIT AWARDS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6"/>
              </w:rPr>
              <w:t>AWARD</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December 29, 2019</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18.91</w:t>
            </w:r>
          </w:p>
        </w:tc>
        <w:tc>
          <w:tcPr>
            <w:tcW w:w="0" w:type="dxa"/>
            <w:vAlign w:val="bottom"/>
          </w:tcPr>
          <w:p>
            <w:pPr>
              <w:spacing w:after="0"/>
              <w:rPr>
                <w:sz w:val="1"/>
                <w:szCs w:val="1"/>
                <w:color w:val="auto"/>
              </w:rPr>
            </w:pP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color w:val="auto"/>
              </w:rPr>
              <w:t>Granted</w:t>
            </w:r>
          </w:p>
        </w:tc>
        <w:tc>
          <w:tcPr>
            <w:tcW w:w="1520" w:type="dxa"/>
            <w:vAlign w:val="bottom"/>
          </w:tcPr>
          <w:p>
            <w:pPr>
              <w:jc w:val="right"/>
              <w:spacing w:after="0"/>
              <w:rPr>
                <w:sz w:val="20"/>
                <w:szCs w:val="20"/>
                <w:color w:val="auto"/>
              </w:rPr>
            </w:pPr>
            <w:r>
              <w:rPr>
                <w:rFonts w:ascii="Arial" w:cs="Arial" w:eastAsia="Arial" w:hAnsi="Arial"/>
                <w:sz w:val="16"/>
                <w:szCs w:val="16"/>
                <w:color w:val="auto"/>
              </w:rPr>
              <w:t>484</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16.66</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18.25</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2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19.27</w:t>
            </w:r>
          </w:p>
        </w:tc>
        <w:tc>
          <w:tcPr>
            <w:tcW w:w="0" w:type="dxa"/>
            <w:vAlign w:val="bottom"/>
          </w:tcPr>
          <w:p>
            <w:pPr>
              <w:spacing w:after="0"/>
              <w:rPr>
                <w:sz w:val="1"/>
                <w:szCs w:val="1"/>
                <w:color w:val="auto"/>
              </w:rPr>
            </w:pPr>
          </w:p>
        </w:tc>
      </w:tr>
      <w:tr>
        <w:trPr>
          <w:trHeight w:val="241"/>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December 27, 2020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18.12</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represents restricted stock unit compensation information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2018</w:t>
            </w: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restricted stock vested</w:t>
            </w: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8,200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9,705</w:t>
            </w: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Tax benefits for restricted stock compensation expense</w:t>
            </w: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1,614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
              <w:spacing w:after="0"/>
              <w:rPr>
                <w:sz w:val="20"/>
                <w:szCs w:val="20"/>
                <w:color w:val="auto"/>
              </w:rPr>
            </w:pPr>
            <w:r>
              <w:rPr>
                <w:rFonts w:ascii="Arial" w:cs="Arial" w:eastAsia="Arial" w:hAnsi="Arial"/>
                <w:sz w:val="16"/>
                <w:szCs w:val="16"/>
                <w:color w:val="auto"/>
              </w:rPr>
              <w:t>1,672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2,938</w:t>
            </w:r>
          </w:p>
        </w:tc>
      </w:tr>
      <w:tr>
        <w:trPr>
          <w:trHeight w:val="259"/>
        </w:trPr>
        <w:tc>
          <w:tcPr>
            <w:tcW w:w="64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Unrecognized restricted stock expense</w:t>
            </w: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11,437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Remaining weighted-average vesting period</w:t>
            </w:r>
          </w:p>
        </w:tc>
        <w:tc>
          <w:tcPr>
            <w:tcW w:w="9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1.8 years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bl>
    <w:p>
      <w:pPr>
        <w:spacing w:after="0" w:line="307" w:lineRule="exact"/>
        <w:rPr>
          <w:sz w:val="20"/>
          <w:szCs w:val="20"/>
          <w:color w:val="auto"/>
        </w:rPr>
      </w:pPr>
    </w:p>
    <w:p>
      <w:pPr>
        <w:jc w:val="both"/>
        <w:spacing w:after="0" w:line="260" w:lineRule="auto"/>
        <w:rPr>
          <w:sz w:val="20"/>
          <w:szCs w:val="20"/>
          <w:color w:val="auto"/>
        </w:rPr>
      </w:pPr>
      <w:r>
        <w:rPr>
          <w:rFonts w:ascii="Arial" w:cs="Arial" w:eastAsia="Arial" w:hAnsi="Arial"/>
          <w:sz w:val="19"/>
          <w:szCs w:val="19"/>
          <w:i w:val="1"/>
          <w:iCs w:val="1"/>
          <w:color w:val="auto"/>
        </w:rPr>
        <w:t xml:space="preserve">Performance-based Share Units (“PSUs”) </w:t>
      </w:r>
      <w:r>
        <w:rPr>
          <w:rFonts w:ascii="Arial" w:cs="Arial" w:eastAsia="Arial" w:hAnsi="Arial"/>
          <w:sz w:val="19"/>
          <w:szCs w:val="19"/>
          <w:color w:val="auto"/>
        </w:rPr>
        <w:t>- The number of PSUs that vest is determined for each year based on the achievement of certain</w:t>
      </w:r>
      <w:r>
        <w:rPr>
          <w:rFonts w:ascii="Arial" w:cs="Arial" w:eastAsia="Arial" w:hAnsi="Arial"/>
          <w:sz w:val="19"/>
          <w:szCs w:val="19"/>
          <w:i w:val="1"/>
          <w:iCs w:val="1"/>
          <w:color w:val="auto"/>
        </w:rPr>
        <w:t xml:space="preserve"> </w:t>
      </w:r>
      <w:r>
        <w:rPr>
          <w:rFonts w:ascii="Arial" w:cs="Arial" w:eastAsia="Arial" w:hAnsi="Arial"/>
          <w:sz w:val="19"/>
          <w:szCs w:val="19"/>
          <w:color w:val="auto"/>
        </w:rPr>
        <w:t>performance criteria as set forth in the award agreement and may range from zero to 200% of the annual target grant. The PSUs are settled in shares of common stock, with holders receiving one share of common stock for each performance-based share unit that vests. The fair value of PSUs is based on the closing price of the Company’s common stock on the grant date. Compensation expense for PSUs is recognized over the vesting period when it is probable the performance criteria will be achieved.</w:t>
      </w:r>
    </w:p>
    <w:p>
      <w:pPr>
        <w:sectPr>
          <w:pgSz w:w="11900" w:h="16838" w:orient="portrait"/>
          <w:cols w:equalWidth="0" w:num="1">
            <w:col w:w="11240"/>
          </w:cols>
          <w:pgMar w:left="320" w:top="121"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Company’s PSU activity: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(shares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45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Outstanding as of December 29, 2019</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Vested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631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Outstanding as of December 27,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ind w:right="64"/>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15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PERFORMANCE-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35"/>
        </w:trPr>
        <w:tc>
          <w:tcPr>
            <w:tcW w:w="15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jc w:val="center"/>
              <w:ind w:right="44"/>
              <w:spacing w:after="0" w:line="135" w:lineRule="exact"/>
              <w:rPr>
                <w:sz w:val="20"/>
                <w:szCs w:val="20"/>
                <w:color w:val="auto"/>
              </w:rPr>
            </w:pPr>
            <w:r>
              <w:rPr>
                <w:rFonts w:ascii="Arial" w:cs="Arial" w:eastAsia="Arial" w:hAnsi="Arial"/>
                <w:sz w:val="14"/>
                <w:szCs w:val="14"/>
                <w:b w:val="1"/>
                <w:bCs w:val="1"/>
                <w:color w:val="auto"/>
              </w:rPr>
              <w:t>FAIR VALUE PER</w:t>
            </w:r>
          </w:p>
        </w:tc>
        <w:tc>
          <w:tcPr>
            <w:tcW w:w="0" w:type="dxa"/>
            <w:vAlign w:val="bottom"/>
          </w:tcPr>
          <w:p>
            <w:pPr>
              <w:spacing w:after="0"/>
              <w:rPr>
                <w:sz w:val="1"/>
                <w:szCs w:val="1"/>
                <w:color w:val="auto"/>
              </w:rPr>
            </w:pPr>
          </w:p>
        </w:tc>
      </w:tr>
      <w:tr>
        <w:trPr>
          <w:trHeight w:val="196"/>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BASED SHARE UNITS</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6"/>
              </w:rPr>
              <w:t>AWARD</w:t>
            </w:r>
          </w:p>
        </w:tc>
        <w:tc>
          <w:tcPr>
            <w:tcW w:w="0" w:type="dxa"/>
            <w:vAlign w:val="bottom"/>
          </w:tcPr>
          <w:p>
            <w:pPr>
              <w:spacing w:after="0"/>
              <w:rPr>
                <w:sz w:val="1"/>
                <w:szCs w:val="1"/>
                <w:color w:val="auto"/>
              </w:rPr>
            </w:pPr>
          </w:p>
        </w:tc>
      </w:tr>
      <w:tr>
        <w:trPr>
          <w:trHeight w:val="210"/>
        </w:trPr>
        <w:tc>
          <w:tcPr>
            <w:tcW w:w="1520" w:type="dxa"/>
            <w:vAlign w:val="bottom"/>
          </w:tcPr>
          <w:p>
            <w:pPr>
              <w:jc w:val="right"/>
              <w:spacing w:after="0"/>
              <w:rPr>
                <w:sz w:val="20"/>
                <w:szCs w:val="20"/>
                <w:color w:val="auto"/>
              </w:rPr>
            </w:pPr>
            <w:r>
              <w:rPr>
                <w:rFonts w:ascii="Arial" w:cs="Arial" w:eastAsia="Arial" w:hAnsi="Arial"/>
                <w:sz w:val="16"/>
                <w:szCs w:val="16"/>
                <w:color w:val="auto"/>
              </w:rPr>
              <w:t>532</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19.42</w:t>
            </w:r>
          </w:p>
        </w:tc>
        <w:tc>
          <w:tcPr>
            <w:tcW w:w="0" w:type="dxa"/>
            <w:vAlign w:val="bottom"/>
          </w:tcPr>
          <w:p>
            <w:pPr>
              <w:spacing w:after="0"/>
              <w:rPr>
                <w:sz w:val="1"/>
                <w:szCs w:val="1"/>
                <w:color w:val="auto"/>
              </w:rPr>
            </w:pPr>
          </w:p>
        </w:tc>
      </w:tr>
      <w:tr>
        <w:trPr>
          <w:trHeight w:val="216"/>
        </w:trPr>
        <w:tc>
          <w:tcPr>
            <w:tcW w:w="1520" w:type="dxa"/>
            <w:vAlign w:val="bottom"/>
          </w:tcPr>
          <w:p>
            <w:pPr>
              <w:jc w:val="right"/>
              <w:spacing w:after="0"/>
              <w:rPr>
                <w:sz w:val="20"/>
                <w:szCs w:val="20"/>
                <w:color w:val="auto"/>
              </w:rPr>
            </w:pPr>
            <w:r>
              <w:rPr>
                <w:rFonts w:ascii="Arial" w:cs="Arial" w:eastAsia="Arial" w:hAnsi="Arial"/>
                <w:sz w:val="16"/>
                <w:szCs w:val="16"/>
                <w:color w:val="auto"/>
              </w:rPr>
              <w:t>522</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19.14</w:t>
            </w:r>
          </w:p>
        </w:tc>
        <w:tc>
          <w:tcPr>
            <w:tcW w:w="0" w:type="dxa"/>
            <w:vAlign w:val="bottom"/>
          </w:tcPr>
          <w:p>
            <w:pPr>
              <w:spacing w:after="0"/>
              <w:rPr>
                <w:sz w:val="1"/>
                <w:szCs w:val="1"/>
                <w:color w:val="auto"/>
              </w:rPr>
            </w:pPr>
          </w:p>
        </w:tc>
      </w:tr>
      <w:tr>
        <w:trPr>
          <w:trHeight w:val="216"/>
        </w:trPr>
        <w:tc>
          <w:tcPr>
            <w:tcW w:w="1520" w:type="dxa"/>
            <w:vAlign w:val="bottom"/>
          </w:tcPr>
          <w:p>
            <w:pPr>
              <w:jc w:val="right"/>
              <w:spacing w:after="0"/>
              <w:rPr>
                <w:sz w:val="20"/>
                <w:szCs w:val="20"/>
                <w:color w:val="auto"/>
              </w:rPr>
            </w:pPr>
            <w:r>
              <w:rPr>
                <w:rFonts w:ascii="Arial" w:cs="Arial" w:eastAsia="Arial" w:hAnsi="Arial"/>
                <w:sz w:val="16"/>
                <w:szCs w:val="16"/>
                <w:color w:val="auto"/>
              </w:rPr>
              <w:t>(291)</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16.51</w:t>
            </w:r>
          </w:p>
        </w:tc>
        <w:tc>
          <w:tcPr>
            <w:tcW w:w="0" w:type="dxa"/>
            <w:vAlign w:val="bottom"/>
          </w:tcPr>
          <w:p>
            <w:pPr>
              <w:spacing w:after="0"/>
              <w:rPr>
                <w:sz w:val="1"/>
                <w:szCs w:val="1"/>
                <w:color w:val="auto"/>
              </w:rPr>
            </w:pPr>
          </w:p>
        </w:tc>
      </w:tr>
      <w:tr>
        <w:trPr>
          <w:trHeight w:val="229"/>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20.13</w:t>
            </w: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20.37</w:t>
            </w:r>
          </w:p>
        </w:tc>
        <w:tc>
          <w:tcPr>
            <w:tcW w:w="0" w:type="dxa"/>
            <w:vAlign w:val="bottom"/>
          </w:tcPr>
          <w:p>
            <w:pPr>
              <w:spacing w:after="0"/>
              <w:rPr>
                <w:sz w:val="1"/>
                <w:szCs w:val="1"/>
                <w:color w:val="auto"/>
              </w:rPr>
            </w:pP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360" w:space="720"/>
            <w:col w:w="3160"/>
          </w:cols>
          <w:pgMar w:left="320" w:top="121" w:right="339" w:bottom="1440" w:gutter="0" w:footer="0" w:header="0"/>
          <w:type w:val="continuous"/>
        </w:sectPr>
      </w:pP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represents PSU compensation information for the periods indicated: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96"/>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2018</w:t>
            </w: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benefits for PSU compensation expense</w:t>
            </w:r>
          </w:p>
        </w:tc>
        <w:tc>
          <w:tcPr>
            <w:tcW w:w="860" w:type="dxa"/>
            <w:vAlign w:val="bottom"/>
            <w:shd w:val="clear" w:color="auto" w:fill="CCEEFF"/>
          </w:tcPr>
          <w:p>
            <w:pPr>
              <w:jc w:val="right"/>
              <w:ind w:right="681"/>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1,570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857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r>
      <w:tr>
        <w:trPr>
          <w:trHeight w:val="270"/>
        </w:trPr>
        <w:tc>
          <w:tcPr>
            <w:tcW w:w="70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Unrecognized PSU expense</w:t>
            </w:r>
          </w:p>
        </w:tc>
        <w:tc>
          <w:tcPr>
            <w:tcW w:w="860" w:type="dxa"/>
            <w:vAlign w:val="bottom"/>
            <w:shd w:val="clear" w:color="auto" w:fill="CCEEFF"/>
          </w:tcPr>
          <w:p>
            <w:pPr>
              <w:jc w:val="right"/>
              <w:ind w:right="681"/>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7,601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0"/>
        </w:trPr>
        <w:tc>
          <w:tcPr>
            <w:tcW w:w="7020" w:type="dxa"/>
            <w:vAlign w:val="bottom"/>
          </w:tcPr>
          <w:p>
            <w:pPr>
              <w:ind w:left="20"/>
              <w:spacing w:after="0"/>
              <w:rPr>
                <w:sz w:val="20"/>
                <w:szCs w:val="20"/>
                <w:color w:val="auto"/>
              </w:rPr>
            </w:pPr>
            <w:r>
              <w:rPr>
                <w:rFonts w:ascii="Arial" w:cs="Arial" w:eastAsia="Arial" w:hAnsi="Arial"/>
                <w:sz w:val="16"/>
                <w:szCs w:val="16"/>
                <w:color w:val="auto"/>
              </w:rPr>
              <w:t>Remaining weighted-average vesting period (1)</w:t>
            </w:r>
          </w:p>
        </w:tc>
        <w:tc>
          <w:tcPr>
            <w:tcW w:w="1440" w:type="dxa"/>
            <w:vAlign w:val="bottom"/>
            <w:gridSpan w:val="3"/>
          </w:tcPr>
          <w:p>
            <w:pPr>
              <w:ind w:left="720"/>
              <w:spacing w:after="0"/>
              <w:rPr>
                <w:sz w:val="20"/>
                <w:szCs w:val="20"/>
                <w:color w:val="auto"/>
              </w:rPr>
            </w:pPr>
            <w:r>
              <w:rPr>
                <w:rFonts w:ascii="Arial" w:cs="Arial" w:eastAsia="Arial" w:hAnsi="Arial"/>
                <w:sz w:val="16"/>
                <w:szCs w:val="16"/>
                <w:color w:val="auto"/>
              </w:rPr>
              <w:t>1.6 years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PSUs typically vest after three years.</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December 27, 2020, the maximum number of shares of common stock available for issuance pursuant to the 2020 Omnibus Incentive Compensation Plan was 9,464,074.</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Deferred Compensation Plans</w:t>
      </w:r>
    </w:p>
    <w:p>
      <w:pPr>
        <w:spacing w:after="0" w:line="24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U.S. Partner Deferred Compensations Plans </w:t>
      </w:r>
      <w:r>
        <w:rPr>
          <w:rFonts w:ascii="Arial" w:cs="Arial" w:eastAsia="Arial" w:hAnsi="Arial"/>
          <w:sz w:val="20"/>
          <w:szCs w:val="20"/>
          <w:color w:val="auto"/>
        </w:rPr>
        <w:t>- Certain U.S. Partners may participate in deferred compensation programs that are subject to</w:t>
      </w:r>
      <w:r>
        <w:rPr>
          <w:rFonts w:ascii="Arial" w:cs="Arial" w:eastAsia="Arial" w:hAnsi="Arial"/>
          <w:sz w:val="20"/>
          <w:szCs w:val="20"/>
          <w:i w:val="1"/>
          <w:iCs w:val="1"/>
          <w:color w:val="auto"/>
        </w:rPr>
        <w:t xml:space="preserve"> </w:t>
      </w:r>
      <w:r>
        <w:rPr>
          <w:rFonts w:ascii="Arial" w:cs="Arial" w:eastAsia="Arial" w:hAnsi="Arial"/>
          <w:sz w:val="20"/>
          <w:szCs w:val="20"/>
          <w:color w:val="auto"/>
        </w:rPr>
        <w:t>the rules of Section 409A of the Internal Revenue Code. The Company may invest in corporate-owned life insurance policies, which are held within an irrevocable grantor or “rabbi” trust account for settlement of certain of the obligations under the deferred compensation plans. The deferred compensation obligation due to U.S. Partners under these plans was $28.1 million and $49.0 million as of December 27, 2020 and December 29, 2019, respectively. The rabbi trust is funded through the Company’s voluntary contributions and was fully funded as of December 27, 2020.</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0" w:name="page91"/>
    <w:bookmarkEnd w:id="9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 xml:space="preserve">Other Compensation Programs </w:t>
      </w:r>
      <w:r>
        <w:rPr>
          <w:rFonts w:ascii="Arial" w:cs="Arial" w:eastAsia="Arial" w:hAnsi="Arial"/>
          <w:sz w:val="20"/>
          <w:szCs w:val="20"/>
          <w:color w:val="auto"/>
        </w:rPr>
        <w:t>- Certain U.S. Partners participate in a non-qualified long-term compensation program that the Company</w:t>
      </w:r>
      <w:r>
        <w:rPr>
          <w:rFonts w:ascii="Arial" w:cs="Arial" w:eastAsia="Arial" w:hAnsi="Arial"/>
          <w:sz w:val="20"/>
          <w:szCs w:val="20"/>
          <w:i w:val="1"/>
          <w:iCs w:val="1"/>
          <w:color w:val="auto"/>
        </w:rPr>
        <w:t xml:space="preserve"> </w:t>
      </w:r>
      <w:r>
        <w:rPr>
          <w:rFonts w:ascii="Arial" w:cs="Arial" w:eastAsia="Arial" w:hAnsi="Arial"/>
          <w:sz w:val="20"/>
          <w:szCs w:val="20"/>
          <w:color w:val="auto"/>
        </w:rPr>
        <w:t>funds as the obligation for each participant becomes due.</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401(k) Plan </w:t>
      </w:r>
      <w:r>
        <w:rPr>
          <w:rFonts w:ascii="Arial" w:cs="Arial" w:eastAsia="Arial" w:hAnsi="Arial"/>
          <w:sz w:val="20"/>
          <w:szCs w:val="20"/>
          <w:color w:val="auto"/>
        </w:rPr>
        <w:t>- The Company has a qualified defined contribution plan that qualifies under Section 401(k) of the Internal Revenue Code of</w:t>
      </w:r>
      <w:r>
        <w:rPr>
          <w:rFonts w:ascii="Arial" w:cs="Arial" w:eastAsia="Arial" w:hAnsi="Arial"/>
          <w:sz w:val="20"/>
          <w:szCs w:val="20"/>
          <w:i w:val="1"/>
          <w:iCs w:val="1"/>
          <w:color w:val="auto"/>
        </w:rPr>
        <w:t xml:space="preserve"> </w:t>
      </w:r>
      <w:r>
        <w:rPr>
          <w:rFonts w:ascii="Arial" w:cs="Arial" w:eastAsia="Arial" w:hAnsi="Arial"/>
          <w:sz w:val="20"/>
          <w:szCs w:val="20"/>
          <w:color w:val="auto"/>
        </w:rPr>
        <w:t>1986, as amended. The Company incurred contribution costs of $5.5 million, $5.4 million and $5.3 million for the 401(k) Plan for 2020, 2019 and 2018, respectively.</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Highly Compensated Employee Plan - </w:t>
      </w:r>
      <w:r>
        <w:rPr>
          <w:rFonts w:ascii="Arial" w:cs="Arial" w:eastAsia="Arial" w:hAnsi="Arial"/>
          <w:sz w:val="20"/>
          <w:szCs w:val="20"/>
          <w:color w:val="auto"/>
        </w:rPr>
        <w:t>The Company provides a deferred compensation plan for its highly compensated employees who are</w:t>
      </w:r>
      <w:r>
        <w:rPr>
          <w:rFonts w:ascii="Arial" w:cs="Arial" w:eastAsia="Arial" w:hAnsi="Arial"/>
          <w:sz w:val="20"/>
          <w:szCs w:val="20"/>
          <w:i w:val="1"/>
          <w:iCs w:val="1"/>
          <w:color w:val="auto"/>
        </w:rPr>
        <w:t xml:space="preserve"> </w:t>
      </w:r>
      <w:r>
        <w:rPr>
          <w:rFonts w:ascii="Arial" w:cs="Arial" w:eastAsia="Arial" w:hAnsi="Arial"/>
          <w:sz w:val="20"/>
          <w:szCs w:val="20"/>
          <w:color w:val="auto"/>
        </w:rPr>
        <w:t>not eligible to participate in the 401(k) Plan. The deferred compensation plan allows these employees to contribute a percentage of their base salary and cash bonus on a pre-tax basis. The deferred compensation plan is unsecured and funded through the Company’s voluntary contributions.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20" w:type="dxa"/>
            <w:vAlign w:val="bottom"/>
          </w:tcPr>
          <w:p>
            <w:pPr>
              <w:spacing w:after="0"/>
              <w:rPr>
                <w:sz w:val="20"/>
                <w:szCs w:val="20"/>
                <w:color w:val="auto"/>
              </w:rPr>
            </w:pPr>
            <w:r>
              <w:rPr>
                <w:rFonts w:ascii="Arial" w:cs="Arial" w:eastAsia="Arial" w:hAnsi="Arial"/>
                <w:sz w:val="20"/>
                <w:szCs w:val="20"/>
                <w:color w:val="auto"/>
              </w:rPr>
              <w:t>8.</w:t>
            </w:r>
          </w:p>
        </w:tc>
        <w:tc>
          <w:tcPr>
            <w:tcW w:w="6860" w:type="dxa"/>
            <w:vAlign w:val="bottom"/>
          </w:tcPr>
          <w:p>
            <w:pPr>
              <w:ind w:left="280"/>
              <w:spacing w:after="0"/>
              <w:rPr>
                <w:sz w:val="20"/>
                <w:szCs w:val="20"/>
                <w:color w:val="auto"/>
              </w:rPr>
            </w:pPr>
            <w:r>
              <w:rPr>
                <w:rFonts w:ascii="Arial" w:cs="Arial" w:eastAsia="Arial" w:hAnsi="Arial"/>
                <w:sz w:val="20"/>
                <w:szCs w:val="20"/>
                <w:color w:val="auto"/>
              </w:rPr>
              <w:t>Other Current Assets, Net</w:t>
            </w:r>
          </w:p>
        </w:tc>
        <w:tc>
          <w:tcPr>
            <w:tcW w:w="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473"/>
        </w:trPr>
        <w:tc>
          <w:tcPr>
            <w:tcW w:w="7280" w:type="dxa"/>
            <w:vAlign w:val="bottom"/>
            <w:gridSpan w:val="2"/>
          </w:tcPr>
          <w:p>
            <w:pPr>
              <w:spacing w:after="0"/>
              <w:rPr>
                <w:sz w:val="20"/>
                <w:szCs w:val="20"/>
                <w:color w:val="auto"/>
              </w:rPr>
            </w:pPr>
            <w:r>
              <w:rPr>
                <w:rFonts w:ascii="Arial" w:cs="Arial" w:eastAsia="Arial" w:hAnsi="Arial"/>
                <w:sz w:val="20"/>
                <w:szCs w:val="20"/>
                <w:color w:val="auto"/>
              </w:rPr>
              <w:t>Other current assets, net, consisted of the following as of the periods indicated:</w:t>
            </w: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13"/>
        </w:trPr>
        <w:tc>
          <w:tcPr>
            <w:tcW w:w="728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24"/>
                <w:szCs w:val="24"/>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27, 2020</w:t>
            </w:r>
          </w:p>
        </w:tc>
        <w:tc>
          <w:tcPr>
            <w:tcW w:w="200" w:type="dxa"/>
            <w:vAlign w:val="bottom"/>
          </w:tcPr>
          <w:p>
            <w:pPr>
              <w:spacing w:after="0"/>
              <w:rPr>
                <w:sz w:val="24"/>
                <w:szCs w:val="24"/>
                <w:color w:val="auto"/>
              </w:rPr>
            </w:pPr>
          </w:p>
        </w:tc>
        <w:tc>
          <w:tcPr>
            <w:tcW w:w="1740" w:type="dxa"/>
            <w:vAlign w:val="bottom"/>
          </w:tcPr>
          <w:p>
            <w:pPr>
              <w:jc w:val="right"/>
              <w:ind w:right="200"/>
              <w:spacing w:after="0"/>
              <w:rPr>
                <w:sz w:val="20"/>
                <w:szCs w:val="20"/>
                <w:color w:val="auto"/>
              </w:rPr>
            </w:pPr>
            <w:r>
              <w:rPr>
                <w:rFonts w:ascii="Arial" w:cs="Arial" w:eastAsia="Arial" w:hAnsi="Arial"/>
                <w:sz w:val="14"/>
                <w:szCs w:val="14"/>
                <w:b w:val="1"/>
                <w:bCs w:val="1"/>
                <w:color w:val="auto"/>
              </w:rPr>
              <w:t>DECEMBER 29, 2019</w:t>
            </w:r>
          </w:p>
        </w:tc>
      </w:tr>
      <w:tr>
        <w:trPr>
          <w:trHeight w:val="216"/>
        </w:trPr>
        <w:tc>
          <w:tcPr>
            <w:tcW w:w="7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Prepaid expenses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12,148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20,218</w:t>
            </w:r>
          </w:p>
        </w:tc>
      </w:tr>
      <w:tr>
        <w:trPr>
          <w:trHeight w:val="213"/>
        </w:trPr>
        <w:tc>
          <w:tcPr>
            <w:tcW w:w="7280" w:type="dxa"/>
            <w:vAlign w:val="bottom"/>
            <w:gridSpan w:val="2"/>
          </w:tcPr>
          <w:p>
            <w:pPr>
              <w:ind w:left="20"/>
              <w:spacing w:after="0"/>
              <w:rPr>
                <w:sz w:val="20"/>
                <w:szCs w:val="20"/>
                <w:color w:val="auto"/>
              </w:rPr>
            </w:pPr>
            <w:r>
              <w:rPr>
                <w:rFonts w:ascii="Arial" w:cs="Arial" w:eastAsia="Arial" w:hAnsi="Arial"/>
                <w:sz w:val="16"/>
                <w:szCs w:val="16"/>
                <w:color w:val="auto"/>
              </w:rPr>
              <w:t>Accounts receivable - gift cards, net (1)</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76,808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104,591</w:t>
            </w:r>
          </w:p>
        </w:tc>
      </w:tr>
      <w:tr>
        <w:trPr>
          <w:trHeight w:val="219"/>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Accounts receivable - vendors, net (1)</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13,465</w:t>
            </w:r>
          </w:p>
        </w:tc>
      </w:tr>
      <w:tr>
        <w:trPr>
          <w:trHeight w:val="213"/>
        </w:trPr>
        <w:tc>
          <w:tcPr>
            <w:tcW w:w="7280" w:type="dxa"/>
            <w:vAlign w:val="bottom"/>
            <w:gridSpan w:val="2"/>
          </w:tcPr>
          <w:p>
            <w:pPr>
              <w:ind w:left="20"/>
              <w:spacing w:after="0"/>
              <w:rPr>
                <w:sz w:val="20"/>
                <w:szCs w:val="20"/>
                <w:color w:val="auto"/>
              </w:rPr>
            </w:pPr>
            <w:r>
              <w:rPr>
                <w:rFonts w:ascii="Arial" w:cs="Arial" w:eastAsia="Arial" w:hAnsi="Arial"/>
                <w:sz w:val="16"/>
                <w:szCs w:val="16"/>
                <w:color w:val="auto"/>
              </w:rPr>
              <w:t>Accounts receivable - franchisees, net (1)</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1,322</w:t>
            </w:r>
          </w:p>
        </w:tc>
      </w:tr>
      <w:tr>
        <w:trPr>
          <w:trHeight w:val="219"/>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Accounts receivable - other, net (1)</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21,734</w:t>
            </w:r>
          </w:p>
        </w:tc>
      </w:tr>
      <w:tr>
        <w:trPr>
          <w:trHeight w:val="213"/>
        </w:trPr>
        <w:tc>
          <w:tcPr>
            <w:tcW w:w="7280" w:type="dxa"/>
            <w:vAlign w:val="bottom"/>
            <w:gridSpan w:val="2"/>
          </w:tcPr>
          <w:p>
            <w:pPr>
              <w:ind w:left="20"/>
              <w:spacing w:after="0"/>
              <w:rPr>
                <w:sz w:val="20"/>
                <w:szCs w:val="20"/>
                <w:color w:val="auto"/>
              </w:rPr>
            </w:pPr>
            <w:r>
              <w:rPr>
                <w:rFonts w:ascii="Arial" w:cs="Arial" w:eastAsia="Arial" w:hAnsi="Arial"/>
                <w:sz w:val="16"/>
                <w:szCs w:val="16"/>
                <w:color w:val="auto"/>
              </w:rPr>
              <w:t>Deferred gift card sales commissions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19,300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18,554</w:t>
            </w:r>
          </w:p>
        </w:tc>
      </w:tr>
      <w:tr>
        <w:trPr>
          <w:trHeight w:val="219"/>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Assets held for sale</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3,317</w:t>
            </w:r>
          </w:p>
        </w:tc>
      </w:tr>
      <w:tr>
        <w:trPr>
          <w:trHeight w:val="223"/>
        </w:trPr>
        <w:tc>
          <w:tcPr>
            <w:tcW w:w="72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current assets, net</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12,756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3,261</w:t>
            </w:r>
          </w:p>
        </w:tc>
      </w:tr>
      <w:tr>
        <w:trPr>
          <w:trHeight w:val="238"/>
        </w:trPr>
        <w:tc>
          <w:tcPr>
            <w:tcW w:w="420" w:type="dxa"/>
            <w:vAlign w:val="bottom"/>
            <w:tcBorders>
              <w:bottom w:val="single" w:sz="8" w:color="CCEEFF"/>
            </w:tcBorders>
            <w:shd w:val="clear" w:color="auto" w:fill="CCEEFF"/>
          </w:tcPr>
          <w:p>
            <w:pPr>
              <w:spacing w:after="0"/>
              <w:rPr>
                <w:sz w:val="20"/>
                <w:szCs w:val="20"/>
                <w:color w:val="auto"/>
              </w:rPr>
            </w:pPr>
          </w:p>
        </w:tc>
        <w:tc>
          <w:tcPr>
            <w:tcW w:w="68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151,518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186,462</w:t>
            </w: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See Note 20 - </w:t>
      </w:r>
      <w:r>
        <w:rPr>
          <w:rFonts w:ascii="Arial" w:cs="Arial" w:eastAsia="Arial" w:hAnsi="Arial"/>
          <w:sz w:val="16"/>
          <w:szCs w:val="16"/>
          <w:i w:val="1"/>
          <w:iCs w:val="1"/>
          <w:color w:val="auto"/>
        </w:rPr>
        <w:t>Allowance for Expected Credit Losses</w:t>
      </w:r>
      <w:r>
        <w:rPr>
          <w:rFonts w:ascii="Arial" w:cs="Arial" w:eastAsia="Arial" w:hAnsi="Arial"/>
          <w:sz w:val="16"/>
          <w:szCs w:val="16"/>
          <w:color w:val="auto"/>
        </w:rPr>
        <w:t xml:space="preserve"> for a rollforward of the related allowance for expected credit losses.</w:t>
      </w:r>
    </w:p>
    <w:p>
      <w:pPr>
        <w:spacing w:after="0" w:line="227" w:lineRule="exact"/>
        <w:rPr>
          <w:sz w:val="20"/>
          <w:szCs w:val="20"/>
          <w:color w:val="auto"/>
        </w:rPr>
      </w:pPr>
    </w:p>
    <w:p>
      <w:pPr>
        <w:ind w:left="400" w:hanging="392"/>
        <w:spacing w:after="0"/>
        <w:tabs>
          <w:tab w:leader="none" w:pos="400" w:val="left"/>
        </w:tabs>
        <w:numPr>
          <w:ilvl w:val="0"/>
          <w:numId w:val="58"/>
        </w:numPr>
        <w:rPr>
          <w:rFonts w:ascii="Arial" w:cs="Arial" w:eastAsia="Arial" w:hAnsi="Arial"/>
          <w:sz w:val="20"/>
          <w:szCs w:val="20"/>
          <w:color w:val="auto"/>
        </w:rPr>
      </w:pPr>
      <w:r>
        <w:rPr>
          <w:rFonts w:ascii="Arial" w:cs="Arial" w:eastAsia="Arial" w:hAnsi="Arial"/>
          <w:sz w:val="20"/>
          <w:szCs w:val="20"/>
          <w:color w:val="auto"/>
        </w:rPr>
        <w:t>Property, Fixtures and Equipment, Net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Property, fixtures and equipment, net, consisted of the following as of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27, 2020</w:t>
            </w:r>
          </w:p>
        </w:tc>
        <w:tc>
          <w:tcPr>
            <w:tcW w:w="200" w:type="dxa"/>
            <w:vAlign w:val="bottom"/>
          </w:tcPr>
          <w:p>
            <w:pPr>
              <w:spacing w:after="0"/>
              <w:rPr>
                <w:sz w:val="17"/>
                <w:szCs w:val="17"/>
                <w:color w:val="auto"/>
              </w:rPr>
            </w:pPr>
          </w:p>
        </w:tc>
        <w:tc>
          <w:tcPr>
            <w:tcW w:w="1740" w:type="dxa"/>
            <w:vAlign w:val="bottom"/>
          </w:tcPr>
          <w:p>
            <w:pPr>
              <w:jc w:val="right"/>
              <w:ind w:right="200"/>
              <w:spacing w:after="0"/>
              <w:rPr>
                <w:sz w:val="20"/>
                <w:szCs w:val="20"/>
                <w:color w:val="auto"/>
              </w:rPr>
            </w:pPr>
            <w:r>
              <w:rPr>
                <w:rFonts w:ascii="Arial" w:cs="Arial" w:eastAsia="Arial" w:hAnsi="Arial"/>
                <w:sz w:val="14"/>
                <w:szCs w:val="14"/>
                <w:b w:val="1"/>
                <w:bCs w:val="1"/>
                <w:color w:val="auto"/>
              </w:rPr>
              <w:t>DECEMBER 29, 2019</w:t>
            </w:r>
          </w:p>
        </w:tc>
      </w:tr>
      <w:tr>
        <w:trPr>
          <w:trHeight w:val="216"/>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40,498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42,570</w:t>
            </w:r>
          </w:p>
        </w:tc>
      </w:tr>
      <w:tr>
        <w:trPr>
          <w:trHeight w:val="213"/>
        </w:trPr>
        <w:tc>
          <w:tcPr>
            <w:tcW w:w="7280" w:type="dxa"/>
            <w:vAlign w:val="bottom"/>
          </w:tcPr>
          <w:p>
            <w:pPr>
              <w:ind w:left="20"/>
              <w:spacing w:after="0"/>
              <w:rPr>
                <w:sz w:val="20"/>
                <w:szCs w:val="20"/>
                <w:color w:val="auto"/>
              </w:rPr>
            </w:pPr>
            <w:r>
              <w:rPr>
                <w:rFonts w:ascii="Arial" w:cs="Arial" w:eastAsia="Arial" w:hAnsi="Arial"/>
                <w:sz w:val="16"/>
                <w:szCs w:val="16"/>
                <w:color w:val="auto"/>
              </w:rPr>
              <w:t>Buildings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1,158,257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1,202,434</w:t>
            </w:r>
          </w:p>
        </w:tc>
      </w:tr>
      <w:tr>
        <w:trPr>
          <w:trHeight w:val="219"/>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450,508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458,169</w:t>
            </w:r>
          </w:p>
        </w:tc>
      </w:tr>
      <w:tr>
        <w:trPr>
          <w:trHeight w:val="213"/>
        </w:trPr>
        <w:tc>
          <w:tcPr>
            <w:tcW w:w="7280" w:type="dxa"/>
            <w:vAlign w:val="bottom"/>
          </w:tcPr>
          <w:p>
            <w:pPr>
              <w:ind w:left="20"/>
              <w:spacing w:after="0"/>
              <w:rPr>
                <w:sz w:val="20"/>
                <w:szCs w:val="20"/>
                <w:color w:val="auto"/>
              </w:rPr>
            </w:pPr>
            <w:r>
              <w:rPr>
                <w:rFonts w:ascii="Arial" w:cs="Arial" w:eastAsia="Arial" w:hAnsi="Arial"/>
                <w:sz w:val="16"/>
                <w:szCs w:val="16"/>
                <w:color w:val="auto"/>
              </w:rPr>
              <w:t>Equipment</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623,982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665,815</w:t>
            </w:r>
          </w:p>
        </w:tc>
      </w:tr>
      <w:tr>
        <w:trPr>
          <w:trHeight w:val="219"/>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progress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24,477</w:t>
            </w:r>
          </w:p>
        </w:tc>
      </w:tr>
      <w:tr>
        <w:trPr>
          <w:trHeight w:val="223"/>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(1,412,660)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(1,357,388)</w:t>
            </w:r>
          </w:p>
        </w:tc>
      </w:tr>
      <w:tr>
        <w:trPr>
          <w:trHeight w:val="238"/>
        </w:trPr>
        <w:tc>
          <w:tcPr>
            <w:tcW w:w="72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887,687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1,036,077</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Surplus Properties - </w:t>
      </w:r>
      <w:r>
        <w:rPr>
          <w:rFonts w:ascii="Arial" w:cs="Arial" w:eastAsia="Arial" w:hAnsi="Arial"/>
          <w:sz w:val="20"/>
          <w:szCs w:val="20"/>
          <w:color w:val="auto"/>
        </w:rPr>
        <w:t>The Company owns certain U.S. restaurant properties and assets that are no longer utilized to operate its restaurants</w:t>
      </w:r>
      <w:r>
        <w:rPr>
          <w:rFonts w:ascii="Arial" w:cs="Arial" w:eastAsia="Arial" w:hAnsi="Arial"/>
          <w:sz w:val="20"/>
          <w:szCs w:val="20"/>
          <w:i w:val="1"/>
          <w:iCs w:val="1"/>
          <w:color w:val="auto"/>
        </w:rPr>
        <w:t xml:space="preserve"> </w:t>
      </w:r>
      <w:r>
        <w:rPr>
          <w:rFonts w:ascii="Arial" w:cs="Arial" w:eastAsia="Arial" w:hAnsi="Arial"/>
          <w:sz w:val="20"/>
          <w:szCs w:val="20"/>
          <w:color w:val="auto"/>
        </w:rPr>
        <w:t>(“surplus properties”). Surplus properties primarily consist of closed properties, which include land and a building, and liquor licenses no longer needed for operations. Surplus properties may be classified on the Consolidated Balance Sheets as assets held for sale or as assets held and used when the Company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does not expect to sell these assets within the next 12 months. Following is a summary of the carrying value and number of surplus properties as of the periods indicated: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CONSOLIDATED BALANCE SHEET</w:t>
            </w:r>
          </w:p>
        </w:tc>
        <w:tc>
          <w:tcPr>
            <w:tcW w:w="180" w:type="dxa"/>
            <w:vAlign w:val="bottom"/>
          </w:tcPr>
          <w:p>
            <w:pPr>
              <w:spacing w:after="0"/>
              <w:rPr>
                <w:sz w:val="14"/>
                <w:szCs w:val="14"/>
                <w:color w:val="auto"/>
              </w:rPr>
            </w:pPr>
          </w:p>
        </w:tc>
        <w:tc>
          <w:tcPr>
            <w:tcW w:w="174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DECEMBER 27, 2020</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DECEMBER 29, 2019</w:t>
            </w:r>
          </w:p>
        </w:tc>
        <w:tc>
          <w:tcPr>
            <w:tcW w:w="0" w:type="dxa"/>
            <w:vAlign w:val="bottom"/>
          </w:tcPr>
          <w:p>
            <w:pPr>
              <w:spacing w:after="0"/>
              <w:rPr>
                <w:sz w:val="1"/>
                <w:szCs w:val="1"/>
                <w:color w:val="auto"/>
              </w:rPr>
            </w:pPr>
          </w:p>
        </w:tc>
      </w:tr>
      <w:tr>
        <w:trPr>
          <w:trHeight w:val="196"/>
        </w:trPr>
        <w:tc>
          <w:tcPr>
            <w:tcW w:w="3700" w:type="dxa"/>
            <w:vAlign w:val="bottom"/>
            <w:tcBorders>
              <w:bottom w:val="single" w:sz="8" w:color="CCEEFF"/>
            </w:tcBorders>
            <w:vMerge w:val="continue"/>
          </w:tcPr>
          <w:p>
            <w:pPr>
              <w:spacing w:after="0"/>
              <w:rPr>
                <w:sz w:val="17"/>
                <w:szCs w:val="17"/>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CLASSIFICATION</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Surplus properties - assets held for sale</w:t>
            </w:r>
          </w:p>
        </w:tc>
        <w:tc>
          <w:tcPr>
            <w:tcW w:w="3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current assets, net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3,317</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Surplus properties - assets held and used</w:t>
            </w:r>
          </w:p>
        </w:tc>
        <w:tc>
          <w:tcPr>
            <w:tcW w:w="35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Property, fixtures and equipment, net</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18,188</w:t>
            </w:r>
          </w:p>
        </w:tc>
        <w:tc>
          <w:tcPr>
            <w:tcW w:w="0" w:type="dxa"/>
            <w:vAlign w:val="bottom"/>
          </w:tcPr>
          <w:p>
            <w:pPr>
              <w:spacing w:after="0"/>
              <w:rPr>
                <w:sz w:val="1"/>
                <w:szCs w:val="1"/>
                <w:color w:val="auto"/>
              </w:rPr>
            </w:pPr>
          </w:p>
        </w:tc>
      </w:tr>
      <w:tr>
        <w:trPr>
          <w:trHeight w:val="241"/>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surplus properties</w:t>
            </w:r>
          </w:p>
        </w:tc>
        <w:tc>
          <w:tcPr>
            <w:tcW w:w="3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11,786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21,505</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Number of surplus properties owned</w:t>
            </w:r>
          </w:p>
        </w:tc>
        <w:tc>
          <w:tcPr>
            <w:tcW w:w="3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20"/>
          <w:szCs w:val="20"/>
          <w:color w:val="auto"/>
        </w:rPr>
        <w:t>Depreciation and repair and maintenance expense are as follows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2018</w:t>
            </w: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expense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173,342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188,190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192,099</w:t>
            </w:r>
          </w:p>
        </w:tc>
      </w:tr>
      <w:tr>
        <w:trPr>
          <w:trHeight w:val="210"/>
        </w:trPr>
        <w:tc>
          <w:tcPr>
            <w:tcW w:w="6440" w:type="dxa"/>
            <w:vAlign w:val="bottom"/>
          </w:tcPr>
          <w:p>
            <w:pPr>
              <w:ind w:left="20"/>
              <w:spacing w:after="0"/>
              <w:rPr>
                <w:sz w:val="20"/>
                <w:szCs w:val="20"/>
                <w:color w:val="auto"/>
              </w:rPr>
            </w:pPr>
            <w:r>
              <w:rPr>
                <w:rFonts w:ascii="Arial" w:cs="Arial" w:eastAsia="Arial" w:hAnsi="Arial"/>
                <w:sz w:val="16"/>
                <w:szCs w:val="16"/>
                <w:color w:val="auto"/>
              </w:rPr>
              <w:t>Repair and maintenance expense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88,829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4"/>
              <w:spacing w:after="0"/>
              <w:rPr>
                <w:sz w:val="20"/>
                <w:szCs w:val="20"/>
                <w:color w:val="auto"/>
              </w:rPr>
            </w:pPr>
            <w:r>
              <w:rPr>
                <w:rFonts w:ascii="Arial" w:cs="Arial" w:eastAsia="Arial" w:hAnsi="Arial"/>
                <w:sz w:val="16"/>
                <w:szCs w:val="16"/>
                <w:color w:val="auto"/>
              </w:rPr>
              <w:t>106,943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102,409</w:t>
            </w:r>
          </w:p>
        </w:tc>
      </w:tr>
    </w:tbl>
    <w:p>
      <w:pPr>
        <w:spacing w:after="0" w:line="327"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10.</w:t>
        <w:tab/>
        <w:t>Goodwill and Intangible Assets, Net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Goodwill - </w:t>
      </w:r>
      <w:r>
        <w:rPr>
          <w:rFonts w:ascii="Arial" w:cs="Arial" w:eastAsia="Arial" w:hAnsi="Arial"/>
          <w:sz w:val="20"/>
          <w:szCs w:val="20"/>
          <w:color w:val="auto"/>
        </w:rPr>
        <w:t>The following table is a rollforward of goodwill:</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Pr>
          <w:p>
            <w:pPr>
              <w:spacing w:after="0"/>
              <w:rPr>
                <w:sz w:val="17"/>
                <w:szCs w:val="17"/>
                <w:color w:val="auto"/>
              </w:rPr>
            </w:pPr>
          </w:p>
        </w:tc>
        <w:tc>
          <w:tcPr>
            <w:tcW w:w="1360" w:type="dxa"/>
            <w:vAlign w:val="bottom"/>
            <w:gridSpan w:val="2"/>
          </w:tcPr>
          <w:p>
            <w:pPr>
              <w:ind w:left="30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7"/>
                <w:szCs w:val="17"/>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INTERNATIONAL</w:t>
            </w:r>
          </w:p>
        </w:tc>
        <w:tc>
          <w:tcPr>
            <w:tcW w:w="160" w:type="dxa"/>
            <w:vAlign w:val="bottom"/>
          </w:tcPr>
          <w:p>
            <w:pPr>
              <w:spacing w:after="0"/>
              <w:rPr>
                <w:sz w:val="17"/>
                <w:szCs w:val="17"/>
                <w:color w:val="auto"/>
              </w:rPr>
            </w:pPr>
          </w:p>
        </w:tc>
        <w:tc>
          <w:tcPr>
            <w:tcW w:w="1480" w:type="dxa"/>
            <w:vAlign w:val="bottom"/>
          </w:tcPr>
          <w:p>
            <w:pPr>
              <w:jc w:val="right"/>
              <w:ind w:right="160"/>
              <w:spacing w:after="0"/>
              <w:rPr>
                <w:sz w:val="20"/>
                <w:szCs w:val="20"/>
                <w:color w:val="auto"/>
              </w:rPr>
            </w:pPr>
            <w:r>
              <w:rPr>
                <w:rFonts w:ascii="Arial" w:cs="Arial" w:eastAsia="Arial" w:hAnsi="Arial"/>
                <w:sz w:val="14"/>
                <w:szCs w:val="14"/>
                <w:b w:val="1"/>
                <w:bCs w:val="1"/>
                <w:color w:val="auto"/>
              </w:rPr>
              <w:t>CONSOLIDATED</w:t>
            </w:r>
          </w:p>
        </w:tc>
      </w:tr>
      <w:tr>
        <w:trPr>
          <w:trHeight w:val="216"/>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30, 2018</w:t>
            </w: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170,657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124,770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295,427</w:t>
            </w:r>
          </w:p>
        </w:tc>
      </w:tr>
      <w:tr>
        <w:trPr>
          <w:trHeight w:val="210"/>
        </w:trPr>
        <w:tc>
          <w:tcPr>
            <w:tcW w:w="6080" w:type="dxa"/>
            <w:vAlign w:val="bottom"/>
          </w:tcPr>
          <w:p>
            <w:pPr>
              <w:ind w:left="140"/>
              <w:spacing w:after="0"/>
              <w:rPr>
                <w:sz w:val="20"/>
                <w:szCs w:val="20"/>
                <w:color w:val="auto"/>
              </w:rPr>
            </w:pPr>
            <w:r>
              <w:rPr>
                <w:rFonts w:ascii="Arial" w:cs="Arial" w:eastAsia="Arial" w:hAnsi="Arial"/>
                <w:sz w:val="16"/>
                <w:szCs w:val="16"/>
                <w:color w:val="auto"/>
              </w:rPr>
              <w:t>Translation adjustments</w:t>
            </w:r>
          </w:p>
        </w:tc>
        <w:tc>
          <w:tcPr>
            <w:tcW w:w="4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(6,988)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(6,988)</w:t>
            </w:r>
          </w:p>
        </w:tc>
      </w:tr>
      <w:tr>
        <w:trPr>
          <w:trHeight w:val="223"/>
        </w:trPr>
        <w:tc>
          <w:tcPr>
            <w:tcW w:w="6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29, 2019</w:t>
            </w: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170,657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117,782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288,439</w:t>
            </w:r>
          </w:p>
        </w:tc>
      </w:tr>
      <w:tr>
        <w:trPr>
          <w:trHeight w:val="200"/>
        </w:trPr>
        <w:tc>
          <w:tcPr>
            <w:tcW w:w="6080" w:type="dxa"/>
            <w:vAlign w:val="bottom"/>
          </w:tcPr>
          <w:p>
            <w:pPr>
              <w:ind w:left="140"/>
              <w:spacing w:after="0"/>
              <w:rPr>
                <w:sz w:val="20"/>
                <w:szCs w:val="20"/>
                <w:color w:val="auto"/>
              </w:rPr>
            </w:pPr>
            <w:r>
              <w:rPr>
                <w:rFonts w:ascii="Arial" w:cs="Arial" w:eastAsia="Arial" w:hAnsi="Arial"/>
                <w:sz w:val="16"/>
                <w:szCs w:val="16"/>
                <w:color w:val="auto"/>
              </w:rPr>
              <w:t>Translation adjustments</w:t>
            </w:r>
          </w:p>
        </w:tc>
        <w:tc>
          <w:tcPr>
            <w:tcW w:w="40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(15,302)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(15,302)</w:t>
            </w:r>
          </w:p>
        </w:tc>
      </w:tr>
      <w:tr>
        <w:trPr>
          <w:trHeight w:val="213"/>
        </w:trPr>
        <w:tc>
          <w:tcPr>
            <w:tcW w:w="6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Impairment charges</w:t>
            </w:r>
          </w:p>
        </w:tc>
        <w:tc>
          <w:tcPr>
            <w:tcW w:w="4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(1,973)</w:t>
            </w:r>
          </w:p>
        </w:tc>
      </w:tr>
      <w:tr>
        <w:trPr>
          <w:trHeight w:val="216"/>
        </w:trPr>
        <w:tc>
          <w:tcPr>
            <w:tcW w:w="608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Balance as of December 27, 2020</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170,657</w:t>
            </w: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100,507</w:t>
            </w: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271,164</w:t>
            </w:r>
          </w:p>
        </w:tc>
      </w:tr>
      <w:tr>
        <w:trPr>
          <w:trHeight w:val="20"/>
        </w:trPr>
        <w:tc>
          <w:tcPr>
            <w:tcW w:w="6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the Company’s gross goodwill balances and accumulated impairments as of the periods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60" w:type="dxa"/>
            <w:vAlign w:val="bottom"/>
            <w:gridSpan w:val="5"/>
          </w:tcPr>
          <w:p>
            <w:pPr>
              <w:ind w:left="600"/>
              <w:spacing w:after="0"/>
              <w:rPr>
                <w:sz w:val="20"/>
                <w:szCs w:val="20"/>
                <w:color w:val="auto"/>
              </w:rPr>
            </w:pPr>
            <w:r>
              <w:rPr>
                <w:rFonts w:ascii="Arial" w:cs="Arial" w:eastAsia="Arial" w:hAnsi="Arial"/>
                <w:sz w:val="14"/>
                <w:szCs w:val="14"/>
                <w:b w:val="1"/>
                <w:bCs w:val="1"/>
                <w:color w:val="auto"/>
              </w:rPr>
              <w:t>DECEMBER 27, 2020</w:t>
            </w:r>
          </w:p>
        </w:tc>
        <w:tc>
          <w:tcPr>
            <w:tcW w:w="260" w:type="dxa"/>
            <w:vAlign w:val="bottom"/>
          </w:tcPr>
          <w:p>
            <w:pPr>
              <w:spacing w:after="0"/>
              <w:rPr>
                <w:sz w:val="17"/>
                <w:szCs w:val="17"/>
                <w:color w:val="auto"/>
              </w:rPr>
            </w:pPr>
          </w:p>
        </w:tc>
        <w:tc>
          <w:tcPr>
            <w:tcW w:w="2980" w:type="dxa"/>
            <w:vAlign w:val="bottom"/>
            <w:gridSpan w:val="5"/>
          </w:tcPr>
          <w:p>
            <w:pPr>
              <w:ind w:left="620"/>
              <w:spacing w:after="0"/>
              <w:rPr>
                <w:sz w:val="20"/>
                <w:szCs w:val="20"/>
                <w:color w:val="auto"/>
              </w:rPr>
            </w:pPr>
            <w:r>
              <w:rPr>
                <w:rFonts w:ascii="Arial" w:cs="Arial" w:eastAsia="Arial" w:hAnsi="Arial"/>
                <w:sz w:val="14"/>
                <w:szCs w:val="14"/>
                <w:b w:val="1"/>
                <w:bCs w:val="1"/>
                <w:color w:val="auto"/>
              </w:rPr>
              <w:t>DECEMBER 29, 2019</w:t>
            </w:r>
          </w:p>
        </w:tc>
        <w:tc>
          <w:tcPr>
            <w:tcW w:w="100" w:type="dxa"/>
            <w:vAlign w:val="bottom"/>
          </w:tcPr>
          <w:p>
            <w:pPr>
              <w:spacing w:after="0"/>
              <w:rPr>
                <w:sz w:val="17"/>
                <w:szCs w:val="17"/>
                <w:color w:val="auto"/>
              </w:rPr>
            </w:pPr>
          </w:p>
        </w:tc>
        <w:tc>
          <w:tcPr>
            <w:tcW w:w="3060" w:type="dxa"/>
            <w:vAlign w:val="bottom"/>
            <w:gridSpan w:val="4"/>
          </w:tcPr>
          <w:p>
            <w:pPr>
              <w:jc w:val="right"/>
              <w:ind w:right="823"/>
              <w:spacing w:after="0"/>
              <w:rPr>
                <w:sz w:val="20"/>
                <w:szCs w:val="20"/>
                <w:color w:val="auto"/>
              </w:rPr>
            </w:pPr>
            <w:r>
              <w:rPr>
                <w:rFonts w:ascii="Arial" w:cs="Arial" w:eastAsia="Arial" w:hAnsi="Arial"/>
                <w:sz w:val="14"/>
                <w:szCs w:val="14"/>
                <w:b w:val="1"/>
                <w:bCs w:val="1"/>
                <w:color w:val="auto"/>
              </w:rPr>
              <w:t>DECEMBER 30, 2018</w:t>
            </w:r>
          </w:p>
        </w:tc>
        <w:tc>
          <w:tcPr>
            <w:tcW w:w="0" w:type="dxa"/>
            <w:vAlign w:val="bottom"/>
          </w:tcPr>
          <w:p>
            <w:pPr>
              <w:spacing w:after="0"/>
              <w:rPr>
                <w:sz w:val="1"/>
                <w:szCs w:val="1"/>
                <w:color w:val="auto"/>
              </w:rPr>
            </w:pPr>
          </w:p>
        </w:tc>
      </w:tr>
      <w:tr>
        <w:trPr>
          <w:trHeight w:val="135"/>
        </w:trPr>
        <w:tc>
          <w:tcPr>
            <w:tcW w:w="1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0" w:type="dxa"/>
            <w:vAlign w:val="bottom"/>
            <w:tcBorders>
              <w:top w:val="single" w:sz="8" w:color="auto"/>
            </w:tcBorders>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GROSS CARRYING</w:t>
            </w:r>
          </w:p>
        </w:tc>
        <w:tc>
          <w:tcPr>
            <w:tcW w:w="14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center"/>
              <w:ind w:right="83"/>
              <w:spacing w:after="0" w:line="135"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1600" w:type="dxa"/>
            <w:vAlign w:val="bottom"/>
            <w:tcBorders>
              <w:top w:val="single" w:sz="8" w:color="auto"/>
            </w:tcBorders>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GROSS CARRYING</w:t>
            </w:r>
          </w:p>
        </w:tc>
        <w:tc>
          <w:tcPr>
            <w:tcW w:w="16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center"/>
              <w:ind w:right="83"/>
              <w:spacing w:after="0" w:line="135"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GROSS CARRYING</w:t>
            </w:r>
          </w:p>
        </w:tc>
        <w:tc>
          <w:tcPr>
            <w:tcW w:w="16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right"/>
              <w:ind w:right="123"/>
              <w:spacing w:after="0" w:line="135"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96"/>
        </w:trPr>
        <w:tc>
          <w:tcPr>
            <w:tcW w:w="16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IMPAIRMENTS</w:t>
            </w:r>
          </w:p>
        </w:tc>
        <w:tc>
          <w:tcPr>
            <w:tcW w:w="26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IMPAIRMENTS</w:t>
            </w:r>
          </w:p>
        </w:tc>
        <w:tc>
          <w:tcPr>
            <w:tcW w:w="100" w:type="dxa"/>
            <w:vAlign w:val="bottom"/>
          </w:tcPr>
          <w:p>
            <w:pPr>
              <w:spacing w:after="0"/>
              <w:rPr>
                <w:sz w:val="17"/>
                <w:szCs w:val="17"/>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7"/>
                <w:szCs w:val="17"/>
                <w:color w:val="auto"/>
              </w:rPr>
            </w:pPr>
          </w:p>
        </w:tc>
        <w:tc>
          <w:tcPr>
            <w:tcW w:w="1380" w:type="dxa"/>
            <w:vAlign w:val="bottom"/>
          </w:tcPr>
          <w:p>
            <w:pPr>
              <w:jc w:val="right"/>
              <w:ind w:right="163"/>
              <w:spacing w:after="0"/>
              <w:rPr>
                <w:sz w:val="20"/>
                <w:szCs w:val="20"/>
                <w:color w:val="auto"/>
              </w:rPr>
            </w:pPr>
            <w:r>
              <w:rPr>
                <w:rFonts w:ascii="Arial" w:cs="Arial" w:eastAsia="Arial" w:hAnsi="Arial"/>
                <w:sz w:val="14"/>
                <w:szCs w:val="14"/>
                <w:b w:val="1"/>
                <w:bCs w:val="1"/>
                <w:color w:val="auto"/>
              </w:rPr>
              <w:t>IMPAIRMENTS</w:t>
            </w:r>
          </w:p>
        </w:tc>
        <w:tc>
          <w:tcPr>
            <w:tcW w:w="0" w:type="dxa"/>
            <w:vAlign w:val="bottom"/>
          </w:tcPr>
          <w:p>
            <w:pPr>
              <w:spacing w:after="0"/>
              <w:rPr>
                <w:sz w:val="1"/>
                <w:szCs w:val="1"/>
                <w:color w:val="auto"/>
              </w:rPr>
            </w:pPr>
          </w:p>
        </w:tc>
      </w:tr>
      <w:tr>
        <w:trPr>
          <w:trHeight w:val="216"/>
        </w:trPr>
        <w:tc>
          <w:tcPr>
            <w:tcW w:w="1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838,827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(668,170)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838,827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(668,170)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838,827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(668,170)</w:t>
            </w:r>
          </w:p>
        </w:tc>
        <w:tc>
          <w:tcPr>
            <w:tcW w:w="0" w:type="dxa"/>
            <w:vAlign w:val="bottom"/>
          </w:tcPr>
          <w:p>
            <w:pPr>
              <w:spacing w:after="0"/>
              <w:rPr>
                <w:sz w:val="1"/>
                <w:szCs w:val="1"/>
                <w:color w:val="auto"/>
              </w:rPr>
            </w:pPr>
          </w:p>
        </w:tc>
      </w:tr>
      <w:tr>
        <w:trPr>
          <w:trHeight w:val="223"/>
        </w:trPr>
        <w:tc>
          <w:tcPr>
            <w:tcW w:w="1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International</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220,390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(119,883)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235,692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(117,910)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242,680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(117,910)</w:t>
            </w:r>
          </w:p>
        </w:tc>
        <w:tc>
          <w:tcPr>
            <w:tcW w:w="0" w:type="dxa"/>
            <w:vAlign w:val="bottom"/>
          </w:tcPr>
          <w:p>
            <w:pPr>
              <w:spacing w:after="0"/>
              <w:rPr>
                <w:sz w:val="1"/>
                <w:szCs w:val="1"/>
                <w:color w:val="auto"/>
              </w:rPr>
            </w:pPr>
          </w:p>
        </w:tc>
      </w:tr>
      <w:tr>
        <w:trPr>
          <w:trHeight w:val="241"/>
        </w:trPr>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goodwill</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1,059,217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(788,053)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1,074,519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(786,080)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1,081,507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(786,080)</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w:t>
      </w:r>
      <w:r>
        <w:rPr>
          <w:rFonts w:ascii="Arial" w:cs="Arial" w:eastAsia="Arial" w:hAnsi="Arial"/>
          <w:sz w:val="17"/>
          <w:szCs w:val="17"/>
          <w:color w:val="auto"/>
        </w:rPr>
        <w:t>he COVID-19 outbreak was considered a triggering event during the first quarter of 2020, indicating that the carrying amount of goodwill</w:t>
      </w:r>
      <w:r>
        <w:rPr>
          <w:rFonts w:ascii="Arial" w:cs="Arial" w:eastAsia="Arial" w:hAnsi="Arial"/>
          <w:sz w:val="16"/>
          <w:szCs w:val="16"/>
          <w:color w:val="auto"/>
        </w:rPr>
        <w:t xml:space="preserve"> </w:t>
      </w:r>
      <w:r>
        <w:rPr>
          <w:rFonts w:ascii="Arial" w:cs="Arial" w:eastAsia="Arial" w:hAnsi="Arial"/>
          <w:sz w:val="17"/>
          <w:szCs w:val="17"/>
          <w:color w:val="auto"/>
        </w:rPr>
        <w:t>may not be recoverable. As a result, the Company performed a quantitative assessment for its four U.S. and three international reporting units to determine whether a reporting unit was impaired. Based on this assessment, which utilized a discounted cash flow analysis, the Company recorded full impairment of goodwill related to its Hong Kong reporting unit of $2.0 million, within the international segment, during the first quarter of 2020. Impairment was not recorded for any of the Company’s other reporting units as a result of the quantitative assessment.</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performs its annual assessment for impairment of goodwill and other indefinite-lived intangible assets each year during the second quarter. Since the Company performed a quantitative assessment on the last day of the first quarter of 2020, as described above, the Company utilized the same assumptions and analysis in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performing a quantitative annual assessment in its second quarter and concluded that no additional impairment was required. The Company’s 2019 assessment utilized a qualitative assessment and its 2018 assessment utilized a quantitative approach. As a result of these assessments, the Company did not record any goodwill asset impairment charges during 2019 or 2018.</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Intangible Assets, net - </w:t>
      </w:r>
      <w:r>
        <w:rPr>
          <w:rFonts w:ascii="Arial" w:cs="Arial" w:eastAsia="Arial" w:hAnsi="Arial"/>
          <w:sz w:val="20"/>
          <w:szCs w:val="20"/>
          <w:color w:val="auto"/>
        </w:rPr>
        <w:t>Intangible assets, net, consisted of the following as of the periods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DECEMBER 27, 2020</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DECEMBER 29, 2019</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420" w:type="dxa"/>
            <w:vAlign w:val="bottom"/>
          </w:tcPr>
          <w:p>
            <w:pPr>
              <w:spacing w:after="0"/>
              <w:rPr>
                <w:sz w:val="4"/>
                <w:szCs w:val="4"/>
                <w:color w:val="auto"/>
              </w:rPr>
            </w:pPr>
          </w:p>
        </w:tc>
        <w:tc>
          <w:tcPr>
            <w:tcW w:w="1660" w:type="dxa"/>
            <w:vAlign w:val="bottom"/>
            <w:gridSpan w:val="2"/>
            <w:vMerge w:val="restart"/>
          </w:tcPr>
          <w:p>
            <w:pPr>
              <w:jc w:val="center"/>
              <w:ind w:right="80"/>
              <w:spacing w:after="0" w:line="135" w:lineRule="exact"/>
              <w:rPr>
                <w:sz w:val="20"/>
                <w:szCs w:val="20"/>
                <w:color w:val="auto"/>
              </w:rPr>
            </w:pPr>
            <w:r>
              <w:rPr>
                <w:rFonts w:ascii="Arial" w:cs="Arial" w:eastAsia="Arial" w:hAnsi="Arial"/>
                <w:sz w:val="14"/>
                <w:szCs w:val="14"/>
                <w:b w:val="1"/>
                <w:bCs w:val="1"/>
                <w:color w:val="auto"/>
              </w:rPr>
              <w:t>AVERAGE</w:t>
            </w: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420" w:type="dxa"/>
            <w:vAlign w:val="bottom"/>
          </w:tcPr>
          <w:p>
            <w:pPr>
              <w:spacing w:after="0"/>
              <w:rPr>
                <w:sz w:val="5"/>
                <w:szCs w:val="5"/>
                <w:color w:val="auto"/>
              </w:rPr>
            </w:pPr>
          </w:p>
        </w:tc>
        <w:tc>
          <w:tcPr>
            <w:tcW w:w="16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GROSS</w:t>
            </w: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1"/>
                <w:szCs w:val="11"/>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GROSS</w:t>
            </w: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99"/>
              </w:rPr>
              <w:t>NET</w:t>
            </w: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(dollars in thousands)</w:t>
            </w: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PERIOD</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62"/>
              <w:spacing w:after="0" w:line="135"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6"/>
        </w:trPr>
        <w:tc>
          <w:tcPr>
            <w:tcW w:w="1420" w:type="dxa"/>
            <w:vAlign w:val="bottom"/>
            <w:tcBorders>
              <w:bottom w:val="single" w:sz="8" w:color="CCEEFF"/>
            </w:tcBorders>
            <w:vMerge w:val="continue"/>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8"/>
              </w:rPr>
              <w:t>Indefinite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414,716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414,716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414,616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414,616</w:t>
            </w:r>
          </w:p>
        </w:tc>
        <w:tc>
          <w:tcPr>
            <w:tcW w:w="0" w:type="dxa"/>
            <w:vAlign w:val="bottom"/>
          </w:tcPr>
          <w:p>
            <w:pPr>
              <w:spacing w:after="0"/>
              <w:rPr>
                <w:sz w:val="1"/>
                <w:szCs w:val="1"/>
                <w:color w:val="auto"/>
              </w:rPr>
            </w:pPr>
          </w:p>
        </w:tc>
      </w:tr>
      <w:tr>
        <w:trPr>
          <w:trHeight w:val="213"/>
        </w:trPr>
        <w:tc>
          <w:tcPr>
            <w:tcW w:w="1420" w:type="dxa"/>
            <w:vAlign w:val="bottom"/>
          </w:tcPr>
          <w:p>
            <w:pPr>
              <w:ind w:left="20"/>
              <w:spacing w:after="0"/>
              <w:rPr>
                <w:sz w:val="20"/>
                <w:szCs w:val="20"/>
                <w:color w:val="auto"/>
              </w:rPr>
            </w:pPr>
            <w:r>
              <w:rPr>
                <w:rFonts w:ascii="Arial" w:cs="Arial" w:eastAsia="Arial" w:hAnsi="Arial"/>
                <w:sz w:val="16"/>
                <w:szCs w:val="16"/>
                <w:color w:val="auto"/>
              </w:rPr>
              <w:t>Trademarks</w:t>
            </w:r>
          </w:p>
        </w:tc>
        <w:tc>
          <w:tcPr>
            <w:tcW w:w="156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81,951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(51,797)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30,154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81,381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(47,882)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33,499</w:t>
            </w:r>
          </w:p>
        </w:tc>
        <w:tc>
          <w:tcPr>
            <w:tcW w:w="0" w:type="dxa"/>
            <w:vAlign w:val="bottom"/>
          </w:tcPr>
          <w:p>
            <w:pPr>
              <w:spacing w:after="0"/>
              <w:rPr>
                <w:sz w:val="1"/>
                <w:szCs w:val="1"/>
                <w:color w:val="auto"/>
              </w:rPr>
            </w:pPr>
          </w:p>
        </w:tc>
      </w:tr>
      <w:tr>
        <w:trPr>
          <w:trHeight w:val="169"/>
        </w:trPr>
        <w:tc>
          <w:tcPr>
            <w:tcW w:w="14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Franchise</w:t>
            </w:r>
          </w:p>
        </w:tc>
        <w:tc>
          <w:tcPr>
            <w:tcW w:w="15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14,881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(14,881)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14,881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(14,356)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12"/>
        </w:trPr>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agreements</w:t>
            </w:r>
          </w:p>
        </w:tc>
        <w:tc>
          <w:tcPr>
            <w:tcW w:w="1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420" w:type="dxa"/>
            <w:vAlign w:val="bottom"/>
          </w:tcPr>
          <w:p>
            <w:pPr>
              <w:ind w:left="20"/>
              <w:spacing w:after="0" w:line="166" w:lineRule="exact"/>
              <w:rPr>
                <w:sz w:val="20"/>
                <w:szCs w:val="20"/>
                <w:color w:val="auto"/>
              </w:rPr>
            </w:pPr>
            <w:r>
              <w:rPr>
                <w:rFonts w:ascii="Arial" w:cs="Arial" w:eastAsia="Arial" w:hAnsi="Arial"/>
                <w:sz w:val="16"/>
                <w:szCs w:val="16"/>
                <w:color w:val="auto"/>
                <w:w w:val="91"/>
              </w:rPr>
              <w:t>Reacquired franchise</w:t>
            </w:r>
          </w:p>
        </w:tc>
        <w:tc>
          <w:tcPr>
            <w:tcW w:w="1560" w:type="dxa"/>
            <w:vAlign w:val="bottom"/>
            <w:vMerge w:val="restart"/>
          </w:tcPr>
          <w:p>
            <w:pPr>
              <w:jc w:val="center"/>
              <w:spacing w:after="0"/>
              <w:rPr>
                <w:sz w:val="20"/>
                <w:szCs w:val="20"/>
                <w:color w:val="auto"/>
              </w:rPr>
            </w:pPr>
            <w:r>
              <w:rPr>
                <w:rFonts w:ascii="Arial" w:cs="Arial" w:eastAsia="Arial" w:hAnsi="Arial"/>
                <w:sz w:val="16"/>
                <w:szCs w:val="16"/>
                <w:color w:val="auto"/>
                <w:w w:val="89"/>
              </w:rPr>
              <w:t>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33,520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(18,407)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15,113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42,390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(20,415)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21,975</w:t>
            </w:r>
          </w:p>
        </w:tc>
        <w:tc>
          <w:tcPr>
            <w:tcW w:w="0" w:type="dxa"/>
            <w:vAlign w:val="bottom"/>
          </w:tcPr>
          <w:p>
            <w:pPr>
              <w:spacing w:after="0"/>
              <w:rPr>
                <w:sz w:val="1"/>
                <w:szCs w:val="1"/>
                <w:color w:val="auto"/>
              </w:rPr>
            </w:pPr>
          </w:p>
        </w:tc>
      </w:tr>
      <w:tr>
        <w:trPr>
          <w:trHeight w:val="206"/>
        </w:trPr>
        <w:tc>
          <w:tcPr>
            <w:tcW w:w="1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rights</w:t>
            </w:r>
          </w:p>
        </w:tc>
        <w:tc>
          <w:tcPr>
            <w:tcW w:w="156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420" w:type="dxa"/>
            <w:vAlign w:val="bottom"/>
            <w:shd w:val="clear" w:color="auto" w:fill="CCEEFF"/>
          </w:tcPr>
          <w:p>
            <w:pPr>
              <w:ind w:left="20"/>
              <w:spacing w:after="0" w:line="152" w:lineRule="exact"/>
              <w:rPr>
                <w:sz w:val="20"/>
                <w:szCs w:val="20"/>
                <w:color w:val="auto"/>
              </w:rPr>
            </w:pPr>
            <w:r>
              <w:rPr>
                <w:rFonts w:ascii="Arial" w:cs="Arial" w:eastAsia="Arial" w:hAnsi="Arial"/>
                <w:sz w:val="16"/>
                <w:szCs w:val="16"/>
                <w:color w:val="auto"/>
              </w:rPr>
              <w:t>Total intangible</w:t>
            </w:r>
          </w:p>
        </w:tc>
        <w:tc>
          <w:tcPr>
            <w:tcW w:w="15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9</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545,068</w:t>
            </w:r>
          </w:p>
        </w:tc>
        <w:tc>
          <w:tcPr>
            <w:tcW w:w="1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(85,085)</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459,983</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553,268</w:t>
            </w:r>
          </w:p>
        </w:tc>
        <w:tc>
          <w:tcPr>
            <w:tcW w:w="1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(82,653)</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470,615</w:t>
            </w:r>
          </w:p>
        </w:tc>
        <w:tc>
          <w:tcPr>
            <w:tcW w:w="0" w:type="dxa"/>
            <w:vAlign w:val="bottom"/>
          </w:tcPr>
          <w:p>
            <w:pPr>
              <w:spacing w:after="0"/>
              <w:rPr>
                <w:sz w:val="1"/>
                <w:szCs w:val="1"/>
                <w:color w:val="auto"/>
              </w:rPr>
            </w:pPr>
          </w:p>
        </w:tc>
      </w:tr>
      <w:tr>
        <w:trPr>
          <w:trHeight w:val="205"/>
        </w:trPr>
        <w:tc>
          <w:tcPr>
            <w:tcW w:w="1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56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14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14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The Company did not record any indefinite-lived intangible asset impairment charges during the periods presented.</w:t>
      </w:r>
    </w:p>
    <w:p>
      <w:pPr>
        <w:spacing w:after="0" w:line="243"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Definite-lived intangible assets are amortized on a straight-line basis. The following table presents the aggregate expense related to the amortization of the Company’s trademarks, favorable leases, franchise agreements and reacquired franchise rights for the periods indicated: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2018</w:t>
            </w: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expense (1)</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8,621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13,377</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line="257"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Amortization expense is recorded in Depreciation and amortization for fiscal years 2020 and 2019 and Depreciation and amortization and Other restaurant operating expense for fiscal year 2018 in the Company’s Consolidated Statements of Operations and Comprehensive (Loss) Income.</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expected annual amortization of intangible assets as of December 27, 2020:</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7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2"/>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47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5,955</w:t>
            </w:r>
          </w:p>
        </w:tc>
      </w:tr>
      <w:tr>
        <w:trPr>
          <w:trHeight w:val="213"/>
        </w:trPr>
        <w:tc>
          <w:tcPr>
            <w:tcW w:w="5540" w:type="dxa"/>
            <w:vAlign w:val="bottom"/>
          </w:tcPr>
          <w:p>
            <w:pPr>
              <w:ind w:left="20"/>
              <w:spacing w:after="0"/>
              <w:rPr>
                <w:sz w:val="20"/>
                <w:szCs w:val="20"/>
                <w:color w:val="auto"/>
              </w:rPr>
            </w:pPr>
            <w:r>
              <w:rPr>
                <w:rFonts w:ascii="Arial" w:cs="Arial" w:eastAsia="Arial" w:hAnsi="Arial"/>
                <w:sz w:val="16"/>
                <w:szCs w:val="16"/>
                <w:color w:val="auto"/>
              </w:rPr>
              <w:t>2022</w:t>
            </w:r>
          </w:p>
        </w:tc>
        <w:tc>
          <w:tcPr>
            <w:tcW w:w="47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5,900</w:t>
            </w:r>
          </w:p>
        </w:tc>
      </w:tr>
      <w:tr>
        <w:trPr>
          <w:trHeight w:val="219"/>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47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5,830</w:t>
            </w:r>
          </w:p>
        </w:tc>
      </w:tr>
      <w:tr>
        <w:trPr>
          <w:trHeight w:val="213"/>
        </w:trPr>
        <w:tc>
          <w:tcPr>
            <w:tcW w:w="5540" w:type="dxa"/>
            <w:vAlign w:val="bottom"/>
          </w:tcPr>
          <w:p>
            <w:pPr>
              <w:ind w:left="20"/>
              <w:spacing w:after="0"/>
              <w:rPr>
                <w:sz w:val="20"/>
                <w:szCs w:val="20"/>
                <w:color w:val="auto"/>
              </w:rPr>
            </w:pPr>
            <w:r>
              <w:rPr>
                <w:rFonts w:ascii="Arial" w:cs="Arial" w:eastAsia="Arial" w:hAnsi="Arial"/>
                <w:sz w:val="16"/>
                <w:szCs w:val="16"/>
                <w:color w:val="auto"/>
              </w:rPr>
              <w:t>2024</w:t>
            </w:r>
          </w:p>
        </w:tc>
        <w:tc>
          <w:tcPr>
            <w:tcW w:w="47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5,695</w:t>
            </w:r>
          </w:p>
        </w:tc>
      </w:tr>
      <w:tr>
        <w:trPr>
          <w:trHeight w:val="219"/>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47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20" w:type="dxa"/>
            <w:vAlign w:val="bottom"/>
          </w:tcPr>
          <w:p>
            <w:pPr>
              <w:spacing w:after="0"/>
              <w:rPr>
                <w:sz w:val="20"/>
                <w:szCs w:val="20"/>
                <w:color w:val="auto"/>
              </w:rPr>
            </w:pPr>
            <w:r>
              <w:rPr>
                <w:rFonts w:ascii="Arial" w:cs="Arial" w:eastAsia="Arial" w:hAnsi="Arial"/>
                <w:sz w:val="20"/>
                <w:szCs w:val="20"/>
                <w:color w:val="auto"/>
              </w:rPr>
              <w:t>11.</w:t>
            </w:r>
          </w:p>
        </w:tc>
        <w:tc>
          <w:tcPr>
            <w:tcW w:w="6760" w:type="dxa"/>
            <w:vAlign w:val="bottom"/>
          </w:tcPr>
          <w:p>
            <w:pPr>
              <w:ind w:left="280"/>
              <w:spacing w:after="0"/>
              <w:rPr>
                <w:sz w:val="20"/>
                <w:szCs w:val="20"/>
                <w:color w:val="auto"/>
              </w:rPr>
            </w:pPr>
            <w:r>
              <w:rPr>
                <w:rFonts w:ascii="Arial" w:cs="Arial" w:eastAsia="Arial" w:hAnsi="Arial"/>
                <w:sz w:val="20"/>
                <w:szCs w:val="20"/>
                <w:color w:val="auto"/>
              </w:rPr>
              <w:t>Other Assets, Net</w:t>
            </w:r>
          </w:p>
        </w:tc>
        <w:tc>
          <w:tcPr>
            <w:tcW w:w="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3"/>
        </w:trPr>
        <w:tc>
          <w:tcPr>
            <w:tcW w:w="7280" w:type="dxa"/>
            <w:vAlign w:val="bottom"/>
            <w:gridSpan w:val="2"/>
          </w:tcPr>
          <w:p>
            <w:pPr>
              <w:spacing w:after="0"/>
              <w:rPr>
                <w:sz w:val="20"/>
                <w:szCs w:val="20"/>
                <w:color w:val="auto"/>
              </w:rPr>
            </w:pPr>
            <w:r>
              <w:rPr>
                <w:rFonts w:ascii="Arial" w:cs="Arial" w:eastAsia="Arial" w:hAnsi="Arial"/>
                <w:sz w:val="20"/>
                <w:szCs w:val="20"/>
                <w:color w:val="auto"/>
              </w:rPr>
              <w:t>Other assets, net, consisted of the following as of the periods indicated:</w:t>
            </w: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28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24"/>
                <w:szCs w:val="24"/>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27, 2020</w:t>
            </w:r>
          </w:p>
        </w:tc>
        <w:tc>
          <w:tcPr>
            <w:tcW w:w="200" w:type="dxa"/>
            <w:vAlign w:val="bottom"/>
          </w:tcPr>
          <w:p>
            <w:pPr>
              <w:spacing w:after="0"/>
              <w:rPr>
                <w:sz w:val="24"/>
                <w:szCs w:val="24"/>
                <w:color w:val="auto"/>
              </w:rPr>
            </w:pPr>
          </w:p>
        </w:tc>
        <w:tc>
          <w:tcPr>
            <w:tcW w:w="174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29, 2019</w:t>
            </w:r>
          </w:p>
        </w:tc>
        <w:tc>
          <w:tcPr>
            <w:tcW w:w="0" w:type="dxa"/>
            <w:vAlign w:val="bottom"/>
          </w:tcPr>
          <w:p>
            <w:pPr>
              <w:spacing w:after="0"/>
              <w:rPr>
                <w:sz w:val="1"/>
                <w:szCs w:val="1"/>
                <w:color w:val="auto"/>
              </w:rPr>
            </w:pPr>
          </w:p>
        </w:tc>
      </w:tr>
      <w:tr>
        <w:trPr>
          <w:trHeight w:val="216"/>
        </w:trPr>
        <w:tc>
          <w:tcPr>
            <w:tcW w:w="7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Company-owned life insurance (1)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44,814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60,126</w:t>
            </w:r>
          </w:p>
        </w:tc>
        <w:tc>
          <w:tcPr>
            <w:tcW w:w="0" w:type="dxa"/>
            <w:vAlign w:val="bottom"/>
          </w:tcPr>
          <w:p>
            <w:pPr>
              <w:spacing w:after="0"/>
              <w:rPr>
                <w:sz w:val="1"/>
                <w:szCs w:val="1"/>
                <w:color w:val="auto"/>
              </w:rPr>
            </w:pPr>
          </w:p>
        </w:tc>
      </w:tr>
      <w:tr>
        <w:trPr>
          <w:trHeight w:val="213"/>
        </w:trPr>
        <w:tc>
          <w:tcPr>
            <w:tcW w:w="7280" w:type="dxa"/>
            <w:vAlign w:val="bottom"/>
            <w:gridSpan w:val="2"/>
          </w:tcPr>
          <w:p>
            <w:pPr>
              <w:ind w:left="20"/>
              <w:spacing w:after="0"/>
              <w:rPr>
                <w:sz w:val="20"/>
                <w:szCs w:val="20"/>
                <w:color w:val="auto"/>
              </w:rPr>
            </w:pPr>
            <w:r>
              <w:rPr>
                <w:rFonts w:ascii="Arial" w:cs="Arial" w:eastAsia="Arial" w:hAnsi="Arial"/>
                <w:sz w:val="16"/>
                <w:szCs w:val="16"/>
                <w:color w:val="auto"/>
              </w:rPr>
              <w:t>Deferred debt issuance costs (2)</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4,694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4,893</w:t>
            </w:r>
          </w:p>
        </w:tc>
        <w:tc>
          <w:tcPr>
            <w:tcW w:w="0" w:type="dxa"/>
            <w:vAlign w:val="bottom"/>
          </w:tcPr>
          <w:p>
            <w:pPr>
              <w:spacing w:after="0"/>
              <w:rPr>
                <w:sz w:val="1"/>
                <w:szCs w:val="1"/>
                <w:color w:val="auto"/>
              </w:rPr>
            </w:pPr>
          </w:p>
        </w:tc>
      </w:tr>
      <w:tr>
        <w:trPr>
          <w:trHeight w:val="219"/>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Liquor licenses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24,289</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18,868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27,802</w:t>
            </w:r>
          </w:p>
        </w:tc>
        <w:tc>
          <w:tcPr>
            <w:tcW w:w="0" w:type="dxa"/>
            <w:vAlign w:val="bottom"/>
          </w:tcPr>
          <w:p>
            <w:pPr>
              <w:spacing w:after="0"/>
              <w:rPr>
                <w:sz w:val="1"/>
                <w:szCs w:val="1"/>
                <w:color w:val="auto"/>
              </w:rPr>
            </w:pPr>
          </w:p>
        </w:tc>
      </w:tr>
      <w:tr>
        <w:trPr>
          <w:trHeight w:val="238"/>
        </w:trPr>
        <w:tc>
          <w:tcPr>
            <w:tcW w:w="520" w:type="dxa"/>
            <w:vAlign w:val="bottom"/>
            <w:tcBorders>
              <w:bottom w:val="single" w:sz="8" w:color="CCEEFF"/>
            </w:tcBorders>
            <w:shd w:val="clear" w:color="auto" w:fill="CCEEFF"/>
          </w:tcPr>
          <w:p>
            <w:pPr>
              <w:spacing w:after="0"/>
              <w:rPr>
                <w:sz w:val="20"/>
                <w:szCs w:val="20"/>
                <w:color w:val="auto"/>
              </w:rPr>
            </w:pPr>
          </w:p>
        </w:tc>
        <w:tc>
          <w:tcPr>
            <w:tcW w:w="67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92,626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117,110</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________________</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2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During 2020, the Company withdrew $9.7 million from its Company-owned life insurance policies to pay deferred compensation obligations.</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Net of accumulated amortization of $9.0 million and $6.8 million as of December 27, 2020 and December 29, 2019, respectively.</w:t>
      </w:r>
    </w:p>
    <w:p>
      <w:pPr>
        <w:spacing w:after="0" w:line="227" w:lineRule="exact"/>
        <w:rPr>
          <w:sz w:val="20"/>
          <w:szCs w:val="20"/>
          <w:color w:val="auto"/>
        </w:rPr>
      </w:pPr>
    </w:p>
    <w:p>
      <w:pPr>
        <w:ind w:left="780" w:hanging="772"/>
        <w:spacing w:after="0"/>
        <w:tabs>
          <w:tab w:leader="none" w:pos="780" w:val="left"/>
        </w:tabs>
        <w:numPr>
          <w:ilvl w:val="0"/>
          <w:numId w:val="61"/>
        </w:numPr>
        <w:rPr>
          <w:rFonts w:ascii="Arial" w:cs="Arial" w:eastAsia="Arial" w:hAnsi="Arial"/>
          <w:sz w:val="20"/>
          <w:szCs w:val="20"/>
          <w:color w:val="auto"/>
        </w:rPr>
      </w:pPr>
      <w:r>
        <w:rPr>
          <w:rFonts w:ascii="Arial" w:cs="Arial" w:eastAsia="Arial" w:hAnsi="Arial"/>
          <w:sz w:val="20"/>
          <w:szCs w:val="20"/>
          <w:color w:val="auto"/>
        </w:rPr>
        <w:t>Accrued and Other Current Liabilities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Accrued and other current liabilities consisted of the following as of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27, 2020</w:t>
            </w:r>
          </w:p>
        </w:tc>
        <w:tc>
          <w:tcPr>
            <w:tcW w:w="200" w:type="dxa"/>
            <w:vAlign w:val="bottom"/>
          </w:tcPr>
          <w:p>
            <w:pPr>
              <w:spacing w:after="0"/>
              <w:rPr>
                <w:sz w:val="17"/>
                <w:szCs w:val="17"/>
                <w:color w:val="auto"/>
              </w:rPr>
            </w:pPr>
          </w:p>
        </w:tc>
        <w:tc>
          <w:tcPr>
            <w:tcW w:w="174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29, 2019</w:t>
            </w:r>
          </w:p>
        </w:tc>
      </w:tr>
      <w:tr>
        <w:trPr>
          <w:trHeight w:val="216"/>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rent and current operating lease liabilities (1)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192,369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174,287</w:t>
            </w:r>
          </w:p>
        </w:tc>
      </w:tr>
      <w:tr>
        <w:trPr>
          <w:trHeight w:val="213"/>
        </w:trPr>
        <w:tc>
          <w:tcPr>
            <w:tcW w:w="7280" w:type="dxa"/>
            <w:vAlign w:val="bottom"/>
          </w:tcPr>
          <w:p>
            <w:pPr>
              <w:ind w:left="20"/>
              <w:spacing w:after="0"/>
              <w:rPr>
                <w:sz w:val="20"/>
                <w:szCs w:val="20"/>
                <w:color w:val="auto"/>
              </w:rPr>
            </w:pPr>
            <w:r>
              <w:rPr>
                <w:rFonts w:ascii="Arial" w:cs="Arial" w:eastAsia="Arial" w:hAnsi="Arial"/>
                <w:sz w:val="16"/>
                <w:szCs w:val="16"/>
                <w:color w:val="auto"/>
              </w:rPr>
              <w:t>Accrued payroll and other compensation</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79,291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101,090</w:t>
            </w:r>
          </w:p>
        </w:tc>
      </w:tr>
      <w:tr>
        <w:trPr>
          <w:trHeight w:val="219"/>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insurance</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20,500</w:t>
            </w:r>
          </w:p>
        </w:tc>
      </w:tr>
      <w:tr>
        <w:trPr>
          <w:trHeight w:val="223"/>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95,574</w:t>
            </w:r>
          </w:p>
        </w:tc>
      </w:tr>
      <w:tr>
        <w:trPr>
          <w:trHeight w:val="238"/>
        </w:trPr>
        <w:tc>
          <w:tcPr>
            <w:tcW w:w="72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388,321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391,451</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Includes COVID-19-related deferred rent accruals of $12.8 million as of December 27, 2020.</w:t>
      </w:r>
    </w:p>
    <w:p>
      <w:pPr>
        <w:spacing w:after="0" w:line="227" w:lineRule="exact"/>
        <w:rPr>
          <w:sz w:val="20"/>
          <w:szCs w:val="20"/>
          <w:color w:val="auto"/>
        </w:rPr>
      </w:pPr>
    </w:p>
    <w:p>
      <w:pPr>
        <w:ind w:left="800" w:hanging="792"/>
        <w:spacing w:after="0"/>
        <w:tabs>
          <w:tab w:leader="none" w:pos="800" w:val="left"/>
        </w:tabs>
        <w:numPr>
          <w:ilvl w:val="0"/>
          <w:numId w:val="63"/>
        </w:numPr>
        <w:rPr>
          <w:rFonts w:ascii="Arial" w:cs="Arial" w:eastAsia="Arial" w:hAnsi="Arial"/>
          <w:sz w:val="20"/>
          <w:szCs w:val="20"/>
          <w:color w:val="auto"/>
        </w:rPr>
      </w:pPr>
      <w:r>
        <w:rPr>
          <w:rFonts w:ascii="Arial" w:cs="Arial" w:eastAsia="Arial" w:hAnsi="Arial"/>
          <w:sz w:val="20"/>
          <w:szCs w:val="20"/>
          <w:color w:val="auto"/>
        </w:rPr>
        <w:t>Long-term Debt, Net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outstanding long-term debt, as of the periods indicated: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3"/>
          </w:tcPr>
          <w:p>
            <w:pPr>
              <w:jc w:val="right"/>
              <w:ind w:right="868"/>
              <w:spacing w:after="0"/>
              <w:rPr>
                <w:sz w:val="20"/>
                <w:szCs w:val="20"/>
                <w:color w:val="auto"/>
              </w:rPr>
            </w:pPr>
            <w:r>
              <w:rPr>
                <w:rFonts w:ascii="Arial" w:cs="Arial" w:eastAsia="Arial" w:hAnsi="Arial"/>
                <w:sz w:val="14"/>
                <w:szCs w:val="14"/>
                <w:b w:val="1"/>
                <w:bCs w:val="1"/>
                <w:color w:val="auto"/>
              </w:rPr>
              <w:t>DECEMBER 27, 2020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3"/>
          </w:tcPr>
          <w:p>
            <w:pPr>
              <w:jc w:val="right"/>
              <w:ind w:right="868"/>
              <w:spacing w:after="0"/>
              <w:rPr>
                <w:sz w:val="20"/>
                <w:szCs w:val="20"/>
                <w:color w:val="auto"/>
              </w:rPr>
            </w:pPr>
            <w:r>
              <w:rPr>
                <w:rFonts w:ascii="Arial" w:cs="Arial" w:eastAsia="Arial" w:hAnsi="Arial"/>
                <w:sz w:val="14"/>
                <w:szCs w:val="14"/>
                <w:b w:val="1"/>
                <w:bCs w:val="1"/>
                <w:color w:val="auto"/>
              </w:rPr>
              <w:t>DECEMBER 29, 2019</w:t>
            </w:r>
          </w:p>
        </w:tc>
        <w:tc>
          <w:tcPr>
            <w:tcW w:w="0" w:type="dxa"/>
            <w:vAlign w:val="bottom"/>
          </w:tcPr>
          <w:p>
            <w:pPr>
              <w:spacing w:after="0"/>
              <w:rPr>
                <w:sz w:val="1"/>
                <w:szCs w:val="1"/>
                <w:color w:val="auto"/>
              </w:rPr>
            </w:pPr>
          </w:p>
        </w:tc>
      </w:tr>
      <w:tr>
        <w:trPr>
          <w:trHeight w:val="135"/>
        </w:trPr>
        <w:tc>
          <w:tcPr>
            <w:tcW w:w="4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1"/>
                <w:szCs w:val="11"/>
                <w:color w:val="auto"/>
              </w:rPr>
            </w:pPr>
          </w:p>
        </w:tc>
        <w:tc>
          <w:tcPr>
            <w:tcW w:w="1360" w:type="dxa"/>
            <w:vAlign w:val="bottom"/>
          </w:tcPr>
          <w:p>
            <w:pPr>
              <w:jc w:val="right"/>
              <w:ind w:right="161"/>
              <w:spacing w:after="0" w:line="135"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1"/>
                <w:szCs w:val="11"/>
                <w:color w:val="auto"/>
              </w:rPr>
            </w:pPr>
          </w:p>
        </w:tc>
        <w:tc>
          <w:tcPr>
            <w:tcW w:w="17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INTEREST RATE</w:t>
            </w:r>
          </w:p>
        </w:tc>
        <w:tc>
          <w:tcPr>
            <w:tcW w:w="160" w:type="dxa"/>
            <w:vAlign w:val="bottom"/>
          </w:tcPr>
          <w:p>
            <w:pPr>
              <w:spacing w:after="0"/>
              <w:rPr>
                <w:sz w:val="11"/>
                <w:szCs w:val="11"/>
                <w:color w:val="auto"/>
              </w:rPr>
            </w:pPr>
          </w:p>
        </w:tc>
        <w:tc>
          <w:tcPr>
            <w:tcW w:w="1360" w:type="dxa"/>
            <w:vAlign w:val="bottom"/>
          </w:tcPr>
          <w:p>
            <w:pPr>
              <w:jc w:val="right"/>
              <w:ind w:right="141"/>
              <w:spacing w:after="0" w:line="135"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1"/>
                <w:szCs w:val="11"/>
                <w:color w:val="auto"/>
              </w:rPr>
            </w:pPr>
          </w:p>
        </w:tc>
        <w:tc>
          <w:tcPr>
            <w:tcW w:w="16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196"/>
        </w:trPr>
        <w:tc>
          <w:tcPr>
            <w:tcW w:w="46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341"/>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321"/>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Secured Credit Facility:</w:t>
            </w: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520"/>
              <w:spacing w:after="0"/>
              <w:rPr>
                <w:sz w:val="20"/>
                <w:szCs w:val="20"/>
                <w:color w:val="auto"/>
              </w:rPr>
            </w:pPr>
            <w:r>
              <w:rPr>
                <w:rFonts w:ascii="Arial" w:cs="Arial" w:eastAsia="Arial" w:hAnsi="Arial"/>
                <w:sz w:val="16"/>
                <w:szCs w:val="16"/>
                <w:color w:val="auto"/>
              </w:rPr>
              <w:t>Term loan A (1)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425,000</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2.88 %</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450,000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3.40 %</w:t>
            </w:r>
          </w:p>
        </w:tc>
        <w:tc>
          <w:tcPr>
            <w:tcW w:w="0" w:type="dxa"/>
            <w:vAlign w:val="bottom"/>
          </w:tcPr>
          <w:p>
            <w:pPr>
              <w:spacing w:after="0"/>
              <w:rPr>
                <w:sz w:val="1"/>
                <w:szCs w:val="1"/>
                <w:color w:val="auto"/>
              </w:rPr>
            </w:pPr>
          </w:p>
        </w:tc>
      </w:tr>
      <w:tr>
        <w:trPr>
          <w:trHeight w:val="226"/>
        </w:trPr>
        <w:tc>
          <w:tcPr>
            <w:tcW w:w="46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Revolving credit facility (1)(2)</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447,000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2.88 %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3.44 %</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Senior Secured Credit Facility</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872,000</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1,049,000</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Senior Notes (3)</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230,000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0"/>
              <w:spacing w:after="0"/>
              <w:rPr>
                <w:sz w:val="20"/>
                <w:szCs w:val="20"/>
                <w:color w:val="auto"/>
              </w:rPr>
            </w:pPr>
            <w:r>
              <w:rPr>
                <w:rFonts w:ascii="Arial" w:cs="Arial" w:eastAsia="Arial" w:hAnsi="Arial"/>
                <w:sz w:val="16"/>
                <w:szCs w:val="16"/>
                <w:color w:val="auto"/>
              </w:rPr>
              <w:t>Finance lease liabilities</w:t>
            </w:r>
          </w:p>
        </w:tc>
        <w:tc>
          <w:tcPr>
            <w:tcW w:w="16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2,405</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2,495</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2.18 %</w:t>
            </w:r>
          </w:p>
        </w:tc>
        <w:tc>
          <w:tcPr>
            <w:tcW w:w="0" w:type="dxa"/>
            <w:vAlign w:val="bottom"/>
          </w:tcPr>
          <w:p>
            <w:pPr>
              <w:spacing w:after="0"/>
              <w:rPr>
                <w:sz w:val="1"/>
                <w:szCs w:val="1"/>
                <w:color w:val="auto"/>
              </w:rPr>
            </w:pPr>
          </w:p>
        </w:tc>
      </w:tr>
      <w:tr>
        <w:trPr>
          <w:trHeight w:val="213"/>
        </w:trPr>
        <w:tc>
          <w:tcPr>
            <w:tcW w:w="4640" w:type="dxa"/>
            <w:vAlign w:val="bottom"/>
          </w:tcPr>
          <w:p>
            <w:pPr>
              <w:ind w:left="20"/>
              <w:spacing w:after="0"/>
              <w:rPr>
                <w:sz w:val="20"/>
                <w:szCs w:val="20"/>
                <w:color w:val="auto"/>
              </w:rPr>
            </w:pPr>
            <w:r>
              <w:rPr>
                <w:rFonts w:ascii="Arial" w:cs="Arial" w:eastAsia="Arial" w:hAnsi="Arial"/>
                <w:sz w:val="16"/>
                <w:szCs w:val="16"/>
                <w:color w:val="auto"/>
              </w:rPr>
              <w:t>Less: unamortized debt discount and issuance costs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(67,704)</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(2,654)</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finance lease interest</w:t>
            </w:r>
          </w:p>
        </w:tc>
        <w:tc>
          <w:tcPr>
            <w:tcW w:w="1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640" w:type="dxa"/>
            <w:vAlign w:val="bottom"/>
          </w:tcPr>
          <w:p>
            <w:pPr>
              <w:ind w:left="20"/>
              <w:spacing w:after="0"/>
              <w:rPr>
                <w:sz w:val="20"/>
                <w:szCs w:val="20"/>
                <w:color w:val="auto"/>
              </w:rPr>
            </w:pPr>
            <w:r>
              <w:rPr>
                <w:rFonts w:ascii="Arial" w:cs="Arial" w:eastAsia="Arial" w:hAnsi="Arial"/>
                <w:sz w:val="16"/>
                <w:szCs w:val="16"/>
                <w:color w:val="auto"/>
              </w:rPr>
              <w:t>Total debt, net</w:t>
            </w:r>
          </w:p>
        </w:tc>
        <w:tc>
          <w:tcPr>
            <w:tcW w:w="160" w:type="dxa"/>
            <w:vAlign w:val="bottom"/>
          </w:tcPr>
          <w:p>
            <w:pPr>
              <w:spacing w:after="0"/>
              <w:rPr>
                <w:sz w:val="17"/>
                <w:szCs w:val="17"/>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1,036,480</w:t>
            </w: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1,048,704</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current portion of long-term debt</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(38,710)</w:t>
            </w:r>
          </w:p>
        </w:tc>
        <w:tc>
          <w:tcPr>
            <w:tcW w:w="1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(26,411)</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Arial" w:cs="Arial" w:eastAsia="Arial" w:hAnsi="Arial"/>
                <w:sz w:val="16"/>
                <w:szCs w:val="16"/>
                <w:color w:val="auto"/>
              </w:rPr>
              <w:t>Long-term debt,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997,770</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1,022,293</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Interest rate represents the weighted-average interest rate as of respective periods.</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Subsequent to December 27, 2020, the Company made payments of $92.0 million on its revolving credit facility.</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See Note 14 - </w:t>
      </w:r>
      <w:r>
        <w:rPr>
          <w:rFonts w:ascii="Arial" w:cs="Arial" w:eastAsia="Arial" w:hAnsi="Arial"/>
          <w:sz w:val="16"/>
          <w:szCs w:val="16"/>
          <w:i w:val="1"/>
          <w:iCs w:val="1"/>
          <w:color w:val="auto"/>
        </w:rPr>
        <w:t>Convertible Senior Notes</w:t>
      </w:r>
      <w:r>
        <w:rPr>
          <w:rFonts w:ascii="Arial" w:cs="Arial" w:eastAsia="Arial" w:hAnsi="Arial"/>
          <w:sz w:val="16"/>
          <w:szCs w:val="16"/>
          <w:color w:val="auto"/>
        </w:rPr>
        <w:t xml:space="preserve"> for details regarding the convertible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Bloomin’ Brands, Inc. is a holding company and conducts its operations through its subsidiaries, certain of which have incurred indebtedness as described below.</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Amended Credit Agreement - </w:t>
      </w:r>
      <w:r>
        <w:rPr>
          <w:rFonts w:ascii="Arial" w:cs="Arial" w:eastAsia="Arial" w:hAnsi="Arial"/>
          <w:sz w:val="19"/>
          <w:szCs w:val="19"/>
          <w:color w:val="auto"/>
        </w:rPr>
        <w:t>On November 30, 2017, the Company and OSI, as co-borrowers, entered into a credit agreement (the “Credit</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with a syndicate of institutional lenders, providing for senior secured financing of up to $1.5 billion consisting of a $500.0 million Term loan A and a $1.0 billion revolving credit facility, including a letter of credit and swing line loan sub-facilities (the “Senior Secured Credit Facility”). The Senior Secured Credit Facility matures on November 30, 2022.</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Borrowings under the Company’s Senior Secured Credit Facility are subject to various covenants that limit its ability to: incur additional indebtedness; make significant payments; sell assets; pay dividends and other restricted payments; acquire certain assets; effect mergers and similar transactions; and effect certain other transactions with affiliates.</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On May 4, 2020, the Company and its wholly-owned subsidiary OSI, as co-borrowers, entered into an amendment to the Credit Agreement (the “Amended Credit Agreement”), which provides relief for the Senior Secured Credit Facility financial covenant to maintain a specified quarterly Total Net Leverage Ratio (“TNLR”). Without such amendment, violation of financial covenants under the original credit agreement could have resulted in default. TNLR is the ratio of Consolidated Total Debt (Current portion of long-term debt and Long-term debt, net of cash, excluding the convertible senior notes) to Consolidated EBITDA (earnings before interest, taxes, depreciation and amortization and certain other adjustments as defined in the Amended Credit Agreement).</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Amended Credit Agreement waived the TNLR requirement for the remainder of fiscal year 2020 and requires a TNLR based on a seasonally annualized calculation of Consolidated EBITDA not to exceed the following thresholds for the periods indicated: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QUARTERLY PERIOD ENDED</w:t>
            </w:r>
          </w:p>
        </w:tc>
        <w:tc>
          <w:tcPr>
            <w:tcW w:w="10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MAXIMUM RATIO</w:t>
            </w:r>
          </w:p>
        </w:tc>
      </w:tr>
      <w:tr>
        <w:trPr>
          <w:trHeight w:val="216"/>
        </w:trPr>
        <w:tc>
          <w:tcPr>
            <w:tcW w:w="9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March 28, 2021 (1)</w:t>
            </w: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5.50</w:t>
            </w:r>
          </w:p>
        </w:tc>
        <w:tc>
          <w:tcPr>
            <w:tcW w:w="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to</w:t>
            </w:r>
          </w:p>
        </w:tc>
        <w:tc>
          <w:tcPr>
            <w:tcW w:w="82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1.00</w:t>
            </w:r>
          </w:p>
        </w:tc>
      </w:tr>
      <w:tr>
        <w:trPr>
          <w:trHeight w:val="213"/>
        </w:trPr>
        <w:tc>
          <w:tcPr>
            <w:tcW w:w="9360" w:type="dxa"/>
            <w:vAlign w:val="bottom"/>
            <w:gridSpan w:val="2"/>
          </w:tcPr>
          <w:p>
            <w:pPr>
              <w:ind w:left="20"/>
              <w:spacing w:after="0"/>
              <w:rPr>
                <w:sz w:val="20"/>
                <w:szCs w:val="20"/>
                <w:color w:val="auto"/>
              </w:rPr>
            </w:pPr>
            <w:r>
              <w:rPr>
                <w:rFonts w:ascii="Arial" w:cs="Arial" w:eastAsia="Arial" w:hAnsi="Arial"/>
                <w:sz w:val="16"/>
                <w:szCs w:val="16"/>
                <w:color w:val="auto"/>
              </w:rPr>
              <w:t>June 27, 2021 (2)</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5.00</w:t>
            </w:r>
          </w:p>
        </w:tc>
        <w:tc>
          <w:tcPr>
            <w:tcW w:w="260" w:type="dxa"/>
            <w:vAlign w:val="bottom"/>
          </w:tcPr>
          <w:p>
            <w:pPr>
              <w:jc w:val="center"/>
              <w:spacing w:after="0"/>
              <w:rPr>
                <w:sz w:val="20"/>
                <w:szCs w:val="20"/>
                <w:color w:val="auto"/>
              </w:rPr>
            </w:pPr>
            <w:r>
              <w:rPr>
                <w:rFonts w:ascii="Arial" w:cs="Arial" w:eastAsia="Arial" w:hAnsi="Arial"/>
                <w:sz w:val="16"/>
                <w:szCs w:val="16"/>
                <w:color w:val="auto"/>
                <w:w w:val="89"/>
              </w:rPr>
              <w:t>to</w:t>
            </w:r>
          </w:p>
        </w:tc>
        <w:tc>
          <w:tcPr>
            <w:tcW w:w="820" w:type="dxa"/>
            <w:vAlign w:val="bottom"/>
          </w:tcPr>
          <w:p>
            <w:pPr>
              <w:jc w:val="right"/>
              <w:ind w:right="379"/>
              <w:spacing w:after="0"/>
              <w:rPr>
                <w:sz w:val="20"/>
                <w:szCs w:val="20"/>
                <w:color w:val="auto"/>
              </w:rPr>
            </w:pPr>
            <w:r>
              <w:rPr>
                <w:rFonts w:ascii="Arial" w:cs="Arial" w:eastAsia="Arial" w:hAnsi="Arial"/>
                <w:sz w:val="16"/>
                <w:szCs w:val="16"/>
                <w:color w:val="auto"/>
              </w:rPr>
              <w:t>1.00</w:t>
            </w:r>
          </w:p>
        </w:tc>
      </w:tr>
      <w:tr>
        <w:trPr>
          <w:trHeight w:val="219"/>
        </w:trPr>
        <w:tc>
          <w:tcPr>
            <w:tcW w:w="9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September 26, 2021 and thereafter (3)</w:t>
            </w: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4.50</w:t>
            </w:r>
          </w:p>
        </w:tc>
        <w:tc>
          <w:tcPr>
            <w:tcW w:w="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to</w:t>
            </w:r>
          </w:p>
        </w:tc>
        <w:tc>
          <w:tcPr>
            <w:tcW w:w="82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1.00</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Seasonally annualized Consolidated EBITDA calculated as Consolidated EBITDA for the fiscal quarter ending March 28, 2021 divided by 34.1%.</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Seasonally annualized Consolidated EBITDA calculated as Consolidated EBITDA for the two consecutive quarters ending June 27, 2021 divided by 58.5%.</w:t>
      </w:r>
    </w:p>
    <w:p>
      <w:pPr>
        <w:spacing w:after="0" w:line="16" w:lineRule="exact"/>
        <w:rPr>
          <w:rFonts w:ascii="Arial" w:cs="Arial" w:eastAsia="Arial" w:hAnsi="Arial"/>
          <w:sz w:val="15"/>
          <w:szCs w:val="15"/>
          <w:color w:val="auto"/>
        </w:rPr>
      </w:pPr>
    </w:p>
    <w:p>
      <w:pPr>
        <w:ind w:left="660" w:right="20" w:hanging="652"/>
        <w:spacing w:after="0" w:line="257" w:lineRule="auto"/>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Seasonally annualized Consolidated EBITDA calculated as Consolidated EBITDA for the three consecutive quarters ending September 26, 2021 divided by 77.0%.</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is also required to meet a minimum monthly liquidity threshold of $125.0 million through March 28, 2021, calculated as the sum of available capacity under the Company’s revolving credit facility, unrestricted domestic cash on hand and up to $25.0 million of unrestricted cash held by foreign subsidiaries.</w:t>
      </w:r>
    </w:p>
    <w:p>
      <w:pPr>
        <w:spacing w:after="0" w:line="21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Under the Amended Credit Agreement, the Company is limited to $100.0 million of aggregate capital expenditures for the four fiscal quarters through March 28, 2021. The Company is also prohibited from making certain restricted payments, investments or acquisitions until after September 26, 2021, with an exception for investments in the Company’s foreign subsidiaries which are capped at $27.5 million. Repurchasing shares of the Company’s outstanding common stock and paying dividends are also restricted until after September 26, 2021 and the Company is compliant with its financial covenants under the terms of the Amended Credit Agreement.</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Interest rates under the Amended Credit Agreement are 275 and 175 basis points above the Eurocurrency Rate and Base Rate, respectively, and letter of credit fees and fees for the daily unused availability under the revolving credit facility are 2.75% and 0.40%, respectively. The Company is also subject to a 0% Eurocurrency floor under the Amended Credit Agreement.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Once in compliance with the TNLR covenant for the test period ending September 26, 2021, the Company may elect an interest rate at each reset period based on the Alternate Base Rate or the Eurocurrency Rate. The Alternate Base Rate option is the highest of: (i) the prime rate of Wells Fargo Bank, National Association, (ii) the federal funds effective rate plus 0.5 of 1.0% or (iii) the Eurocurrency rate with a one-month interest period plus 1.0% (the “Base Rate”). The Eurocurrency Rate option is the seven, 30, 60, 90 or 180-day Eurocurrency rate (the “Eurocurrency Rate”). The interest rates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80" w:type="dxa"/>
            <w:vAlign w:val="bottom"/>
            <w:tcBorders>
              <w:bottom w:val="single" w:sz="8" w:color="CCEEFF"/>
            </w:tcBorders>
          </w:tcPr>
          <w:p>
            <w:pPr>
              <w:spacing w:after="0"/>
              <w:rPr>
                <w:sz w:val="17"/>
                <w:szCs w:val="17"/>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BASE RATE ELECTION</w:t>
            </w:r>
          </w:p>
        </w:tc>
        <w:tc>
          <w:tcPr>
            <w:tcW w:w="100" w:type="dxa"/>
            <w:vAlign w:val="bottom"/>
            <w:tcBorders>
              <w:bottom w:val="single" w:sz="8" w:color="CCEEFF"/>
            </w:tcBorders>
          </w:tcPr>
          <w:p>
            <w:pPr>
              <w:spacing w:after="0"/>
              <w:rPr>
                <w:sz w:val="17"/>
                <w:szCs w:val="17"/>
                <w:color w:val="auto"/>
              </w:rPr>
            </w:pP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EUROCURRENCY RATE ELECTION</w:t>
            </w:r>
          </w:p>
        </w:tc>
      </w:tr>
      <w:tr>
        <w:trPr>
          <w:trHeight w:val="216"/>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 loan A and revolving credit facility</w:t>
            </w:r>
          </w:p>
        </w:tc>
        <w:tc>
          <w:tcPr>
            <w:tcW w:w="34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50 to 100 basis points over the Base Rate</w:t>
            </w:r>
          </w:p>
        </w:tc>
        <w:tc>
          <w:tcPr>
            <w:tcW w:w="4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150 to 200 basis points over the Eurocurrency Rate</w:t>
            </w:r>
          </w:p>
        </w:tc>
      </w:tr>
    </w:tbl>
    <w:p>
      <w:pPr>
        <w:spacing w:after="0" w:line="30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Interest rates under the Senior Secured Credit Facility are indexed to the London Inter-Bank Offered Rate (“LIBOR”). During 2017, regulatory authorities that oversee financial markets announced that after 2021 they would no longer compel banks currently reporting information used to set LIBOR. As a result, beginning in 2022, LIBOR will no longer be available as a reference rate. Under the terms of the Amended Credit Agreement, in the event of the discontinuance of LIBOR, a mutually agreed-upon alternative benchmark rate will be established to replace LIBOR, which may include the Secured Overnight Financing Rate. The Company does not anticipate the discontinuance of the LIBOR will materially impact its liquidity or financial position.</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December 27, 2020, $19.3 million of the revolving credit facility was committed for the issuance of letters of credit and not available for borrowing.</w:t>
      </w:r>
    </w:p>
    <w:p>
      <w:pPr>
        <w:spacing w:after="0" w:line="20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Senior Secured Credit Facility is guaranteed by each of the Company’s current and future domestic subsidiaries and is secured by substantially all now owned or later acquired assets of the Company and OSI, including the Company’s domestic subsidiaries.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27, 2020 and December 29, 2019, the Company was in compliance with its debt covenants.</w:t>
      </w:r>
    </w:p>
    <w:p>
      <w:pPr>
        <w:spacing w:after="0" w:line="24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 xml:space="preserve">Deferred Debt Issuance Costs </w:t>
      </w:r>
      <w:r>
        <w:rPr>
          <w:rFonts w:ascii="Arial" w:cs="Arial" w:eastAsia="Arial" w:hAnsi="Arial"/>
          <w:sz w:val="18"/>
          <w:szCs w:val="18"/>
          <w:color w:val="auto"/>
        </w:rPr>
        <w:t>- The Company deferred $2.9 million of debt issuance costs incurred in connection with the Amended Credit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Deferred debt issuance costs of $2.0 million associated with the revolving credit facility portion of the Amended Credit Agreement were recorded in Other assets, net and all other deferred debt issuance costs were recorded in Long-term debt, net during 2020.</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Maturities - </w:t>
      </w:r>
      <w:r>
        <w:rPr>
          <w:rFonts w:ascii="Arial" w:cs="Arial" w:eastAsia="Arial" w:hAnsi="Arial"/>
          <w:sz w:val="18"/>
          <w:szCs w:val="18"/>
          <w:color w:val="auto"/>
        </w:rPr>
        <w:t>Following is a summary of principal payments of the Company’s total consolidated debt outstanding as of the period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DECEMBER 27, 2020</w:t>
            </w:r>
          </w:p>
        </w:tc>
      </w:tr>
      <w:tr>
        <w:trPr>
          <w:trHeight w:val="216"/>
        </w:trPr>
        <w:tc>
          <w:tcPr>
            <w:tcW w:w="9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38,750</w:t>
            </w:r>
          </w:p>
        </w:tc>
      </w:tr>
      <w:tr>
        <w:trPr>
          <w:trHeight w:val="213"/>
        </w:trPr>
        <w:tc>
          <w:tcPr>
            <w:tcW w:w="9300" w:type="dxa"/>
            <w:vAlign w:val="bottom"/>
          </w:tcPr>
          <w:p>
            <w:pPr>
              <w:ind w:left="20"/>
              <w:spacing w:after="0"/>
              <w:rPr>
                <w:sz w:val="20"/>
                <w:szCs w:val="20"/>
                <w:color w:val="auto"/>
              </w:rPr>
            </w:pPr>
            <w:r>
              <w:rPr>
                <w:rFonts w:ascii="Arial" w:cs="Arial" w:eastAsia="Arial" w:hAnsi="Arial"/>
                <w:sz w:val="16"/>
                <w:szCs w:val="16"/>
                <w:color w:val="auto"/>
              </w:rPr>
              <w:t>2022</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835,053</w:t>
            </w:r>
          </w:p>
        </w:tc>
      </w:tr>
      <w:tr>
        <w:trPr>
          <w:trHeight w:val="219"/>
        </w:trPr>
        <w:tc>
          <w:tcPr>
            <w:tcW w:w="9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r>
      <w:tr>
        <w:trPr>
          <w:trHeight w:val="213"/>
        </w:trPr>
        <w:tc>
          <w:tcPr>
            <w:tcW w:w="9300" w:type="dxa"/>
            <w:vAlign w:val="bottom"/>
          </w:tcPr>
          <w:p>
            <w:pPr>
              <w:ind w:left="20"/>
              <w:spacing w:after="0"/>
              <w:rPr>
                <w:sz w:val="20"/>
                <w:szCs w:val="20"/>
                <w:color w:val="auto"/>
              </w:rPr>
            </w:pPr>
            <w:r>
              <w:rPr>
                <w:rFonts w:ascii="Arial" w:cs="Arial" w:eastAsia="Arial" w:hAnsi="Arial"/>
                <w:sz w:val="16"/>
                <w:szCs w:val="16"/>
                <w:color w:val="auto"/>
              </w:rPr>
              <w:t>2024</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178</w:t>
            </w:r>
          </w:p>
        </w:tc>
      </w:tr>
      <w:tr>
        <w:trPr>
          <w:trHeight w:val="219"/>
        </w:trPr>
        <w:tc>
          <w:tcPr>
            <w:tcW w:w="9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230,217</w:t>
            </w:r>
          </w:p>
        </w:tc>
      </w:tr>
      <w:tr>
        <w:trPr>
          <w:trHeight w:val="223"/>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9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payments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1,104,405</w:t>
            </w:r>
          </w:p>
        </w:tc>
      </w:tr>
      <w:tr>
        <w:trPr>
          <w:trHeight w:val="213"/>
        </w:trPr>
        <w:tc>
          <w:tcPr>
            <w:tcW w:w="9300" w:type="dxa"/>
            <w:vAlign w:val="bottom"/>
          </w:tcPr>
          <w:p>
            <w:pPr>
              <w:ind w:left="20"/>
              <w:spacing w:after="0"/>
              <w:rPr>
                <w:sz w:val="20"/>
                <w:szCs w:val="20"/>
                <w:color w:val="auto"/>
              </w:rPr>
            </w:pPr>
            <w:r>
              <w:rPr>
                <w:rFonts w:ascii="Arial" w:cs="Arial" w:eastAsia="Arial" w:hAnsi="Arial"/>
                <w:sz w:val="16"/>
                <w:szCs w:val="16"/>
                <w:color w:val="auto"/>
              </w:rPr>
              <w:t>Less: unamortized debt discount and issuance costs</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(67,704)</w:t>
            </w:r>
          </w:p>
        </w:tc>
      </w:tr>
      <w:tr>
        <w:trPr>
          <w:trHeight w:val="226"/>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finance lease interest</w:t>
            </w: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w:t>
            </w:r>
          </w:p>
        </w:tc>
      </w:tr>
      <w:tr>
        <w:trPr>
          <w:trHeight w:val="216"/>
        </w:trPr>
        <w:tc>
          <w:tcPr>
            <w:tcW w:w="9300" w:type="dxa"/>
            <w:vAlign w:val="bottom"/>
          </w:tcPr>
          <w:p>
            <w:pPr>
              <w:ind w:left="20"/>
              <w:spacing w:after="0"/>
              <w:rPr>
                <w:sz w:val="20"/>
                <w:szCs w:val="20"/>
                <w:color w:val="auto"/>
              </w:rPr>
            </w:pPr>
            <w:r>
              <w:rPr>
                <w:rFonts w:ascii="Arial" w:cs="Arial" w:eastAsia="Arial" w:hAnsi="Arial"/>
                <w:sz w:val="16"/>
                <w:szCs w:val="16"/>
                <w:color w:val="auto"/>
              </w:rPr>
              <w:t>Total principal payments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1,036,480</w:t>
            </w:r>
          </w:p>
        </w:tc>
      </w:tr>
      <w:tr>
        <w:trPr>
          <w:trHeight w:val="21"/>
        </w:trPr>
        <w:tc>
          <w:tcPr>
            <w:tcW w:w="9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summary of required amortization payments for the Term loan A (dollars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SCHEDULED QUARTERLY PAYMENT DATES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TERM LOAN A</w:t>
            </w:r>
          </w:p>
        </w:tc>
      </w:tr>
      <w:tr>
        <w:trPr>
          <w:trHeight w:val="216"/>
        </w:trPr>
        <w:tc>
          <w:tcPr>
            <w:tcW w:w="7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March 28,</w:t>
            </w:r>
          </w:p>
        </w:tc>
        <w:tc>
          <w:tcPr>
            <w:tcW w:w="9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2021 through December 26, 2021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9,375</w:t>
            </w:r>
          </w:p>
        </w:tc>
      </w:tr>
      <w:tr>
        <w:trPr>
          <w:trHeight w:val="210"/>
        </w:trPr>
        <w:tc>
          <w:tcPr>
            <w:tcW w:w="720" w:type="dxa"/>
            <w:vAlign w:val="bottom"/>
          </w:tcPr>
          <w:p>
            <w:pPr>
              <w:ind w:left="20"/>
              <w:spacing w:after="0"/>
              <w:rPr>
                <w:sz w:val="20"/>
                <w:szCs w:val="20"/>
                <w:color w:val="auto"/>
              </w:rPr>
            </w:pPr>
            <w:r>
              <w:rPr>
                <w:rFonts w:ascii="Arial" w:cs="Arial" w:eastAsia="Arial" w:hAnsi="Arial"/>
                <w:sz w:val="16"/>
                <w:szCs w:val="16"/>
                <w:color w:val="auto"/>
                <w:w w:val="95"/>
              </w:rPr>
              <w:t>March 27,</w:t>
            </w:r>
          </w:p>
        </w:tc>
        <w:tc>
          <w:tcPr>
            <w:tcW w:w="9080" w:type="dxa"/>
            <w:vAlign w:val="bottom"/>
            <w:gridSpan w:val="2"/>
          </w:tcPr>
          <w:p>
            <w:pPr>
              <w:ind w:left="20"/>
              <w:spacing w:after="0"/>
              <w:rPr>
                <w:sz w:val="20"/>
                <w:szCs w:val="20"/>
                <w:color w:val="auto"/>
              </w:rPr>
            </w:pPr>
            <w:r>
              <w:rPr>
                <w:rFonts w:ascii="Arial" w:cs="Arial" w:eastAsia="Arial" w:hAnsi="Arial"/>
                <w:sz w:val="16"/>
                <w:szCs w:val="16"/>
                <w:color w:val="auto"/>
              </w:rPr>
              <w:t>2022 through September 25, 2022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12,500</w:t>
            </w:r>
          </w:p>
        </w:tc>
      </w:tr>
    </w:tbl>
    <w:p>
      <w:pPr>
        <w:spacing w:after="0" w:line="3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Amended Credit Agreement contains mandatory prepayment requirements for Term loan A. The Company is required to prepay outstanding amounts under these loans with 50% of its annual excess cash flow, as defined in the Amended Credit Agreement. The amount of outstanding loans required to be prepaid in accordance with the debt covenants may vary based on the Company’s leverage ratio and year end results.</w:t>
      </w:r>
    </w:p>
    <w:p>
      <w:pPr>
        <w:spacing w:after="0" w:line="218"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6"/>
          <w:szCs w:val="16"/>
          <w:color w:val="auto"/>
        </w:rPr>
        <w:t>Convertible Senior Notes</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9"/>
          <w:szCs w:val="19"/>
          <w:i w:val="1"/>
          <w:iCs w:val="1"/>
          <w:color w:val="auto"/>
        </w:rPr>
        <w:t xml:space="preserve">Convertible Senior Notes </w:t>
      </w:r>
      <w:r>
        <w:rPr>
          <w:rFonts w:ascii="Arial" w:cs="Arial" w:eastAsia="Arial" w:hAnsi="Arial"/>
          <w:sz w:val="19"/>
          <w:szCs w:val="19"/>
          <w:color w:val="auto"/>
        </w:rPr>
        <w:t>- On May 8, 2020, the Company completed a $200.0 million principal amount private offering of 5.00%</w:t>
      </w:r>
      <w:r>
        <w:rPr>
          <w:rFonts w:ascii="Arial" w:cs="Arial" w:eastAsia="Arial" w:hAnsi="Arial"/>
          <w:sz w:val="19"/>
          <w:szCs w:val="19"/>
          <w:i w:val="1"/>
          <w:iCs w:val="1"/>
          <w:color w:val="auto"/>
        </w:rPr>
        <w:t xml:space="preserve"> </w:t>
      </w:r>
      <w:r>
        <w:rPr>
          <w:rFonts w:ascii="Arial" w:cs="Arial" w:eastAsia="Arial" w:hAnsi="Arial"/>
          <w:sz w:val="19"/>
          <w:szCs w:val="19"/>
          <w:color w:val="auto"/>
        </w:rPr>
        <w:t>convertible senior notes due in 2025 and on May 12, 2020, issued an additional $30.0 million principal amount in connection with the option granted to the initial purchasers as part of the offering (collectively, the “2025 Notes”). The 2025 Notes are governed by the terms of an indenture between the Company and Wells Fargo Bank, National Association, as the Trustee. The 2025 Notes will mature on May 1, 2025, unless earlier converted, redeemed or purchased by the Company. The 2025 Notes bear cash interest at an annual rate of 5.00%, payable semi-annually in arrears on May 1 and November 1 of each year, beginning on November 1, 2020.</w:t>
      </w:r>
    </w:p>
    <w:p>
      <w:pPr>
        <w:spacing w:after="0" w:line="20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2025 Notes are unsecured obligations and do not contain any financial covenants or restrictions on incurring additional indebtedness, paying dividends or issuing or repurchasing any securities. Events of default under the indenture for the 2025 Notes include, among other things, a default in the payment when due of the principal of, or the redemption price for, any note and a default for 30 days in the payment when due of interest on any note. If an event of default, the principal amount of, and all accrued and unpaid interest on, all of the notes then outstanding will immediately become due and payable.</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initial conversion rate applicable to the 2025 Notes is 84.122 shares of common stock per $1,000 principal amount of 2025 Notes, or a total of approximately 19.348 million shares for the total $230.0 million principal amount. This initial conversion rate is equivalent to an initial conversion price of approximately $11.89 per share. The conversion rate is subject to adjustment upon the occurrence of certain specified events. Noteholders may convert their notes at their option only in the circumstances described in the indenture.</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Net proceeds from the 2025 Notes offering were approximately $221.6 million, after deducting the initial purchaser’s discounts and commissions and the Company’s offering expenses. Upon issuance, the principal amount was separated into a liability and an equity component, such that interest expense reflects the Company’s nonconvertible debt interest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includes the outstanding principal amount and carrying value of the 2025 Notes as of the period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DECEMBER 27, 2020</w:t>
            </w:r>
          </w:p>
        </w:tc>
      </w:tr>
      <w:tr>
        <w:trPr>
          <w:trHeight w:val="203"/>
        </w:trPr>
        <w:tc>
          <w:tcPr>
            <w:tcW w:w="9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Liability component</w:t>
            </w:r>
          </w:p>
        </w:tc>
        <w:tc>
          <w:tcPr>
            <w:tcW w:w="2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r>
      <w:tr>
        <w:trPr>
          <w:trHeight w:val="213"/>
        </w:trPr>
        <w:tc>
          <w:tcPr>
            <w:tcW w:w="9140" w:type="dxa"/>
            <w:vAlign w:val="bottom"/>
          </w:tcPr>
          <w:p>
            <w:pPr>
              <w:ind w:left="140"/>
              <w:spacing w:after="0"/>
              <w:rPr>
                <w:sz w:val="20"/>
                <w:szCs w:val="20"/>
                <w:color w:val="auto"/>
              </w:rPr>
            </w:pPr>
            <w:r>
              <w:rPr>
                <w:rFonts w:ascii="Arial" w:cs="Arial" w:eastAsia="Arial" w:hAnsi="Arial"/>
                <w:sz w:val="16"/>
                <w:szCs w:val="16"/>
                <w:color w:val="auto"/>
              </w:rPr>
              <w:t>Principal</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230,000</w:t>
            </w:r>
          </w:p>
        </w:tc>
      </w:tr>
      <w:tr>
        <w:trPr>
          <w:trHeight w:val="219"/>
        </w:trPr>
        <w:tc>
          <w:tcPr>
            <w:tcW w:w="9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Debt discount (1)</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(59,862)</w:t>
            </w:r>
          </w:p>
        </w:tc>
      </w:tr>
      <w:tr>
        <w:trPr>
          <w:trHeight w:val="223"/>
        </w:trPr>
        <w:tc>
          <w:tcPr>
            <w:tcW w:w="91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Debt issuance costs (1)</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(5,427)</w:t>
            </w:r>
          </w:p>
        </w:tc>
      </w:tr>
      <w:tr>
        <w:trPr>
          <w:trHeight w:val="223"/>
        </w:trPr>
        <w:tc>
          <w:tcPr>
            <w:tcW w:w="9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carrying amount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164,711</w:t>
            </w:r>
          </w:p>
        </w:tc>
      </w:tr>
      <w:tr>
        <w:trPr>
          <w:trHeight w:val="216"/>
        </w:trPr>
        <w:tc>
          <w:tcPr>
            <w:tcW w:w="9140" w:type="dxa"/>
            <w:vAlign w:val="bottom"/>
          </w:tcPr>
          <w:p>
            <w:pPr>
              <w:ind w:left="20"/>
              <w:spacing w:after="0"/>
              <w:rPr>
                <w:sz w:val="20"/>
                <w:szCs w:val="20"/>
                <w:color w:val="auto"/>
              </w:rPr>
            </w:pPr>
            <w:r>
              <w:rPr>
                <w:rFonts w:ascii="Arial" w:cs="Arial" w:eastAsia="Arial" w:hAnsi="Arial"/>
                <w:sz w:val="16"/>
                <w:szCs w:val="16"/>
                <w:color w:val="auto"/>
              </w:rPr>
              <w:t>Equity component (2)</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64,367</w:t>
            </w:r>
          </w:p>
        </w:tc>
      </w:tr>
      <w:tr>
        <w:trPr>
          <w:trHeight w:val="20"/>
        </w:trPr>
        <w:tc>
          <w:tcPr>
            <w:tcW w:w="9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Debt discount and issuance costs are amortized to interest expense using the effective interest method over the expected life of the 2025 Notes.</w:t>
      </w:r>
    </w:p>
    <w:p>
      <w:pPr>
        <w:spacing w:after="0" w:line="5" w:lineRule="exact"/>
        <w:rPr>
          <w:rFonts w:ascii="Arial" w:cs="Arial" w:eastAsia="Arial" w:hAnsi="Arial"/>
          <w:sz w:val="16"/>
          <w:szCs w:val="16"/>
          <w:color w:val="auto"/>
        </w:rPr>
      </w:pPr>
    </w:p>
    <w:p>
      <w:pPr>
        <w:ind w:left="660" w:hanging="652"/>
        <w:spacing w:after="0" w:line="257" w:lineRule="auto"/>
        <w:tabs>
          <w:tab w:leader="none" w:pos="660" w:val="left"/>
        </w:tabs>
        <w:numPr>
          <w:ilvl w:val="0"/>
          <w:numId w:val="66"/>
        </w:numPr>
        <w:rPr>
          <w:rFonts w:ascii="Arial" w:cs="Arial" w:eastAsia="Arial" w:hAnsi="Arial"/>
          <w:sz w:val="16"/>
          <w:szCs w:val="16"/>
          <w:color w:val="252525"/>
        </w:rPr>
      </w:pPr>
      <w:r>
        <w:rPr>
          <w:rFonts w:ascii="Arial" w:cs="Arial" w:eastAsia="Arial" w:hAnsi="Arial"/>
          <w:sz w:val="16"/>
          <w:szCs w:val="16"/>
          <w:color w:val="auto"/>
        </w:rPr>
        <w:t>Recorded in Additional paid-in capital on the Consolidated Balance Sheet. Includes $2.4 million of equity issuance costs and net deferred tax assets of $0.6 million.</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252525"/>
        </w:rPr>
        <w:t xml:space="preserve">The effective rate of the </w:t>
      </w:r>
      <w:r>
        <w:rPr>
          <w:rFonts w:ascii="Arial" w:cs="Arial" w:eastAsia="Arial" w:hAnsi="Arial"/>
          <w:sz w:val="20"/>
          <w:szCs w:val="20"/>
          <w:color w:val="000000"/>
        </w:rPr>
        <w:t>2025 Notes</w:t>
      </w:r>
      <w:r>
        <w:rPr>
          <w:rFonts w:ascii="Arial" w:cs="Arial" w:eastAsia="Arial" w:hAnsi="Arial"/>
          <w:sz w:val="20"/>
          <w:szCs w:val="20"/>
          <w:color w:val="252525"/>
        </w:rPr>
        <w:t xml:space="preserve"> over their expected life </w:t>
      </w:r>
      <w:r>
        <w:rPr>
          <w:rFonts w:ascii="Arial" w:cs="Arial" w:eastAsia="Arial" w:hAnsi="Arial"/>
          <w:sz w:val="20"/>
          <w:szCs w:val="20"/>
          <w:color w:val="000000"/>
        </w:rPr>
        <w:t>is</w:t>
      </w:r>
      <w:r>
        <w:rPr>
          <w:rFonts w:ascii="Arial" w:cs="Arial" w:eastAsia="Arial" w:hAnsi="Arial"/>
          <w:sz w:val="20"/>
          <w:szCs w:val="20"/>
          <w:color w:val="252525"/>
        </w:rPr>
        <w:t xml:space="preserve"> 13.73%. Following is a summary of interest expense for the </w:t>
      </w:r>
      <w:r>
        <w:rPr>
          <w:rFonts w:ascii="Arial" w:cs="Arial" w:eastAsia="Arial" w:hAnsi="Arial"/>
          <w:sz w:val="20"/>
          <w:szCs w:val="20"/>
          <w:color w:val="000000"/>
        </w:rPr>
        <w:t>2025 Notes, by</w:t>
      </w:r>
      <w:r>
        <w:rPr>
          <w:rFonts w:ascii="Arial" w:cs="Arial" w:eastAsia="Arial" w:hAnsi="Arial"/>
          <w:sz w:val="20"/>
          <w:szCs w:val="20"/>
          <w:color w:val="252525"/>
        </w:rPr>
        <w:t xml:space="preserve"> </w:t>
      </w:r>
      <w:r>
        <w:rPr>
          <w:rFonts w:ascii="Arial" w:cs="Arial" w:eastAsia="Arial" w:hAnsi="Arial"/>
          <w:sz w:val="20"/>
          <w:szCs w:val="20"/>
          <w:color w:val="000000"/>
        </w:rPr>
        <w:t>component, for the period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tcPr>
          <w:p>
            <w:pPr>
              <w:jc w:val="right"/>
              <w:ind w:right="562"/>
              <w:spacing w:after="0"/>
              <w:rPr>
                <w:sz w:val="20"/>
                <w:szCs w:val="20"/>
                <w:color w:val="auto"/>
              </w:rPr>
            </w:pPr>
            <w:r>
              <w:rPr>
                <w:rFonts w:ascii="Arial" w:cs="Arial" w:eastAsia="Arial" w:hAnsi="Arial"/>
                <w:sz w:val="14"/>
                <w:szCs w:val="14"/>
                <w:b w:val="1"/>
                <w:bCs w:val="1"/>
                <w:color w:val="auto"/>
              </w:rPr>
              <w:t>FISCAL YEAR</w:t>
            </w:r>
          </w:p>
        </w:tc>
      </w:tr>
      <w:tr>
        <w:trPr>
          <w:trHeight w:val="208"/>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902"/>
              <w:spacing w:after="0"/>
              <w:rPr>
                <w:sz w:val="20"/>
                <w:szCs w:val="20"/>
                <w:color w:val="auto"/>
              </w:rPr>
            </w:pPr>
            <w:r>
              <w:rPr>
                <w:rFonts w:ascii="Arial" w:cs="Arial" w:eastAsia="Arial" w:hAnsi="Arial"/>
                <w:sz w:val="14"/>
                <w:szCs w:val="14"/>
                <w:b w:val="1"/>
                <w:bCs w:val="1"/>
                <w:color w:val="auto"/>
              </w:rPr>
              <w:t>2020</w:t>
            </w:r>
          </w:p>
        </w:tc>
      </w:tr>
      <w:tr>
        <w:trPr>
          <w:trHeight w:val="216"/>
        </w:trPr>
        <w:tc>
          <w:tcPr>
            <w:tcW w:w="9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Coupon interest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7,443</w:t>
            </w:r>
          </w:p>
        </w:tc>
      </w:tr>
      <w:tr>
        <w:trPr>
          <w:trHeight w:val="213"/>
        </w:trPr>
        <w:tc>
          <w:tcPr>
            <w:tcW w:w="9000" w:type="dxa"/>
            <w:vAlign w:val="bottom"/>
          </w:tcPr>
          <w:p>
            <w:pPr>
              <w:ind w:left="20"/>
              <w:spacing w:after="0"/>
              <w:rPr>
                <w:sz w:val="20"/>
                <w:szCs w:val="20"/>
                <w:color w:val="auto"/>
              </w:rPr>
            </w:pPr>
            <w:r>
              <w:rPr>
                <w:rFonts w:ascii="Arial" w:cs="Arial" w:eastAsia="Arial" w:hAnsi="Arial"/>
                <w:sz w:val="16"/>
                <w:szCs w:val="16"/>
                <w:color w:val="auto"/>
              </w:rPr>
              <w:t>Deferred discount amortization</w:t>
            </w:r>
          </w:p>
        </w:tc>
        <w:tc>
          <w:tcPr>
            <w:tcW w:w="3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6,275</w:t>
            </w:r>
          </w:p>
        </w:tc>
      </w:tr>
      <w:tr>
        <w:trPr>
          <w:trHeight w:val="226"/>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issuance cost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w:t>
            </w:r>
          </w:p>
        </w:tc>
      </w:tr>
      <w:tr>
        <w:trPr>
          <w:trHeight w:val="216"/>
        </w:trPr>
        <w:tc>
          <w:tcPr>
            <w:tcW w:w="9000" w:type="dxa"/>
            <w:vAlign w:val="bottom"/>
          </w:tcPr>
          <w:p>
            <w:pPr>
              <w:ind w:left="240"/>
              <w:spacing w:after="0"/>
              <w:rPr>
                <w:sz w:val="20"/>
                <w:szCs w:val="20"/>
                <w:color w:val="auto"/>
              </w:rPr>
            </w:pPr>
            <w:r>
              <w:rPr>
                <w:rFonts w:ascii="Arial" w:cs="Arial" w:eastAsia="Arial" w:hAnsi="Arial"/>
                <w:sz w:val="16"/>
                <w:szCs w:val="16"/>
                <w:color w:val="auto"/>
              </w:rPr>
              <w:t>Total interest expense</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14,287</w:t>
            </w:r>
          </w:p>
        </w:tc>
      </w:tr>
      <w:tr>
        <w:trPr>
          <w:trHeight w:val="20"/>
        </w:trPr>
        <w:tc>
          <w:tcPr>
            <w:tcW w:w="9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252525"/>
        </w:rPr>
        <w:t xml:space="preserve">During any calendar quarter preceding November 1, 2024 in which the closing price of the Company’s common stock exceeds 130% of the applicable conversion price of the </w:t>
      </w:r>
      <w:r>
        <w:rPr>
          <w:rFonts w:ascii="Arial" w:cs="Arial" w:eastAsia="Arial" w:hAnsi="Arial"/>
          <w:sz w:val="19"/>
          <w:szCs w:val="19"/>
          <w:color w:val="000000"/>
        </w:rPr>
        <w:t>2025 Notes</w:t>
      </w:r>
      <w:r>
        <w:rPr>
          <w:rFonts w:ascii="Arial" w:cs="Arial" w:eastAsia="Arial" w:hAnsi="Arial"/>
          <w:sz w:val="19"/>
          <w:szCs w:val="19"/>
          <w:color w:val="252525"/>
        </w:rPr>
        <w:t xml:space="preserve"> on at least 20 of the last 30 consecutive trading days of the quarter, holders may in the immediate quarter following, convert all or a portion of their </w:t>
      </w:r>
      <w:r>
        <w:rPr>
          <w:rFonts w:ascii="Arial" w:cs="Arial" w:eastAsia="Arial" w:hAnsi="Arial"/>
          <w:sz w:val="19"/>
          <w:szCs w:val="19"/>
          <w:color w:val="000000"/>
        </w:rPr>
        <w:t>2025 Notes</w:t>
      </w:r>
      <w:r>
        <w:rPr>
          <w:rFonts w:ascii="Arial" w:cs="Arial" w:eastAsia="Arial" w:hAnsi="Arial"/>
          <w:sz w:val="19"/>
          <w:szCs w:val="19"/>
          <w:color w:val="252525"/>
        </w:rPr>
        <w:t xml:space="preserve">. Based on the daily closing prices of the Company’s stock during the quarter ended </w:t>
      </w:r>
      <w:r>
        <w:rPr>
          <w:rFonts w:ascii="Arial" w:cs="Arial" w:eastAsia="Arial" w:hAnsi="Arial"/>
          <w:sz w:val="19"/>
          <w:szCs w:val="19"/>
          <w:color w:val="000000"/>
        </w:rPr>
        <w:t>December 27, 2020</w:t>
      </w:r>
      <w:r>
        <w:rPr>
          <w:rFonts w:ascii="Arial" w:cs="Arial" w:eastAsia="Arial" w:hAnsi="Arial"/>
          <w:sz w:val="19"/>
          <w:szCs w:val="19"/>
          <w:color w:val="252525"/>
        </w:rPr>
        <w:t xml:space="preserve">, holders of the </w:t>
      </w:r>
      <w:r>
        <w:rPr>
          <w:rFonts w:ascii="Arial" w:cs="Arial" w:eastAsia="Arial" w:hAnsi="Arial"/>
          <w:sz w:val="19"/>
          <w:szCs w:val="19"/>
          <w:color w:val="000000"/>
        </w:rPr>
        <w:t>2025 Notes</w:t>
      </w:r>
      <w:r>
        <w:rPr>
          <w:rFonts w:ascii="Arial" w:cs="Arial" w:eastAsia="Arial" w:hAnsi="Arial"/>
          <w:sz w:val="19"/>
          <w:szCs w:val="19"/>
          <w:color w:val="252525"/>
        </w:rPr>
        <w:t xml:space="preserve"> are eligible to convert their </w:t>
      </w:r>
      <w:r>
        <w:rPr>
          <w:rFonts w:ascii="Arial" w:cs="Arial" w:eastAsia="Arial" w:hAnsi="Arial"/>
          <w:sz w:val="19"/>
          <w:szCs w:val="19"/>
          <w:color w:val="000000"/>
        </w:rPr>
        <w:t>2025 Notes</w:t>
      </w:r>
      <w:r>
        <w:rPr>
          <w:rFonts w:ascii="Arial" w:cs="Arial" w:eastAsia="Arial" w:hAnsi="Arial"/>
          <w:sz w:val="19"/>
          <w:szCs w:val="19"/>
          <w:color w:val="252525"/>
        </w:rPr>
        <w:t xml:space="preserve"> during the first quarter of 2021. When a conversion notice is received, the Company has the option to pay or deliver cash, shares of the Company’s common stock, or a combination thereof. Accordingly, as of </w:t>
      </w:r>
      <w:r>
        <w:rPr>
          <w:rFonts w:ascii="Arial" w:cs="Arial" w:eastAsia="Arial" w:hAnsi="Arial"/>
          <w:sz w:val="19"/>
          <w:szCs w:val="19"/>
          <w:color w:val="000000"/>
        </w:rPr>
        <w:t>December 27, 2020</w:t>
      </w:r>
      <w:r>
        <w:rPr>
          <w:rFonts w:ascii="Arial" w:cs="Arial" w:eastAsia="Arial" w:hAnsi="Arial"/>
          <w:sz w:val="19"/>
          <w:szCs w:val="19"/>
          <w:color w:val="252525"/>
        </w:rPr>
        <w:t xml:space="preserve"> the Company could not be required to settle the </w:t>
      </w:r>
      <w:r>
        <w:rPr>
          <w:rFonts w:ascii="Arial" w:cs="Arial" w:eastAsia="Arial" w:hAnsi="Arial"/>
          <w:sz w:val="19"/>
          <w:szCs w:val="19"/>
          <w:color w:val="000000"/>
        </w:rPr>
        <w:t>2025 Notes</w:t>
      </w:r>
      <w:r>
        <w:rPr>
          <w:rFonts w:ascii="Arial" w:cs="Arial" w:eastAsia="Arial" w:hAnsi="Arial"/>
          <w:sz w:val="19"/>
          <w:szCs w:val="19"/>
          <w:color w:val="252525"/>
        </w:rPr>
        <w:t xml:space="preserve"> in cash and, therefore, the </w:t>
      </w:r>
      <w:r>
        <w:rPr>
          <w:rFonts w:ascii="Arial" w:cs="Arial" w:eastAsia="Arial" w:hAnsi="Arial"/>
          <w:sz w:val="19"/>
          <w:szCs w:val="19"/>
          <w:color w:val="000000"/>
        </w:rPr>
        <w:t>2025 Notes</w:t>
      </w:r>
      <w:r>
        <w:rPr>
          <w:rFonts w:ascii="Arial" w:cs="Arial" w:eastAsia="Arial" w:hAnsi="Arial"/>
          <w:sz w:val="19"/>
          <w:szCs w:val="19"/>
          <w:color w:val="252525"/>
        </w:rPr>
        <w:t xml:space="preserve"> are classified as long-term debt. </w:t>
      </w:r>
      <w:r>
        <w:rPr>
          <w:rFonts w:ascii="Arial" w:cs="Arial" w:eastAsia="Arial" w:hAnsi="Arial"/>
          <w:sz w:val="19"/>
          <w:szCs w:val="19"/>
          <w:color w:val="000000"/>
        </w:rPr>
        <w:t>As of December 27, 2020, the if-converted value of the 2025 Notes was</w:t>
      </w:r>
      <w:r>
        <w:rPr>
          <w:rFonts w:ascii="Arial" w:cs="Arial" w:eastAsia="Arial" w:hAnsi="Arial"/>
          <w:sz w:val="19"/>
          <w:szCs w:val="19"/>
          <w:color w:val="252525"/>
        </w:rPr>
        <w:t xml:space="preserve"> </w:t>
      </w:r>
      <w:r>
        <w:rPr>
          <w:rFonts w:ascii="Arial" w:cs="Arial" w:eastAsia="Arial" w:hAnsi="Arial"/>
          <w:sz w:val="19"/>
          <w:szCs w:val="19"/>
          <w:color w:val="000000"/>
        </w:rPr>
        <w:t>approximately $366.6 million, which is $136.6 million higher than the initial principal amount.</w:t>
      </w:r>
    </w:p>
    <w:p>
      <w:pPr>
        <w:spacing w:after="0" w:line="20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In February 2021, the Company provided the trustee of </w:t>
      </w:r>
      <w:r>
        <w:rPr>
          <w:rFonts w:ascii="Arial" w:cs="Arial" w:eastAsia="Arial" w:hAnsi="Arial"/>
          <w:sz w:val="20"/>
          <w:szCs w:val="20"/>
          <w:color w:val="252525"/>
        </w:rPr>
        <w:t>the</w:t>
      </w:r>
      <w:r>
        <w:rPr>
          <w:rFonts w:ascii="Arial" w:cs="Arial" w:eastAsia="Arial" w:hAnsi="Arial"/>
          <w:sz w:val="20"/>
          <w:szCs w:val="20"/>
          <w:color w:val="auto"/>
        </w:rPr>
        <w:t xml:space="preserve"> 2025 Notes notice of its irrevocable election under the indenture to settle the principal portion of </w:t>
      </w:r>
      <w:r>
        <w:rPr>
          <w:rFonts w:ascii="Arial" w:cs="Arial" w:eastAsia="Arial" w:hAnsi="Arial"/>
          <w:sz w:val="20"/>
          <w:szCs w:val="20"/>
          <w:color w:val="252525"/>
        </w:rPr>
        <w:t>the</w:t>
      </w:r>
      <w:r>
        <w:rPr>
          <w:rFonts w:ascii="Arial" w:cs="Arial" w:eastAsia="Arial" w:hAnsi="Arial"/>
          <w:sz w:val="20"/>
          <w:szCs w:val="20"/>
          <w:color w:val="auto"/>
        </w:rPr>
        <w:t xml:space="preserve"> 2025 Notes in cash and any excess in shares.</w:t>
      </w:r>
    </w:p>
    <w:p>
      <w:pPr>
        <w:spacing w:after="0" w:line="20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Convertible Note Hedge and Warrant Transactions </w:t>
      </w:r>
      <w:r>
        <w:rPr>
          <w:rFonts w:ascii="Arial" w:cs="Arial" w:eastAsia="Arial" w:hAnsi="Arial"/>
          <w:sz w:val="20"/>
          <w:szCs w:val="20"/>
          <w:color w:val="252525"/>
        </w:rPr>
        <w:t>- In connection with the offering of the</w:t>
      </w:r>
      <w:r>
        <w:rPr>
          <w:rFonts w:ascii="Arial" w:cs="Arial" w:eastAsia="Arial" w:hAnsi="Arial"/>
          <w:sz w:val="20"/>
          <w:szCs w:val="20"/>
          <w:i w:val="1"/>
          <w:iCs w:val="1"/>
          <w:color w:val="auto"/>
        </w:rPr>
        <w:t xml:space="preserve"> </w:t>
      </w:r>
      <w:r>
        <w:rPr>
          <w:rFonts w:ascii="Arial" w:cs="Arial" w:eastAsia="Arial" w:hAnsi="Arial"/>
          <w:sz w:val="20"/>
          <w:szCs w:val="20"/>
          <w:color w:val="auto"/>
        </w:rPr>
        <w:t>2025 Notes</w:t>
      </w:r>
      <w:r>
        <w:rPr>
          <w:rFonts w:ascii="Arial" w:cs="Arial" w:eastAsia="Arial" w:hAnsi="Arial"/>
          <w:sz w:val="20"/>
          <w:szCs w:val="20"/>
          <w:color w:val="252525"/>
        </w:rPr>
        <w:t>, the Company entered into convertible</w:t>
      </w:r>
      <w:r>
        <w:rPr>
          <w:rFonts w:ascii="Arial" w:cs="Arial" w:eastAsia="Arial" w:hAnsi="Arial"/>
          <w:sz w:val="20"/>
          <w:szCs w:val="20"/>
          <w:i w:val="1"/>
          <w:iCs w:val="1"/>
          <w:color w:val="auto"/>
        </w:rPr>
        <w:t xml:space="preserve"> </w:t>
      </w:r>
      <w:r>
        <w:rPr>
          <w:rFonts w:ascii="Arial" w:cs="Arial" w:eastAsia="Arial" w:hAnsi="Arial"/>
          <w:sz w:val="20"/>
          <w:szCs w:val="20"/>
          <w:color w:val="252525"/>
        </w:rPr>
        <w:t xml:space="preserve">note hedge transactions (the “Convertible Note Hedge Transactions”) with certain of the initial purchasers of the </w:t>
      </w:r>
      <w:r>
        <w:rPr>
          <w:rFonts w:ascii="Arial" w:cs="Arial" w:eastAsia="Arial" w:hAnsi="Arial"/>
          <w:sz w:val="20"/>
          <w:szCs w:val="20"/>
          <w:color w:val="000000"/>
        </w:rPr>
        <w:t>2025 Notes</w:t>
      </w:r>
      <w:r>
        <w:rPr>
          <w:rFonts w:ascii="Arial" w:cs="Arial" w:eastAsia="Arial" w:hAnsi="Arial"/>
          <w:sz w:val="20"/>
          <w:szCs w:val="20"/>
          <w:color w:val="252525"/>
        </w:rPr>
        <w:t xml:space="preserve"> and/or their respective affiliates and other financial institutions (in this capacity, the “Hedge Counterparties”). Concurrently with the Company’s entry into the Convertible Note Hedge Transactions, the Company also entered into separate, warrant transactions with the Hedge Counterparties collectively relating to the same number of shares of the Company’s common stock, subject to customary anti-dilution adjustments, and for which the Company received proceeds that partially offset the cost of entering into the Convertible Note Hedge Transactions (the “Warrant Transactions”).</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252525"/>
        </w:rPr>
        <w:t xml:space="preserve">The Convertible Note Hedge Transactions cover, subject to customary anti-dilution adjustments, the number of shares of the Company’s common stock that initially underlie the </w:t>
      </w:r>
      <w:r>
        <w:rPr>
          <w:rFonts w:ascii="Arial" w:cs="Arial" w:eastAsia="Arial" w:hAnsi="Arial"/>
          <w:sz w:val="20"/>
          <w:szCs w:val="20"/>
          <w:color w:val="000000"/>
        </w:rPr>
        <w:t>2025 Notes</w:t>
      </w:r>
      <w:r>
        <w:rPr>
          <w:rFonts w:ascii="Arial" w:cs="Arial" w:eastAsia="Arial" w:hAnsi="Arial"/>
          <w:sz w:val="20"/>
          <w:szCs w:val="20"/>
          <w:color w:val="252525"/>
        </w:rPr>
        <w:t>, and are expected generally to reduce the potential equity dilution, and/or offset any cash payments in excess of the principal amount due, as the case may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252525"/>
        </w:rPr>
        <w:t xml:space="preserve">be, upon conversion of the </w:t>
      </w:r>
      <w:r>
        <w:rPr>
          <w:rFonts w:ascii="Arial" w:cs="Arial" w:eastAsia="Arial" w:hAnsi="Arial"/>
          <w:sz w:val="20"/>
          <w:szCs w:val="20"/>
          <w:color w:val="000000"/>
        </w:rPr>
        <w:t>2025 Notes</w:t>
      </w:r>
      <w:r>
        <w:rPr>
          <w:rFonts w:ascii="Arial" w:cs="Arial" w:eastAsia="Arial" w:hAnsi="Arial"/>
          <w:sz w:val="20"/>
          <w:szCs w:val="20"/>
          <w:color w:val="252525"/>
        </w:rPr>
        <w:t>. The Warrant Transactions could have a dilutive effect on the Company’s common stock to the extent that the price of its common stock exceeds the strike price of the Warrant Transactions. The strike price will initially be $16.64 per share and is subject to certain adjustments under the terms of the Warrant Transactions.</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52525"/>
        </w:rPr>
        <w:t xml:space="preserve">The portion of the net proceeds to the Company from the offering of the </w:t>
      </w:r>
      <w:r>
        <w:rPr>
          <w:rFonts w:ascii="Arial" w:cs="Arial" w:eastAsia="Arial" w:hAnsi="Arial"/>
          <w:sz w:val="20"/>
          <w:szCs w:val="20"/>
          <w:color w:val="000000"/>
        </w:rPr>
        <w:t>2025 Notes</w:t>
      </w:r>
      <w:r>
        <w:rPr>
          <w:rFonts w:ascii="Arial" w:cs="Arial" w:eastAsia="Arial" w:hAnsi="Arial"/>
          <w:sz w:val="20"/>
          <w:szCs w:val="20"/>
          <w:color w:val="252525"/>
        </w:rPr>
        <w:t xml:space="preserve"> that was used to pay the premium on the Convertible Note Hedge Transactions, net of the proceeds to the Company from the Warrant Transactions, was approximately $19.6 million. The net costs incurred in connection with the Convertible Note Hedge Transactions and Warrant Transactions were recorded as a reduction to Additional paid-in capital on the Company’s Consolidated Balance Sheet during 2020.</w:t>
      </w:r>
    </w:p>
    <w:p>
      <w:pPr>
        <w:spacing w:after="0" w:line="21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252525"/>
        </w:rPr>
        <w:t>As these transactions meet certain accounting criteria, the Convertible Note Hedge Transactions and Warrant Transactions were recorded in stockholders’ equity, not accounted for as derivatives and are not remeasured each reporting period.</w:t>
      </w:r>
    </w:p>
    <w:p>
      <w:pPr>
        <w:spacing w:after="0" w:line="204"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15.</w:t>
        <w:tab/>
        <w:t>Other Long-term Liabilities, Net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Other long-term liabilities, net, consisted of the following as of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27, 2020</w:t>
            </w:r>
          </w:p>
        </w:tc>
        <w:tc>
          <w:tcPr>
            <w:tcW w:w="200" w:type="dxa"/>
            <w:vAlign w:val="bottom"/>
          </w:tcPr>
          <w:p>
            <w:pPr>
              <w:spacing w:after="0"/>
              <w:rPr>
                <w:sz w:val="17"/>
                <w:szCs w:val="17"/>
                <w:color w:val="auto"/>
              </w:rPr>
            </w:pPr>
          </w:p>
        </w:tc>
        <w:tc>
          <w:tcPr>
            <w:tcW w:w="174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29, 2019</w:t>
            </w:r>
          </w:p>
        </w:tc>
      </w:tr>
      <w:tr>
        <w:trPr>
          <w:trHeight w:val="216"/>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insurance liability</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32,128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33,818</w:t>
            </w:r>
          </w:p>
        </w:tc>
      </w:tr>
      <w:tr>
        <w:trPr>
          <w:trHeight w:val="213"/>
        </w:trPr>
        <w:tc>
          <w:tcPr>
            <w:tcW w:w="7280" w:type="dxa"/>
            <w:vAlign w:val="bottom"/>
          </w:tcPr>
          <w:p>
            <w:pPr>
              <w:ind w:left="20"/>
              <w:spacing w:after="0"/>
              <w:rPr>
                <w:sz w:val="20"/>
                <w:szCs w:val="20"/>
                <w:color w:val="auto"/>
              </w:rPr>
            </w:pPr>
            <w:r>
              <w:rPr>
                <w:rFonts w:ascii="Arial" w:cs="Arial" w:eastAsia="Arial" w:hAnsi="Arial"/>
                <w:sz w:val="16"/>
                <w:szCs w:val="16"/>
                <w:color w:val="auto"/>
              </w:rPr>
              <w:t>Chef and Restaurant Managing Partner deferred compensation obligations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32,306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47,831</w:t>
            </w:r>
          </w:p>
        </w:tc>
      </w:tr>
      <w:tr>
        <w:trPr>
          <w:trHeight w:val="219"/>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payroll tax liabilities (1)</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 (2)</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56,411</w:t>
            </w:r>
          </w:p>
        </w:tc>
      </w:tr>
      <w:tr>
        <w:trPr>
          <w:trHeight w:val="238"/>
        </w:trPr>
        <w:tc>
          <w:tcPr>
            <w:tcW w:w="72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185,355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138,060</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19"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Deferred payroll tax liabilities as allowed for in the Coronavirus, Aid, Relief and Economic Security Act. See Note 21 -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for details.</w:t>
      </w:r>
    </w:p>
    <w:p>
      <w:pPr>
        <w:spacing w:after="0" w:line="5" w:lineRule="exact"/>
        <w:rPr>
          <w:rFonts w:ascii="Arial" w:cs="Arial" w:eastAsia="Arial" w:hAnsi="Arial"/>
          <w:sz w:val="16"/>
          <w:szCs w:val="16"/>
          <w:color w:val="auto"/>
        </w:rPr>
      </w:pPr>
    </w:p>
    <w:p>
      <w:pPr>
        <w:ind w:left="660" w:hanging="652"/>
        <w:spacing w:after="0" w:line="257"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The increase in Other long-term liabilities during 2020 primarily relates to $8.9 million of additional contingent lease liabilities subsequent to the adoption of ASU No. 2016-13. See Note 22 -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for details regarding this increase.</w:t>
      </w:r>
    </w:p>
    <w:p>
      <w:pPr>
        <w:spacing w:after="0" w:line="206" w:lineRule="exact"/>
        <w:rPr>
          <w:sz w:val="20"/>
          <w:szCs w:val="20"/>
          <w:color w:val="auto"/>
        </w:rPr>
      </w:pPr>
    </w:p>
    <w:p>
      <w:pPr>
        <w:ind w:left="700" w:hanging="692"/>
        <w:spacing w:after="0"/>
        <w:tabs>
          <w:tab w:leader="none" w:pos="700" w:val="left"/>
        </w:tabs>
        <w:numPr>
          <w:ilvl w:val="0"/>
          <w:numId w:val="68"/>
        </w:numPr>
        <w:rPr>
          <w:rFonts w:ascii="Arial" w:cs="Arial" w:eastAsia="Arial" w:hAnsi="Arial"/>
          <w:sz w:val="20"/>
          <w:szCs w:val="20"/>
          <w:color w:val="auto"/>
        </w:rPr>
      </w:pPr>
      <w:r>
        <w:rPr>
          <w:rFonts w:ascii="Arial" w:cs="Arial" w:eastAsia="Arial" w:hAnsi="Arial"/>
          <w:sz w:val="20"/>
          <w:szCs w:val="20"/>
          <w:color w:val="auto"/>
        </w:rPr>
        <w:t>Stockholders’ Equity</w:t>
      </w:r>
    </w:p>
    <w:p>
      <w:pPr>
        <w:spacing w:after="0" w:line="243" w:lineRule="exact"/>
        <w:rPr>
          <w:sz w:val="20"/>
          <w:szCs w:val="20"/>
          <w:color w:val="auto"/>
        </w:rPr>
      </w:pPr>
    </w:p>
    <w:p>
      <w:pPr>
        <w:spacing w:after="0" w:line="260" w:lineRule="auto"/>
        <w:rPr>
          <w:sz w:val="20"/>
          <w:szCs w:val="20"/>
          <w:color w:val="auto"/>
        </w:rPr>
      </w:pPr>
      <w:r>
        <w:rPr>
          <w:rFonts w:ascii="Arial" w:cs="Arial" w:eastAsia="Arial" w:hAnsi="Arial"/>
          <w:sz w:val="20"/>
          <w:szCs w:val="20"/>
          <w:i w:val="1"/>
          <w:iCs w:val="1"/>
          <w:color w:val="auto"/>
        </w:rPr>
        <w:t xml:space="preserve">Share Repurchases - </w:t>
      </w:r>
      <w:r>
        <w:rPr>
          <w:rFonts w:ascii="Arial" w:cs="Arial" w:eastAsia="Arial" w:hAnsi="Arial"/>
          <w:sz w:val="20"/>
          <w:szCs w:val="20"/>
          <w:color w:val="auto"/>
        </w:rPr>
        <w:t>Following is a summary of the shares repurchased under the Company’s share repurchase program for the period</w:t>
      </w:r>
      <w:r>
        <w:rPr>
          <w:rFonts w:ascii="Arial" w:cs="Arial" w:eastAsia="Arial" w:hAnsi="Arial"/>
          <w:sz w:val="20"/>
          <w:szCs w:val="20"/>
          <w:i w:val="1"/>
          <w:iCs w:val="1"/>
          <w:color w:val="auto"/>
        </w:rPr>
        <w:t xml:space="preserve"> </w:t>
      </w:r>
      <w:r>
        <w:rPr>
          <w:rFonts w:ascii="Arial" w:cs="Arial" w:eastAsia="Arial" w:hAnsi="Arial"/>
          <w:sz w:val="20"/>
          <w:szCs w:val="20"/>
          <w:color w:val="auto"/>
        </w:rPr>
        <w:t>presented: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0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74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6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 except per share data)</w:t>
            </w:r>
          </w:p>
        </w:tc>
        <w:tc>
          <w:tcPr>
            <w:tcW w:w="14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NUMBER OF</w:t>
            </w:r>
          </w:p>
        </w:tc>
        <w:tc>
          <w:tcPr>
            <w:tcW w:w="19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AVERAGE REPURCHASE</w:t>
            </w:r>
          </w:p>
        </w:tc>
        <w:tc>
          <w:tcPr>
            <w:tcW w:w="180" w:type="dxa"/>
            <w:vAlign w:val="bottom"/>
          </w:tcPr>
          <w:p>
            <w:pPr>
              <w:spacing w:after="0"/>
              <w:rPr>
                <w:sz w:val="11"/>
                <w:szCs w:val="11"/>
                <w:color w:val="auto"/>
              </w:rPr>
            </w:pPr>
          </w:p>
        </w:tc>
        <w:tc>
          <w:tcPr>
            <w:tcW w:w="102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3"/>
        </w:trPr>
        <w:tc>
          <w:tcPr>
            <w:tcW w:w="6700" w:type="dxa"/>
            <w:vAlign w:val="bottom"/>
            <w:vMerge w:val="continue"/>
          </w:tcPr>
          <w:p>
            <w:pPr>
              <w:spacing w:after="0"/>
              <w:rPr>
                <w:sz w:val="15"/>
                <w:szCs w:val="15"/>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SHARES</w:t>
            </w:r>
          </w:p>
        </w:tc>
        <w:tc>
          <w:tcPr>
            <w:tcW w:w="180" w:type="dxa"/>
            <w:vAlign w:val="bottom"/>
          </w:tcPr>
          <w:p>
            <w:pPr>
              <w:spacing w:after="0"/>
              <w:rPr>
                <w:sz w:val="15"/>
                <w:szCs w:val="15"/>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PRICE PER SHARE</w:t>
            </w: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Second fiscal quarter</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19.56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106,992</w:t>
            </w:r>
          </w:p>
        </w:tc>
        <w:tc>
          <w:tcPr>
            <w:tcW w:w="0" w:type="dxa"/>
            <w:vAlign w:val="bottom"/>
          </w:tcPr>
          <w:p>
            <w:pPr>
              <w:spacing w:after="0"/>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Dividends - </w:t>
      </w:r>
      <w:r>
        <w:rPr>
          <w:rFonts w:ascii="Arial" w:cs="Arial" w:eastAsia="Arial" w:hAnsi="Arial"/>
          <w:sz w:val="20"/>
          <w:szCs w:val="20"/>
          <w:color w:val="auto"/>
        </w:rPr>
        <w:t>The Company declared and paid dividends per share during the periods presented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5"/>
          </w:tcPr>
          <w:p>
            <w:pPr>
              <w:ind w:left="120"/>
              <w:spacing w:after="0"/>
              <w:rPr>
                <w:sz w:val="20"/>
                <w:szCs w:val="20"/>
                <w:color w:val="auto"/>
              </w:rPr>
            </w:pPr>
            <w:r>
              <w:rPr>
                <w:rFonts w:ascii="Arial" w:cs="Arial" w:eastAsia="Arial" w:hAnsi="Arial"/>
                <w:sz w:val="14"/>
                <w:szCs w:val="14"/>
                <w:b w:val="1"/>
                <w:bCs w:val="1"/>
                <w:color w:val="auto"/>
              </w:rPr>
              <w:t>DIVIDENDS PER SHARE</w:t>
            </w:r>
          </w:p>
        </w:tc>
        <w:tc>
          <w:tcPr>
            <w:tcW w:w="26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AMOUNT</w:t>
            </w:r>
          </w:p>
        </w:tc>
        <w:tc>
          <w:tcPr>
            <w:tcW w:w="760" w:type="dxa"/>
            <w:vAlign w:val="bottom"/>
          </w:tcPr>
          <w:p>
            <w:pPr>
              <w:spacing w:after="0"/>
              <w:rPr>
                <w:sz w:val="17"/>
                <w:szCs w:val="17"/>
                <w:color w:val="auto"/>
              </w:rPr>
            </w:pPr>
          </w:p>
        </w:tc>
      </w:tr>
      <w:tr>
        <w:trPr>
          <w:trHeight w:val="196"/>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 except per share data)</w:t>
            </w: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First fiscal quarter</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9,140</w:t>
            </w:r>
          </w:p>
        </w:tc>
      </w:tr>
      <w:tr>
        <w:trPr>
          <w:trHeight w:val="213"/>
        </w:trPr>
        <w:tc>
          <w:tcPr>
            <w:tcW w:w="6480" w:type="dxa"/>
            <w:vAlign w:val="bottom"/>
          </w:tcPr>
          <w:p>
            <w:pPr>
              <w:ind w:left="20"/>
              <w:spacing w:after="0"/>
              <w:rPr>
                <w:sz w:val="20"/>
                <w:szCs w:val="20"/>
                <w:color w:val="auto"/>
              </w:rPr>
            </w:pPr>
            <w:r>
              <w:rPr>
                <w:rFonts w:ascii="Arial" w:cs="Arial" w:eastAsia="Arial" w:hAnsi="Arial"/>
                <w:sz w:val="16"/>
                <w:szCs w:val="16"/>
                <w:color w:val="auto"/>
              </w:rPr>
              <w:t>Second fiscal quarter</w:t>
            </w: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9,227</w:t>
            </w:r>
          </w:p>
        </w:tc>
      </w:tr>
      <w:tr>
        <w:trPr>
          <w:trHeight w:val="219"/>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Third fiscal quarter</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8,674</w:t>
            </w:r>
          </w:p>
        </w:tc>
      </w:tr>
      <w:tr>
        <w:trPr>
          <w:trHeight w:val="223"/>
        </w:trPr>
        <w:tc>
          <w:tcPr>
            <w:tcW w:w="6480" w:type="dxa"/>
            <w:vAlign w:val="bottom"/>
          </w:tcPr>
          <w:p>
            <w:pPr>
              <w:ind w:left="20"/>
              <w:spacing w:after="0"/>
              <w:rPr>
                <w:sz w:val="20"/>
                <w:szCs w:val="20"/>
                <w:color w:val="auto"/>
              </w:rPr>
            </w:pPr>
            <w:r>
              <w:rPr>
                <w:rFonts w:ascii="Arial" w:cs="Arial" w:eastAsia="Arial" w:hAnsi="Arial"/>
                <w:sz w:val="16"/>
                <w:szCs w:val="16"/>
                <w:color w:val="auto"/>
              </w:rPr>
              <w:t>Fourth fiscal quarter</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8,693</w:t>
            </w:r>
          </w:p>
        </w:tc>
      </w:tr>
      <w:tr>
        <w:trPr>
          <w:trHeight w:val="241"/>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dividends declared and paid</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35,734</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Redeemable Preferred Stock </w:t>
      </w:r>
      <w:r>
        <w:rPr>
          <w:rFonts w:ascii="Arial" w:cs="Arial" w:eastAsia="Arial" w:hAnsi="Arial"/>
          <w:sz w:val="20"/>
          <w:szCs w:val="20"/>
          <w:color w:val="auto"/>
        </w:rPr>
        <w:t>- In connection with the development of its Abbraccio Cucina Italiana (“Abbraccio”) concept in 2015,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entered into an investment agreement (the “Abbraccio Investment Agreement”) to sell preferred shares of its Abbraccio subsidiary (“Abbraccio Shares”) to certain investors. The Abbraccio Investment Agreement included a call option for the purchase of the Abbraccio Shares (the “Abbraccio Call Option”).</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During 2020, the Company exercised the Abbraccio Call Option to purchase all outstanding Abbraccio Shares for $1.0 million and recorded a reduction to Accumulated deficit and an increase in Net loss applicable to common stockholders of $3.5 million for the consideration paid in excess of the Abbraccio Shares’ carrying value.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Accumulated Other Comprehensive Loss (“AOCL”) - </w:t>
      </w:r>
      <w:r>
        <w:rPr>
          <w:rFonts w:ascii="Arial" w:cs="Arial" w:eastAsia="Arial" w:hAnsi="Arial"/>
          <w:sz w:val="20"/>
          <w:szCs w:val="20"/>
          <w:color w:val="auto"/>
        </w:rPr>
        <w:t>Following are the components of AOCL as of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27, 2020</w:t>
            </w:r>
          </w:p>
        </w:tc>
        <w:tc>
          <w:tcPr>
            <w:tcW w:w="200" w:type="dxa"/>
            <w:vAlign w:val="bottom"/>
          </w:tcPr>
          <w:p>
            <w:pPr>
              <w:spacing w:after="0"/>
              <w:rPr>
                <w:sz w:val="17"/>
                <w:szCs w:val="17"/>
                <w:color w:val="auto"/>
              </w:rPr>
            </w:pPr>
          </w:p>
        </w:tc>
        <w:tc>
          <w:tcPr>
            <w:tcW w:w="174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29, 2019</w:t>
            </w:r>
          </w:p>
        </w:tc>
      </w:tr>
      <w:tr>
        <w:trPr>
          <w:trHeight w:val="216"/>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(188,883)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(152,031)</w:t>
            </w:r>
          </w:p>
        </w:tc>
      </w:tr>
      <w:tr>
        <w:trPr>
          <w:trHeight w:val="223"/>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Unrealized loss on derivatives, net of tax</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(22,563)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(17,745)</w:t>
            </w:r>
          </w:p>
        </w:tc>
      </w:tr>
      <w:tr>
        <w:trPr>
          <w:trHeight w:val="241"/>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(211,446)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(169,776)</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Following are the components of Other comprehensive loss for the periods indicated:</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7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196"/>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r>
      <w:tr>
        <w:trPr>
          <w:trHeight w:val="203"/>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Bloomin’ Brands: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(36,852)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(16,882)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(36,576)</w:t>
            </w:r>
          </w:p>
        </w:tc>
      </w:tr>
      <w:tr>
        <w:trPr>
          <w:trHeight w:val="260"/>
        </w:trPr>
        <w:tc>
          <w:tcPr>
            <w:tcW w:w="70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color w:val="auto"/>
              </w:rPr>
              <w:t>Unrealized loss on derivatives, net of tax (1)</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(14,741)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(11,944)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(7,100)</w:t>
            </w:r>
          </w:p>
        </w:tc>
      </w:tr>
      <w:tr>
        <w:trPr>
          <w:trHeight w:val="226"/>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Reclassification of adjustments for loss on derivatives included in Net (loss) income, net of tax (2)</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1,805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23"/>
        </w:trPr>
        <w:tc>
          <w:tcPr>
            <w:tcW w:w="70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unrealized loss on derivatives, net of tax</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(6,980)</w:t>
            </w:r>
          </w:p>
        </w:tc>
      </w:tr>
      <w:tr>
        <w:trPr>
          <w:trHeight w:val="241"/>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loss attributable to Bloomin’ Brands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(41,670)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(27,021)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(43,556)</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Unrealized loss on derivatives is net of tax of $5.1 million, $4.1 million and $2.5 million for 2020, 2019 and 2018, respectively.</w:t>
      </w:r>
    </w:p>
    <w:p>
      <w:pPr>
        <w:spacing w:after="0" w:line="5" w:lineRule="exact"/>
        <w:rPr>
          <w:rFonts w:ascii="Arial" w:cs="Arial" w:eastAsia="Arial" w:hAnsi="Arial"/>
          <w:sz w:val="16"/>
          <w:szCs w:val="16"/>
          <w:color w:val="auto"/>
        </w:rPr>
      </w:pPr>
    </w:p>
    <w:p>
      <w:pPr>
        <w:ind w:left="660" w:hanging="652"/>
        <w:spacing w:after="0" w:line="257"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Reclassifications of adjustments for loss on derivatives are net of tax. See Note 17 - </w:t>
      </w:r>
      <w:r>
        <w:rPr>
          <w:rFonts w:ascii="Arial" w:cs="Arial" w:eastAsia="Arial" w:hAnsi="Arial"/>
          <w:sz w:val="16"/>
          <w:szCs w:val="16"/>
          <w:i w:val="1"/>
          <w:iCs w:val="1"/>
          <w:color w:val="auto"/>
        </w:rPr>
        <w:t>Derivative Instruments and Hedging Activities</w:t>
      </w:r>
      <w:r>
        <w:rPr>
          <w:rFonts w:ascii="Arial" w:cs="Arial" w:eastAsia="Arial" w:hAnsi="Arial"/>
          <w:sz w:val="16"/>
          <w:szCs w:val="16"/>
          <w:color w:val="auto"/>
        </w:rPr>
        <w:t xml:space="preserve"> for discussion of the tax impact of reclassifications.</w:t>
      </w:r>
    </w:p>
    <w:p>
      <w:pPr>
        <w:spacing w:after="0" w:line="206" w:lineRule="exact"/>
        <w:rPr>
          <w:sz w:val="20"/>
          <w:szCs w:val="20"/>
          <w:color w:val="auto"/>
        </w:rPr>
      </w:pPr>
    </w:p>
    <w:p>
      <w:pPr>
        <w:ind w:left="800" w:hanging="792"/>
        <w:spacing w:after="0"/>
        <w:tabs>
          <w:tab w:leader="none" w:pos="800" w:val="left"/>
        </w:tabs>
        <w:numPr>
          <w:ilvl w:val="0"/>
          <w:numId w:val="70"/>
        </w:numPr>
        <w:rPr>
          <w:rFonts w:ascii="Arial" w:cs="Arial" w:eastAsia="Arial" w:hAnsi="Arial"/>
          <w:sz w:val="20"/>
          <w:szCs w:val="20"/>
          <w:color w:val="auto"/>
        </w:rPr>
      </w:pPr>
      <w:r>
        <w:rPr>
          <w:rFonts w:ascii="Arial" w:cs="Arial" w:eastAsia="Arial" w:hAnsi="Arial"/>
          <w:sz w:val="20"/>
          <w:szCs w:val="20"/>
          <w:color w:val="auto"/>
        </w:rPr>
        <w:t>Derivative Instruments and Hedging Activities</w:t>
      </w:r>
    </w:p>
    <w:p>
      <w:pPr>
        <w:spacing w:after="0" w:line="24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 The Company manages economic risks, including interest rate variability, primarily by managing the amount, sources and</w:t>
      </w:r>
      <w:r>
        <w:rPr>
          <w:rFonts w:ascii="Arial" w:cs="Arial" w:eastAsia="Arial" w:hAnsi="Arial"/>
          <w:sz w:val="18"/>
          <w:szCs w:val="18"/>
          <w:i w:val="1"/>
          <w:iCs w:val="1"/>
          <w:color w:val="auto"/>
        </w:rPr>
        <w:t xml:space="preserve"> </w:t>
      </w:r>
      <w:r>
        <w:rPr>
          <w:rFonts w:ascii="Arial" w:cs="Arial" w:eastAsia="Arial" w:hAnsi="Arial"/>
          <w:sz w:val="18"/>
          <w:szCs w:val="18"/>
          <w:color w:val="auto"/>
        </w:rPr>
        <w:t>duration of its debt funding and through the use of derivative financial instruments. The Company’s objectives in using interest rate derivatives are to manage its exposure to interest rate movements. To accomplish this objective, the Company uses interest rate swaps.</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color w:val="auto"/>
        </w:rPr>
        <w:t>DESIGNATED HEDGES</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252525"/>
        </w:rPr>
        <w:t xml:space="preserve">Cash Flow Hedges of Interest Rate Risk - </w:t>
      </w:r>
      <w:r>
        <w:rPr>
          <w:rFonts w:ascii="Arial" w:cs="Arial" w:eastAsia="Arial" w:hAnsi="Arial"/>
          <w:sz w:val="20"/>
          <w:szCs w:val="20"/>
          <w:color w:val="252525"/>
        </w:rPr>
        <w:t>On September 9, 2014, the Company entered into variable-to-fixed interest rate swap agreements</w:t>
      </w:r>
      <w:r>
        <w:rPr>
          <w:rFonts w:ascii="Arial" w:cs="Arial" w:eastAsia="Arial" w:hAnsi="Arial"/>
          <w:sz w:val="20"/>
          <w:szCs w:val="20"/>
          <w:i w:val="1"/>
          <w:iCs w:val="1"/>
          <w:color w:val="252525"/>
        </w:rPr>
        <w:t xml:space="preserve"> </w:t>
      </w:r>
      <w:r>
        <w:rPr>
          <w:rFonts w:ascii="Arial" w:cs="Arial" w:eastAsia="Arial" w:hAnsi="Arial"/>
          <w:sz w:val="20"/>
          <w:szCs w:val="20"/>
          <w:color w:val="252525"/>
        </w:rPr>
        <w:t xml:space="preserve">with eight counterparties to hedge a portion of the cash flows of the Company’s variable rate debt (the “2014 Swap Agreements”). The 2014 Swap Agreements had an aggregate notional amount of $400.0 million and matured on May 16, 2019. Under the terms of the 2014 Swap Agreements, the Company paid a weighted-average fixed rate of 2.02% on the notional amount and received payments from the counterparties based on the </w:t>
      </w:r>
      <w:r>
        <w:rPr>
          <w:rFonts w:ascii="Arial" w:cs="Arial" w:eastAsia="Arial" w:hAnsi="Arial"/>
          <w:sz w:val="20"/>
          <w:szCs w:val="20"/>
          <w:color w:val="000000"/>
        </w:rPr>
        <w:t>30-day LIBOR</w:t>
      </w:r>
      <w:r>
        <w:rPr>
          <w:rFonts w:ascii="Arial" w:cs="Arial" w:eastAsia="Arial" w:hAnsi="Arial"/>
          <w:sz w:val="20"/>
          <w:szCs w:val="20"/>
          <w:color w:val="252525"/>
        </w:rPr>
        <w:t xml:space="preserv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252525"/>
        </w:rPr>
        <w:t xml:space="preserve">On October 24, 2018 and October 25, 2018, the Company entered into variable-to-fixed interest rate swap agreements with 12 counterparties to hedge a portion of the cash flows of the Company’s variable rate debt (the “2018 Swap Agreements”). The 2018 Swap Agreements have an aggregate notional amount of $550.0 million, a start date of May 16, 2019 (the maturity date of the 2014 Swap Agreements), and mature on November 30, 2022. Under the terms of the 2018 Swap Agreements, the Company pays a weighted-average fixed rate of 3.04% on the notional amount and receives payments from the counterparties based on the </w:t>
      </w:r>
      <w:r>
        <w:rPr>
          <w:rFonts w:ascii="Arial" w:cs="Arial" w:eastAsia="Arial" w:hAnsi="Arial"/>
          <w:sz w:val="18"/>
          <w:szCs w:val="18"/>
          <w:color w:val="000000"/>
        </w:rPr>
        <w:t>one-month LIBOR</w:t>
      </w:r>
      <w:r>
        <w:rPr>
          <w:rFonts w:ascii="Arial" w:cs="Arial" w:eastAsia="Arial" w:hAnsi="Arial"/>
          <w:sz w:val="18"/>
          <w:szCs w:val="18"/>
          <w:color w:val="252525"/>
        </w:rPr>
        <w:t xml:space="preserve"> rate.</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252525"/>
        </w:rPr>
        <w:t>The Company’s swap agreements have been designated and qualify as cash flow hedges, are recognized on its Consolidated Balance Sheets at fair value and are classified based on the instruments’ maturity dates. The Company estimates $16.1 million will be reclassified to interest expense over the next 12 months related to the 2018 Swap Agreements.</w:t>
      </w: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252525"/>
        </w:rPr>
        <w:t xml:space="preserve">The following table presents the fair value of the Company’s interest rate swaps as well as their classification on </w:t>
      </w:r>
      <w:r>
        <w:rPr>
          <w:rFonts w:ascii="Arial" w:cs="Arial" w:eastAsia="Arial" w:hAnsi="Arial"/>
          <w:sz w:val="20"/>
          <w:szCs w:val="20"/>
          <w:color w:val="000000"/>
        </w:rPr>
        <w:t>the Company’s</w:t>
      </w:r>
      <w:r>
        <w:rPr>
          <w:rFonts w:ascii="Arial" w:cs="Arial" w:eastAsia="Arial" w:hAnsi="Arial"/>
          <w:sz w:val="20"/>
          <w:szCs w:val="20"/>
          <w:color w:val="252525"/>
        </w:rPr>
        <w:t xml:space="preserve"> Consolidated Balance Sheets </w:t>
      </w:r>
      <w:r>
        <w:rPr>
          <w:rFonts w:ascii="Arial" w:cs="Arial" w:eastAsia="Arial" w:hAnsi="Arial"/>
          <w:sz w:val="20"/>
          <w:szCs w:val="20"/>
          <w:color w:val="000000"/>
        </w:rPr>
        <w:t>as of the periods indicated</w:t>
      </w:r>
      <w:r>
        <w:rPr>
          <w:rFonts w:ascii="Arial" w:cs="Arial" w:eastAsia="Arial" w:hAnsi="Arial"/>
          <w:sz w:val="20"/>
          <w:szCs w:val="20"/>
          <w:color w:val="252525"/>
        </w:rPr>
        <w: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4"/>
                <w:szCs w:val="14"/>
                <w:color w:val="auto"/>
              </w:rPr>
            </w:pPr>
          </w:p>
        </w:tc>
        <w:tc>
          <w:tcPr>
            <w:tcW w:w="1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DECEMBER 27, 2020</w:t>
            </w:r>
          </w:p>
        </w:tc>
        <w:tc>
          <w:tcPr>
            <w:tcW w:w="180" w:type="dxa"/>
            <w:vAlign w:val="bottom"/>
          </w:tcPr>
          <w:p>
            <w:pPr>
              <w:spacing w:after="0"/>
              <w:rPr>
                <w:sz w:val="14"/>
                <w:szCs w:val="14"/>
                <w:color w:val="auto"/>
              </w:rPr>
            </w:pPr>
          </w:p>
        </w:tc>
        <w:tc>
          <w:tcPr>
            <w:tcW w:w="174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DECEMBER 29, 2019</w:t>
            </w:r>
          </w:p>
        </w:tc>
        <w:tc>
          <w:tcPr>
            <w:tcW w:w="120" w:type="dxa"/>
            <w:vAlign w:val="bottom"/>
          </w:tcPr>
          <w:p>
            <w:pPr>
              <w:spacing w:after="0"/>
              <w:rPr>
                <w:sz w:val="14"/>
                <w:szCs w:val="14"/>
                <w:color w:val="auto"/>
              </w:rPr>
            </w:pP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rPr>
              <w:t>CONSOLIDATED BALANCE SHEET</w:t>
            </w:r>
          </w:p>
        </w:tc>
        <w:tc>
          <w:tcPr>
            <w:tcW w:w="0" w:type="dxa"/>
            <w:vAlign w:val="bottom"/>
          </w:tcPr>
          <w:p>
            <w:pPr>
              <w:spacing w:after="0"/>
              <w:rPr>
                <w:sz w:val="1"/>
                <w:szCs w:val="1"/>
                <w:color w:val="auto"/>
              </w:rPr>
            </w:pPr>
          </w:p>
        </w:tc>
      </w:tr>
      <w:tr>
        <w:trPr>
          <w:trHeight w:val="183"/>
        </w:trPr>
        <w:tc>
          <w:tcPr>
            <w:tcW w:w="37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216"/>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swaps - liability</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14,855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7,174</w:t>
            </w:r>
          </w:p>
        </w:tc>
        <w:tc>
          <w:tcPr>
            <w:tcW w:w="120" w:type="dxa"/>
            <w:vAlign w:val="bottom"/>
            <w:tcBorders>
              <w:top w:val="single" w:sz="8" w:color="CCEEFF"/>
            </w:tcBorders>
            <w:shd w:val="clear" w:color="auto" w:fill="CCEEFF"/>
          </w:tcPr>
          <w:p>
            <w:pPr>
              <w:spacing w:after="0"/>
              <w:rPr>
                <w:sz w:val="18"/>
                <w:szCs w:val="18"/>
                <w:color w:val="auto"/>
              </w:rPr>
            </w:pPr>
          </w:p>
        </w:tc>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Accrued and other current liabilities</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rate swaps - liability</w:t>
            </w: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15,640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16,835</w:t>
            </w:r>
          </w:p>
        </w:tc>
        <w:tc>
          <w:tcPr>
            <w:tcW w:w="120" w:type="dxa"/>
            <w:vAlign w:val="bottom"/>
            <w:tcBorders>
              <w:bottom w:val="single" w:sz="8" w:color="CCEEFF"/>
            </w:tcBorders>
          </w:tcPr>
          <w:p>
            <w:pPr>
              <w:spacing w:after="0"/>
              <w:rPr>
                <w:sz w:val="19"/>
                <w:szCs w:val="19"/>
                <w:color w:val="auto"/>
              </w:rPr>
            </w:pPr>
          </w:p>
        </w:tc>
        <w:tc>
          <w:tcPr>
            <w:tcW w:w="33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long-term liabilities, net</w:t>
            </w:r>
          </w:p>
        </w:tc>
        <w:tc>
          <w:tcPr>
            <w:tcW w:w="0" w:type="dxa"/>
            <w:vAlign w:val="bottom"/>
          </w:tcPr>
          <w:p>
            <w:pPr>
              <w:spacing w:after="0"/>
              <w:rPr>
                <w:sz w:val="1"/>
                <w:szCs w:val="1"/>
                <w:color w:val="auto"/>
              </w:rPr>
            </w:pPr>
          </w:p>
        </w:tc>
      </w:tr>
      <w:tr>
        <w:trPr>
          <w:trHeight w:val="241"/>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8"/>
              </w:rPr>
              <w:t>Total fair value of derivative instruments - liabilities (1)</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30,495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24,009</w:t>
            </w:r>
          </w:p>
        </w:tc>
        <w:tc>
          <w:tcPr>
            <w:tcW w:w="120" w:type="dxa"/>
            <w:vAlign w:val="bottom"/>
            <w:tcBorders>
              <w:bottom w:val="single" w:sz="8" w:color="CCEEFF"/>
            </w:tcBorders>
            <w:shd w:val="clear" w:color="auto" w:fill="CCEEFF"/>
          </w:tcPr>
          <w:p>
            <w:pPr>
              <w:spacing w:after="0"/>
              <w:rPr>
                <w:sz w:val="20"/>
                <w:szCs w:val="20"/>
                <w:color w:val="auto"/>
              </w:rPr>
            </w:pPr>
          </w:p>
        </w:tc>
        <w:tc>
          <w:tcPr>
            <w:tcW w:w="3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interest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120" w:type="dxa"/>
            <w:vAlign w:val="bottom"/>
            <w:tcBorders>
              <w:bottom w:val="single" w:sz="8" w:color="CCEEFF"/>
            </w:tcBorders>
            <w:shd w:val="clear" w:color="auto" w:fill="CCEEFF"/>
          </w:tcPr>
          <w:p>
            <w:pPr>
              <w:spacing w:after="0"/>
              <w:rPr>
                <w:sz w:val="20"/>
                <w:szCs w:val="20"/>
                <w:color w:val="auto"/>
              </w:rPr>
            </w:pPr>
          </w:p>
        </w:tc>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Accrued and other current liabilities</w:t>
            </w:r>
          </w:p>
        </w:tc>
        <w:tc>
          <w:tcPr>
            <w:tcW w:w="0" w:type="dxa"/>
            <w:vAlign w:val="bottom"/>
          </w:tcPr>
          <w:p>
            <w:pPr>
              <w:spacing w:after="0"/>
              <w:rPr>
                <w:sz w:val="1"/>
                <w:szCs w:val="1"/>
                <w:color w:val="auto"/>
              </w:rPr>
            </w:pPr>
          </w:p>
        </w:tc>
      </w:tr>
      <w:tr>
        <w:trPr>
          <w:trHeight w:val="248"/>
        </w:trPr>
        <w:tc>
          <w:tcPr>
            <w:tcW w:w="3780" w:type="dxa"/>
            <w:vAlign w:val="bottom"/>
          </w:tcPr>
          <w:p>
            <w:pPr>
              <w:spacing w:after="0"/>
              <w:rPr>
                <w:sz w:val="20"/>
                <w:szCs w:val="20"/>
                <w:color w:val="auto"/>
              </w:rPr>
            </w:pPr>
            <w:r>
              <w:rPr>
                <w:rFonts w:ascii="Arial" w:cs="Arial" w:eastAsia="Arial" w:hAnsi="Arial"/>
                <w:sz w:val="16"/>
                <w:szCs w:val="16"/>
                <w:color w:val="auto"/>
              </w:rPr>
              <w:t>____________________</w:t>
            </w:r>
          </w:p>
        </w:tc>
        <w:tc>
          <w:tcPr>
            <w:tcW w:w="2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60" w:hanging="352"/>
        <w:spacing w:after="0"/>
        <w:tabs>
          <w:tab w:leader="none" w:pos="360" w:val="left"/>
        </w:tabs>
        <w:numPr>
          <w:ilvl w:val="0"/>
          <w:numId w:val="71"/>
        </w:numPr>
        <w:rPr>
          <w:rFonts w:ascii="Arial" w:cs="Arial" w:eastAsia="Arial" w:hAnsi="Arial"/>
          <w:sz w:val="16"/>
          <w:szCs w:val="16"/>
          <w:color w:val="auto"/>
        </w:rPr>
      </w:pPr>
      <w:r>
        <w:rPr>
          <w:rFonts w:ascii="Arial" w:cs="Arial" w:eastAsia="Arial" w:hAnsi="Arial"/>
          <w:sz w:val="16"/>
          <w:szCs w:val="16"/>
          <w:color w:val="252525"/>
        </w:rPr>
        <w:t xml:space="preserve">See Note </w:t>
      </w:r>
      <w:r>
        <w:rPr>
          <w:rFonts w:ascii="Arial" w:cs="Arial" w:eastAsia="Arial" w:hAnsi="Arial"/>
          <w:sz w:val="16"/>
          <w:szCs w:val="16"/>
          <w:color w:val="000000"/>
        </w:rPr>
        <w:t>19</w:t>
      </w:r>
      <w:r>
        <w:rPr>
          <w:rFonts w:ascii="Arial" w:cs="Arial" w:eastAsia="Arial" w:hAnsi="Arial"/>
          <w:sz w:val="16"/>
          <w:szCs w:val="16"/>
          <w:color w:val="252525"/>
        </w:rPr>
        <w:t xml:space="preserve"> - </w:t>
      </w:r>
      <w:r>
        <w:rPr>
          <w:rFonts w:ascii="Arial" w:cs="Arial" w:eastAsia="Arial" w:hAnsi="Arial"/>
          <w:sz w:val="16"/>
          <w:szCs w:val="16"/>
          <w:i w:val="1"/>
          <w:iCs w:val="1"/>
          <w:color w:val="000000"/>
        </w:rPr>
        <w:t>Fair Value Measurements</w:t>
      </w:r>
      <w:r>
        <w:rPr>
          <w:rFonts w:ascii="Arial" w:cs="Arial" w:eastAsia="Arial" w:hAnsi="Arial"/>
          <w:sz w:val="16"/>
          <w:szCs w:val="16"/>
          <w:color w:val="252525"/>
        </w:rPr>
        <w:t xml:space="preserve"> for fair value discussion of the interest rate swaps.</w:t>
      </w:r>
    </w:p>
    <w:p>
      <w:pPr>
        <w:spacing w:after="0" w:line="22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52525"/>
        </w:rPr>
        <w:t xml:space="preserve">On </w:t>
      </w:r>
      <w:r>
        <w:rPr>
          <w:rFonts w:ascii="Arial" w:cs="Arial" w:eastAsia="Arial" w:hAnsi="Arial"/>
          <w:sz w:val="20"/>
          <w:szCs w:val="20"/>
          <w:color w:val="000000"/>
        </w:rPr>
        <w:t>May 4, 2020</w:t>
      </w:r>
      <w:r>
        <w:rPr>
          <w:rFonts w:ascii="Arial" w:cs="Arial" w:eastAsia="Arial" w:hAnsi="Arial"/>
          <w:sz w:val="20"/>
          <w:szCs w:val="20"/>
          <w:color w:val="252525"/>
        </w:rPr>
        <w:t>, concurrent with entering into the Amended Credit Agreement, the Company de-designated its interest rate swap hedge relationship and modified its hedge documentation to more closely align with certain terms of the Amended Credit Agreement. On May 6, 2020, the Company re-designated the cash flow hedge relationship for the original $550.0 million notional amount, resulting in no impact to the Company’s consolidated financial statements as a result of the hedge activity.</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252525"/>
        </w:rPr>
        <w:t>The following table summarizes the effects of the swap agreements on Net (loss) income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96"/>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2018</w:t>
            </w: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 expense recognized in Interest expense, net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r>
      <w:tr>
        <w:trPr>
          <w:trHeight w:val="223"/>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benefit recognized in (Benefit) provision for income taxes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w:t>
            </w:r>
          </w:p>
        </w:tc>
      </w:tr>
      <w:tr>
        <w:trPr>
          <w:trHeight w:val="241"/>
        </w:trPr>
        <w:tc>
          <w:tcPr>
            <w:tcW w:w="6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effects of the interest rate swaps on Net (loss) income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252525"/>
        </w:rPr>
        <w:t>The Company records its derivatives on its Consolidated Balance Sheets on a gross balance basis. The Company’s interest rate swaps are subject to master netting arrangements. As of December 27, 2020, the Company did not have more than one derivative between the same counterparties and as such, there was no netting.</w:t>
      </w:r>
    </w:p>
    <w:p>
      <w:pPr>
        <w:spacing w:after="0" w:line="21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252525"/>
        </w:rPr>
        <w:t>By utilizing the interest rate swaps, the Company is exposed to credit-related losses in the event that the counterparty fails to perform under the terms of the derivative contract. To mitigate this risk, the Company enters into derivative contracts with major financial institutions based upon credit ratings and other factors. The Company continually assesses the creditworthiness of its counterparties. As of December 27, 2020 and December 29, 2019, all counterparties to the interest rate swaps had performed in accordance with their contractual obligations.</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252525"/>
        </w:rPr>
        <w:t>The Company has agreements with each of its derivative counterparties that contain a provision where the Company could be declared in default on its derivative obligations if the repayment of the underlying indebtedness is accelerated by the lender due to the Company’s default on indebtedness.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252525"/>
        </w:rPr>
        <w:t>As of December 27, 2020 and December 29, 2019, the fair value of the Company’s interest rate swaps was in a net liability position, including accrued interest but excluding any adjustment for nonperformance risk, of $32.2 million and $24.8 million, respectively. As of December 27, 2020 and December 29, 2019, the Company has not posted any collateral related to these agreements. If the Company had breached any of these provisions as of December 27, 2020 and December 29, 2019, it could have been required to settle its obligations under the agreements at their termination value of $32.2 million and $24.8 million, respectively.</w:t>
      </w:r>
    </w:p>
    <w:p>
      <w:pPr>
        <w:spacing w:after="0" w:line="20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6"/>
          <w:szCs w:val="16"/>
          <w:color w:val="auto"/>
        </w:rPr>
        <w:t>Leases</w:t>
      </w:r>
    </w:p>
    <w:p>
      <w:pPr>
        <w:spacing w:after="0" w:line="24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following table includes a detail of lease assets and liabilities included on the Company’s Consolidated Balance Sheets as of the periods indicated: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460" w:type="dxa"/>
            <w:vAlign w:val="bottom"/>
            <w:gridSpan w:val="2"/>
          </w:tcPr>
          <w:p>
            <w:pPr>
              <w:ind w:left="480"/>
              <w:spacing w:after="0"/>
              <w:rPr>
                <w:sz w:val="20"/>
                <w:szCs w:val="20"/>
                <w:color w:val="auto"/>
              </w:rPr>
            </w:pPr>
            <w:r>
              <w:rPr>
                <w:rFonts w:ascii="Arial" w:cs="Arial" w:eastAsia="Arial" w:hAnsi="Arial"/>
                <w:sz w:val="14"/>
                <w:szCs w:val="14"/>
                <w:b w:val="1"/>
                <w:bCs w:val="1"/>
                <w:color w:val="auto"/>
              </w:rPr>
              <w:t>CONSOLIDATED BALANCE SHEET</w:t>
            </w:r>
          </w:p>
        </w:tc>
        <w:tc>
          <w:tcPr>
            <w:tcW w:w="240" w:type="dxa"/>
            <w:vAlign w:val="bottom"/>
          </w:tcPr>
          <w:p>
            <w:pPr>
              <w:spacing w:after="0"/>
              <w:rPr>
                <w:sz w:val="14"/>
                <w:szCs w:val="14"/>
                <w:color w:val="auto"/>
              </w:rPr>
            </w:pPr>
          </w:p>
        </w:tc>
        <w:tc>
          <w:tcPr>
            <w:tcW w:w="186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DECEMBER 27, 2020</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DECEMBER 29, 2019</w:t>
            </w:r>
          </w:p>
        </w:tc>
        <w:tc>
          <w:tcPr>
            <w:tcW w:w="0" w:type="dxa"/>
            <w:vAlign w:val="bottom"/>
          </w:tcPr>
          <w:p>
            <w:pPr>
              <w:spacing w:after="0"/>
              <w:rPr>
                <w:sz w:val="1"/>
                <w:szCs w:val="1"/>
                <w:color w:val="auto"/>
              </w:rPr>
            </w:pPr>
          </w:p>
        </w:tc>
      </w:tr>
      <w:tr>
        <w:trPr>
          <w:trHeight w:val="196"/>
        </w:trPr>
        <w:tc>
          <w:tcPr>
            <w:tcW w:w="3460" w:type="dxa"/>
            <w:vAlign w:val="bottom"/>
            <w:tcBorders>
              <w:bottom w:val="single" w:sz="8" w:color="CCEEFF"/>
            </w:tcBorders>
            <w:vMerge w:val="continue"/>
          </w:tcPr>
          <w:p>
            <w:pPr>
              <w:spacing w:after="0"/>
              <w:rPr>
                <w:sz w:val="17"/>
                <w:szCs w:val="17"/>
                <w:color w:val="auto"/>
              </w:rPr>
            </w:pPr>
          </w:p>
        </w:tc>
        <w:tc>
          <w:tcPr>
            <w:tcW w:w="336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CLASSIFICATION</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1,172,910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1,266,548</w:t>
            </w:r>
          </w:p>
        </w:tc>
        <w:tc>
          <w:tcPr>
            <w:tcW w:w="0" w:type="dxa"/>
            <w:vAlign w:val="bottom"/>
          </w:tcPr>
          <w:p>
            <w:pPr>
              <w:spacing w:after="0"/>
              <w:rPr>
                <w:sz w:val="1"/>
                <w:szCs w:val="1"/>
                <w:color w:val="auto"/>
              </w:rPr>
            </w:pPr>
          </w:p>
        </w:tc>
      </w:tr>
      <w:tr>
        <w:trPr>
          <w:trHeight w:val="209"/>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Finance lease right-of-use assets (1)</w:t>
            </w:r>
          </w:p>
        </w:tc>
        <w:tc>
          <w:tcPr>
            <w:tcW w:w="34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Property, fixtures and equipment, net</w:t>
            </w: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2,036</w:t>
            </w:r>
          </w:p>
        </w:tc>
        <w:tc>
          <w:tcPr>
            <w:tcW w:w="0" w:type="dxa"/>
            <w:vAlign w:val="bottom"/>
          </w:tcPr>
          <w:p>
            <w:pPr>
              <w:spacing w:after="0"/>
              <w:rPr>
                <w:sz w:val="1"/>
                <w:szCs w:val="1"/>
                <w:color w:val="auto"/>
              </w:rPr>
            </w:pPr>
          </w:p>
        </w:tc>
      </w:tr>
      <w:tr>
        <w:trPr>
          <w:trHeight w:val="238"/>
        </w:trPr>
        <w:tc>
          <w:tcPr>
            <w:tcW w:w="3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lease assets, net</w:t>
            </w:r>
          </w:p>
        </w:tc>
        <w:tc>
          <w:tcPr>
            <w:tcW w:w="3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1,174,857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1,268,584</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4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operating lease liabilities (2)</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Accrued and other current liabilities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176,791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171,866</w:t>
            </w:r>
          </w:p>
        </w:tc>
        <w:tc>
          <w:tcPr>
            <w:tcW w:w="0" w:type="dxa"/>
            <w:vAlign w:val="bottom"/>
          </w:tcPr>
          <w:p>
            <w:pPr>
              <w:spacing w:after="0"/>
              <w:rPr>
                <w:sz w:val="1"/>
                <w:szCs w:val="1"/>
                <w:color w:val="auto"/>
              </w:rPr>
            </w:pPr>
          </w:p>
        </w:tc>
      </w:tr>
      <w:tr>
        <w:trPr>
          <w:trHeight w:val="213"/>
        </w:trPr>
        <w:tc>
          <w:tcPr>
            <w:tcW w:w="3460" w:type="dxa"/>
            <w:vAlign w:val="bottom"/>
          </w:tcPr>
          <w:p>
            <w:pPr>
              <w:ind w:left="20"/>
              <w:spacing w:after="0"/>
              <w:rPr>
                <w:sz w:val="20"/>
                <w:szCs w:val="20"/>
                <w:color w:val="auto"/>
              </w:rPr>
            </w:pPr>
            <w:r>
              <w:rPr>
                <w:rFonts w:ascii="Arial" w:cs="Arial" w:eastAsia="Arial" w:hAnsi="Arial"/>
                <w:sz w:val="16"/>
                <w:szCs w:val="16"/>
                <w:color w:val="auto"/>
              </w:rPr>
              <w:t>Current finance lease liabilities</w:t>
            </w:r>
          </w:p>
        </w:tc>
        <w:tc>
          <w:tcPr>
            <w:tcW w:w="3460" w:type="dxa"/>
            <w:vAlign w:val="bottom"/>
            <w:gridSpan w:val="2"/>
          </w:tcPr>
          <w:p>
            <w:pPr>
              <w:ind w:left="2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1,210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1,361</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operating lease liabilities (3)</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operating lease liabilities</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1,216,666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1,279,051</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Non-current finance lease liabilities</w:t>
            </w:r>
          </w:p>
        </w:tc>
        <w:tc>
          <w:tcPr>
            <w:tcW w:w="34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Long-term debt, net</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947</w:t>
            </w:r>
          </w:p>
        </w:tc>
        <w:tc>
          <w:tcPr>
            <w:tcW w:w="0" w:type="dxa"/>
            <w:vAlign w:val="bottom"/>
          </w:tcPr>
          <w:p>
            <w:pPr>
              <w:spacing w:after="0"/>
              <w:rPr>
                <w:sz w:val="1"/>
                <w:szCs w:val="1"/>
                <w:color w:val="auto"/>
              </w:rPr>
            </w:pPr>
          </w:p>
        </w:tc>
      </w:tr>
      <w:tr>
        <w:trPr>
          <w:trHeight w:val="238"/>
        </w:trPr>
        <w:tc>
          <w:tcPr>
            <w:tcW w:w="3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lease liabilities</w:t>
            </w:r>
          </w:p>
        </w:tc>
        <w:tc>
          <w:tcPr>
            <w:tcW w:w="3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1,395,641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1,453,225</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Net of accumulated amortization of $2.3 million and $1.3 million as December 27, 2020 and December 29, 2019, respectively.</w:t>
      </w:r>
    </w:p>
    <w:p>
      <w:pPr>
        <w:spacing w:after="0" w:line="5" w:lineRule="exact"/>
        <w:rPr>
          <w:rFonts w:ascii="Arial" w:cs="Arial" w:eastAsia="Arial" w:hAnsi="Arial"/>
          <w:sz w:val="16"/>
          <w:szCs w:val="16"/>
          <w:color w:val="auto"/>
        </w:rPr>
      </w:pPr>
    </w:p>
    <w:p>
      <w:pPr>
        <w:ind w:left="660" w:hanging="652"/>
        <w:spacing w:after="0" w:line="246"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Excludes COVID-19-related current deferred rent accruals of $12.8 million as of December 27, 2020 and accrued contingent percentage rent of $2.7 million and $2.4 million, as of December 27, 2020 and December 29, 2019, respectively.</w:t>
      </w:r>
    </w:p>
    <w:p>
      <w:pPr>
        <w:ind w:left="660" w:hanging="652"/>
        <w:spacing w:after="0"/>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Excludes COVID-19-related non-current deferred rent accruals of $1.2 million as of December 27, 2020.</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expenses and income related to leases recognized in the Company’s Consolidated Statements of Operations and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Comprehensive (Loss) Income for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20" w:type="dxa"/>
            <w:vAlign w:val="bottom"/>
          </w:tcPr>
          <w:p>
            <w:pPr>
              <w:spacing w:after="0"/>
              <w:rPr>
                <w:sz w:val="17"/>
                <w:szCs w:val="17"/>
                <w:color w:val="auto"/>
              </w:rPr>
            </w:pPr>
          </w:p>
        </w:tc>
        <w:tc>
          <w:tcPr>
            <w:tcW w:w="4680" w:type="dxa"/>
            <w:vAlign w:val="bottom"/>
            <w:gridSpan w:val="2"/>
          </w:tcPr>
          <w:p>
            <w:pPr>
              <w:ind w:left="440"/>
              <w:spacing w:after="0"/>
              <w:rPr>
                <w:sz w:val="20"/>
                <w:szCs w:val="20"/>
                <w:color w:val="auto"/>
              </w:rPr>
            </w:pPr>
            <w:r>
              <w:rPr>
                <w:rFonts w:ascii="Arial" w:cs="Arial" w:eastAsia="Arial" w:hAnsi="Arial"/>
                <w:sz w:val="14"/>
                <w:szCs w:val="14"/>
                <w:b w:val="1"/>
                <w:bCs w:val="1"/>
                <w:color w:val="auto"/>
              </w:rPr>
              <w:t>CONSOLIDATED STATEMENTS OF OPERATIONS AND</w:t>
            </w:r>
          </w:p>
        </w:tc>
        <w:tc>
          <w:tcPr>
            <w:tcW w:w="3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1000" w:type="dxa"/>
            <w:vAlign w:val="bottom"/>
            <w:tcBorders>
              <w:bottom w:val="single" w:sz="8" w:color="auto"/>
            </w:tcBorders>
          </w:tcPr>
          <w:p>
            <w:pPr>
              <w:spacing w:after="0"/>
              <w:rPr>
                <w:sz w:val="17"/>
                <w:szCs w:val="17"/>
                <w:color w:val="auto"/>
              </w:rPr>
            </w:pPr>
          </w:p>
        </w:tc>
      </w:tr>
      <w:tr>
        <w:trPr>
          <w:trHeight w:val="196"/>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5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COMPREHENSIVE (LOSS) INCOME CLASSIFICATION</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2019</w:t>
            </w:r>
          </w:p>
        </w:tc>
      </w:tr>
      <w:tr>
        <w:trPr>
          <w:trHeight w:val="216"/>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leases (1)</w:t>
            </w:r>
          </w:p>
        </w:tc>
        <w:tc>
          <w:tcPr>
            <w:tcW w:w="4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restaurant operating</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178,740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181,397</w:t>
            </w:r>
          </w:p>
        </w:tc>
      </w:tr>
      <w:tr>
        <w:trPr>
          <w:trHeight w:val="213"/>
        </w:trPr>
        <w:tc>
          <w:tcPr>
            <w:tcW w:w="3420" w:type="dxa"/>
            <w:vAlign w:val="bottom"/>
          </w:tcPr>
          <w:p>
            <w:pPr>
              <w:ind w:left="20"/>
              <w:spacing w:after="0"/>
              <w:rPr>
                <w:sz w:val="20"/>
                <w:szCs w:val="20"/>
                <w:color w:val="auto"/>
              </w:rPr>
            </w:pPr>
            <w:r>
              <w:rPr>
                <w:rFonts w:ascii="Arial" w:cs="Arial" w:eastAsia="Arial" w:hAnsi="Arial"/>
                <w:sz w:val="16"/>
                <w:szCs w:val="16"/>
                <w:color w:val="auto"/>
              </w:rPr>
              <w:t>Variable lease cost (2)</w:t>
            </w:r>
          </w:p>
        </w:tc>
        <w:tc>
          <w:tcPr>
            <w:tcW w:w="4680" w:type="dxa"/>
            <w:vAlign w:val="bottom"/>
            <w:gridSpan w:val="2"/>
          </w:tcPr>
          <w:p>
            <w:pPr>
              <w:ind w:left="20"/>
              <w:spacing w:after="0"/>
              <w:rPr>
                <w:sz w:val="20"/>
                <w:szCs w:val="20"/>
                <w:color w:val="auto"/>
              </w:rPr>
            </w:pPr>
            <w:r>
              <w:rPr>
                <w:rFonts w:ascii="Arial" w:cs="Arial" w:eastAsia="Arial" w:hAnsi="Arial"/>
                <w:sz w:val="16"/>
                <w:szCs w:val="16"/>
                <w:color w:val="auto"/>
              </w:rPr>
              <w:t>Other restaurant operating</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(2,326)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3,504</w:t>
            </w:r>
          </w:p>
        </w:tc>
      </w:tr>
      <w:tr>
        <w:trPr>
          <w:trHeight w:val="219"/>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leases</w:t>
            </w:r>
          </w:p>
        </w:tc>
        <w:tc>
          <w:tcPr>
            <w:tcW w:w="4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3420" w:type="dxa"/>
            <w:vAlign w:val="bottom"/>
          </w:tcPr>
          <w:p>
            <w:pPr>
              <w:ind w:left="140"/>
              <w:spacing w:after="0"/>
              <w:rPr>
                <w:sz w:val="20"/>
                <w:szCs w:val="20"/>
                <w:color w:val="auto"/>
              </w:rPr>
            </w:pPr>
            <w:r>
              <w:rPr>
                <w:rFonts w:ascii="Arial" w:cs="Arial" w:eastAsia="Arial" w:hAnsi="Arial"/>
                <w:sz w:val="16"/>
                <w:szCs w:val="16"/>
                <w:color w:val="auto"/>
              </w:rPr>
              <w:t>Amortization of leased assets</w:t>
            </w:r>
          </w:p>
        </w:tc>
        <w:tc>
          <w:tcPr>
            <w:tcW w:w="468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1,248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1,400</w:t>
            </w:r>
          </w:p>
        </w:tc>
      </w:tr>
      <w:tr>
        <w:trPr>
          <w:trHeight w:val="219"/>
        </w:trPr>
        <w:tc>
          <w:tcPr>
            <w:tcW w:w="3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on lease liabilities</w:t>
            </w:r>
          </w:p>
        </w:tc>
        <w:tc>
          <w:tcPr>
            <w:tcW w:w="4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r>
      <w:tr>
        <w:trPr>
          <w:trHeight w:val="223"/>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Sublease revenue (3)</w:t>
            </w:r>
          </w:p>
        </w:tc>
        <w:tc>
          <w:tcPr>
            <w:tcW w:w="46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Franchise and other revenues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(6,542)</w:t>
            </w:r>
          </w:p>
        </w:tc>
      </w:tr>
      <w:tr>
        <w:trPr>
          <w:trHeight w:val="241"/>
        </w:trPr>
        <w:tc>
          <w:tcPr>
            <w:tcW w:w="3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Lease costs, net (4)</w:t>
            </w:r>
          </w:p>
        </w:tc>
        <w:tc>
          <w:tcPr>
            <w:tcW w:w="4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174,701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180,023</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jc w:val="both"/>
        <w:ind w:left="660" w:hanging="652"/>
        <w:spacing w:after="0" w:line="246" w:lineRule="auto"/>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Excludes rent expense for office facilities and Company-owned closed or subleased properties of $13.8 million and $14.6 million for 2020 and 2019, respectively, which is included in General and administrative expense and certain supply chain-related rent expenses of $1.3 million for 2020 and 2019, which is included in Food and beverage costs.</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252525"/>
        </w:rPr>
        <w:t xml:space="preserve">Includes COVID-19-related rent abatements </w:t>
      </w:r>
      <w:r>
        <w:rPr>
          <w:rFonts w:ascii="Arial" w:cs="Arial" w:eastAsia="Arial" w:hAnsi="Arial"/>
          <w:sz w:val="16"/>
          <w:szCs w:val="16"/>
          <w:color w:val="000000"/>
        </w:rPr>
        <w:t>for 2020, which are recognized as a reduction to variable rent expense in the month they occur.</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Excludes rental income from Company-owned properties of $0.5 million and $2.2 million for 2020 and 2019, respectively.</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During 2018, the Company recorded rent expense of $185.4 million, including variable rent expense of $4.5 million, and sublease revenue of $5.6 million.</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color w:val="auto"/>
        </w:rPr>
        <w:t>As of December 27, 2020, future minimum lease payments and sublease revenues under non-cancelable leases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OPERATING</w:t>
            </w:r>
          </w:p>
        </w:tc>
        <w:tc>
          <w:tcPr>
            <w:tcW w:w="180" w:type="dxa"/>
            <w:vAlign w:val="bottom"/>
          </w:tcPr>
          <w:p>
            <w:pPr>
              <w:spacing w:after="0"/>
              <w:rPr>
                <w:sz w:val="14"/>
                <w:szCs w:val="14"/>
                <w:color w:val="auto"/>
              </w:rPr>
            </w:pPr>
          </w:p>
        </w:tc>
        <w:tc>
          <w:tcPr>
            <w:tcW w:w="1020" w:type="dxa"/>
            <w:vAlign w:val="bottom"/>
          </w:tcPr>
          <w:p>
            <w:pPr>
              <w:jc w:val="right"/>
              <w:ind w:right="201"/>
              <w:spacing w:after="0"/>
              <w:rPr>
                <w:sz w:val="20"/>
                <w:szCs w:val="20"/>
                <w:color w:val="auto"/>
              </w:rPr>
            </w:pPr>
            <w:r>
              <w:rPr>
                <w:rFonts w:ascii="Arial" w:cs="Arial" w:eastAsia="Arial" w:hAnsi="Arial"/>
                <w:sz w:val="14"/>
                <w:szCs w:val="14"/>
                <w:b w:val="1"/>
                <w:bCs w:val="1"/>
                <w:color w:val="auto"/>
              </w:rPr>
              <w:t>FINANCE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201"/>
              <w:spacing w:after="0"/>
              <w:rPr>
                <w:sz w:val="20"/>
                <w:szCs w:val="20"/>
                <w:color w:val="auto"/>
              </w:rPr>
            </w:pPr>
            <w:r>
              <w:rPr>
                <w:rFonts w:ascii="Arial" w:cs="Arial" w:eastAsia="Arial" w:hAnsi="Arial"/>
                <w:sz w:val="14"/>
                <w:szCs w:val="14"/>
                <w:b w:val="1"/>
                <w:bCs w:val="1"/>
                <w:color w:val="auto"/>
              </w:rPr>
              <w:t>SUBLEASE</w:t>
            </w:r>
          </w:p>
        </w:tc>
        <w:tc>
          <w:tcPr>
            <w:tcW w:w="0" w:type="dxa"/>
            <w:vAlign w:val="bottom"/>
          </w:tcPr>
          <w:p>
            <w:pPr>
              <w:spacing w:after="0"/>
              <w:rPr>
                <w:sz w:val="1"/>
                <w:szCs w:val="1"/>
                <w:color w:val="auto"/>
              </w:rPr>
            </w:pPr>
          </w:p>
        </w:tc>
      </w:tr>
      <w:tr>
        <w:trPr>
          <w:trHeight w:val="196"/>
        </w:trPr>
        <w:tc>
          <w:tcPr>
            <w:tcW w:w="732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LEASES (1)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LEASES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 (2)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196,616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1,202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(5,832)</w:t>
            </w: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190,072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(5,714)</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(5,576)</w:t>
            </w: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Arial" w:cs="Arial" w:eastAsia="Arial" w:hAnsi="Arial"/>
                <w:sz w:val="16"/>
                <w:szCs w:val="16"/>
                <w:color w:val="auto"/>
              </w:rPr>
              <w:t>2024</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180,459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(5,351)</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168,937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(5,055)</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1,588,417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(48,724)</w:t>
            </w:r>
          </w:p>
        </w:tc>
        <w:tc>
          <w:tcPr>
            <w:tcW w:w="0" w:type="dxa"/>
            <w:vAlign w:val="bottom"/>
          </w:tcPr>
          <w:p>
            <w:pPr>
              <w:spacing w:after="0"/>
              <w:rPr>
                <w:sz w:val="1"/>
                <w:szCs w:val="1"/>
                <w:color w:val="auto"/>
              </w:rPr>
            </w:pPr>
          </w:p>
        </w:tc>
      </w:tr>
      <w:tr>
        <w:trPr>
          <w:trHeight w:val="276"/>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minimum lease payments (receipts) (3)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2,510,001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2,405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(76,252)</w:t>
            </w:r>
          </w:p>
        </w:tc>
        <w:tc>
          <w:tcPr>
            <w:tcW w:w="0" w:type="dxa"/>
            <w:vAlign w:val="bottom"/>
          </w:tcPr>
          <w:p>
            <w:pPr>
              <w:spacing w:after="0"/>
              <w:rPr>
                <w:sz w:val="1"/>
                <w:szCs w:val="1"/>
                <w:color w:val="auto"/>
              </w:rPr>
            </w:pPr>
          </w:p>
        </w:tc>
      </w:tr>
      <w:tr>
        <w:trPr>
          <w:trHeight w:val="183"/>
        </w:trPr>
        <w:tc>
          <w:tcPr>
            <w:tcW w:w="7320" w:type="dxa"/>
            <w:vAlign w:val="bottom"/>
            <w:tcBorders>
              <w:top w:val="single" w:sz="8" w:color="CCEEFF"/>
              <w:bottom w:val="single" w:sz="8" w:color="CCEEFF"/>
            </w:tcBorders>
          </w:tcPr>
          <w:p>
            <w:pPr>
              <w:ind w:left="20"/>
              <w:spacing w:after="0" w:line="177" w:lineRule="exact"/>
              <w:rPr>
                <w:sz w:val="20"/>
                <w:szCs w:val="20"/>
                <w:color w:val="auto"/>
              </w:rPr>
            </w:pPr>
            <w:r>
              <w:rPr>
                <w:rFonts w:ascii="Arial" w:cs="Arial" w:eastAsia="Arial" w:hAnsi="Arial"/>
                <w:sz w:val="16"/>
                <w:szCs w:val="16"/>
                <w:color w:val="auto"/>
              </w:rPr>
              <w:t>Less: Interest</w:t>
            </w:r>
          </w:p>
        </w:tc>
        <w:tc>
          <w:tcPr>
            <w:tcW w:w="14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(1,102,560)</w:t>
            </w:r>
          </w:p>
        </w:tc>
        <w:tc>
          <w:tcPr>
            <w:tcW w:w="12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(221)</w:t>
            </w:r>
          </w:p>
        </w:tc>
        <w:tc>
          <w:tcPr>
            <w:tcW w:w="10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auto"/>
              <w:bottom w:val="single" w:sz="8" w:color="CCEEFF"/>
            </w:tcBorders>
          </w:tcPr>
          <w:p>
            <w:pPr>
              <w:spacing w:after="0"/>
              <w:rPr>
                <w:sz w:val="15"/>
                <w:szCs w:val="15"/>
                <w:color w:val="auto"/>
              </w:rPr>
            </w:pPr>
          </w:p>
        </w:tc>
        <w:tc>
          <w:tcPr>
            <w:tcW w:w="1120" w:type="dxa"/>
            <w:vAlign w:val="bottom"/>
            <w:tcBorders>
              <w:top w:val="single" w:sz="8" w:color="auto"/>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Present value of future lease 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1,407,441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Includes COVID-19-related current and non-current deferred rent accruals of $12.8 million and $1.2 million, respectively, as of December 27, 2020</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Net of operating lease prepaid rent of $6.4 million.</w:t>
      </w:r>
    </w:p>
    <w:p>
      <w:pPr>
        <w:spacing w:after="0" w:line="5" w:lineRule="exact"/>
        <w:rPr>
          <w:rFonts w:ascii="Arial" w:cs="Arial" w:eastAsia="Arial" w:hAnsi="Arial"/>
          <w:sz w:val="16"/>
          <w:szCs w:val="16"/>
          <w:color w:val="auto"/>
        </w:rPr>
      </w:pPr>
    </w:p>
    <w:p>
      <w:pPr>
        <w:ind w:left="660" w:hanging="652"/>
        <w:spacing w:after="0" w:line="257" w:lineRule="auto"/>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Includes $1.0 billion related to lease renewal options that are reasonably certain of exercise and excludes $74.7 million of signed operating leases that have not yet commenced.</w:t>
      </w:r>
    </w:p>
    <w:p>
      <w:pPr>
        <w:spacing w:after="0" w:line="206"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following table is a summary of the weighted-average remaining lease terms and weighted-average discount rates of the Company’s leases as of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80" w:type="dxa"/>
            <w:vAlign w:val="bottom"/>
          </w:tcPr>
          <w:p>
            <w:pPr>
              <w:spacing w:after="0"/>
              <w:rPr>
                <w:sz w:val="17"/>
                <w:szCs w:val="17"/>
                <w:color w:val="auto"/>
              </w:rPr>
            </w:pPr>
          </w:p>
        </w:tc>
        <w:tc>
          <w:tcPr>
            <w:tcW w:w="2480" w:type="dxa"/>
            <w:vAlign w:val="bottom"/>
            <w:gridSpan w:val="2"/>
          </w:tcPr>
          <w:p>
            <w:pPr>
              <w:ind w:left="500"/>
              <w:spacing w:after="0"/>
              <w:rPr>
                <w:sz w:val="20"/>
                <w:szCs w:val="20"/>
                <w:color w:val="auto"/>
              </w:rPr>
            </w:pPr>
            <w:r>
              <w:rPr>
                <w:rFonts w:ascii="Arial" w:cs="Arial" w:eastAsia="Arial" w:hAnsi="Arial"/>
                <w:sz w:val="14"/>
                <w:szCs w:val="14"/>
                <w:b w:val="1"/>
                <w:bCs w:val="1"/>
                <w:color w:val="auto"/>
              </w:rPr>
              <w:t>DECEMBER 27, 2020</w:t>
            </w:r>
          </w:p>
        </w:tc>
        <w:tc>
          <w:tcPr>
            <w:tcW w:w="2380" w:type="dxa"/>
            <w:vAlign w:val="bottom"/>
          </w:tcPr>
          <w:p>
            <w:pPr>
              <w:jc w:val="right"/>
              <w:ind w:right="421"/>
              <w:spacing w:after="0"/>
              <w:rPr>
                <w:sz w:val="20"/>
                <w:szCs w:val="20"/>
                <w:color w:val="auto"/>
              </w:rPr>
            </w:pPr>
            <w:r>
              <w:rPr>
                <w:rFonts w:ascii="Arial" w:cs="Arial" w:eastAsia="Arial" w:hAnsi="Arial"/>
                <w:sz w:val="14"/>
                <w:szCs w:val="14"/>
                <w:b w:val="1"/>
                <w:bCs w:val="1"/>
                <w:color w:val="auto"/>
              </w:rPr>
              <w:t>DECEMBER 29, 2019</w:t>
            </w:r>
          </w:p>
        </w:tc>
      </w:tr>
      <w:tr>
        <w:trPr>
          <w:trHeight w:val="203"/>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 (1):</w:t>
            </w:r>
          </w:p>
        </w:tc>
        <w:tc>
          <w:tcPr>
            <w:tcW w:w="2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auto"/>
            </w:tcBorders>
            <w:shd w:val="clear" w:color="auto" w:fill="CCEEFF"/>
          </w:tcPr>
          <w:p>
            <w:pPr>
              <w:spacing w:after="0"/>
              <w:rPr>
                <w:sz w:val="17"/>
                <w:szCs w:val="17"/>
                <w:color w:val="auto"/>
              </w:rPr>
            </w:pPr>
          </w:p>
        </w:tc>
      </w:tr>
      <w:tr>
        <w:trPr>
          <w:trHeight w:val="213"/>
        </w:trPr>
        <w:tc>
          <w:tcPr>
            <w:tcW w:w="6380" w:type="dxa"/>
            <w:vAlign w:val="bottom"/>
          </w:tcPr>
          <w:p>
            <w:pPr>
              <w:ind w:left="140"/>
              <w:spacing w:after="0"/>
              <w:rPr>
                <w:sz w:val="20"/>
                <w:szCs w:val="20"/>
                <w:color w:val="auto"/>
              </w:rPr>
            </w:pPr>
            <w:r>
              <w:rPr>
                <w:rFonts w:ascii="Arial" w:cs="Arial" w:eastAsia="Arial" w:hAnsi="Arial"/>
                <w:sz w:val="16"/>
                <w:szCs w:val="16"/>
                <w:color w:val="auto"/>
              </w:rPr>
              <w:t>Operating leases</w:t>
            </w:r>
          </w:p>
        </w:tc>
        <w:tc>
          <w:tcPr>
            <w:tcW w:w="2480" w:type="dxa"/>
            <w:vAlign w:val="bottom"/>
            <w:gridSpan w:val="2"/>
          </w:tcPr>
          <w:p>
            <w:pPr>
              <w:jc w:val="right"/>
              <w:ind w:right="120"/>
              <w:spacing w:after="0"/>
              <w:rPr>
                <w:sz w:val="20"/>
                <w:szCs w:val="20"/>
                <w:color w:val="auto"/>
              </w:rPr>
            </w:pPr>
            <w:r>
              <w:rPr>
                <w:rFonts w:ascii="Arial" w:cs="Arial" w:eastAsia="Arial" w:hAnsi="Arial"/>
                <w:sz w:val="16"/>
                <w:szCs w:val="16"/>
                <w:color w:val="auto"/>
              </w:rPr>
              <w:t>14.0 years</w:t>
            </w:r>
          </w:p>
        </w:tc>
        <w:tc>
          <w:tcPr>
            <w:tcW w:w="2380" w:type="dxa"/>
            <w:vAlign w:val="bottom"/>
          </w:tcPr>
          <w:p>
            <w:pPr>
              <w:jc w:val="right"/>
              <w:spacing w:after="0"/>
              <w:rPr>
                <w:sz w:val="20"/>
                <w:szCs w:val="20"/>
                <w:color w:val="auto"/>
              </w:rPr>
            </w:pPr>
            <w:r>
              <w:rPr>
                <w:rFonts w:ascii="Arial" w:cs="Arial" w:eastAsia="Arial" w:hAnsi="Arial"/>
                <w:sz w:val="16"/>
                <w:szCs w:val="16"/>
                <w:color w:val="auto"/>
              </w:rPr>
              <w:t>14.5 years</w:t>
            </w:r>
          </w:p>
        </w:tc>
      </w:tr>
      <w:tr>
        <w:trPr>
          <w:trHeight w:val="219"/>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leases</w:t>
            </w:r>
          </w:p>
        </w:tc>
        <w:tc>
          <w:tcPr>
            <w:tcW w:w="2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 years</w:t>
            </w: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years</w:t>
            </w:r>
          </w:p>
        </w:tc>
      </w:tr>
      <w:tr>
        <w:trPr>
          <w:trHeight w:val="213"/>
        </w:trPr>
        <w:tc>
          <w:tcPr>
            <w:tcW w:w="6380" w:type="dxa"/>
            <w:vAlign w:val="bottom"/>
          </w:tcPr>
          <w:p>
            <w:pPr>
              <w:ind w:left="20"/>
              <w:spacing w:after="0"/>
              <w:rPr>
                <w:sz w:val="20"/>
                <w:szCs w:val="20"/>
                <w:color w:val="auto"/>
              </w:rPr>
            </w:pPr>
            <w:r>
              <w:rPr>
                <w:rFonts w:ascii="Arial" w:cs="Arial" w:eastAsia="Arial" w:hAnsi="Arial"/>
                <w:sz w:val="16"/>
                <w:szCs w:val="16"/>
                <w:color w:val="auto"/>
              </w:rPr>
              <w:t>Weighted-average discount rate (2):</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9"/>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leases</w:t>
            </w: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8.54 %</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8.52 %</w:t>
            </w:r>
          </w:p>
        </w:tc>
      </w:tr>
      <w:tr>
        <w:trPr>
          <w:trHeight w:val="210"/>
        </w:trPr>
        <w:tc>
          <w:tcPr>
            <w:tcW w:w="6380" w:type="dxa"/>
            <w:vAlign w:val="bottom"/>
          </w:tcPr>
          <w:p>
            <w:pPr>
              <w:ind w:left="140"/>
              <w:spacing w:after="0"/>
              <w:rPr>
                <w:sz w:val="20"/>
                <w:szCs w:val="20"/>
                <w:color w:val="auto"/>
              </w:rPr>
            </w:pPr>
            <w:r>
              <w:rPr>
                <w:rFonts w:ascii="Arial" w:cs="Arial" w:eastAsia="Arial" w:hAnsi="Arial"/>
                <w:sz w:val="16"/>
                <w:szCs w:val="16"/>
                <w:color w:val="auto"/>
              </w:rPr>
              <w:t>Finance leases</w:t>
            </w:r>
          </w:p>
        </w:tc>
        <w:tc>
          <w:tcPr>
            <w:tcW w:w="2380" w:type="dxa"/>
            <w:vAlign w:val="bottom"/>
          </w:tcPr>
          <w:p>
            <w:pPr>
              <w:jc w:val="right"/>
              <w:spacing w:after="0"/>
              <w:rPr>
                <w:sz w:val="20"/>
                <w:szCs w:val="20"/>
                <w:color w:val="auto"/>
              </w:rPr>
            </w:pPr>
            <w:r>
              <w:rPr>
                <w:rFonts w:ascii="Arial" w:cs="Arial" w:eastAsia="Arial" w:hAnsi="Arial"/>
                <w:sz w:val="16"/>
                <w:szCs w:val="16"/>
                <w:color w:val="auto"/>
              </w:rPr>
              <w:t>7.21 %</w:t>
            </w:r>
          </w:p>
        </w:tc>
        <w:tc>
          <w:tcPr>
            <w:tcW w:w="10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6"/>
                <w:szCs w:val="16"/>
                <w:color w:val="auto"/>
              </w:rPr>
              <w:t>9.01 %</w:t>
            </w:r>
          </w:p>
        </w:tc>
      </w:tr>
      <w:tr>
        <w:trPr>
          <w:trHeight w:val="294"/>
        </w:trPr>
        <w:tc>
          <w:tcPr>
            <w:tcW w:w="6380" w:type="dxa"/>
            <w:vAlign w:val="bottom"/>
          </w:tcPr>
          <w:p>
            <w:pPr>
              <w:spacing w:after="0"/>
              <w:rPr>
                <w:sz w:val="20"/>
                <w:szCs w:val="20"/>
                <w:color w:val="auto"/>
              </w:rPr>
            </w:pPr>
            <w:r>
              <w:rPr>
                <w:rFonts w:ascii="Arial" w:cs="Arial" w:eastAsia="Arial" w:hAnsi="Arial"/>
                <w:sz w:val="16"/>
                <w:szCs w:val="16"/>
                <w:color w:val="auto"/>
              </w:rPr>
              <w:t>____________________</w:t>
            </w: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r>
    </w:tbl>
    <w:p>
      <w:pPr>
        <w:ind w:left="660" w:hanging="652"/>
        <w:spacing w:after="0"/>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Includes lease renewal options that are reasonably certain of exercise.</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the Company’s incremental borrowing rate at lease commencement.</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is a summary of other impacts to the Company’s consolidated financial statements related to its leases for the periods indicated: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8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rPr>
              <w:t>FISCAL YEAR</w:t>
            </w:r>
          </w:p>
        </w:tc>
        <w:tc>
          <w:tcPr>
            <w:tcW w:w="1460" w:type="dxa"/>
            <w:vAlign w:val="bottom"/>
            <w:tcBorders>
              <w:bottom w:val="single" w:sz="8" w:color="auto"/>
            </w:tcBorders>
          </w:tcPr>
          <w:p>
            <w:pPr>
              <w:spacing w:after="0"/>
              <w:rPr>
                <w:sz w:val="17"/>
                <w:szCs w:val="17"/>
                <w:color w:val="auto"/>
              </w:rPr>
            </w:pPr>
          </w:p>
        </w:tc>
      </w:tr>
      <w:tr>
        <w:trPr>
          <w:trHeight w:val="182"/>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5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82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864"/>
              <w:spacing w:after="0"/>
              <w:rPr>
                <w:sz w:val="20"/>
                <w:szCs w:val="20"/>
                <w:color w:val="auto"/>
              </w:rPr>
            </w:pPr>
            <w:r>
              <w:rPr>
                <w:rFonts w:ascii="Arial" w:cs="Arial" w:eastAsia="Arial" w:hAnsi="Arial"/>
                <w:sz w:val="14"/>
                <w:szCs w:val="14"/>
                <w:b w:val="1"/>
                <w:bCs w:val="1"/>
                <w:color w:val="auto"/>
              </w:rPr>
              <w:t>2019</w:t>
            </w:r>
          </w:p>
        </w:tc>
      </w:tr>
      <w:tr>
        <w:trPr>
          <w:trHeight w:val="203"/>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5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0"/>
        </w:trPr>
        <w:tc>
          <w:tcPr>
            <w:tcW w:w="6860" w:type="dxa"/>
            <w:vAlign w:val="bottom"/>
          </w:tcPr>
          <w:p>
            <w:pPr>
              <w:ind w:left="140"/>
              <w:spacing w:after="0"/>
              <w:rPr>
                <w:sz w:val="20"/>
                <w:szCs w:val="20"/>
                <w:color w:val="auto"/>
              </w:rPr>
            </w:pPr>
            <w:r>
              <w:rPr>
                <w:rFonts w:ascii="Arial" w:cs="Arial" w:eastAsia="Arial" w:hAnsi="Arial"/>
                <w:sz w:val="16"/>
                <w:szCs w:val="16"/>
                <w:color w:val="auto"/>
              </w:rPr>
              <w:t>Cash paid for amounts included in the measurement of operating lease liabilities</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177,961</w:t>
            </w:r>
          </w:p>
        </w:tc>
        <w:tc>
          <w:tcPr>
            <w:tcW w:w="100" w:type="dxa"/>
            <w:vAlign w:val="bottom"/>
          </w:tcPr>
          <w:p>
            <w:pPr>
              <w:spacing w:after="0"/>
              <w:rPr>
                <w:sz w:val="18"/>
                <w:szCs w:val="18"/>
                <w:color w:val="auto"/>
              </w:rPr>
            </w:pP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191,855</w:t>
            </w:r>
          </w:p>
        </w:tc>
      </w:tr>
    </w:tbl>
    <w:p>
      <w:pPr>
        <w:spacing w:after="0" w:line="32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 xml:space="preserve">Properties Leased to Third Parties </w:t>
      </w:r>
      <w:r>
        <w:rPr>
          <w:rFonts w:ascii="Arial" w:cs="Arial" w:eastAsia="Arial" w:hAnsi="Arial"/>
          <w:sz w:val="19"/>
          <w:szCs w:val="19"/>
          <w:color w:val="auto"/>
        </w:rPr>
        <w:t>- The Company leases certain owned land and buildings to third parties, generally related to closed or</w:t>
      </w:r>
      <w:r>
        <w:rPr>
          <w:rFonts w:ascii="Arial" w:cs="Arial" w:eastAsia="Arial" w:hAnsi="Arial"/>
          <w:sz w:val="19"/>
          <w:szCs w:val="19"/>
          <w:i w:val="1"/>
          <w:iCs w:val="1"/>
          <w:color w:val="auto"/>
        </w:rPr>
        <w:t xml:space="preserve"> </w:t>
      </w:r>
      <w:r>
        <w:rPr>
          <w:rFonts w:ascii="Arial" w:cs="Arial" w:eastAsia="Arial" w:hAnsi="Arial"/>
          <w:sz w:val="19"/>
          <w:szCs w:val="19"/>
          <w:color w:val="auto"/>
        </w:rPr>
        <w:t>refranchised restaurants. The following table is a summary of assets leased to third parties as of the periods indicated: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7"/>
                <w:szCs w:val="17"/>
                <w:color w:val="auto"/>
              </w:rPr>
            </w:pPr>
          </w:p>
        </w:tc>
        <w:tc>
          <w:tcPr>
            <w:tcW w:w="20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27, 2020</w:t>
            </w:r>
          </w:p>
        </w:tc>
        <w:tc>
          <w:tcPr>
            <w:tcW w:w="240" w:type="dxa"/>
            <w:vAlign w:val="bottom"/>
          </w:tcPr>
          <w:p>
            <w:pPr>
              <w:spacing w:after="0"/>
              <w:rPr>
                <w:sz w:val="17"/>
                <w:szCs w:val="17"/>
                <w:color w:val="auto"/>
              </w:rPr>
            </w:pPr>
          </w:p>
        </w:tc>
        <w:tc>
          <w:tcPr>
            <w:tcW w:w="1940" w:type="dxa"/>
            <w:vAlign w:val="bottom"/>
          </w:tcPr>
          <w:p>
            <w:pPr>
              <w:jc w:val="right"/>
              <w:ind w:right="321"/>
              <w:spacing w:after="0"/>
              <w:rPr>
                <w:sz w:val="20"/>
                <w:szCs w:val="20"/>
                <w:color w:val="auto"/>
              </w:rPr>
            </w:pPr>
            <w:r>
              <w:rPr>
                <w:rFonts w:ascii="Arial" w:cs="Arial" w:eastAsia="Arial" w:hAnsi="Arial"/>
                <w:sz w:val="14"/>
                <w:szCs w:val="14"/>
                <w:b w:val="1"/>
                <w:bCs w:val="1"/>
                <w:color w:val="auto"/>
              </w:rPr>
              <w:t>DECEMBER 29, 2019</w:t>
            </w:r>
          </w:p>
        </w:tc>
      </w:tr>
      <w:tr>
        <w:trPr>
          <w:trHeight w:val="216"/>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9,341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9,885</w:t>
            </w:r>
          </w:p>
        </w:tc>
      </w:tr>
      <w:tr>
        <w:trPr>
          <w:trHeight w:val="256"/>
        </w:trPr>
        <w:tc>
          <w:tcPr>
            <w:tcW w:w="6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12,823</w:t>
            </w:r>
          </w:p>
        </w:tc>
      </w:tr>
      <w:tr>
        <w:trPr>
          <w:trHeight w:val="22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(6,400)</w:t>
            </w:r>
          </w:p>
        </w:tc>
      </w:tr>
      <w:tr>
        <w:trPr>
          <w:trHeight w:val="241"/>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Buildings,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6,423</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Sale-leaseback Transactions </w:t>
      </w:r>
      <w:r>
        <w:rPr>
          <w:rFonts w:ascii="Arial" w:cs="Arial" w:eastAsia="Arial" w:hAnsi="Arial"/>
          <w:sz w:val="19"/>
          <w:szCs w:val="19"/>
          <w:color w:val="auto"/>
        </w:rPr>
        <w:t>- The following is a summary of sale-leaseback transactions with third-parties for the periods indicated: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FISCAL YEAR</w:t>
            </w:r>
          </w:p>
        </w:tc>
        <w:tc>
          <w:tcPr>
            <w:tcW w:w="1000" w:type="dxa"/>
            <w:vAlign w:val="bottom"/>
            <w:tcBorders>
              <w:bottom w:val="single" w:sz="8" w:color="auto"/>
            </w:tcBorders>
          </w:tcPr>
          <w:p>
            <w:pPr>
              <w:spacing w:after="0"/>
              <w:rPr>
                <w:sz w:val="17"/>
                <w:szCs w:val="17"/>
                <w:color w:val="auto"/>
              </w:rPr>
            </w:pPr>
          </w:p>
        </w:tc>
      </w:tr>
      <w:tr>
        <w:trPr>
          <w:trHeight w:val="196"/>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2018</w:t>
            </w:r>
          </w:p>
        </w:tc>
      </w:tr>
      <w:tr>
        <w:trPr>
          <w:trHeight w:val="216"/>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proceeds from sale-leaseback transactions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17,294</w:t>
            </w:r>
          </w:p>
        </w:tc>
      </w:tr>
      <w:tr>
        <w:trPr>
          <w:trHeight w:val="210"/>
        </w:trPr>
        <w:tc>
          <w:tcPr>
            <w:tcW w:w="8080" w:type="dxa"/>
            <w:vAlign w:val="bottom"/>
          </w:tcPr>
          <w:p>
            <w:pPr>
              <w:ind w:left="20"/>
              <w:spacing w:after="0"/>
              <w:rPr>
                <w:sz w:val="20"/>
                <w:szCs w:val="20"/>
                <w:color w:val="auto"/>
              </w:rPr>
            </w:pPr>
            <w:r>
              <w:rPr>
                <w:rFonts w:ascii="Arial" w:cs="Arial" w:eastAsia="Arial" w:hAnsi="Arial"/>
                <w:sz w:val="16"/>
                <w:szCs w:val="16"/>
                <w:color w:val="auto"/>
              </w:rPr>
              <w:t>Number of restaurant properties sold and leased back</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w:t>
            </w:r>
          </w:p>
        </w:tc>
      </w:tr>
    </w:tbl>
    <w:p>
      <w:pPr>
        <w:spacing w:after="0" w:line="313" w:lineRule="exact"/>
        <w:rPr>
          <w:sz w:val="20"/>
          <w:szCs w:val="20"/>
          <w:color w:val="auto"/>
        </w:rPr>
      </w:pPr>
    </w:p>
    <w:p>
      <w:pPr>
        <w:ind w:left="800" w:hanging="792"/>
        <w:spacing w:after="0"/>
        <w:tabs>
          <w:tab w:leader="none" w:pos="800" w:val="left"/>
        </w:tabs>
        <w:numPr>
          <w:ilvl w:val="0"/>
          <w:numId w:val="76"/>
        </w:numPr>
        <w:rPr>
          <w:rFonts w:ascii="Arial" w:cs="Arial" w:eastAsia="Arial" w:hAnsi="Arial"/>
          <w:sz w:val="20"/>
          <w:szCs w:val="20"/>
          <w:color w:val="auto"/>
        </w:rPr>
      </w:pPr>
      <w:r>
        <w:rPr>
          <w:rFonts w:ascii="Arial" w:cs="Arial" w:eastAsia="Arial" w:hAnsi="Arial"/>
          <w:sz w:val="20"/>
          <w:szCs w:val="20"/>
          <w:color w:val="auto"/>
        </w:rPr>
        <w:t>Fair Value Measurements</w:t>
      </w:r>
    </w:p>
    <w:p>
      <w:pPr>
        <w:spacing w:after="0" w:line="24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 xml:space="preserve">Fair Value Measurements on a Recurring Basis - </w:t>
      </w:r>
      <w:r>
        <w:rPr>
          <w:rFonts w:ascii="Arial" w:cs="Arial" w:eastAsia="Arial" w:hAnsi="Arial"/>
          <w:sz w:val="20"/>
          <w:szCs w:val="20"/>
          <w:color w:val="auto"/>
        </w:rPr>
        <w:t>The following table summarizes the Company’s financial assets and liabilities measured at</w:t>
      </w:r>
      <w:r>
        <w:rPr>
          <w:rFonts w:ascii="Arial" w:cs="Arial" w:eastAsia="Arial" w:hAnsi="Arial"/>
          <w:sz w:val="20"/>
          <w:szCs w:val="20"/>
          <w:i w:val="1"/>
          <w:iCs w:val="1"/>
          <w:color w:val="auto"/>
        </w:rPr>
        <w:t xml:space="preserve"> </w:t>
      </w:r>
      <w:r>
        <w:rPr>
          <w:rFonts w:ascii="Arial" w:cs="Arial" w:eastAsia="Arial" w:hAnsi="Arial"/>
          <w:sz w:val="20"/>
          <w:szCs w:val="20"/>
          <w:color w:val="auto"/>
        </w:rPr>
        <w:t>fair value by hierarchy level on a recurring basis as of the periods indicated: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4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6"/>
          </w:tcPr>
          <w:p>
            <w:pPr>
              <w:jc w:val="center"/>
              <w:ind w:right="39"/>
              <w:spacing w:after="0"/>
              <w:rPr>
                <w:sz w:val="20"/>
                <w:szCs w:val="20"/>
                <w:color w:val="auto"/>
              </w:rPr>
            </w:pPr>
            <w:r>
              <w:rPr>
                <w:rFonts w:ascii="Arial" w:cs="Arial" w:eastAsia="Arial" w:hAnsi="Arial"/>
                <w:sz w:val="14"/>
                <w:szCs w:val="14"/>
                <w:b w:val="1"/>
                <w:bCs w:val="1"/>
                <w:color w:val="auto"/>
                <w:w w:val="99"/>
              </w:rPr>
              <w:t>DECEMBER 27, 2020</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6"/>
          </w:tcPr>
          <w:p>
            <w:pPr>
              <w:jc w:val="center"/>
              <w:ind w:right="39"/>
              <w:spacing w:after="0"/>
              <w:rPr>
                <w:sz w:val="20"/>
                <w:szCs w:val="20"/>
                <w:color w:val="auto"/>
              </w:rPr>
            </w:pPr>
            <w:r>
              <w:rPr>
                <w:rFonts w:ascii="Arial" w:cs="Arial" w:eastAsia="Arial" w:hAnsi="Arial"/>
                <w:sz w:val="14"/>
                <w:szCs w:val="14"/>
                <w:b w:val="1"/>
                <w:bCs w:val="1"/>
                <w:color w:val="auto"/>
                <w:w w:val="98"/>
              </w:rPr>
              <w:t>DECEMBER 29, 2019</w:t>
            </w:r>
          </w:p>
        </w:tc>
        <w:tc>
          <w:tcPr>
            <w:tcW w:w="920" w:type="dxa"/>
            <w:vAlign w:val="bottom"/>
            <w:tcBorders>
              <w:bottom w:val="single" w:sz="8" w:color="auto"/>
            </w:tcBorders>
          </w:tcPr>
          <w:p>
            <w:pPr>
              <w:spacing w:after="0"/>
              <w:rPr>
                <w:sz w:val="17"/>
                <w:szCs w:val="17"/>
                <w:color w:val="auto"/>
              </w:rPr>
            </w:pPr>
          </w:p>
        </w:tc>
      </w:tr>
      <w:tr>
        <w:trPr>
          <w:trHeight w:val="196"/>
        </w:trPr>
        <w:tc>
          <w:tcPr>
            <w:tcW w:w="41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7"/>
                <w:szCs w:val="17"/>
                <w:color w:val="auto"/>
              </w:rPr>
            </w:pPr>
          </w:p>
        </w:tc>
        <w:tc>
          <w:tcPr>
            <w:tcW w:w="840" w:type="dxa"/>
            <w:vAlign w:val="bottom"/>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7"/>
                <w:szCs w:val="17"/>
                <w:color w:val="auto"/>
              </w:rPr>
            </w:pPr>
          </w:p>
        </w:tc>
        <w:tc>
          <w:tcPr>
            <w:tcW w:w="920" w:type="dxa"/>
            <w:vAlign w:val="bottom"/>
          </w:tcPr>
          <w:p>
            <w:pPr>
              <w:jc w:val="right"/>
              <w:ind w:right="16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7"/>
                <w:szCs w:val="17"/>
                <w:color w:val="auto"/>
              </w:rPr>
            </w:pPr>
          </w:p>
        </w:tc>
        <w:tc>
          <w:tcPr>
            <w:tcW w:w="920" w:type="dxa"/>
            <w:vAlign w:val="bottom"/>
          </w:tcPr>
          <w:p>
            <w:pPr>
              <w:jc w:val="right"/>
              <w:ind w:right="160"/>
              <w:spacing w:after="0"/>
              <w:rPr>
                <w:sz w:val="20"/>
                <w:szCs w:val="20"/>
                <w:color w:val="auto"/>
              </w:rPr>
            </w:pPr>
            <w:r>
              <w:rPr>
                <w:rFonts w:ascii="Arial" w:cs="Arial" w:eastAsia="Arial" w:hAnsi="Arial"/>
                <w:sz w:val="14"/>
                <w:szCs w:val="14"/>
                <w:b w:val="1"/>
                <w:bCs w:val="1"/>
                <w:color w:val="auto"/>
              </w:rPr>
              <w:t>LEVEL 2</w:t>
            </w:r>
          </w:p>
        </w:tc>
      </w:tr>
      <w:tr>
        <w:trPr>
          <w:trHeight w:val="203"/>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13"/>
        </w:trPr>
        <w:tc>
          <w:tcPr>
            <w:tcW w:w="4100" w:type="dxa"/>
            <w:vAlign w:val="bottom"/>
          </w:tcPr>
          <w:p>
            <w:pPr>
              <w:ind w:left="140"/>
              <w:spacing w:after="0"/>
              <w:rPr>
                <w:sz w:val="20"/>
                <w:szCs w:val="20"/>
                <w:color w:val="auto"/>
              </w:rPr>
            </w:pPr>
            <w:r>
              <w:rPr>
                <w:rFonts w:ascii="Arial" w:cs="Arial" w:eastAsia="Arial" w:hAnsi="Arial"/>
                <w:sz w:val="16"/>
                <w:szCs w:val="16"/>
                <w:color w:val="auto"/>
              </w:rPr>
              <w:t>Cash equivalents: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4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Fixed income funds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15,404</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100" w:type="dxa"/>
            <w:vAlign w:val="bottom"/>
          </w:tcPr>
          <w:p>
            <w:pPr>
              <w:ind w:left="220"/>
              <w:spacing w:after="0"/>
              <w:rPr>
                <w:sz w:val="20"/>
                <w:szCs w:val="20"/>
                <w:color w:val="auto"/>
              </w:rPr>
            </w:pPr>
            <w:r>
              <w:rPr>
                <w:rFonts w:ascii="Arial" w:cs="Arial" w:eastAsia="Arial" w:hAnsi="Arial"/>
                <w:sz w:val="16"/>
                <w:szCs w:val="16"/>
                <w:color w:val="auto"/>
              </w:rPr>
              <w:t>Money market funds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16,494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16,494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12,752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12,752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cash equivalents: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0"/>
        </w:trPr>
        <w:tc>
          <w:tcPr>
            <w:tcW w:w="41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Money market funds</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 recurring fair value measurements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32,326</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32,326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13,789</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13,789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4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4100" w:type="dxa"/>
            <w:vAlign w:val="bottom"/>
          </w:tcPr>
          <w:p>
            <w:pPr>
              <w:ind w:left="140"/>
              <w:spacing w:after="0"/>
              <w:rPr>
                <w:sz w:val="20"/>
                <w:szCs w:val="20"/>
                <w:color w:val="auto"/>
              </w:rPr>
            </w:pPr>
            <w:r>
              <w:rPr>
                <w:rFonts w:ascii="Arial" w:cs="Arial" w:eastAsia="Arial" w:hAnsi="Arial"/>
                <w:sz w:val="16"/>
                <w:szCs w:val="16"/>
                <w:color w:val="auto"/>
              </w:rPr>
              <w:t>Accrued and other current liabilities: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4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Derivative instruments - interest rate swaps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14,855</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7,174</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7,174</w:t>
            </w:r>
          </w:p>
        </w:tc>
      </w:tr>
      <w:tr>
        <w:trPr>
          <w:trHeight w:val="213"/>
        </w:trPr>
        <w:tc>
          <w:tcPr>
            <w:tcW w:w="4100" w:type="dxa"/>
            <w:vAlign w:val="bottom"/>
          </w:tcPr>
          <w:p>
            <w:pPr>
              <w:ind w:left="140"/>
              <w:spacing w:after="0"/>
              <w:rPr>
                <w:sz w:val="20"/>
                <w:szCs w:val="20"/>
                <w:color w:val="auto"/>
              </w:rPr>
            </w:pPr>
            <w:r>
              <w:rPr>
                <w:rFonts w:ascii="Arial" w:cs="Arial" w:eastAsia="Arial" w:hAnsi="Arial"/>
                <w:sz w:val="16"/>
                <w:szCs w:val="16"/>
                <w:color w:val="auto"/>
              </w:rPr>
              <w:t>Other long-term liabilities: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6"/>
        </w:trPr>
        <w:tc>
          <w:tcPr>
            <w:tcW w:w="4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Derivative instruments - interest rate swaps</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15,640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15,640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16,835</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16,835</w:t>
            </w: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Total liability recurring fair value measurements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30,495</w:t>
            </w:r>
          </w:p>
        </w:tc>
        <w:tc>
          <w:tcPr>
            <w:tcW w:w="3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30,495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24,009</w:t>
            </w:r>
          </w:p>
        </w:tc>
        <w:tc>
          <w:tcPr>
            <w:tcW w:w="3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24,009</w:t>
            </w:r>
          </w:p>
        </w:tc>
      </w:tr>
      <w:tr>
        <w:trPr>
          <w:trHeight w:val="20"/>
        </w:trPr>
        <w:tc>
          <w:tcPr>
            <w:tcW w:w="4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Fair value of each class of financial instrument is determined based on the following:</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FINANCIAL INSTRUMENT</w:t>
            </w:r>
          </w:p>
        </w:tc>
        <w:tc>
          <w:tcPr>
            <w:tcW w:w="100" w:type="dxa"/>
            <w:vAlign w:val="bottom"/>
            <w:tcBorders>
              <w:bottom w:val="single" w:sz="8" w:color="CCEEFF"/>
            </w:tcBorders>
          </w:tcPr>
          <w:p>
            <w:pPr>
              <w:spacing w:after="0"/>
              <w:rPr>
                <w:sz w:val="17"/>
                <w:szCs w:val="17"/>
                <w:color w:val="auto"/>
              </w:rPr>
            </w:pPr>
          </w:p>
        </w:tc>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METHODS AND ASSUMPTIONS</w:t>
            </w:r>
          </w:p>
        </w:tc>
      </w:tr>
      <w:tr>
        <w:trPr>
          <w:trHeight w:val="166"/>
        </w:trPr>
        <w:tc>
          <w:tcPr>
            <w:tcW w:w="2520" w:type="dxa"/>
            <w:vAlign w:val="bottom"/>
            <w:gridSpan w:val="2"/>
            <w:shd w:val="clear" w:color="auto" w:fill="CCEEFF"/>
          </w:tcPr>
          <w:p>
            <w:pPr>
              <w:ind w:left="20"/>
              <w:spacing w:after="0" w:line="166" w:lineRule="exact"/>
              <w:rPr>
                <w:sz w:val="20"/>
                <w:szCs w:val="20"/>
                <w:color w:val="auto"/>
              </w:rPr>
            </w:pPr>
            <w:r>
              <w:rPr>
                <w:rFonts w:ascii="Arial" w:cs="Arial" w:eastAsia="Arial" w:hAnsi="Arial"/>
                <w:sz w:val="16"/>
                <w:szCs w:val="16"/>
                <w:color w:val="auto"/>
              </w:rPr>
              <w:t>Fixed income funds and</w:t>
            </w:r>
          </w:p>
        </w:tc>
        <w:tc>
          <w:tcPr>
            <w:tcW w:w="872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Carrying value approximates fair value because maturities are less than three months.</w:t>
            </w:r>
          </w:p>
        </w:tc>
      </w:tr>
      <w:tr>
        <w:trPr>
          <w:trHeight w:val="212"/>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Money market funds</w:t>
            </w:r>
          </w:p>
        </w:tc>
        <w:tc>
          <w:tcPr>
            <w:tcW w:w="8720" w:type="dxa"/>
            <w:vAlign w:val="bottom"/>
            <w:shd w:val="clear" w:color="auto" w:fill="CCEEFF"/>
          </w:tcPr>
          <w:p>
            <w:pPr>
              <w:spacing w:after="0"/>
              <w:rPr>
                <w:sz w:val="18"/>
                <w:szCs w:val="18"/>
                <w:color w:val="auto"/>
              </w:rPr>
            </w:pPr>
          </w:p>
        </w:tc>
      </w:tr>
      <w:tr>
        <w:trPr>
          <w:trHeight w:val="166"/>
        </w:trPr>
        <w:tc>
          <w:tcPr>
            <w:tcW w:w="252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Derivative instruments</w:t>
            </w:r>
          </w:p>
        </w:tc>
        <w:tc>
          <w:tcPr>
            <w:tcW w:w="8720" w:type="dxa"/>
            <w:vAlign w:val="bottom"/>
          </w:tcPr>
          <w:p>
            <w:pPr>
              <w:ind w:left="20"/>
              <w:spacing w:after="0" w:line="166" w:lineRule="exact"/>
              <w:rPr>
                <w:sz w:val="20"/>
                <w:szCs w:val="20"/>
                <w:color w:val="auto"/>
              </w:rPr>
            </w:pPr>
            <w:r>
              <w:rPr>
                <w:rFonts w:ascii="Arial" w:cs="Arial" w:eastAsia="Arial" w:hAnsi="Arial"/>
                <w:sz w:val="16"/>
                <w:szCs w:val="16"/>
                <w:color w:val="auto"/>
                <w:w w:val="91"/>
              </w:rPr>
              <w:t>The Company’s derivative instruments include interest rate swaps. Fair value measurements are based on the contractual terms of the</w:t>
            </w:r>
          </w:p>
        </w:tc>
      </w:tr>
      <w:tr>
        <w:trPr>
          <w:trHeight w:val="162"/>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720" w:type="dxa"/>
            <w:vAlign w:val="bottom"/>
          </w:tcPr>
          <w:p>
            <w:pPr>
              <w:ind w:left="20"/>
              <w:spacing w:after="0" w:line="162" w:lineRule="exact"/>
              <w:rPr>
                <w:sz w:val="20"/>
                <w:szCs w:val="20"/>
                <w:color w:val="auto"/>
              </w:rPr>
            </w:pPr>
            <w:r>
              <w:rPr>
                <w:rFonts w:ascii="Arial" w:cs="Arial" w:eastAsia="Arial" w:hAnsi="Arial"/>
                <w:sz w:val="16"/>
                <w:szCs w:val="16"/>
                <w:color w:val="auto"/>
                <w:w w:val="91"/>
              </w:rPr>
              <w:t>derivatives and use observable market-based inputs. The interest rate swaps are valued using a discounted cash flow analysis on the</w:t>
            </w:r>
          </w:p>
        </w:tc>
      </w:tr>
      <w:tr>
        <w:trPr>
          <w:trHeight w:val="162"/>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720" w:type="dxa"/>
            <w:vAlign w:val="bottom"/>
          </w:tcPr>
          <w:p>
            <w:pPr>
              <w:ind w:left="20"/>
              <w:spacing w:after="0" w:line="162" w:lineRule="exact"/>
              <w:rPr>
                <w:sz w:val="20"/>
                <w:szCs w:val="20"/>
                <w:color w:val="auto"/>
              </w:rPr>
            </w:pPr>
            <w:r>
              <w:rPr>
                <w:rFonts w:ascii="Arial" w:cs="Arial" w:eastAsia="Arial" w:hAnsi="Arial"/>
                <w:sz w:val="16"/>
                <w:szCs w:val="16"/>
                <w:color w:val="auto"/>
                <w:w w:val="92"/>
              </w:rPr>
              <w:t>expected cash flows of each derivative using observable inputs including interest rate curves and credit spreads. The Company also</w:t>
            </w:r>
          </w:p>
        </w:tc>
      </w:tr>
      <w:tr>
        <w:trPr>
          <w:trHeight w:val="162"/>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720" w:type="dxa"/>
            <w:vAlign w:val="bottom"/>
          </w:tcPr>
          <w:p>
            <w:pPr>
              <w:ind w:left="20"/>
              <w:spacing w:after="0" w:line="162" w:lineRule="exact"/>
              <w:rPr>
                <w:sz w:val="20"/>
                <w:szCs w:val="20"/>
                <w:color w:val="auto"/>
              </w:rPr>
            </w:pPr>
            <w:r>
              <w:rPr>
                <w:rFonts w:ascii="Arial" w:cs="Arial" w:eastAsia="Arial" w:hAnsi="Arial"/>
                <w:sz w:val="16"/>
                <w:szCs w:val="16"/>
                <w:color w:val="auto"/>
                <w:w w:val="93"/>
              </w:rPr>
              <w:t>considers its own nonperformance risk and the respective counterparty’s nonperformance risk in the fair value measurements. As of</w:t>
            </w:r>
          </w:p>
        </w:tc>
      </w:tr>
      <w:tr>
        <w:trPr>
          <w:trHeight w:val="162"/>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720" w:type="dxa"/>
            <w:vAlign w:val="bottom"/>
          </w:tcPr>
          <w:p>
            <w:pPr>
              <w:ind w:left="20"/>
              <w:spacing w:after="0" w:line="162" w:lineRule="exact"/>
              <w:rPr>
                <w:sz w:val="20"/>
                <w:szCs w:val="20"/>
                <w:color w:val="auto"/>
              </w:rPr>
            </w:pPr>
            <w:r>
              <w:rPr>
                <w:rFonts w:ascii="Arial" w:cs="Arial" w:eastAsia="Arial" w:hAnsi="Arial"/>
                <w:sz w:val="16"/>
                <w:szCs w:val="16"/>
                <w:color w:val="auto"/>
                <w:w w:val="91"/>
              </w:rPr>
              <w:t>December 27, 2020 and December 29, 2019, the Company has determined that the credit valuation adjustments are not significant to</w:t>
            </w:r>
          </w:p>
        </w:tc>
      </w:tr>
      <w:tr>
        <w:trPr>
          <w:trHeight w:val="206"/>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20" w:type="dxa"/>
            <w:vAlign w:val="bottom"/>
          </w:tcPr>
          <w:p>
            <w:pPr>
              <w:ind w:left="20"/>
              <w:spacing w:after="0"/>
              <w:rPr>
                <w:sz w:val="20"/>
                <w:szCs w:val="20"/>
                <w:color w:val="auto"/>
              </w:rPr>
            </w:pPr>
            <w:r>
              <w:rPr>
                <w:rFonts w:ascii="Arial" w:cs="Arial" w:eastAsia="Arial" w:hAnsi="Arial"/>
                <w:sz w:val="16"/>
                <w:szCs w:val="16"/>
                <w:color w:val="auto"/>
              </w:rPr>
              <w:t>the overall valuation of its derivatives.</w:t>
            </w:r>
          </w:p>
        </w:tc>
      </w:tr>
    </w:tbl>
    <w:p>
      <w:pPr>
        <w:spacing w:after="0" w:line="200" w:lineRule="exact"/>
        <w:rPr>
          <w:sz w:val="20"/>
          <w:szCs w:val="20"/>
          <w:color w:val="auto"/>
        </w:rPr>
      </w:pPr>
    </w:p>
    <w:p>
      <w:pPr>
        <w:spacing w:after="0" w:line="30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Fair Value Measurements on a Nonrecurring Basis - </w:t>
      </w:r>
      <w:r>
        <w:rPr>
          <w:rFonts w:ascii="Arial" w:cs="Arial" w:eastAsia="Arial" w:hAnsi="Arial"/>
          <w:sz w:val="20"/>
          <w:szCs w:val="20"/>
          <w:color w:val="auto"/>
        </w:rPr>
        <w:t>Assets and liabilities that are measured at fair value on a nonrecurring basis relate</w:t>
      </w:r>
      <w:r>
        <w:rPr>
          <w:rFonts w:ascii="Arial" w:cs="Arial" w:eastAsia="Arial" w:hAnsi="Arial"/>
          <w:sz w:val="20"/>
          <w:szCs w:val="20"/>
          <w:i w:val="1"/>
          <w:iCs w:val="1"/>
          <w:color w:val="auto"/>
        </w:rPr>
        <w:t xml:space="preserve"> </w:t>
      </w:r>
      <w:r>
        <w:rPr>
          <w:rFonts w:ascii="Arial" w:cs="Arial" w:eastAsia="Arial" w:hAnsi="Arial"/>
          <w:sz w:val="20"/>
          <w:szCs w:val="20"/>
          <w:color w:val="auto"/>
        </w:rPr>
        <w:t>primarily to property, fixtures and equipment, operating lease right-of-use assets, goodwill and other intangible assets, which are remeasured when carrying value exceeds fair value. Carrying value after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impairment approximates fair value. The following table summarizes the Company’s assets measured at fair value by hierarchy level on a nonrecurring basis, for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9"/>
              </w:rPr>
              <w:t>2020</w:t>
            </w: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9"/>
              </w:rPr>
              <w:t>2019</w:t>
            </w: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2018</w:t>
            </w: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right="2"/>
              <w:spacing w:after="0" w:line="135" w:lineRule="exact"/>
              <w:rPr>
                <w:sz w:val="20"/>
                <w:szCs w:val="20"/>
                <w:color w:val="auto"/>
              </w:rPr>
            </w:pPr>
            <w:r>
              <w:rPr>
                <w:rFonts w:ascii="Arial" w:cs="Arial" w:eastAsia="Arial" w:hAnsi="Arial"/>
                <w:sz w:val="14"/>
                <w:szCs w:val="14"/>
                <w:b w:val="1"/>
                <w:bCs w:val="1"/>
                <w:color w:val="auto"/>
              </w:rPr>
              <w:t>REMAINING</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1040" w:type="dxa"/>
            <w:vAlign w:val="bottom"/>
          </w:tcPr>
          <w:p>
            <w:pPr>
              <w:jc w:val="center"/>
              <w:ind w:right="2"/>
              <w:spacing w:after="0" w:line="135" w:lineRule="exact"/>
              <w:rPr>
                <w:sz w:val="20"/>
                <w:szCs w:val="20"/>
                <w:color w:val="auto"/>
              </w:rPr>
            </w:pPr>
            <w:r>
              <w:rPr>
                <w:rFonts w:ascii="Arial" w:cs="Arial" w:eastAsia="Arial" w:hAnsi="Arial"/>
                <w:sz w:val="14"/>
                <w:szCs w:val="14"/>
                <w:b w:val="1"/>
                <w:bCs w:val="1"/>
                <w:color w:val="auto"/>
              </w:rPr>
              <w:t>REMAINING</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REMAINING</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1"/>
                <w:szCs w:val="11"/>
                <w:color w:val="auto"/>
              </w:rPr>
            </w:pPr>
          </w:p>
        </w:tc>
        <w:tc>
          <w:tcPr>
            <w:tcW w:w="1020" w:type="dxa"/>
            <w:vAlign w:val="bottom"/>
          </w:tcPr>
          <w:p>
            <w:pPr>
              <w:jc w:val="center"/>
              <w:ind w:right="2"/>
              <w:spacing w:after="0" w:line="135" w:lineRule="exact"/>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ind w:right="2"/>
              <w:spacing w:after="0" w:line="135" w:lineRule="exact"/>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2"/>
              <w:spacing w:after="0" w:line="135" w:lineRule="exact"/>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12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VALUE</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IMPAIRMENT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rPr>
              <w:t>VALUE</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IMPAIRMENT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VALUE</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IMPAIRMENT</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held for sale (1)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1,934</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2,049</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8,590</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5,276</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Arial" w:cs="Arial" w:eastAsia="Arial" w:hAnsi="Arial"/>
                <w:sz w:val="16"/>
                <w:szCs w:val="16"/>
                <w:color w:val="auto"/>
              </w:rPr>
              <w:t>Operating lease right-of-use assets (2)</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72,615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30,940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6,597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4,284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fixtures and equipment (3)</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26,311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21,523</w:t>
            </w:r>
          </w:p>
        </w:tc>
        <w:tc>
          <w:tcPr>
            <w:tcW w:w="0" w:type="dxa"/>
            <w:vAlign w:val="bottom"/>
          </w:tcPr>
          <w:p>
            <w:pPr>
              <w:spacing w:after="0"/>
              <w:rPr>
                <w:sz w:val="1"/>
                <w:szCs w:val="1"/>
                <w:color w:val="auto"/>
              </w:rPr>
            </w:pPr>
          </w:p>
        </w:tc>
      </w:tr>
      <w:tr>
        <w:trPr>
          <w:trHeight w:val="223"/>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Goodwill and other assets (4)</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3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101,608</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74,823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12,561</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9,134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15,054</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26,799</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right="20" w:hanging="652"/>
        <w:spacing w:after="0" w:line="262" w:lineRule="auto"/>
        <w:tabs>
          <w:tab w:leader="none" w:pos="660" w:val="left"/>
        </w:tabs>
        <w:numPr>
          <w:ilvl w:val="0"/>
          <w:numId w:val="77"/>
        </w:numPr>
        <w:rPr>
          <w:rFonts w:ascii="Arial" w:cs="Arial" w:eastAsia="Arial" w:hAnsi="Arial"/>
          <w:sz w:val="15"/>
          <w:szCs w:val="15"/>
          <w:color w:val="auto"/>
        </w:rPr>
      </w:pPr>
      <w:r>
        <w:rPr>
          <w:rFonts w:ascii="Arial" w:cs="Arial" w:eastAsia="Arial" w:hAnsi="Arial"/>
          <w:sz w:val="15"/>
          <w:szCs w:val="15"/>
          <w:color w:val="auto"/>
        </w:rPr>
        <w:t>Carrying values measured using Level 3 inputs to estimate fair value totaled $1.2 million during 2020. All other assets were valued using Level 2 inputs. Third-party market appraisals or executed sales contracts (Level 2) and discounted cash flow models (Level 3) were used to estimate fair value.</w:t>
      </w:r>
    </w:p>
    <w:p>
      <w:pPr>
        <w:spacing w:after="0" w:line="1" w:lineRule="exact"/>
        <w:rPr>
          <w:rFonts w:ascii="Arial" w:cs="Arial" w:eastAsia="Arial" w:hAnsi="Arial"/>
          <w:sz w:val="15"/>
          <w:szCs w:val="15"/>
          <w:color w:val="auto"/>
        </w:rPr>
      </w:pPr>
    </w:p>
    <w:p>
      <w:pPr>
        <w:jc w:val="both"/>
        <w:ind w:left="660" w:right="20" w:hanging="652"/>
        <w:spacing w:after="0" w:line="246"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Carrying values measured using Level 2 inputs to estimate fair value totaled $0.2 million during 2019. All other assets were valued using Level 3 inputs. Third-party market appraisals (Level 2) and discounted cash flow models (Level 3) were used to estimate fair value. Refer to Note 5 - </w:t>
      </w:r>
      <w:r>
        <w:rPr>
          <w:rFonts w:ascii="Arial" w:cs="Arial" w:eastAsia="Arial" w:hAnsi="Arial"/>
          <w:sz w:val="16"/>
          <w:szCs w:val="16"/>
          <w:i w:val="1"/>
          <w:iCs w:val="1"/>
          <w:color w:val="auto"/>
        </w:rPr>
        <w:t>Impairments, Exit Costs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Disposals </w:t>
      </w:r>
      <w:r>
        <w:rPr>
          <w:rFonts w:ascii="Arial" w:cs="Arial" w:eastAsia="Arial" w:hAnsi="Arial"/>
          <w:sz w:val="16"/>
          <w:szCs w:val="16"/>
          <w:color w:val="auto"/>
        </w:rPr>
        <w:t>for a more detailed discussion of impairments.</w:t>
      </w:r>
    </w:p>
    <w:p>
      <w:pPr>
        <w:spacing w:after="0" w:line="1" w:lineRule="exact"/>
        <w:rPr>
          <w:rFonts w:ascii="Arial" w:cs="Arial" w:eastAsia="Arial" w:hAnsi="Arial"/>
          <w:sz w:val="16"/>
          <w:szCs w:val="16"/>
          <w:color w:val="auto"/>
        </w:rPr>
      </w:pPr>
    </w:p>
    <w:p>
      <w:pPr>
        <w:jc w:val="both"/>
        <w:ind w:left="660" w:hanging="652"/>
        <w:spacing w:after="0" w:line="246"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Carrying values measured using Level 2 inputs to estimate fair value totaled $2.2 million, $2.3 million and $4.6 million for 2020 2019 and 2018, respectively. All other assets were valued using Level 3 inputs. Third-party market appraisals (Level 2) and discounted cash flow models (Level 3) were used to estimate the fair value. Refer to Note 5 - </w:t>
      </w:r>
      <w:r>
        <w:rPr>
          <w:rFonts w:ascii="Arial" w:cs="Arial" w:eastAsia="Arial" w:hAnsi="Arial"/>
          <w:sz w:val="16"/>
          <w:szCs w:val="16"/>
          <w:i w:val="1"/>
          <w:iCs w:val="1"/>
          <w:color w:val="auto"/>
        </w:rPr>
        <w:t>Impairments, Exit Costs and Disposals</w:t>
      </w:r>
      <w:r>
        <w:rPr>
          <w:rFonts w:ascii="Arial" w:cs="Arial" w:eastAsia="Arial" w:hAnsi="Arial"/>
          <w:sz w:val="16"/>
          <w:szCs w:val="16"/>
          <w:color w:val="auto"/>
        </w:rPr>
        <w:t xml:space="preserve"> for a more detailed discussion of impairments.</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Other assets generally measured using the quoted market value of comparable assets (Level 2).</w:t>
      </w:r>
    </w:p>
    <w:p>
      <w:pPr>
        <w:spacing w:after="0" w:line="22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See Note 5 - </w:t>
      </w:r>
      <w:r>
        <w:rPr>
          <w:rFonts w:ascii="Arial" w:cs="Arial" w:eastAsia="Arial" w:hAnsi="Arial"/>
          <w:sz w:val="20"/>
          <w:szCs w:val="20"/>
          <w:i w:val="1"/>
          <w:iCs w:val="1"/>
          <w:color w:val="auto"/>
        </w:rPr>
        <w:t>Impairments, Exit Costs and Disposals</w:t>
      </w:r>
      <w:r>
        <w:rPr>
          <w:rFonts w:ascii="Arial" w:cs="Arial" w:eastAsia="Arial" w:hAnsi="Arial"/>
          <w:sz w:val="20"/>
          <w:szCs w:val="20"/>
          <w:color w:val="auto"/>
        </w:rPr>
        <w:t xml:space="preserve"> for information regarding impairment charges resulting from the fair value measurement performed on a nonrecurring basis during 2020. Projected future cash flows, including discount rate and growth rate assumptions, are derived from current economic conditions, expectations of management and projected trends of current operating results. As a result, the Company has determined that the majority of the inputs used to value its long-lived assets held and used are unobservable inputs that fall within Level 3 of the fair value hierarchy.</w:t>
      </w:r>
    </w:p>
    <w:p>
      <w:pPr>
        <w:spacing w:after="0" w:line="22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assessment of impairment for operating locations, the Company determined the fair values of individual operating locations using an income approach, which required discounting projected future cash flows. When determining the stream of projected future cash flows associated with an individual operating location, management made assumptions, including highest and best use and inputs from restaurant operations, where necessary, and about key variables including the following unobservable inputs: revenue growth rates, controllable and uncontrollable expenses, and asset residual values. In order to calculate the present value of those future cash flows, the Company discounted cash flow estimates at its weighted-average cost of capital applicable to the country in which the measured assets reside.</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following table presents quantitative information related to certain unobservable inputs used in the Company’s Level 3 fair value measurements of Operating lease right-of-use assets and Property, fixtures and equipment for the impairment losses incurred for the period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3"/>
          </w:tcPr>
          <w:p>
            <w:pPr>
              <w:ind w:left="360"/>
              <w:spacing w:after="0"/>
              <w:rPr>
                <w:sz w:val="20"/>
                <w:szCs w:val="20"/>
                <w:color w:val="auto"/>
              </w:rPr>
            </w:pPr>
            <w:r>
              <w:rPr>
                <w:rFonts w:ascii="Arial" w:cs="Arial" w:eastAsia="Arial" w:hAnsi="Arial"/>
                <w:sz w:val="14"/>
                <w:szCs w:val="14"/>
                <w:b w:val="1"/>
                <w:bCs w:val="1"/>
                <w:color w:val="auto"/>
              </w:rPr>
              <w:t>FISCAL YEAR</w:t>
            </w:r>
          </w:p>
        </w:tc>
      </w:tr>
      <w:tr>
        <w:trPr>
          <w:trHeight w:val="208"/>
        </w:trPr>
        <w:tc>
          <w:tcPr>
            <w:tcW w:w="9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UNOBSERVABLE INPUTS</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640" w:type="dxa"/>
            <w:vAlign w:val="bottom"/>
            <w:tcBorders>
              <w:bottom w:val="single" w:sz="8" w:color="auto"/>
            </w:tcBorders>
          </w:tcPr>
          <w:p>
            <w:pPr>
              <w:spacing w:after="0"/>
              <w:rPr>
                <w:sz w:val="18"/>
                <w:szCs w:val="18"/>
                <w:color w:val="auto"/>
              </w:rPr>
            </w:pPr>
          </w:p>
        </w:tc>
      </w:tr>
      <w:tr>
        <w:trPr>
          <w:trHeight w:val="216"/>
        </w:trPr>
        <w:tc>
          <w:tcPr>
            <w:tcW w:w="9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Weighted-average cost of capital</w:t>
            </w: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10.4%</w:t>
            </w: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to</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r>
      <w:tr>
        <w:trPr>
          <w:trHeight w:val="210"/>
        </w:trPr>
        <w:tc>
          <w:tcPr>
            <w:tcW w:w="9440" w:type="dxa"/>
            <w:vAlign w:val="bottom"/>
            <w:gridSpan w:val="2"/>
          </w:tcPr>
          <w:p>
            <w:pPr>
              <w:ind w:left="20"/>
              <w:spacing w:after="0"/>
              <w:rPr>
                <w:sz w:val="20"/>
                <w:szCs w:val="20"/>
                <w:color w:val="auto"/>
              </w:rPr>
            </w:pPr>
            <w:r>
              <w:rPr>
                <w:rFonts w:ascii="Arial" w:cs="Arial" w:eastAsia="Arial" w:hAnsi="Arial"/>
                <w:sz w:val="16"/>
                <w:szCs w:val="16"/>
                <w:color w:val="auto"/>
              </w:rPr>
              <w:t>Long-term growth rate</w:t>
            </w: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1.5%</w:t>
            </w:r>
          </w:p>
        </w:tc>
        <w:tc>
          <w:tcPr>
            <w:tcW w:w="520" w:type="dxa"/>
            <w:vAlign w:val="bottom"/>
          </w:tcPr>
          <w:p>
            <w:pPr>
              <w:jc w:val="center"/>
              <w:spacing w:after="0"/>
              <w:rPr>
                <w:sz w:val="20"/>
                <w:szCs w:val="20"/>
                <w:color w:val="auto"/>
              </w:rPr>
            </w:pPr>
            <w:r>
              <w:rPr>
                <w:rFonts w:ascii="Arial" w:cs="Arial" w:eastAsia="Arial" w:hAnsi="Arial"/>
                <w:sz w:val="16"/>
                <w:szCs w:val="16"/>
                <w:color w:val="auto"/>
                <w:w w:val="89"/>
              </w:rPr>
              <w:t>to</w:t>
            </w: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2.0%</w:t>
            </w:r>
          </w:p>
        </w:tc>
      </w:tr>
    </w:tbl>
    <w:p>
      <w:pPr>
        <w:spacing w:after="0" w:line="32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Fair Value of Financial Instruments - </w:t>
      </w:r>
      <w:r>
        <w:rPr>
          <w:rFonts w:ascii="Arial" w:cs="Arial" w:eastAsia="Arial" w:hAnsi="Arial"/>
          <w:sz w:val="20"/>
          <w:szCs w:val="20"/>
          <w:color w:val="auto"/>
        </w:rPr>
        <w:t>The Company’s non-derivative financial instruments as of December 27, 2020 and December 29, 2019</w:t>
      </w:r>
      <w:r>
        <w:rPr>
          <w:rFonts w:ascii="Arial" w:cs="Arial" w:eastAsia="Arial" w:hAnsi="Arial"/>
          <w:sz w:val="20"/>
          <w:szCs w:val="20"/>
          <w:i w:val="1"/>
          <w:iCs w:val="1"/>
          <w:color w:val="auto"/>
        </w:rPr>
        <w:t xml:space="preserve"> </w:t>
      </w:r>
      <w:r>
        <w:rPr>
          <w:rFonts w:ascii="Arial" w:cs="Arial" w:eastAsia="Arial" w:hAnsi="Arial"/>
          <w:sz w:val="20"/>
          <w:szCs w:val="20"/>
          <w:color w:val="auto"/>
        </w:rPr>
        <w:t>consist of cash equivalents, accounts receivable, accounts payable and current and long-term debt. The fair values of cash equivalents, accounts receivable and accounts payable approximate their carrying amounts reported on its Consolidated Balance Sheets due to their short duration.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Debt is carried at amortized cost; however, the Company estimates the fair value of debt for disclosure purposes. The following table includes the carrying value and fair value of the Company’s debt by hierarchy level as of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center"/>
              <w:ind w:left="404"/>
              <w:spacing w:after="0"/>
              <w:rPr>
                <w:sz w:val="20"/>
                <w:szCs w:val="20"/>
                <w:color w:val="auto"/>
              </w:rPr>
            </w:pPr>
            <w:r>
              <w:rPr>
                <w:rFonts w:ascii="Arial" w:cs="Arial" w:eastAsia="Arial" w:hAnsi="Arial"/>
                <w:sz w:val="14"/>
                <w:szCs w:val="14"/>
                <w:b w:val="1"/>
                <w:bCs w:val="1"/>
                <w:color w:val="auto"/>
                <w:w w:val="99"/>
              </w:rPr>
              <w:t>DECEMBER 27, 2020</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DECEMBER 29, 2019</w:t>
            </w: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CARRYING</w:t>
            </w:r>
          </w:p>
        </w:tc>
        <w:tc>
          <w:tcPr>
            <w:tcW w:w="162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rPr>
              <w:t>FAIR VALUE LEVEL</w:t>
            </w: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CARRYING</w:t>
            </w: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 LEVEL 2</w:t>
            </w:r>
          </w:p>
        </w:tc>
        <w:tc>
          <w:tcPr>
            <w:tcW w:w="0" w:type="dxa"/>
            <w:vAlign w:val="bottom"/>
          </w:tcPr>
          <w:p>
            <w:pPr>
              <w:spacing w:after="0"/>
              <w:rPr>
                <w:sz w:val="1"/>
                <w:szCs w:val="1"/>
                <w:color w:val="auto"/>
              </w:rPr>
            </w:pPr>
          </w:p>
        </w:tc>
      </w:tr>
      <w:tr>
        <w:trPr>
          <w:trHeight w:val="196"/>
        </w:trPr>
        <w:tc>
          <w:tcPr>
            <w:tcW w:w="52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VALUE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VALUE</w:t>
            </w:r>
          </w:p>
        </w:tc>
        <w:tc>
          <w:tcPr>
            <w:tcW w:w="15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Secured Credit Facility:</w:t>
            </w: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140"/>
              <w:spacing w:after="0"/>
              <w:rPr>
                <w:sz w:val="20"/>
                <w:szCs w:val="20"/>
                <w:color w:val="auto"/>
              </w:rPr>
            </w:pPr>
            <w:r>
              <w:rPr>
                <w:rFonts w:ascii="Arial" w:cs="Arial" w:eastAsia="Arial" w:hAnsi="Arial"/>
                <w:sz w:val="16"/>
                <w:szCs w:val="16"/>
                <w:color w:val="auto"/>
              </w:rPr>
              <w:t>Term loan A</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425,000</w:t>
            </w:r>
          </w:p>
        </w:tc>
        <w:tc>
          <w:tcPr>
            <w:tcW w:w="100" w:type="dxa"/>
            <w:vAlign w:val="bottom"/>
          </w:tcPr>
          <w:p>
            <w:pPr>
              <w:spacing w:after="0"/>
              <w:rPr>
                <w:sz w:val="18"/>
                <w:szCs w:val="18"/>
                <w:color w:val="auto"/>
              </w:rPr>
            </w:pPr>
          </w:p>
        </w:tc>
        <w:tc>
          <w:tcPr>
            <w:tcW w:w="860" w:type="dxa"/>
            <w:vAlign w:val="bottom"/>
          </w:tcPr>
          <w:p>
            <w:pPr>
              <w:jc w:val="center"/>
              <w:ind w:right="663"/>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412,250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450,000</w:t>
            </w:r>
          </w:p>
        </w:tc>
        <w:tc>
          <w:tcPr>
            <w:tcW w:w="100" w:type="dxa"/>
            <w:vAlign w:val="bottom"/>
          </w:tcPr>
          <w:p>
            <w:pPr>
              <w:spacing w:after="0"/>
              <w:rPr>
                <w:sz w:val="18"/>
                <w:szCs w:val="18"/>
                <w:color w:val="auto"/>
              </w:rPr>
            </w:pPr>
          </w:p>
        </w:tc>
        <w:tc>
          <w:tcPr>
            <w:tcW w:w="840" w:type="dxa"/>
            <w:vAlign w:val="bottom"/>
          </w:tcPr>
          <w:p>
            <w:pPr>
              <w:ind w:left="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450,563</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Revolving credit facility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447,000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663"/>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419,612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599,000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599,000</w:t>
            </w:r>
          </w:p>
        </w:tc>
        <w:tc>
          <w:tcPr>
            <w:tcW w:w="0" w:type="dxa"/>
            <w:vAlign w:val="bottom"/>
          </w:tcPr>
          <w:p>
            <w:pPr>
              <w:spacing w:after="0"/>
              <w:rPr>
                <w:sz w:val="1"/>
                <w:szCs w:val="1"/>
                <w:color w:val="auto"/>
              </w:rPr>
            </w:pPr>
          </w:p>
        </w:tc>
      </w:tr>
      <w:tr>
        <w:trPr>
          <w:trHeight w:val="210"/>
        </w:trPr>
        <w:tc>
          <w:tcPr>
            <w:tcW w:w="5220" w:type="dxa"/>
            <w:vAlign w:val="bottom"/>
          </w:tcPr>
          <w:p>
            <w:pPr>
              <w:ind w:left="40"/>
              <w:spacing w:after="0"/>
              <w:rPr>
                <w:sz w:val="20"/>
                <w:szCs w:val="20"/>
                <w:color w:val="auto"/>
              </w:rPr>
            </w:pPr>
            <w:r>
              <w:rPr>
                <w:rFonts w:ascii="Arial" w:cs="Arial" w:eastAsia="Arial" w:hAnsi="Arial"/>
                <w:sz w:val="16"/>
                <w:szCs w:val="16"/>
                <w:color w:val="auto"/>
              </w:rPr>
              <w:t>Convertible Senior Notes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230,000</w:t>
            </w:r>
          </w:p>
        </w:tc>
        <w:tc>
          <w:tcPr>
            <w:tcW w:w="100" w:type="dxa"/>
            <w:vAlign w:val="bottom"/>
          </w:tcPr>
          <w:p>
            <w:pPr>
              <w:spacing w:after="0"/>
              <w:rPr>
                <w:sz w:val="18"/>
                <w:szCs w:val="18"/>
                <w:color w:val="auto"/>
              </w:rPr>
            </w:pPr>
          </w:p>
        </w:tc>
        <w:tc>
          <w:tcPr>
            <w:tcW w:w="860" w:type="dxa"/>
            <w:vAlign w:val="bottom"/>
          </w:tcPr>
          <w:p>
            <w:pPr>
              <w:jc w:val="center"/>
              <w:ind w:right="663"/>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413,818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ind w:left="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20.</w:t>
      </w:r>
      <w:r>
        <w:rPr>
          <w:sz w:val="20"/>
          <w:szCs w:val="20"/>
          <w:color w:val="auto"/>
        </w:rPr>
        <w:tab/>
      </w:r>
      <w:r>
        <w:rPr>
          <w:rFonts w:ascii="Arial" w:cs="Arial" w:eastAsia="Arial" w:hAnsi="Arial"/>
          <w:sz w:val="18"/>
          <w:szCs w:val="18"/>
          <w:color w:val="auto"/>
        </w:rPr>
        <w:t>Allowance for Expected Credit Losses</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is a rollforward of the Company’s trade receivables allowance for expected credit losses for the period indicated: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tcPr>
          <w:p>
            <w:pPr>
              <w:jc w:val="right"/>
              <w:ind w:right="582"/>
              <w:spacing w:after="0"/>
              <w:rPr>
                <w:sz w:val="20"/>
                <w:szCs w:val="20"/>
                <w:color w:val="auto"/>
              </w:rPr>
            </w:pPr>
            <w:r>
              <w:rPr>
                <w:rFonts w:ascii="Arial" w:cs="Arial" w:eastAsia="Arial" w:hAnsi="Arial"/>
                <w:sz w:val="14"/>
                <w:szCs w:val="14"/>
                <w:b w:val="1"/>
                <w:bCs w:val="1"/>
                <w:color w:val="auto"/>
              </w:rPr>
              <w:t>FISCAL YEAR</w:t>
            </w:r>
          </w:p>
        </w:tc>
      </w:tr>
      <w:tr>
        <w:trPr>
          <w:trHeight w:val="208"/>
        </w:trPr>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922"/>
              <w:spacing w:after="0"/>
              <w:rPr>
                <w:sz w:val="20"/>
                <w:szCs w:val="20"/>
                <w:color w:val="auto"/>
              </w:rPr>
            </w:pPr>
            <w:r>
              <w:rPr>
                <w:rFonts w:ascii="Arial" w:cs="Arial" w:eastAsia="Arial" w:hAnsi="Arial"/>
                <w:sz w:val="14"/>
                <w:szCs w:val="14"/>
                <w:b w:val="1"/>
                <w:bCs w:val="1"/>
                <w:color w:val="auto"/>
              </w:rPr>
              <w:t>2020</w:t>
            </w:r>
          </w:p>
        </w:tc>
      </w:tr>
      <w:tr>
        <w:trPr>
          <w:trHeight w:val="216"/>
        </w:trPr>
        <w:tc>
          <w:tcPr>
            <w:tcW w:w="8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for expected credit losses, beginning of period</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13"/>
        </w:trPr>
        <w:tc>
          <w:tcPr>
            <w:tcW w:w="8960" w:type="dxa"/>
            <w:vAlign w:val="bottom"/>
          </w:tcPr>
          <w:p>
            <w:pPr>
              <w:ind w:left="220"/>
              <w:spacing w:after="0"/>
              <w:rPr>
                <w:sz w:val="20"/>
                <w:szCs w:val="20"/>
                <w:color w:val="auto"/>
              </w:rPr>
            </w:pPr>
            <w:r>
              <w:rPr>
                <w:rFonts w:ascii="Arial" w:cs="Arial" w:eastAsia="Arial" w:hAnsi="Arial"/>
                <w:sz w:val="16"/>
                <w:szCs w:val="16"/>
                <w:color w:val="auto"/>
              </w:rPr>
              <w:t>Adjustment for adoption of ASU No. 2016-13</w:t>
            </w:r>
          </w:p>
        </w:tc>
        <w:tc>
          <w:tcPr>
            <w:tcW w:w="3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1,018</w:t>
            </w:r>
          </w:p>
        </w:tc>
      </w:tr>
      <w:tr>
        <w:trPr>
          <w:trHeight w:val="219"/>
        </w:trPr>
        <w:tc>
          <w:tcPr>
            <w:tcW w:w="8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expected credit losses</w:t>
            </w:r>
          </w:p>
        </w:tc>
        <w:tc>
          <w:tcPr>
            <w:tcW w:w="3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3,472</w:t>
            </w:r>
          </w:p>
        </w:tc>
      </w:tr>
      <w:tr>
        <w:trPr>
          <w:trHeight w:val="209"/>
        </w:trPr>
        <w:tc>
          <w:tcPr>
            <w:tcW w:w="89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Charge-off of accounts</w:t>
            </w:r>
          </w:p>
        </w:tc>
        <w:tc>
          <w:tcPr>
            <w:tcW w:w="3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w:t>
            </w:r>
          </w:p>
        </w:tc>
      </w:tr>
      <w:tr>
        <w:trPr>
          <w:trHeight w:val="241"/>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Allowance for expected credit losses, end of period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4,095</w:t>
            </w:r>
          </w:p>
        </w:tc>
      </w:tr>
      <w:tr>
        <w:trPr>
          <w:trHeight w:val="20"/>
        </w:trPr>
        <w:tc>
          <w:tcPr>
            <w:tcW w:w="8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The financial condition of the Company’s franchisees is largely dependent on the underlying business trends of its brands and market conditions within the casual dining restaurant industry. During 2020, the Company fully reserved substantially all of its outstanding franchise receivables in response to the economic impact of the COVID-19 pandemic. See Note 3 - </w:t>
      </w:r>
      <w:r>
        <w:rPr>
          <w:rFonts w:ascii="Arial" w:cs="Arial" w:eastAsia="Arial" w:hAnsi="Arial"/>
          <w:sz w:val="20"/>
          <w:szCs w:val="20"/>
          <w:i w:val="1"/>
          <w:iCs w:val="1"/>
          <w:color w:val="auto"/>
        </w:rPr>
        <w:t>COVID-19 Charges</w:t>
      </w:r>
      <w:r>
        <w:rPr>
          <w:rFonts w:ascii="Arial" w:cs="Arial" w:eastAsia="Arial" w:hAnsi="Arial"/>
          <w:sz w:val="20"/>
          <w:szCs w:val="20"/>
          <w:color w:val="auto"/>
        </w:rPr>
        <w:t xml:space="preserve"> for details regarding the impact of the COVID-19 pandemic on the Company’s financial results and Note 4 - </w:t>
      </w:r>
      <w:r>
        <w:rPr>
          <w:rFonts w:ascii="Arial" w:cs="Arial" w:eastAsia="Arial" w:hAnsi="Arial"/>
          <w:sz w:val="20"/>
          <w:szCs w:val="20"/>
          <w:i w:val="1"/>
          <w:iCs w:val="1"/>
          <w:color w:val="auto"/>
        </w:rPr>
        <w:t>Revenue Recognition</w:t>
      </w:r>
      <w:r>
        <w:rPr>
          <w:rFonts w:ascii="Arial" w:cs="Arial" w:eastAsia="Arial" w:hAnsi="Arial"/>
          <w:sz w:val="20"/>
          <w:szCs w:val="20"/>
          <w:color w:val="auto"/>
        </w:rPr>
        <w:t xml:space="preserve"> for details regarding the Company’s reserved franchise receivables.</w:t>
      </w:r>
    </w:p>
    <w:p>
      <w:pPr>
        <w:spacing w:after="0" w:line="221"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 xml:space="preserve">The Company is also exposed to credit losses from off-balance sheet lease guarantees primarily related to the divestiture of certain formerly Company-owned restaurant sites. See Note 22 -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details regarding these lease guarantees.</w:t>
      </w:r>
    </w:p>
    <w:p>
      <w:pPr>
        <w:spacing w:after="0" w:line="157" w:lineRule="exact"/>
        <w:rPr>
          <w:sz w:val="20"/>
          <w:szCs w:val="20"/>
          <w:color w:val="auto"/>
        </w:rPr>
      </w:pPr>
    </w:p>
    <w:p>
      <w:pPr>
        <w:ind w:left="800" w:hanging="792"/>
        <w:spacing w:after="0"/>
        <w:tabs>
          <w:tab w:leader="none" w:pos="800" w:val="left"/>
        </w:tabs>
        <w:numPr>
          <w:ilvl w:val="0"/>
          <w:numId w:val="78"/>
        </w:numPr>
        <w:rPr>
          <w:rFonts w:ascii="Arial" w:cs="Arial" w:eastAsia="Arial" w:hAnsi="Arial"/>
          <w:sz w:val="20"/>
          <w:szCs w:val="20"/>
          <w:color w:val="auto"/>
        </w:rPr>
      </w:pPr>
      <w:r>
        <w:rPr>
          <w:rFonts w:ascii="Arial" w:cs="Arial" w:eastAsia="Arial" w:hAnsi="Arial"/>
          <w:sz w:val="20"/>
          <w:szCs w:val="20"/>
          <w:color w:val="auto"/>
        </w:rPr>
        <w:t>Income Taxes</w:t>
      </w:r>
    </w:p>
    <w:p>
      <w:pPr>
        <w:spacing w:after="0" w:line="24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presents the domestic and foreign components of (Loss) income before (benefit) provision for income taxes for the periods indicated: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2018</w:t>
            </w: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Domestic</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(206,941)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129,826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109,965</w:t>
            </w:r>
          </w:p>
        </w:tc>
      </w:tr>
      <w:tr>
        <w:trPr>
          <w:trHeight w:val="22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(32,580)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11,864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(9,660)</w:t>
            </w:r>
          </w:p>
        </w:tc>
      </w:tr>
      <w:tr>
        <w:trPr>
          <w:trHeight w:val="238"/>
        </w:trPr>
        <w:tc>
          <w:tcPr>
            <w:tcW w:w="64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(239,521)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141,690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100,305</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(Benefit) provision for income taxes consisted of the following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2018</w:t>
            </w:r>
          </w:p>
        </w:tc>
      </w:tr>
      <w:tr>
        <w:trPr>
          <w:trHeight w:val="203"/>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provision: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6400" w:type="dxa"/>
            <w:vAlign w:val="bottom"/>
          </w:tcPr>
          <w:p>
            <w:pPr>
              <w:ind w:left="360"/>
              <w:spacing w:after="0"/>
              <w:rPr>
                <w:sz w:val="20"/>
                <w:szCs w:val="20"/>
                <w:color w:val="auto"/>
              </w:rPr>
            </w:pPr>
            <w:r>
              <w:rPr>
                <w:rFonts w:ascii="Arial" w:cs="Arial" w:eastAsia="Arial" w:hAnsi="Arial"/>
                <w:sz w:val="16"/>
                <w:szCs w:val="16"/>
                <w:color w:val="auto"/>
              </w:rPr>
              <w:t>Federal</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2,606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13,265</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11,089</w:t>
            </w:r>
          </w:p>
        </w:tc>
      </w:tr>
      <w:tr>
        <w:trPr>
          <w:trHeight w:val="219"/>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6,763</w:t>
            </w:r>
          </w:p>
        </w:tc>
      </w:tr>
      <w:tr>
        <w:trPr>
          <w:trHeight w:val="223"/>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Foreign</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2,405</w:t>
            </w:r>
          </w:p>
        </w:tc>
      </w:tr>
      <w:tr>
        <w:trPr>
          <w:trHeight w:val="233"/>
        </w:trPr>
        <w:tc>
          <w:tcPr>
            <w:tcW w:w="64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33,463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20,257</w:t>
            </w:r>
          </w:p>
        </w:tc>
      </w:tr>
      <w:tr>
        <w:trPr>
          <w:trHeight w:val="196"/>
        </w:trPr>
        <w:tc>
          <w:tcPr>
            <w:tcW w:w="6400" w:type="dxa"/>
            <w:vAlign w:val="bottom"/>
          </w:tcPr>
          <w:p>
            <w:pPr>
              <w:ind w:left="20"/>
              <w:spacing w:after="0"/>
              <w:rPr>
                <w:sz w:val="20"/>
                <w:szCs w:val="20"/>
                <w:color w:val="auto"/>
              </w:rPr>
            </w:pPr>
            <w:r>
              <w:rPr>
                <w:rFonts w:ascii="Arial" w:cs="Arial" w:eastAsia="Arial" w:hAnsi="Arial"/>
                <w:sz w:val="16"/>
                <w:szCs w:val="16"/>
                <w:color w:val="auto"/>
              </w:rPr>
              <w:t>Deferred (benefit) provision:</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6"/>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Federal</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(28,772)</w:t>
            </w:r>
          </w:p>
        </w:tc>
      </w:tr>
      <w:tr>
        <w:trPr>
          <w:trHeight w:val="213"/>
        </w:trPr>
        <w:tc>
          <w:tcPr>
            <w:tcW w:w="6400" w:type="dxa"/>
            <w:vAlign w:val="bottom"/>
          </w:tcPr>
          <w:p>
            <w:pPr>
              <w:ind w:left="360"/>
              <w:spacing w:after="0"/>
              <w:rPr>
                <w:sz w:val="20"/>
                <w:szCs w:val="20"/>
                <w:color w:val="auto"/>
              </w:rPr>
            </w:pPr>
            <w:r>
              <w:rPr>
                <w:rFonts w:ascii="Arial" w:cs="Arial" w:eastAsia="Arial" w:hAnsi="Arial"/>
                <w:sz w:val="16"/>
                <w:szCs w:val="16"/>
                <w:color w:val="auto"/>
              </w:rPr>
              <w:t>State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(12,527)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(1,986)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(1,335)</w:t>
            </w:r>
          </w:p>
        </w:tc>
      </w:tr>
      <w:tr>
        <w:trPr>
          <w:trHeight w:val="226"/>
        </w:trPr>
        <w:tc>
          <w:tcPr>
            <w:tcW w:w="6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Foreign</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(2,497)</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w:t>
            </w:r>
          </w:p>
        </w:tc>
      </w:tr>
      <w:tr>
        <w:trPr>
          <w:trHeight w:val="223"/>
        </w:trPr>
        <w:tc>
          <w:tcPr>
            <w:tcW w:w="6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(25,890)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(29,490)</w:t>
            </w:r>
          </w:p>
        </w:tc>
      </w:tr>
      <w:tr>
        <w:trPr>
          <w:trHeight w:val="23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(Benefit) provision for income taxes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(80,726)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Effective Income Tax Rate </w:t>
      </w:r>
      <w:r>
        <w:rPr>
          <w:rFonts w:ascii="Arial" w:cs="Arial" w:eastAsia="Arial" w:hAnsi="Arial"/>
          <w:sz w:val="20"/>
          <w:szCs w:val="20"/>
          <w:color w:val="auto"/>
        </w:rPr>
        <w:t>- The reconciliation of income taxes calculated at the United States federal tax statutory rate to the Company’s</w:t>
      </w:r>
      <w:r>
        <w:rPr>
          <w:rFonts w:ascii="Arial" w:cs="Arial" w:eastAsia="Arial" w:hAnsi="Arial"/>
          <w:sz w:val="20"/>
          <w:szCs w:val="20"/>
          <w:i w:val="1"/>
          <w:iCs w:val="1"/>
          <w:color w:val="auto"/>
        </w:rPr>
        <w:t xml:space="preserve"> </w:t>
      </w:r>
      <w:r>
        <w:rPr>
          <w:rFonts w:ascii="Arial" w:cs="Arial" w:eastAsia="Arial" w:hAnsi="Arial"/>
          <w:sz w:val="20"/>
          <w:szCs w:val="20"/>
          <w:color w:val="auto"/>
        </w:rPr>
        <w:t>effective income tax rate is as follows for the periods indicated. Due to the pre-tax book loss for the year ended December 27, 2020, a positive percentage change for such year in the effective tax rate table reflects a favorable income tax benefit, whereas a negative percentage change in the effective tax rate table reflects an unfavorable income tax expense:</w:t>
      </w:r>
    </w:p>
    <w:p>
      <w:pPr>
        <w:spacing w:after="0" w:line="104"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FISCAL YEAR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60" w:type="dxa"/>
            <w:vAlign w:val="bottom"/>
          </w:tcPr>
          <w:p>
            <w:pPr>
              <w:spacing w:after="0"/>
              <w:rPr>
                <w:sz w:val="18"/>
                <w:szCs w:val="18"/>
                <w:color w:val="auto"/>
              </w:rPr>
            </w:pP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168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2018</w:t>
            </w:r>
          </w:p>
        </w:tc>
      </w:tr>
      <w:tr>
        <w:trPr>
          <w:trHeight w:val="216"/>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taxes at federal statutory rate</w:t>
            </w:r>
          </w:p>
        </w:tc>
        <w:tc>
          <w:tcPr>
            <w:tcW w:w="10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3"/>
        </w:trPr>
        <w:tc>
          <w:tcPr>
            <w:tcW w:w="7180" w:type="dxa"/>
            <w:vAlign w:val="bottom"/>
            <w:gridSpan w:val="2"/>
          </w:tcPr>
          <w:p>
            <w:pPr>
              <w:ind w:left="20"/>
              <w:spacing w:after="0"/>
              <w:rPr>
                <w:sz w:val="20"/>
                <w:szCs w:val="20"/>
                <w:color w:val="auto"/>
              </w:rPr>
            </w:pPr>
            <w:r>
              <w:rPr>
                <w:rFonts w:ascii="Arial" w:cs="Arial" w:eastAsia="Arial" w:hAnsi="Arial"/>
                <w:sz w:val="16"/>
                <w:szCs w:val="16"/>
                <w:color w:val="auto"/>
              </w:rPr>
              <w:t>State and local income taxes, net of federal benefit</w:t>
            </w:r>
          </w:p>
        </w:tc>
        <w:tc>
          <w:tcPr>
            <w:tcW w:w="580" w:type="dxa"/>
            <w:vAlign w:val="bottom"/>
          </w:tcPr>
          <w:p>
            <w:pPr>
              <w:jc w:val="right"/>
              <w:ind w:right="12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620" w:type="dxa"/>
            <w:vAlign w:val="bottom"/>
          </w:tcPr>
          <w:p>
            <w:pPr>
              <w:jc w:val="right"/>
              <w:ind w:right="120"/>
              <w:spacing w:after="0"/>
              <w:rPr>
                <w:sz w:val="20"/>
                <w:szCs w:val="20"/>
                <w:color w:val="auto"/>
              </w:rPr>
            </w:pPr>
            <w:r>
              <w:rPr>
                <w:rFonts w:ascii="Arial" w:cs="Arial" w:eastAsia="Arial" w:hAnsi="Arial"/>
                <w:sz w:val="16"/>
                <w:szCs w:val="16"/>
                <w:color w:val="auto"/>
              </w:rPr>
              <w:t>5.5</w:t>
            </w:r>
          </w:p>
        </w:tc>
      </w:tr>
      <w:tr>
        <w:trPr>
          <w:trHeight w:val="219"/>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Employment-related credits, net</w:t>
            </w:r>
          </w:p>
        </w:tc>
        <w:tc>
          <w:tcPr>
            <w:tcW w:w="5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(34.6)</w:t>
            </w:r>
          </w:p>
        </w:tc>
      </w:tr>
      <w:tr>
        <w:trPr>
          <w:trHeight w:val="213"/>
        </w:trPr>
        <w:tc>
          <w:tcPr>
            <w:tcW w:w="7180" w:type="dxa"/>
            <w:vAlign w:val="bottom"/>
            <w:gridSpan w:val="2"/>
          </w:tcPr>
          <w:p>
            <w:pPr>
              <w:ind w:left="20"/>
              <w:spacing w:after="0"/>
              <w:rPr>
                <w:sz w:val="20"/>
                <w:szCs w:val="20"/>
                <w:color w:val="auto"/>
              </w:rPr>
            </w:pPr>
            <w:r>
              <w:rPr>
                <w:rFonts w:ascii="Arial" w:cs="Arial" w:eastAsia="Arial" w:hAnsi="Arial"/>
                <w:sz w:val="16"/>
                <w:szCs w:val="16"/>
                <w:color w:val="auto"/>
              </w:rPr>
              <w:t>Foreign tax rate differential</w:t>
            </w:r>
          </w:p>
        </w:tc>
        <w:tc>
          <w:tcPr>
            <w:tcW w:w="580" w:type="dxa"/>
            <w:vAlign w:val="bottom"/>
          </w:tcPr>
          <w:p>
            <w:pPr>
              <w:jc w:val="right"/>
              <w:ind w:right="12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620" w:type="dxa"/>
            <w:vAlign w:val="bottom"/>
          </w:tcPr>
          <w:p>
            <w:pPr>
              <w:jc w:val="right"/>
              <w:ind w:right="80"/>
              <w:spacing w:after="0"/>
              <w:rPr>
                <w:sz w:val="20"/>
                <w:szCs w:val="20"/>
                <w:color w:val="auto"/>
              </w:rPr>
            </w:pPr>
            <w:r>
              <w:rPr>
                <w:rFonts w:ascii="Arial" w:cs="Arial" w:eastAsia="Arial" w:hAnsi="Arial"/>
                <w:sz w:val="16"/>
                <w:szCs w:val="16"/>
                <w:color w:val="auto"/>
              </w:rPr>
              <w:t>(0.7)</w:t>
            </w:r>
          </w:p>
        </w:tc>
      </w:tr>
      <w:tr>
        <w:trPr>
          <w:trHeight w:val="219"/>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life insurance expense (benefit)</w:t>
            </w:r>
          </w:p>
        </w:tc>
        <w:tc>
          <w:tcPr>
            <w:tcW w:w="5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0.6</w:t>
            </w:r>
          </w:p>
        </w:tc>
      </w:tr>
      <w:tr>
        <w:trPr>
          <w:trHeight w:val="213"/>
        </w:trPr>
        <w:tc>
          <w:tcPr>
            <w:tcW w:w="7180" w:type="dxa"/>
            <w:vAlign w:val="bottom"/>
            <w:gridSpan w:val="2"/>
          </w:tcPr>
          <w:p>
            <w:pPr>
              <w:ind w:left="20"/>
              <w:spacing w:after="0"/>
              <w:rPr>
                <w:sz w:val="20"/>
                <w:szCs w:val="20"/>
                <w:color w:val="auto"/>
              </w:rPr>
            </w:pPr>
            <w:r>
              <w:rPr>
                <w:rFonts w:ascii="Arial" w:cs="Arial" w:eastAsia="Arial" w:hAnsi="Arial"/>
                <w:sz w:val="16"/>
                <w:szCs w:val="16"/>
                <w:color w:val="auto"/>
              </w:rPr>
              <w:t>Enhanced charitable contributions deduction</w:t>
            </w:r>
          </w:p>
        </w:tc>
        <w:tc>
          <w:tcPr>
            <w:tcW w:w="580" w:type="dxa"/>
            <w:vAlign w:val="bottom"/>
          </w:tcPr>
          <w:p>
            <w:pPr>
              <w:jc w:val="right"/>
              <w:ind w:right="120"/>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ind w:right="9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1620" w:type="dxa"/>
            <w:vAlign w:val="bottom"/>
          </w:tcPr>
          <w:p>
            <w:pPr>
              <w:jc w:val="right"/>
              <w:ind w:right="80"/>
              <w:spacing w:after="0"/>
              <w:rPr>
                <w:sz w:val="20"/>
                <w:szCs w:val="20"/>
                <w:color w:val="auto"/>
              </w:rPr>
            </w:pPr>
            <w:r>
              <w:rPr>
                <w:rFonts w:ascii="Arial" w:cs="Arial" w:eastAsia="Arial" w:hAnsi="Arial"/>
                <w:sz w:val="16"/>
                <w:szCs w:val="16"/>
                <w:color w:val="auto"/>
              </w:rPr>
              <w:t>(1.3)</w:t>
            </w:r>
          </w:p>
        </w:tc>
      </w:tr>
      <w:tr>
        <w:trPr>
          <w:trHeight w:val="219"/>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Nondeductible expenses</w:t>
            </w:r>
          </w:p>
        </w:tc>
        <w:tc>
          <w:tcPr>
            <w:tcW w:w="5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5.0</w:t>
            </w:r>
          </w:p>
        </w:tc>
      </w:tr>
      <w:tr>
        <w:trPr>
          <w:trHeight w:val="213"/>
        </w:trPr>
        <w:tc>
          <w:tcPr>
            <w:tcW w:w="7180" w:type="dxa"/>
            <w:vAlign w:val="bottom"/>
            <w:gridSpan w:val="2"/>
          </w:tcPr>
          <w:p>
            <w:pPr>
              <w:ind w:left="20"/>
              <w:spacing w:after="0"/>
              <w:rPr>
                <w:sz w:val="20"/>
                <w:szCs w:val="20"/>
                <w:color w:val="auto"/>
              </w:rPr>
            </w:pPr>
            <w:r>
              <w:rPr>
                <w:rFonts w:ascii="Arial" w:cs="Arial" w:eastAsia="Arial" w:hAnsi="Arial"/>
                <w:sz w:val="16"/>
                <w:szCs w:val="16"/>
                <w:color w:val="auto"/>
              </w:rPr>
              <w:t>Net changes in deferred tax valuation allowances</w:t>
            </w:r>
          </w:p>
        </w:tc>
        <w:tc>
          <w:tcPr>
            <w:tcW w:w="580" w:type="dxa"/>
            <w:vAlign w:val="bottom"/>
          </w:tcPr>
          <w:p>
            <w:pPr>
              <w:jc w:val="right"/>
              <w:ind w:right="80"/>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ind w:right="9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620" w:type="dxa"/>
            <w:vAlign w:val="bottom"/>
          </w:tcPr>
          <w:p>
            <w:pPr>
              <w:jc w:val="right"/>
              <w:ind w:right="120"/>
              <w:spacing w:after="0"/>
              <w:rPr>
                <w:sz w:val="20"/>
                <w:szCs w:val="20"/>
                <w:color w:val="auto"/>
              </w:rPr>
            </w:pPr>
            <w:r>
              <w:rPr>
                <w:rFonts w:ascii="Arial" w:cs="Arial" w:eastAsia="Arial" w:hAnsi="Arial"/>
                <w:sz w:val="16"/>
                <w:szCs w:val="16"/>
                <w:color w:val="auto"/>
              </w:rPr>
              <w:t>3.9</w:t>
            </w:r>
          </w:p>
        </w:tc>
      </w:tr>
      <w:tr>
        <w:trPr>
          <w:trHeight w:val="219"/>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Domestic manufacturing deduction</w:t>
            </w:r>
          </w:p>
        </w:tc>
        <w:tc>
          <w:tcPr>
            <w:tcW w:w="1680" w:type="dxa"/>
            <w:vAlign w:val="bottom"/>
            <w:gridSpan w:val="3"/>
            <w:shd w:val="clear" w:color="auto" w:fill="CCEEFF"/>
          </w:tcPr>
          <w:p>
            <w:pPr>
              <w:jc w:val="right"/>
              <w:ind w:right="130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(0.3)</w:t>
            </w:r>
          </w:p>
        </w:tc>
      </w:tr>
      <w:tr>
        <w:trPr>
          <w:trHeight w:val="213"/>
        </w:trPr>
        <w:tc>
          <w:tcPr>
            <w:tcW w:w="7180" w:type="dxa"/>
            <w:vAlign w:val="bottom"/>
            <w:gridSpan w:val="2"/>
          </w:tcPr>
          <w:p>
            <w:pPr>
              <w:ind w:left="20"/>
              <w:spacing w:after="0"/>
              <w:rPr>
                <w:sz w:val="20"/>
                <w:szCs w:val="20"/>
                <w:color w:val="auto"/>
              </w:rPr>
            </w:pPr>
            <w:r>
              <w:rPr>
                <w:rFonts w:ascii="Arial" w:cs="Arial" w:eastAsia="Arial" w:hAnsi="Arial"/>
                <w:sz w:val="16"/>
                <w:szCs w:val="16"/>
                <w:color w:val="auto"/>
              </w:rPr>
              <w:t>Cumulative effect of the Tax Cuts and Jobs Act</w:t>
            </w:r>
          </w:p>
        </w:tc>
        <w:tc>
          <w:tcPr>
            <w:tcW w:w="1680" w:type="dxa"/>
            <w:vAlign w:val="bottom"/>
            <w:gridSpan w:val="3"/>
          </w:tcPr>
          <w:p>
            <w:pPr>
              <w:jc w:val="right"/>
              <w:ind w:right="130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20"/>
              <w:spacing w:after="0"/>
              <w:rPr>
                <w:sz w:val="20"/>
                <w:szCs w:val="20"/>
                <w:color w:val="auto"/>
              </w:rPr>
            </w:pPr>
            <w:r>
              <w:rPr>
                <w:rFonts w:ascii="Arial" w:cs="Arial" w:eastAsia="Arial" w:hAnsi="Arial"/>
                <w:sz w:val="16"/>
                <w:szCs w:val="16"/>
                <w:color w:val="auto"/>
              </w:rPr>
              <w:t>0.2</w:t>
            </w:r>
          </w:p>
        </w:tc>
      </w:tr>
      <w:tr>
        <w:trPr>
          <w:trHeight w:val="219"/>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1680" w:type="dxa"/>
            <w:vAlign w:val="bottom"/>
            <w:gridSpan w:val="3"/>
            <w:shd w:val="clear" w:color="auto" w:fill="CCEEFF"/>
          </w:tcPr>
          <w:p>
            <w:pPr>
              <w:jc w:val="right"/>
              <w:ind w:right="13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(0.9)</w:t>
            </w:r>
          </w:p>
        </w:tc>
      </w:tr>
      <w:tr>
        <w:trPr>
          <w:trHeight w:val="213"/>
        </w:trPr>
        <w:tc>
          <w:tcPr>
            <w:tcW w:w="7180" w:type="dxa"/>
            <w:vAlign w:val="bottom"/>
            <w:gridSpan w:val="2"/>
          </w:tcPr>
          <w:p>
            <w:pPr>
              <w:ind w:left="20"/>
              <w:spacing w:after="0"/>
              <w:rPr>
                <w:sz w:val="20"/>
                <w:szCs w:val="20"/>
                <w:color w:val="auto"/>
              </w:rPr>
            </w:pPr>
            <w:r>
              <w:rPr>
                <w:rFonts w:ascii="Arial" w:cs="Arial" w:eastAsia="Arial" w:hAnsi="Arial"/>
                <w:sz w:val="16"/>
                <w:szCs w:val="16"/>
                <w:color w:val="auto"/>
              </w:rPr>
              <w:t>Excess tax benefits from stock-based compensation arrangements</w:t>
            </w:r>
          </w:p>
        </w:tc>
        <w:tc>
          <w:tcPr>
            <w:tcW w:w="1680" w:type="dxa"/>
            <w:vAlign w:val="bottom"/>
            <w:gridSpan w:val="3"/>
          </w:tcPr>
          <w:p>
            <w:pPr>
              <w:jc w:val="right"/>
              <w:ind w:right="130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9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620" w:type="dxa"/>
            <w:vAlign w:val="bottom"/>
          </w:tcPr>
          <w:p>
            <w:pPr>
              <w:jc w:val="right"/>
              <w:ind w:right="80"/>
              <w:spacing w:after="0"/>
              <w:rPr>
                <w:sz w:val="20"/>
                <w:szCs w:val="20"/>
                <w:color w:val="auto"/>
              </w:rPr>
            </w:pPr>
            <w:r>
              <w:rPr>
                <w:rFonts w:ascii="Arial" w:cs="Arial" w:eastAsia="Arial" w:hAnsi="Arial"/>
                <w:sz w:val="16"/>
                <w:szCs w:val="16"/>
                <w:color w:val="auto"/>
              </w:rPr>
              <w:t>(7.1)</w:t>
            </w:r>
          </w:p>
        </w:tc>
      </w:tr>
      <w:tr>
        <w:trPr>
          <w:trHeight w:val="236"/>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1680" w:type="dxa"/>
            <w:vAlign w:val="bottom"/>
            <w:gridSpan w:val="3"/>
            <w:shd w:val="clear" w:color="auto" w:fill="CCEEFF"/>
          </w:tcPr>
          <w:p>
            <w:pPr>
              <w:jc w:val="right"/>
              <w:ind w:right="13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(0.5)</w:t>
            </w:r>
          </w:p>
        </w:tc>
      </w:tr>
      <w:tr>
        <w:trPr>
          <w:trHeight w:val="203"/>
        </w:trPr>
        <w:tc>
          <w:tcPr>
            <w:tcW w:w="6160" w:type="dxa"/>
            <w:vAlign w:val="bottom"/>
            <w:tcBorders>
              <w:top w:val="single" w:sz="8" w:color="CCEEFF"/>
            </w:tcBorders>
          </w:tcPr>
          <w:p>
            <w:pPr>
              <w:ind w:left="360"/>
              <w:spacing w:after="0"/>
              <w:rPr>
                <w:sz w:val="20"/>
                <w:szCs w:val="20"/>
                <w:color w:val="auto"/>
              </w:rPr>
            </w:pPr>
            <w:r>
              <w:rPr>
                <w:rFonts w:ascii="Arial" w:cs="Arial" w:eastAsia="Arial" w:hAnsi="Arial"/>
                <w:sz w:val="16"/>
                <w:szCs w:val="16"/>
                <w:color w:val="auto"/>
              </w:rPr>
              <w:t>Total</w:t>
            </w:r>
          </w:p>
        </w:tc>
        <w:tc>
          <w:tcPr>
            <w:tcW w:w="10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33.7 %</w:t>
            </w:r>
          </w:p>
        </w:tc>
        <w:tc>
          <w:tcPr>
            <w:tcW w:w="100" w:type="dxa"/>
            <w:vAlign w:val="bottom"/>
            <w:tcBorders>
              <w:top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5.3 %</w:t>
            </w:r>
          </w:p>
        </w:tc>
        <w:tc>
          <w:tcPr>
            <w:tcW w:w="100" w:type="dxa"/>
            <w:vAlign w:val="bottom"/>
            <w:tcBorders>
              <w:top w:val="single" w:sz="8" w:color="CCEEFF"/>
            </w:tcBorders>
          </w:tcPr>
          <w:p>
            <w:pPr>
              <w:spacing w:after="0"/>
              <w:rPr>
                <w:sz w:val="17"/>
                <w:szCs w:val="17"/>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w:t>
            </w:r>
          </w:p>
        </w:tc>
      </w:tr>
      <w:tr>
        <w:trPr>
          <w:trHeight w:val="23"/>
        </w:trPr>
        <w:tc>
          <w:tcPr>
            <w:tcW w:w="6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29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On March 27, 2020, the President of the United States signed into law the Coronavirus Aid, Relief and Economic Security Act (the “CARES Act”). Accordingly, the applicable provisions of the CARES Act have been reflected in the Company’s tax provision for fiscal year 2020. The CARES Act, among other items, includes U.S. corporate tax provisions related to the deferment of employer social security payments, employee retention credits, modifications to interest deduction limitations and technical corrections on tax depreciation methods for qualified improvement property.</w:t>
      </w:r>
    </w:p>
    <w:p>
      <w:pPr>
        <w:spacing w:after="0" w:line="22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net increase in the effective income tax rate in 2020 as compared to 2019 was primarily due to the benefit of the tax credits for FICA taxes on certain employees’ tips in 2020 and the 2020 pre-tax book loss.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net increase in the effective income tax rate in 2019 as compared to 2018 was primarily due to employment-related credits being a lower percentage of net income in 2019, excess tax benefits from equity-based compensation arrangements recorded in 2018 and an increase in the foreign tax rate differential in 2019. These increases were partially offset by a decrease in valuation allowances recorded against deferred income tax assets in 2019.</w:t>
      </w:r>
    </w:p>
    <w:p>
      <w:pPr>
        <w:spacing w:after="0" w:line="21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has a blended federal and state statutory rate of approximately 26%. The effective income tax rate for 2020 was higher than the blended federal and state statutory rate primarily due to the benefit of tax credits for FICA taxes on certain employees’ tips. The effective income tax rate for fiscal year 2019 was lower than the blended federal and state statutory rate primarily due to the benefit of tax credits for FICA taxes on certain employees’ tips.</w:t>
      </w:r>
    </w:p>
    <w:p>
      <w:pPr>
        <w:spacing w:after="0" w:line="21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Deferred Tax Assets and Liabilities </w:t>
      </w:r>
      <w:r>
        <w:rPr>
          <w:rFonts w:ascii="Arial" w:cs="Arial" w:eastAsia="Arial" w:hAnsi="Arial"/>
          <w:sz w:val="20"/>
          <w:szCs w:val="20"/>
          <w:color w:val="auto"/>
        </w:rPr>
        <w:t>- The income tax effects of temporary differences that give rise to significant portions of deferred income</w:t>
      </w:r>
      <w:r>
        <w:rPr>
          <w:rFonts w:ascii="Arial" w:cs="Arial" w:eastAsia="Arial" w:hAnsi="Arial"/>
          <w:sz w:val="20"/>
          <w:szCs w:val="20"/>
          <w:i w:val="1"/>
          <w:iCs w:val="1"/>
          <w:color w:val="auto"/>
        </w:rPr>
        <w:t xml:space="preserve"> </w:t>
      </w:r>
      <w:r>
        <w:rPr>
          <w:rFonts w:ascii="Arial" w:cs="Arial" w:eastAsia="Arial" w:hAnsi="Arial"/>
          <w:sz w:val="20"/>
          <w:szCs w:val="20"/>
          <w:color w:val="auto"/>
        </w:rPr>
        <w:t>tax assets and liabilities are as follows as of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27, 2020</w:t>
            </w:r>
          </w:p>
        </w:tc>
        <w:tc>
          <w:tcPr>
            <w:tcW w:w="200" w:type="dxa"/>
            <w:vAlign w:val="bottom"/>
          </w:tcPr>
          <w:p>
            <w:pPr>
              <w:spacing w:after="0"/>
              <w:rPr>
                <w:sz w:val="17"/>
                <w:szCs w:val="17"/>
                <w:color w:val="auto"/>
              </w:rPr>
            </w:pPr>
          </w:p>
        </w:tc>
        <w:tc>
          <w:tcPr>
            <w:tcW w:w="1740" w:type="dxa"/>
            <w:vAlign w:val="bottom"/>
          </w:tcPr>
          <w:p>
            <w:pPr>
              <w:jc w:val="right"/>
              <w:ind w:right="200"/>
              <w:spacing w:after="0"/>
              <w:rPr>
                <w:sz w:val="20"/>
                <w:szCs w:val="20"/>
                <w:color w:val="auto"/>
              </w:rPr>
            </w:pPr>
            <w:r>
              <w:rPr>
                <w:rFonts w:ascii="Arial" w:cs="Arial" w:eastAsia="Arial" w:hAnsi="Arial"/>
                <w:sz w:val="14"/>
                <w:szCs w:val="14"/>
                <w:b w:val="1"/>
                <w:bCs w:val="1"/>
                <w:color w:val="auto"/>
              </w:rPr>
              <w:t>DECEMBER 29, 2019</w:t>
            </w:r>
          </w:p>
        </w:tc>
      </w:tr>
      <w:tr>
        <w:trPr>
          <w:trHeight w:val="203"/>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 assets:</w:t>
            </w:r>
          </w:p>
        </w:tc>
        <w:tc>
          <w:tcPr>
            <w:tcW w:w="18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r>
      <w:tr>
        <w:trPr>
          <w:trHeight w:val="213"/>
        </w:trPr>
        <w:tc>
          <w:tcPr>
            <w:tcW w:w="7280" w:type="dxa"/>
            <w:vAlign w:val="bottom"/>
          </w:tcPr>
          <w:p>
            <w:pPr>
              <w:ind w:left="360"/>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360,690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378,518</w:t>
            </w:r>
          </w:p>
        </w:tc>
      </w:tr>
      <w:tr>
        <w:trPr>
          <w:trHeight w:val="219"/>
        </w:trPr>
        <w:tc>
          <w:tcPr>
            <w:tcW w:w="7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Insurance reserves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13,722</w:t>
            </w:r>
          </w:p>
        </w:tc>
      </w:tr>
      <w:tr>
        <w:trPr>
          <w:trHeight w:val="213"/>
        </w:trPr>
        <w:tc>
          <w:tcPr>
            <w:tcW w:w="7280" w:type="dxa"/>
            <w:vAlign w:val="bottom"/>
          </w:tcPr>
          <w:p>
            <w:pPr>
              <w:ind w:left="360"/>
              <w:spacing w:after="0"/>
              <w:rPr>
                <w:sz w:val="20"/>
                <w:szCs w:val="20"/>
                <w:color w:val="auto"/>
              </w:rPr>
            </w:pPr>
            <w:r>
              <w:rPr>
                <w:rFonts w:ascii="Arial" w:cs="Arial" w:eastAsia="Arial" w:hAnsi="Arial"/>
                <w:sz w:val="16"/>
                <w:szCs w:val="16"/>
                <w:color w:val="auto"/>
              </w:rPr>
              <w:t>Unearned revenue</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44,039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22,230</w:t>
            </w:r>
          </w:p>
        </w:tc>
      </w:tr>
      <w:tr>
        <w:trPr>
          <w:trHeight w:val="219"/>
        </w:trPr>
        <w:tc>
          <w:tcPr>
            <w:tcW w:w="7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compensation</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27,222</w:t>
            </w:r>
          </w:p>
        </w:tc>
      </w:tr>
      <w:tr>
        <w:trPr>
          <w:trHeight w:val="213"/>
        </w:trPr>
        <w:tc>
          <w:tcPr>
            <w:tcW w:w="7280" w:type="dxa"/>
            <w:vAlign w:val="bottom"/>
          </w:tcPr>
          <w:p>
            <w:pPr>
              <w:ind w:left="360"/>
              <w:spacing w:after="0"/>
              <w:rPr>
                <w:sz w:val="20"/>
                <w:szCs w:val="20"/>
                <w:color w:val="auto"/>
              </w:rPr>
            </w:pPr>
            <w:r>
              <w:rPr>
                <w:rFonts w:ascii="Arial" w:cs="Arial" w:eastAsia="Arial" w:hAnsi="Arial"/>
                <w:sz w:val="16"/>
                <w:szCs w:val="16"/>
                <w:color w:val="auto"/>
              </w:rPr>
              <w:t>Net operating loss carryforwards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19,285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9,876</w:t>
            </w:r>
          </w:p>
        </w:tc>
      </w:tr>
      <w:tr>
        <w:trPr>
          <w:trHeight w:val="219"/>
        </w:trPr>
        <w:tc>
          <w:tcPr>
            <w:tcW w:w="7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Federal tax credit carryforwards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115,273</w:t>
            </w:r>
          </w:p>
        </w:tc>
      </w:tr>
      <w:tr>
        <w:trPr>
          <w:trHeight w:val="213"/>
        </w:trPr>
        <w:tc>
          <w:tcPr>
            <w:tcW w:w="7280" w:type="dxa"/>
            <w:vAlign w:val="bottom"/>
          </w:tcPr>
          <w:p>
            <w:pPr>
              <w:ind w:left="360"/>
              <w:spacing w:after="0"/>
              <w:rPr>
                <w:sz w:val="20"/>
                <w:szCs w:val="20"/>
                <w:color w:val="auto"/>
              </w:rPr>
            </w:pPr>
            <w:r>
              <w:rPr>
                <w:rFonts w:ascii="Arial" w:cs="Arial" w:eastAsia="Arial" w:hAnsi="Arial"/>
                <w:sz w:val="16"/>
                <w:szCs w:val="16"/>
                <w:color w:val="auto"/>
              </w:rPr>
              <w:t>Partner deposits and accrued partner obligations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3,403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4,449</w:t>
            </w:r>
          </w:p>
        </w:tc>
      </w:tr>
      <w:tr>
        <w:trPr>
          <w:trHeight w:val="236"/>
        </w:trPr>
        <w:tc>
          <w:tcPr>
            <w:tcW w:w="7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24,838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13,706</w:t>
            </w:r>
          </w:p>
        </w:tc>
      </w:tr>
      <w:tr>
        <w:trPr>
          <w:trHeight w:val="203"/>
        </w:trPr>
        <w:tc>
          <w:tcPr>
            <w:tcW w:w="7280" w:type="dxa"/>
            <w:vAlign w:val="bottom"/>
          </w:tcPr>
          <w:p>
            <w:pPr>
              <w:ind w:left="680"/>
              <w:spacing w:after="0"/>
              <w:rPr>
                <w:sz w:val="20"/>
                <w:szCs w:val="20"/>
                <w:color w:val="auto"/>
              </w:rPr>
            </w:pPr>
            <w:r>
              <w:rPr>
                <w:rFonts w:ascii="Arial" w:cs="Arial" w:eastAsia="Arial" w:hAnsi="Arial"/>
                <w:sz w:val="16"/>
                <w:szCs w:val="16"/>
                <w:color w:val="auto"/>
              </w:rPr>
              <w:t>Gross deferred income tax assets</w:t>
            </w:r>
          </w:p>
        </w:tc>
        <w:tc>
          <w:tcPr>
            <w:tcW w:w="1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640,784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584,996</w:t>
            </w:r>
          </w:p>
        </w:tc>
      </w:tr>
      <w:tr>
        <w:trPr>
          <w:trHeight w:val="236"/>
        </w:trPr>
        <w:tc>
          <w:tcPr>
            <w:tcW w:w="7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Less: valuation allowance</w:t>
            </w:r>
          </w:p>
        </w:tc>
        <w:tc>
          <w:tcPr>
            <w:tcW w:w="18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(18,509)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(14,922)</w:t>
            </w:r>
          </w:p>
        </w:tc>
      </w:tr>
      <w:tr>
        <w:trPr>
          <w:trHeight w:val="213"/>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income tax assets, net of valuation allowance</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622,275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570,074</w:t>
            </w:r>
          </w:p>
        </w:tc>
      </w:tr>
      <w:tr>
        <w:trPr>
          <w:trHeight w:val="216"/>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 liabilities:</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3"/>
        </w:trPr>
        <w:tc>
          <w:tcPr>
            <w:tcW w:w="7280" w:type="dxa"/>
            <w:vAlign w:val="bottom"/>
          </w:tcPr>
          <w:p>
            <w:pPr>
              <w:ind w:left="360"/>
              <w:spacing w:after="0"/>
              <w:rPr>
                <w:sz w:val="20"/>
                <w:szCs w:val="20"/>
                <w:color w:val="auto"/>
              </w:rPr>
            </w:pPr>
            <w:r>
              <w:rPr>
                <w:rFonts w:ascii="Arial" w:cs="Arial" w:eastAsia="Arial" w:hAnsi="Arial"/>
                <w:sz w:val="16"/>
                <w:szCs w:val="16"/>
                <w:color w:val="auto"/>
              </w:rPr>
              <w:t>Less: operating lease right-of-use asset basis differences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(300,387)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(326,166)</w:t>
            </w:r>
          </w:p>
        </w:tc>
      </w:tr>
      <w:tr>
        <w:trPr>
          <w:trHeight w:val="219"/>
        </w:trPr>
        <w:tc>
          <w:tcPr>
            <w:tcW w:w="7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Less: property, fixtures and equipment basis differences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(65,404)</w:t>
            </w:r>
          </w:p>
        </w:tc>
      </w:tr>
      <w:tr>
        <w:trPr>
          <w:trHeight w:val="209"/>
        </w:trPr>
        <w:tc>
          <w:tcPr>
            <w:tcW w:w="72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Less: intangible asset basis differences</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(113,280)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(118,855)</w:t>
            </w:r>
          </w:p>
        </w:tc>
      </w:tr>
      <w:tr>
        <w:trPr>
          <w:trHeight w:val="23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153,883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59,649</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net change in deferred tax valuation allowance in 2020 was primarily attributable to net operating losses in certain foreign jurisdictions with full valuation allowances recorded and a full valuation allowance recorded against deferred tax assets recognized in the acquisition of the remaining equity interests of a foreign subsidiary during 2020 that are not more likely than not to be realized. These increases were partially offset by the expiration of net operating loss carryforwards in certain foreign jurisdictions with full valuation allowances recorded.</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Undistributed Earnings </w:t>
      </w:r>
      <w:r>
        <w:rPr>
          <w:rFonts w:ascii="Arial" w:cs="Arial" w:eastAsia="Arial" w:hAnsi="Arial"/>
          <w:sz w:val="19"/>
          <w:szCs w:val="19"/>
          <w:color w:val="auto"/>
        </w:rPr>
        <w:t>- As of December 27, 2020, the Company had aggregate accumulated foreign earnings of approximately $40.2</w:t>
      </w:r>
      <w:r>
        <w:rPr>
          <w:rFonts w:ascii="Arial" w:cs="Arial" w:eastAsia="Arial" w:hAnsi="Arial"/>
          <w:sz w:val="19"/>
          <w:szCs w:val="19"/>
          <w:i w:val="1"/>
          <w:iCs w:val="1"/>
          <w:color w:val="auto"/>
        </w:rPr>
        <w:t xml:space="preserve"> </w:t>
      </w:r>
      <w:r>
        <w:rPr>
          <w:rFonts w:ascii="Arial" w:cs="Arial" w:eastAsia="Arial" w:hAnsi="Arial"/>
          <w:sz w:val="19"/>
          <w:szCs w:val="19"/>
          <w:color w:val="auto"/>
        </w:rPr>
        <w:t>million. This amount consisted primarily of historical earnings from 2017 and prior that were previously taxed in the U.S. under the Tax Cuts and Jobs Act and post-2017 foreign earnings, which the Company may repatriate to the U.S. without additional material U.S. federal income taxes. These amounts are no longer considered indefinitely reinvested in the Company’s foreign subsidiaries.</w:t>
      </w:r>
    </w:p>
    <w:p>
      <w:pPr>
        <w:spacing w:after="0" w:line="20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As of December 27, 2020, the Company maintained a deferred tax liability for state income taxes on historical earnings of $0.2 million. The Company has not recorded a deferred tax liability on the financial statement carrying amount over the tax basis of its investments in foreign subsidiaries because the Company continues to assert that it is indefinitely reinvested in its underlying investments in foreign subsidiaries. The determination of any unrecorded deferred tax liability on this amount is not practicable due to the uncertainty of how these investments would be recovered.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spacing w:after="0" w:line="260" w:lineRule="auto"/>
        <w:rPr>
          <w:sz w:val="20"/>
          <w:szCs w:val="20"/>
          <w:color w:val="auto"/>
        </w:rPr>
      </w:pPr>
      <w:r>
        <w:rPr>
          <w:rFonts w:ascii="Arial" w:cs="Arial" w:eastAsia="Arial" w:hAnsi="Arial"/>
          <w:sz w:val="20"/>
          <w:szCs w:val="20"/>
          <w:i w:val="1"/>
          <w:iCs w:val="1"/>
          <w:color w:val="auto"/>
        </w:rPr>
        <w:t xml:space="preserve">Tax Carryforwards - </w:t>
      </w:r>
      <w:r>
        <w:rPr>
          <w:rFonts w:ascii="Arial" w:cs="Arial" w:eastAsia="Arial" w:hAnsi="Arial"/>
          <w:sz w:val="20"/>
          <w:szCs w:val="20"/>
          <w:color w:val="auto"/>
        </w:rPr>
        <w:t>The amount and expiration dates of tax loss carryforwards and credit carryforwards as of December 27, 2020 are as</w:t>
      </w:r>
      <w:r>
        <w:rPr>
          <w:rFonts w:ascii="Arial" w:cs="Arial" w:eastAsia="Arial" w:hAnsi="Arial"/>
          <w:sz w:val="20"/>
          <w:szCs w:val="20"/>
          <w:i w:val="1"/>
          <w:iCs w:val="1"/>
          <w:color w:val="auto"/>
        </w:rPr>
        <w:t xml:space="preserve"> </w:t>
      </w:r>
      <w:r>
        <w:rPr>
          <w:rFonts w:ascii="Arial" w:cs="Arial" w:eastAsia="Arial" w:hAnsi="Arial"/>
          <w:sz w:val="20"/>
          <w:szCs w:val="20"/>
          <w:color w:val="auto"/>
        </w:rPr>
        <w:t>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6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EXPIRATION DATE</w:t>
            </w:r>
          </w:p>
        </w:tc>
        <w:tc>
          <w:tcPr>
            <w:tcW w:w="380" w:type="dxa"/>
            <w:vAlign w:val="bottom"/>
          </w:tcPr>
          <w:p>
            <w:pPr>
              <w:spacing w:after="0"/>
              <w:rPr>
                <w:sz w:val="17"/>
                <w:szCs w:val="17"/>
                <w:color w:val="auto"/>
              </w:rPr>
            </w:pPr>
          </w:p>
        </w:tc>
        <w:tc>
          <w:tcPr>
            <w:tcW w:w="1600" w:type="dxa"/>
            <w:vAlign w:val="bottom"/>
          </w:tcPr>
          <w:p>
            <w:pPr>
              <w:jc w:val="right"/>
              <w:ind w:right="581"/>
              <w:spacing w:after="0"/>
              <w:rPr>
                <w:sz w:val="20"/>
                <w:szCs w:val="20"/>
                <w:color w:val="auto"/>
              </w:rPr>
            </w:pPr>
            <w:r>
              <w:rPr>
                <w:rFonts w:ascii="Arial" w:cs="Arial" w:eastAsia="Arial" w:hAnsi="Arial"/>
                <w:sz w:val="14"/>
                <w:szCs w:val="14"/>
                <w:b w:val="1"/>
                <w:bCs w:val="1"/>
                <w:color w:val="auto"/>
              </w:rPr>
              <w:t>AMOUNT</w:t>
            </w:r>
          </w:p>
        </w:tc>
      </w:tr>
      <w:tr>
        <w:trPr>
          <w:trHeight w:val="216"/>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Federal tax credit carryforwards</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2026</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2040</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158,279</w:t>
            </w: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Foreign loss carryforwards (1)</w:t>
            </w:r>
          </w:p>
        </w:tc>
        <w:tc>
          <w:tcPr>
            <w:tcW w:w="1140" w:type="dxa"/>
            <w:vAlign w:val="bottom"/>
          </w:tcPr>
          <w:p>
            <w:pPr>
              <w:jc w:val="right"/>
              <w:spacing w:after="0"/>
              <w:rPr>
                <w:sz w:val="20"/>
                <w:szCs w:val="20"/>
                <w:color w:val="auto"/>
              </w:rPr>
            </w:pPr>
            <w:r>
              <w:rPr>
                <w:rFonts w:ascii="Arial" w:cs="Arial" w:eastAsia="Arial" w:hAnsi="Arial"/>
                <w:sz w:val="16"/>
                <w:szCs w:val="16"/>
                <w:color w:val="auto"/>
              </w:rPr>
              <w:t>2021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60"/>
              <w:spacing w:after="0"/>
              <w:rPr>
                <w:sz w:val="20"/>
                <w:szCs w:val="20"/>
                <w:color w:val="auto"/>
              </w:rPr>
            </w:pPr>
            <w:r>
              <w:rPr>
                <w:rFonts w:ascii="Arial" w:cs="Arial" w:eastAsia="Arial" w:hAnsi="Arial"/>
                <w:sz w:val="16"/>
                <w:szCs w:val="16"/>
                <w:color w:val="auto"/>
              </w:rPr>
              <w:t>Indefinite</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73,082</w:t>
            </w:r>
          </w:p>
        </w:tc>
      </w:tr>
      <w:tr>
        <w:trPr>
          <w:trHeight w:val="219"/>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tax credit carryforwards</w:t>
            </w:r>
          </w:p>
        </w:tc>
        <w:tc>
          <w:tcPr>
            <w:tcW w:w="2620" w:type="dxa"/>
            <w:vAlign w:val="bottom"/>
            <w:gridSpan w:val="4"/>
            <w:shd w:val="clear" w:color="auto" w:fill="CCEEFF"/>
          </w:tcPr>
          <w:p>
            <w:pPr>
              <w:jc w:val="center"/>
              <w:ind w:right="100"/>
              <w:spacing w:after="0"/>
              <w:rPr>
                <w:sz w:val="20"/>
                <w:szCs w:val="20"/>
                <w:color w:val="auto"/>
              </w:rPr>
            </w:pPr>
            <w:r>
              <w:rPr>
                <w:rFonts w:ascii="Arial" w:cs="Arial" w:eastAsia="Arial" w:hAnsi="Arial"/>
                <w:sz w:val="16"/>
                <w:szCs w:val="16"/>
                <w:color w:val="auto"/>
                <w:w w:val="98"/>
              </w:rPr>
              <w:t>Indefinite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6" w:lineRule="exact"/>
        <w:rPr>
          <w:sz w:val="20"/>
          <w:szCs w:val="20"/>
          <w:color w:val="auto"/>
        </w:rPr>
      </w:pPr>
    </w:p>
    <w:p>
      <w:pPr>
        <w:ind w:left="660" w:hanging="652"/>
        <w:spacing w:after="0" w:line="239" w:lineRule="auto"/>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Company has a valuation allowance against the foreign loss carryforwards for which it has determined it is more likely than not that some portion or all may not be realized.</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of December 27, 2020, the Company had $155.3 million in general business tax credit carryforwards, which have a 20-year carryforward period and are utilized on a first-in, first-out basis. The Company currently expects to utilize these tax credit carryforwards within a 10-year period. However, the Company’s ability to utilize these tax credits could be adversely impacted by, among other items, a future “ownership change” as defined under Section 382 of the Internal Revenue Code.</w:t>
      </w:r>
    </w:p>
    <w:p>
      <w:pPr>
        <w:spacing w:after="0" w:line="21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anticipates generating additional business tax credits in the future years. The amount of business tax credits expected to be generated in 2021 is approximately $30 million to $40 million.</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Unrecognized Tax Benefits - </w:t>
      </w:r>
      <w:r>
        <w:rPr>
          <w:rFonts w:ascii="Arial" w:cs="Arial" w:eastAsia="Arial" w:hAnsi="Arial"/>
          <w:sz w:val="20"/>
          <w:szCs w:val="20"/>
          <w:color w:val="auto"/>
        </w:rPr>
        <w:t>As of December 27, 2020 and December 29, 2019, the liability for unrecognized tax benefits was $25.5 million</w:t>
      </w:r>
      <w:r>
        <w:rPr>
          <w:rFonts w:ascii="Arial" w:cs="Arial" w:eastAsia="Arial" w:hAnsi="Arial"/>
          <w:sz w:val="20"/>
          <w:szCs w:val="20"/>
          <w:i w:val="1"/>
          <w:iCs w:val="1"/>
          <w:color w:val="auto"/>
        </w:rPr>
        <w:t xml:space="preserve"> </w:t>
      </w:r>
      <w:r>
        <w:rPr>
          <w:rFonts w:ascii="Arial" w:cs="Arial" w:eastAsia="Arial" w:hAnsi="Arial"/>
          <w:sz w:val="20"/>
          <w:szCs w:val="20"/>
          <w:color w:val="auto"/>
        </w:rPr>
        <w:t>and $27.2 million, respectively. Of the total amount of unrecognized tax benefits, including accrued interest and penalties, $25.5 million and $27.0 million, respectively, if recognized, would impact the Company’s effective tax rate.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activity related to the Company’s unrecognized tax benefits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2018</w:t>
            </w: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beginning of year</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25,190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23,663</w:t>
            </w: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Additions for tax positions taken during a prior period</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869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2,461</w:t>
            </w: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Reductions for tax positions taken during a prior period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w:t>
            </w: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Additions for tax positions taken during the current period</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2,237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2,017</w:t>
            </w: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Settlements with taxing authorities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w:t>
            </w: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Lapses in the applicable statutes of limitations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(1,390)</w:t>
            </w:r>
          </w:p>
        </w:tc>
      </w:tr>
      <w:tr>
        <w:trPr>
          <w:trHeight w:val="236"/>
        </w:trPr>
        <w:tc>
          <w:tcPr>
            <w:tcW w:w="6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Translation adjustments</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rPr>
              <w:t>Balance as of end of year</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25,524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27,201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25,190</w:t>
            </w:r>
          </w:p>
        </w:tc>
      </w:tr>
      <w:tr>
        <w:trPr>
          <w:trHeight w:val="24"/>
        </w:trPr>
        <w:tc>
          <w:tcPr>
            <w:tcW w:w="6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9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had approximately $1.9 million accrued for the payment of interest and penalties as of December 27, 2020 and December 29, 2019. The Company recognized immaterial interest and penalties related to uncertain tax positions in the (Benefit) provision for income taxes, for all periods presented.</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many cases, the Company’s uncertain tax positions are related to tax years that remain subject to examination by relevant taxable authorities. Based on the outcome of these examinations, or a result of the expiration of the statute of limitations for specific jurisdictions, it is reasonably possible that the related recorded unrecognized tax benefits for tax positions taken on previously filed tax returns will change by approximately $1.0 million to $2.0 million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Open Tax Years - </w:t>
      </w:r>
      <w:r>
        <w:rPr>
          <w:rFonts w:ascii="Arial" w:cs="Arial" w:eastAsia="Arial" w:hAnsi="Arial"/>
          <w:sz w:val="20"/>
          <w:szCs w:val="20"/>
          <w:color w:val="auto"/>
        </w:rPr>
        <w:t>Following is a summary of the open audit years by jurisdiction as of December 27, 2020:</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0" w:type="dxa"/>
            <w:vAlign w:val="bottom"/>
            <w:tcBorders>
              <w:bottom w:val="single" w:sz="8" w:color="CCEEFF"/>
            </w:tcBorders>
          </w:tcPr>
          <w:p>
            <w:pPr>
              <w:spacing w:after="0"/>
              <w:rPr>
                <w:sz w:val="17"/>
                <w:szCs w:val="17"/>
                <w:color w:val="auto"/>
              </w:rPr>
            </w:pPr>
          </w:p>
        </w:tc>
        <w:tc>
          <w:tcPr>
            <w:tcW w:w="8580" w:type="dxa"/>
            <w:vAlign w:val="bottom"/>
            <w:tcBorders>
              <w:bottom w:val="single" w:sz="8" w:color="CCEEFF"/>
            </w:tcBorders>
          </w:tcPr>
          <w:p>
            <w:pPr>
              <w:spacing w:after="0"/>
              <w:rPr>
                <w:sz w:val="17"/>
                <w:szCs w:val="17"/>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OPEN AUDIT YEARS</w:t>
            </w:r>
          </w:p>
        </w:tc>
      </w:tr>
      <w:tr>
        <w:trPr>
          <w:trHeight w:val="216"/>
        </w:trPr>
        <w:tc>
          <w:tcPr>
            <w:tcW w:w="9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United States - federal</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2007</w:t>
            </w:r>
          </w:p>
        </w:tc>
        <w:tc>
          <w:tcPr>
            <w:tcW w:w="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4"/>
              </w:rPr>
              <w:t>-</w:t>
            </w:r>
          </w:p>
        </w:tc>
        <w:tc>
          <w:tcPr>
            <w:tcW w:w="92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2019</w:t>
            </w:r>
          </w:p>
        </w:tc>
      </w:tr>
      <w:tr>
        <w:trPr>
          <w:trHeight w:val="21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United States - state</w:t>
            </w:r>
          </w:p>
        </w:tc>
        <w:tc>
          <w:tcPr>
            <w:tcW w:w="920" w:type="dxa"/>
            <w:vAlign w:val="bottom"/>
          </w:tcPr>
          <w:p>
            <w:pPr>
              <w:jc w:val="right"/>
              <w:spacing w:after="0"/>
              <w:rPr>
                <w:sz w:val="20"/>
                <w:szCs w:val="20"/>
                <w:color w:val="auto"/>
              </w:rPr>
            </w:pPr>
            <w:r>
              <w:rPr>
                <w:rFonts w:ascii="Arial" w:cs="Arial" w:eastAsia="Arial" w:hAnsi="Arial"/>
                <w:sz w:val="16"/>
                <w:szCs w:val="16"/>
                <w:color w:val="auto"/>
              </w:rPr>
              <w:t>2001</w:t>
            </w:r>
          </w:p>
        </w:tc>
        <w:tc>
          <w:tcPr>
            <w:tcW w:w="16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920" w:type="dxa"/>
            <w:vAlign w:val="bottom"/>
          </w:tcPr>
          <w:p>
            <w:pPr>
              <w:jc w:val="right"/>
              <w:ind w:right="459"/>
              <w:spacing w:after="0"/>
              <w:rPr>
                <w:sz w:val="20"/>
                <w:szCs w:val="20"/>
                <w:color w:val="auto"/>
              </w:rPr>
            </w:pPr>
            <w:r>
              <w:rPr>
                <w:rFonts w:ascii="Arial" w:cs="Arial" w:eastAsia="Arial" w:hAnsi="Arial"/>
                <w:sz w:val="16"/>
                <w:szCs w:val="16"/>
                <w:color w:val="auto"/>
              </w:rPr>
              <w:t>2019</w:t>
            </w:r>
          </w:p>
        </w:tc>
      </w:tr>
      <w:tr>
        <w:trPr>
          <w:trHeight w:val="219"/>
        </w:trPr>
        <w:tc>
          <w:tcPr>
            <w:tcW w:w="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w:t>
            </w:r>
          </w:p>
        </w:tc>
        <w:tc>
          <w:tcPr>
            <w:tcW w:w="8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4"/>
              </w:rPr>
              <w:t>-</w:t>
            </w:r>
          </w:p>
        </w:tc>
        <w:tc>
          <w:tcPr>
            <w:tcW w:w="92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2019</w:t>
            </w:r>
          </w:p>
        </w:tc>
      </w:tr>
      <w:tr>
        <w:trPr>
          <w:trHeight w:val="558"/>
        </w:trPr>
        <w:tc>
          <w:tcPr>
            <w:tcW w:w="660" w:type="dxa"/>
            <w:vAlign w:val="bottom"/>
          </w:tcPr>
          <w:p>
            <w:pPr>
              <w:spacing w:after="0"/>
              <w:rPr>
                <w:sz w:val="20"/>
                <w:szCs w:val="20"/>
                <w:color w:val="auto"/>
              </w:rPr>
            </w:pPr>
            <w:r>
              <w:rPr>
                <w:rFonts w:ascii="Arial" w:cs="Arial" w:eastAsia="Arial" w:hAnsi="Arial"/>
                <w:sz w:val="20"/>
                <w:szCs w:val="20"/>
                <w:color w:val="auto"/>
              </w:rPr>
              <w:t>22.</w:t>
            </w:r>
          </w:p>
        </w:tc>
        <w:tc>
          <w:tcPr>
            <w:tcW w:w="8580" w:type="dxa"/>
            <w:vAlign w:val="bottom"/>
          </w:tcPr>
          <w:p>
            <w:pPr>
              <w:ind w:left="140"/>
              <w:spacing w:after="0"/>
              <w:rPr>
                <w:sz w:val="20"/>
                <w:szCs w:val="20"/>
                <w:color w:val="auto"/>
              </w:rPr>
            </w:pPr>
            <w:r>
              <w:rPr>
                <w:rFonts w:ascii="Arial" w:cs="Arial" w:eastAsia="Arial" w:hAnsi="Arial"/>
                <w:sz w:val="20"/>
                <w:szCs w:val="20"/>
                <w:color w:val="auto"/>
              </w:rPr>
              <w:t>Commitments and Contingencies</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2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i w:val="1"/>
          <w:iCs w:val="1"/>
          <w:color w:val="auto"/>
        </w:rPr>
        <w:t xml:space="preserve">Lease Guarantees </w:t>
      </w:r>
      <w:r>
        <w:rPr>
          <w:rFonts w:ascii="Arial" w:cs="Arial" w:eastAsia="Arial" w:hAnsi="Arial"/>
          <w:sz w:val="18"/>
          <w:szCs w:val="18"/>
          <w:color w:val="auto"/>
        </w:rPr>
        <w:t>- The Company assigned its interest, and is contingently liable, under certain real estate leases. These leases have varying</w:t>
      </w:r>
      <w:r>
        <w:rPr>
          <w:rFonts w:ascii="Arial" w:cs="Arial" w:eastAsia="Arial" w:hAnsi="Arial"/>
          <w:sz w:val="18"/>
          <w:szCs w:val="18"/>
          <w:i w:val="1"/>
          <w:iCs w:val="1"/>
          <w:color w:val="auto"/>
        </w:rPr>
        <w:t xml:space="preserve"> </w:t>
      </w:r>
      <w:r>
        <w:rPr>
          <w:rFonts w:ascii="Arial" w:cs="Arial" w:eastAsia="Arial" w:hAnsi="Arial"/>
          <w:sz w:val="18"/>
          <w:szCs w:val="18"/>
          <w:color w:val="auto"/>
        </w:rPr>
        <w:t>terms, the latest of which expires in 2032. As of December 27, 2020, the undiscounted payments the Company could be required to make in the event of non-payment by the primary lessees was approximately $26.7 million. The present value of these potential payments discounted at the Company’s incremental borrowing rate as of December 27, 2020 was approximately $20.7 million. In the event of default, the indemnity clauses in the Company’s purchase and sale agreements govern its ability to pursue and recover damages incurred.</w:t>
      </w:r>
    </w:p>
    <w:p>
      <w:pPr>
        <w:spacing w:after="0" w:line="19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 xml:space="preserve">During 2020, the Company recorded $4.2 million of additional contingent lease liability in response to the economic impact of the COVID-19 pandemic. As of December 27, 2020, the Company’s recorded contingent lease liability was $9.6 million. See Note 3 - </w:t>
      </w:r>
      <w:r>
        <w:rPr>
          <w:rFonts w:ascii="Arial" w:cs="Arial" w:eastAsia="Arial" w:hAnsi="Arial"/>
          <w:sz w:val="20"/>
          <w:szCs w:val="20"/>
          <w:i w:val="1"/>
          <w:iCs w:val="1"/>
          <w:color w:val="auto"/>
        </w:rPr>
        <w:t>COVID-19</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Charges </w:t>
      </w:r>
      <w:r>
        <w:rPr>
          <w:rFonts w:ascii="Arial" w:cs="Arial" w:eastAsia="Arial" w:hAnsi="Arial"/>
          <w:sz w:val="20"/>
          <w:szCs w:val="20"/>
          <w:color w:val="auto"/>
        </w:rPr>
        <w:t>for details regarding the impact of the COVID-19 pandemic on the Company’s financial results.</w:t>
      </w:r>
    </w:p>
    <w:p>
      <w:pPr>
        <w:spacing w:after="0" w:line="210"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During the third quarter of 2020, the Company received notices of default pertaining to three leases of divested restaurant properties in circumstances where the Company is contingently liable for the unpaid rent of the current operators. The Company is in active discussions with the respective landlords and believes its recorded reserve is reasonable.</w:t>
      </w:r>
    </w:p>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i w:val="1"/>
          <w:iCs w:val="1"/>
          <w:color w:val="auto"/>
        </w:rPr>
        <w:t xml:space="preserve">Purchase Obligations - </w:t>
      </w:r>
      <w:r>
        <w:rPr>
          <w:rFonts w:ascii="Arial" w:cs="Arial" w:eastAsia="Arial" w:hAnsi="Arial"/>
          <w:sz w:val="19"/>
          <w:szCs w:val="19"/>
          <w:color w:val="auto"/>
        </w:rPr>
        <w:t>Purchase obligations were $230.6 million and $312.0 million as of December 27, 2020 and December 29, 2019,</w:t>
      </w:r>
      <w:r>
        <w:rPr>
          <w:rFonts w:ascii="Arial" w:cs="Arial" w:eastAsia="Arial" w:hAnsi="Arial"/>
          <w:sz w:val="19"/>
          <w:szCs w:val="19"/>
          <w:i w:val="1"/>
          <w:iCs w:val="1"/>
          <w:color w:val="auto"/>
        </w:rPr>
        <w:t xml:space="preserve"> </w:t>
      </w:r>
      <w:r>
        <w:rPr>
          <w:rFonts w:ascii="Arial" w:cs="Arial" w:eastAsia="Arial" w:hAnsi="Arial"/>
          <w:sz w:val="19"/>
          <w:szCs w:val="19"/>
          <w:color w:val="auto"/>
        </w:rPr>
        <w:t>respectively. These purchase obligations are primarily due within five years, however, commitments with various vendors extend through January 2028. Outstanding commitments consist primarily of food and beverage products related to normal business operations, technology, advertising and restaurant-level service contracts. In 2020, the Company purchased approximately 97% of its U.S. beef raw materials from four beef suppliers that represent more than 80% of the total beef marketplace in the U.S.</w:t>
      </w:r>
    </w:p>
    <w:p>
      <w:pPr>
        <w:spacing w:after="0" w:line="20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Litigation and Other Matters - </w:t>
      </w:r>
      <w:r>
        <w:rPr>
          <w:rFonts w:ascii="Arial" w:cs="Arial" w:eastAsia="Arial" w:hAnsi="Arial"/>
          <w:sz w:val="20"/>
          <w:szCs w:val="20"/>
          <w:color w:val="auto"/>
        </w:rPr>
        <w:t>In relation to various legal matters, the Company had $4.6 million and $3.0 million of liability recorded as of</w:t>
      </w:r>
      <w:r>
        <w:rPr>
          <w:rFonts w:ascii="Arial" w:cs="Arial" w:eastAsia="Arial" w:hAnsi="Arial"/>
          <w:sz w:val="20"/>
          <w:szCs w:val="20"/>
          <w:i w:val="1"/>
          <w:iCs w:val="1"/>
          <w:color w:val="auto"/>
        </w:rPr>
        <w:t xml:space="preserve"> </w:t>
      </w:r>
      <w:r>
        <w:rPr>
          <w:rFonts w:ascii="Arial" w:cs="Arial" w:eastAsia="Arial" w:hAnsi="Arial"/>
          <w:sz w:val="20"/>
          <w:szCs w:val="20"/>
          <w:color w:val="auto"/>
        </w:rPr>
        <w:t>December 27, 2020 and December 29, 2019, respectively. During 2020, 2019 and 2018, the Company recognized $2.3 million, $1.3 million and $1.6 million, respectively, in Other restaurant operating expense in the Company’s Consolidated Statements of Operations and Comprehensive (Loss) Income for certain legal settlements.</w:t>
      </w: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Company is subject to legal proceedings, claims and liabilities, such as liquor liability, slip and fall cases, wage-and-hour and other employment-related litigation, which arise in the ordinary course of business and are generally covered by insurance if they exceed specified retention or deductible amounts. In the opinion of management, the amount of ultimate liability with respect to those actions will not have a material adverse impact on the Company’s financial position or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BLOOMIN’ BRANDS, INC.</w:t>
      </w:r>
    </w:p>
    <w:p>
      <w:pPr>
        <w:jc w:val="center"/>
        <w:ind w:right="2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i w:val="1"/>
          <w:iCs w:val="1"/>
          <w:color w:val="auto"/>
        </w:rPr>
        <w:t xml:space="preserve">Insurance - </w:t>
      </w:r>
      <w:r>
        <w:rPr>
          <w:rFonts w:ascii="Arial" w:cs="Arial" w:eastAsia="Arial" w:hAnsi="Arial"/>
          <w:sz w:val="20"/>
          <w:szCs w:val="20"/>
          <w:color w:val="auto"/>
        </w:rPr>
        <w:t>As of December 27, 2020, the future undiscounted payments the Company expects for workers’ compensation, general liability</w:t>
      </w:r>
      <w:r>
        <w:rPr>
          <w:rFonts w:ascii="Arial" w:cs="Arial" w:eastAsia="Arial" w:hAnsi="Arial"/>
          <w:sz w:val="20"/>
          <w:szCs w:val="20"/>
          <w:i w:val="1"/>
          <w:iCs w:val="1"/>
          <w:color w:val="auto"/>
        </w:rPr>
        <w:t xml:space="preserve"> </w:t>
      </w:r>
      <w:r>
        <w:rPr>
          <w:rFonts w:ascii="Arial" w:cs="Arial" w:eastAsia="Arial" w:hAnsi="Arial"/>
          <w:sz w:val="20"/>
          <w:szCs w:val="20"/>
          <w:color w:val="auto"/>
        </w:rPr>
        <w:t>and health insurance claims are: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2"/>
        </w:trPr>
        <w:tc>
          <w:tcPr>
            <w:tcW w:w="9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20,669</w:t>
            </w:r>
          </w:p>
        </w:tc>
      </w:tr>
      <w:tr>
        <w:trPr>
          <w:trHeight w:val="213"/>
        </w:trPr>
        <w:tc>
          <w:tcPr>
            <w:tcW w:w="9720" w:type="dxa"/>
            <w:vAlign w:val="bottom"/>
          </w:tcPr>
          <w:p>
            <w:pPr>
              <w:ind w:left="20"/>
              <w:spacing w:after="0"/>
              <w:rPr>
                <w:sz w:val="20"/>
                <w:szCs w:val="20"/>
                <w:color w:val="auto"/>
              </w:rPr>
            </w:pPr>
            <w:r>
              <w:rPr>
                <w:rFonts w:ascii="Arial" w:cs="Arial" w:eastAsia="Arial" w:hAnsi="Arial"/>
                <w:sz w:val="16"/>
                <w:szCs w:val="16"/>
                <w:color w:val="auto"/>
              </w:rPr>
              <w:t>2022</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10,537</w:t>
            </w:r>
          </w:p>
        </w:tc>
      </w:tr>
      <w:tr>
        <w:trPr>
          <w:trHeight w:val="219"/>
        </w:trPr>
        <w:tc>
          <w:tcPr>
            <w:tcW w:w="9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6,354</w:t>
            </w:r>
          </w:p>
        </w:tc>
      </w:tr>
      <w:tr>
        <w:trPr>
          <w:trHeight w:val="213"/>
        </w:trPr>
        <w:tc>
          <w:tcPr>
            <w:tcW w:w="9720" w:type="dxa"/>
            <w:vAlign w:val="bottom"/>
          </w:tcPr>
          <w:p>
            <w:pPr>
              <w:ind w:left="20"/>
              <w:spacing w:after="0"/>
              <w:rPr>
                <w:sz w:val="20"/>
                <w:szCs w:val="20"/>
                <w:color w:val="auto"/>
              </w:rPr>
            </w:pPr>
            <w:r>
              <w:rPr>
                <w:rFonts w:ascii="Arial" w:cs="Arial" w:eastAsia="Arial" w:hAnsi="Arial"/>
                <w:sz w:val="16"/>
                <w:szCs w:val="16"/>
                <w:color w:val="auto"/>
              </w:rPr>
              <w:t>2024</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3,440</w:t>
            </w:r>
          </w:p>
        </w:tc>
      </w:tr>
      <w:tr>
        <w:trPr>
          <w:trHeight w:val="219"/>
        </w:trPr>
        <w:tc>
          <w:tcPr>
            <w:tcW w:w="9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1,962</w:t>
            </w:r>
          </w:p>
        </w:tc>
      </w:tr>
      <w:tr>
        <w:trPr>
          <w:trHeight w:val="223"/>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10,255</w:t>
            </w:r>
          </w:p>
        </w:tc>
      </w:tr>
      <w:tr>
        <w:trPr>
          <w:trHeight w:val="238"/>
        </w:trPr>
        <w:tc>
          <w:tcPr>
            <w:tcW w:w="97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53,217</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 xml:space="preserve">The following is a reconciliation of the expected aggregate undiscounted reserves to the discounted reserves for insurance claims recognized on the Company’s </w:t>
      </w:r>
      <w:r>
        <w:rPr>
          <w:rFonts w:ascii="Arial" w:cs="Arial" w:eastAsia="Arial" w:hAnsi="Arial"/>
          <w:sz w:val="20"/>
          <w:szCs w:val="20"/>
          <w:color w:val="252525"/>
        </w:rPr>
        <w:t>Consolidated Balance Sheets</w:t>
      </w:r>
      <w:r>
        <w:rPr>
          <w:rFonts w:ascii="Arial" w:cs="Arial" w:eastAsia="Arial" w:hAnsi="Arial"/>
          <w:sz w:val="20"/>
          <w:szCs w:val="20"/>
          <w:color w:val="auto"/>
        </w:rPr>
        <w:t xml:space="preserve"> as of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27, 2020</w:t>
            </w:r>
          </w:p>
        </w:tc>
        <w:tc>
          <w:tcPr>
            <w:tcW w:w="200" w:type="dxa"/>
            <w:vAlign w:val="bottom"/>
          </w:tcPr>
          <w:p>
            <w:pPr>
              <w:spacing w:after="0"/>
              <w:rPr>
                <w:sz w:val="17"/>
                <w:szCs w:val="17"/>
                <w:color w:val="auto"/>
              </w:rPr>
            </w:pPr>
          </w:p>
        </w:tc>
        <w:tc>
          <w:tcPr>
            <w:tcW w:w="1740" w:type="dxa"/>
            <w:vAlign w:val="bottom"/>
          </w:tcPr>
          <w:p>
            <w:pPr>
              <w:ind w:left="80"/>
              <w:spacing w:after="0"/>
              <w:rPr>
                <w:sz w:val="20"/>
                <w:szCs w:val="20"/>
                <w:color w:val="auto"/>
              </w:rPr>
            </w:pPr>
            <w:r>
              <w:rPr>
                <w:rFonts w:ascii="Arial" w:cs="Arial" w:eastAsia="Arial" w:hAnsi="Arial"/>
                <w:sz w:val="14"/>
                <w:szCs w:val="14"/>
                <w:b w:val="1"/>
                <w:bCs w:val="1"/>
                <w:color w:val="auto"/>
              </w:rPr>
              <w:t>DECEMBER 29, 2019</w:t>
            </w:r>
          </w:p>
        </w:tc>
      </w:tr>
      <w:tr>
        <w:trPr>
          <w:trHeight w:val="216"/>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Undiscounted reserves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53,217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ind w:left="1220"/>
              <w:spacing w:after="0"/>
              <w:rPr>
                <w:sz w:val="20"/>
                <w:szCs w:val="20"/>
                <w:color w:val="auto"/>
              </w:rPr>
            </w:pPr>
            <w:r>
              <w:rPr>
                <w:rFonts w:ascii="Arial" w:cs="Arial" w:eastAsia="Arial" w:hAnsi="Arial"/>
                <w:sz w:val="16"/>
                <w:szCs w:val="16"/>
                <w:color w:val="auto"/>
              </w:rPr>
              <w:t>56,953</w:t>
            </w:r>
          </w:p>
        </w:tc>
      </w:tr>
      <w:tr>
        <w:trPr>
          <w:trHeight w:val="223"/>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Discount (1)</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ind w:left="1240"/>
              <w:spacing w:after="0"/>
              <w:rPr>
                <w:sz w:val="20"/>
                <w:szCs w:val="20"/>
                <w:color w:val="auto"/>
              </w:rPr>
            </w:pPr>
            <w:r>
              <w:rPr>
                <w:rFonts w:ascii="Arial" w:cs="Arial" w:eastAsia="Arial" w:hAnsi="Arial"/>
                <w:sz w:val="16"/>
                <w:szCs w:val="16"/>
                <w:color w:val="auto"/>
                <w:w w:val="94"/>
              </w:rPr>
              <w:t>(2,635)</w:t>
            </w:r>
          </w:p>
        </w:tc>
      </w:tr>
      <w:tr>
        <w:trPr>
          <w:trHeight w:val="23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Discounted reserves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52,776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6"/>
                <w:szCs w:val="16"/>
                <w:color w:val="auto"/>
              </w:rPr>
              <w:t>54,318</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7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16"/>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Discounted reserves recognized on the Company’s Consolidated Balance Sheets:</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3"/>
        </w:trPr>
        <w:tc>
          <w:tcPr>
            <w:tcW w:w="7280" w:type="dxa"/>
            <w:vAlign w:val="bottom"/>
          </w:tcPr>
          <w:p>
            <w:pPr>
              <w:ind w:left="140"/>
              <w:spacing w:after="0"/>
              <w:rPr>
                <w:sz w:val="20"/>
                <w:szCs w:val="20"/>
                <w:color w:val="auto"/>
              </w:rPr>
            </w:pPr>
            <w:r>
              <w:rPr>
                <w:rFonts w:ascii="Arial" w:cs="Arial" w:eastAsia="Arial" w:hAnsi="Arial"/>
                <w:sz w:val="16"/>
                <w:szCs w:val="16"/>
                <w:color w:val="auto"/>
              </w:rPr>
              <w:t>Accrued and other current liabilities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20,648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Pr>
          <w:p>
            <w:pPr>
              <w:ind w:left="1220"/>
              <w:spacing w:after="0"/>
              <w:rPr>
                <w:sz w:val="20"/>
                <w:szCs w:val="20"/>
                <w:color w:val="auto"/>
              </w:rPr>
            </w:pPr>
            <w:r>
              <w:rPr>
                <w:rFonts w:ascii="Arial" w:cs="Arial" w:eastAsia="Arial" w:hAnsi="Arial"/>
                <w:sz w:val="16"/>
                <w:szCs w:val="16"/>
                <w:color w:val="auto"/>
              </w:rPr>
              <w:t>20,500</w:t>
            </w:r>
          </w:p>
        </w:tc>
      </w:tr>
      <w:tr>
        <w:trPr>
          <w:trHeight w:val="226"/>
        </w:trPr>
        <w:tc>
          <w:tcPr>
            <w:tcW w:w="7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long-term liabilities, net</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32,128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6"/>
                <w:szCs w:val="16"/>
                <w:color w:val="auto"/>
              </w:rPr>
              <w:t>33,818</w:t>
            </w:r>
          </w:p>
        </w:tc>
      </w:tr>
      <w:tr>
        <w:trPr>
          <w:trHeight w:val="213"/>
        </w:trPr>
        <w:tc>
          <w:tcPr>
            <w:tcW w:w="7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52,776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ind w:left="1220"/>
              <w:spacing w:after="0"/>
              <w:rPr>
                <w:sz w:val="20"/>
                <w:szCs w:val="20"/>
                <w:color w:val="auto"/>
              </w:rPr>
            </w:pPr>
            <w:r>
              <w:rPr>
                <w:rFonts w:ascii="Arial" w:cs="Arial" w:eastAsia="Arial" w:hAnsi="Arial"/>
                <w:sz w:val="16"/>
                <w:szCs w:val="16"/>
                <w:color w:val="auto"/>
              </w:rPr>
              <w:t>54,318</w:t>
            </w:r>
          </w:p>
        </w:tc>
      </w:tr>
      <w:tr>
        <w:trPr>
          <w:trHeight w:val="23"/>
        </w:trPr>
        <w:tc>
          <w:tcPr>
            <w:tcW w:w="7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400" w:hanging="392"/>
        <w:spacing w:after="0"/>
        <w:tabs>
          <w:tab w:leader="none" w:pos="4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Discount rates of 0.26% and 1.61% were used for December 27, 2020 and December 29, 2019, respectively.</w:t>
      </w:r>
    </w:p>
    <w:p>
      <w:pPr>
        <w:spacing w:after="0" w:line="22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6"/>
          <w:szCs w:val="16"/>
          <w:color w:val="auto"/>
        </w:rPr>
        <w:t>Segment Reporting</w:t>
      </w:r>
    </w:p>
    <w:p>
      <w:pPr>
        <w:spacing w:after="0" w:line="243" w:lineRule="exact"/>
        <w:rPr>
          <w:sz w:val="20"/>
          <w:szCs w:val="20"/>
          <w:color w:val="auto"/>
        </w:rPr>
      </w:pPr>
    </w:p>
    <w:p>
      <w:pPr>
        <w:jc w:val="both"/>
        <w:ind w:right="20"/>
        <w:spacing w:after="0" w:line="260" w:lineRule="auto"/>
        <w:rPr>
          <w:sz w:val="20"/>
          <w:szCs w:val="20"/>
          <w:color w:val="auto"/>
        </w:rPr>
      </w:pPr>
      <w:r>
        <w:rPr>
          <w:rFonts w:ascii="Arial" w:cs="Arial" w:eastAsia="Arial" w:hAnsi="Arial"/>
          <w:sz w:val="19"/>
          <w:szCs w:val="19"/>
          <w:color w:val="auto"/>
        </w:rPr>
        <w:t>The Company considers its restaurant concepts and international markets as operating segments, which reflects how the Company manages its business, reviews operating performance and allocates resources. Resources are allocated and performance is assessed by the Company’s Chief Executive Officer, whom the Company has determined to be its Chief Operating Decision Maker (“CODM”). The Company aggregates its operating segments into two reportable segments, U.S. and international. The U.S. segment includes all restaurants operating in the U.S. while restaurants operating outside the U.S. are included in the international segment.</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summary of reporting segments as of December 27, 2020:</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REPORTABLE SEGMENT (1)</w:t>
            </w:r>
          </w:p>
        </w:tc>
        <w:tc>
          <w:tcPr>
            <w:tcW w:w="100" w:type="dxa"/>
            <w:vAlign w:val="bottom"/>
          </w:tcPr>
          <w:p>
            <w:pPr>
              <w:spacing w:after="0"/>
              <w:rPr>
                <w:sz w:val="17"/>
                <w:szCs w:val="17"/>
                <w:color w:val="auto"/>
              </w:rPr>
            </w:pPr>
          </w:p>
        </w:tc>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CONCEPT</w:t>
            </w:r>
          </w:p>
        </w:tc>
        <w:tc>
          <w:tcPr>
            <w:tcW w:w="3820" w:type="dxa"/>
            <w:vAlign w:val="bottom"/>
          </w:tcPr>
          <w:p>
            <w:pPr>
              <w:spacing w:after="0"/>
              <w:rPr>
                <w:sz w:val="20"/>
                <w:szCs w:val="20"/>
                <w:color w:val="auto"/>
              </w:rPr>
            </w:pPr>
            <w:r>
              <w:rPr>
                <w:rFonts w:ascii="Arial" w:cs="Arial" w:eastAsia="Arial" w:hAnsi="Arial"/>
                <w:sz w:val="14"/>
                <w:szCs w:val="14"/>
                <w:b w:val="1"/>
                <w:bCs w:val="1"/>
                <w:color w:val="auto"/>
              </w:rPr>
              <w:t>GEOGRAPHIC LOCATION</w:t>
            </w:r>
          </w:p>
        </w:tc>
        <w:tc>
          <w:tcPr>
            <w:tcW w:w="0" w:type="dxa"/>
            <w:vAlign w:val="bottom"/>
          </w:tcPr>
          <w:p>
            <w:pPr>
              <w:spacing w:after="0"/>
              <w:rPr>
                <w:sz w:val="1"/>
                <w:szCs w:val="1"/>
                <w:color w:val="auto"/>
              </w:rPr>
            </w:pPr>
          </w:p>
        </w:tc>
      </w:tr>
      <w:tr>
        <w:trPr>
          <w:trHeight w:val="237"/>
        </w:trPr>
        <w:tc>
          <w:tcPr>
            <w:tcW w:w="2640" w:type="dxa"/>
            <w:vAlign w:val="bottom"/>
            <w:tcBorders>
              <w:top w:val="single" w:sz="8" w:color="auto"/>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100" w:type="dxa"/>
            <w:vAlign w:val="bottom"/>
            <w:tcBorders>
              <w:top w:val="single" w:sz="8" w:color="CCEEFF"/>
              <w:right w:val="single" w:sz="8" w:color="auto"/>
            </w:tcBorders>
            <w:shd w:val="clear" w:color="auto" w:fill="CCEEFF"/>
          </w:tcPr>
          <w:p>
            <w:pPr>
              <w:spacing w:after="0"/>
              <w:rPr>
                <w:sz w:val="20"/>
                <w:szCs w:val="20"/>
                <w:color w:val="auto"/>
              </w:rPr>
            </w:pPr>
          </w:p>
        </w:tc>
        <w:tc>
          <w:tcPr>
            <w:tcW w:w="4600" w:type="dxa"/>
            <w:vAlign w:val="bottom"/>
            <w:tcBorders>
              <w:top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Outback Steakhouse</w:t>
            </w:r>
          </w:p>
        </w:tc>
        <w:tc>
          <w:tcPr>
            <w:tcW w:w="100" w:type="dxa"/>
            <w:vAlign w:val="bottom"/>
            <w:tcBorders>
              <w:top w:val="single" w:sz="8" w:color="CCEEFF"/>
              <w:right w:val="single" w:sz="8" w:color="auto"/>
            </w:tcBorders>
            <w:shd w:val="clear" w:color="auto" w:fill="CCEEFF"/>
          </w:tcPr>
          <w:p>
            <w:pPr>
              <w:spacing w:after="0"/>
              <w:rPr>
                <w:sz w:val="20"/>
                <w:szCs w:val="20"/>
                <w:color w:val="auto"/>
              </w:rPr>
            </w:pPr>
          </w:p>
        </w:tc>
        <w:tc>
          <w:tcPr>
            <w:tcW w:w="3820" w:type="dxa"/>
            <w:vAlign w:val="bottom"/>
            <w:tcBorders>
              <w:top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640" w:type="dxa"/>
            <w:vAlign w:val="bottom"/>
            <w:tcBorders>
              <w:left w:val="single" w:sz="8" w:color="auto"/>
              <w:right w:val="single" w:sz="8" w:color="auto"/>
            </w:tcBorders>
            <w:shd w:val="clear" w:color="auto" w:fill="CCEEFF"/>
          </w:tcPr>
          <w:p>
            <w:pPr>
              <w:spacing w:after="0"/>
              <w:rPr>
                <w:sz w:val="22"/>
                <w:szCs w:val="22"/>
                <w:color w:val="auto"/>
              </w:rPr>
            </w:pPr>
          </w:p>
        </w:tc>
        <w:tc>
          <w:tcPr>
            <w:tcW w:w="100" w:type="dxa"/>
            <w:vAlign w:val="bottom"/>
            <w:tcBorders>
              <w:right w:val="single" w:sz="8" w:color="auto"/>
            </w:tcBorders>
            <w:shd w:val="clear" w:color="auto" w:fill="CCEEFF"/>
          </w:tcPr>
          <w:p>
            <w:pPr>
              <w:spacing w:after="0"/>
              <w:rPr>
                <w:sz w:val="22"/>
                <w:szCs w:val="22"/>
                <w:color w:val="auto"/>
              </w:rPr>
            </w:pPr>
          </w:p>
        </w:tc>
        <w:tc>
          <w:tcPr>
            <w:tcW w:w="46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Carrabba’s Italian Grill</w:t>
            </w:r>
          </w:p>
        </w:tc>
        <w:tc>
          <w:tcPr>
            <w:tcW w:w="100" w:type="dxa"/>
            <w:vAlign w:val="bottom"/>
            <w:tcBorders>
              <w:right w:val="single" w:sz="8" w:color="auto"/>
            </w:tcBorders>
            <w:shd w:val="clear" w:color="auto" w:fill="CCEEFF"/>
          </w:tcPr>
          <w:p>
            <w:pPr>
              <w:spacing w:after="0"/>
              <w:rPr>
                <w:sz w:val="22"/>
                <w:szCs w:val="22"/>
                <w:color w:val="auto"/>
              </w:rPr>
            </w:pPr>
          </w:p>
        </w:tc>
        <w:tc>
          <w:tcPr>
            <w:tcW w:w="382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108"/>
        </w:trPr>
        <w:tc>
          <w:tcPr>
            <w:tcW w:w="2640" w:type="dxa"/>
            <w:vAlign w:val="bottom"/>
            <w:tcBorders>
              <w:left w:val="single" w:sz="8" w:color="auto"/>
              <w:right w:val="single" w:sz="8" w:color="auto"/>
            </w:tcBorders>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460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Bonefish Grill</w:t>
            </w:r>
          </w:p>
        </w:tc>
        <w:tc>
          <w:tcPr>
            <w:tcW w:w="100" w:type="dxa"/>
            <w:vAlign w:val="bottom"/>
            <w:tcBorders>
              <w:right w:val="single" w:sz="8" w:color="auto"/>
            </w:tcBorders>
            <w:shd w:val="clear" w:color="auto" w:fill="CCEEFF"/>
          </w:tcPr>
          <w:p>
            <w:pPr>
              <w:spacing w:after="0"/>
              <w:rPr>
                <w:sz w:val="9"/>
                <w:szCs w:val="9"/>
                <w:color w:val="auto"/>
              </w:rPr>
            </w:pPr>
          </w:p>
        </w:tc>
        <w:tc>
          <w:tcPr>
            <w:tcW w:w="382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640" w:type="dxa"/>
            <w:vAlign w:val="bottom"/>
            <w:tcBorders>
              <w:left w:val="single" w:sz="8" w:color="auto"/>
              <w:right w:val="single" w:sz="8" w:color="auto"/>
            </w:tcBorders>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600" w:type="dxa"/>
            <w:vAlign w:val="bottom"/>
            <w:tcBorders>
              <w:right w:val="single" w:sz="8" w:color="auto"/>
            </w:tcBorders>
            <w:vMerge w:val="continue"/>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382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2640" w:type="dxa"/>
            <w:vAlign w:val="bottom"/>
            <w:tcBorders>
              <w:left w:val="single" w:sz="8" w:color="auto"/>
              <w:bottom w:val="single" w:sz="8" w:color="auto"/>
              <w:right w:val="single" w:sz="8" w:color="auto"/>
            </w:tcBorders>
            <w:shd w:val="clear" w:color="auto" w:fill="CCEEFF"/>
          </w:tcPr>
          <w:p>
            <w:pPr>
              <w:spacing w:after="0"/>
              <w:rPr>
                <w:sz w:val="22"/>
                <w:szCs w:val="22"/>
                <w:color w:val="auto"/>
              </w:rPr>
            </w:pPr>
          </w:p>
        </w:tc>
        <w:tc>
          <w:tcPr>
            <w:tcW w:w="100" w:type="dxa"/>
            <w:vAlign w:val="bottom"/>
            <w:tcBorders>
              <w:right w:val="single" w:sz="8" w:color="auto"/>
            </w:tcBorders>
            <w:shd w:val="clear" w:color="auto" w:fill="CCEEFF"/>
          </w:tcPr>
          <w:p>
            <w:pPr>
              <w:spacing w:after="0"/>
              <w:rPr>
                <w:sz w:val="22"/>
                <w:szCs w:val="22"/>
                <w:color w:val="auto"/>
              </w:rPr>
            </w:pPr>
          </w:p>
        </w:tc>
        <w:tc>
          <w:tcPr>
            <w:tcW w:w="46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Fleming’s Prime Steakhouse &amp; Wine Bar</w:t>
            </w:r>
          </w:p>
        </w:tc>
        <w:tc>
          <w:tcPr>
            <w:tcW w:w="100" w:type="dxa"/>
            <w:vAlign w:val="bottom"/>
            <w:tcBorders>
              <w:right w:val="single" w:sz="8" w:color="auto"/>
            </w:tcBorders>
            <w:shd w:val="clear" w:color="auto" w:fill="CCEEFF"/>
          </w:tcPr>
          <w:p>
            <w:pPr>
              <w:spacing w:after="0"/>
              <w:rPr>
                <w:sz w:val="22"/>
                <w:szCs w:val="22"/>
                <w:color w:val="auto"/>
              </w:rPr>
            </w:pPr>
          </w:p>
        </w:tc>
        <w:tc>
          <w:tcPr>
            <w:tcW w:w="3820" w:type="dxa"/>
            <w:vAlign w:val="bottom"/>
            <w:tcBorders>
              <w:bottom w:val="single" w:sz="8" w:color="auto"/>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International</w:t>
            </w:r>
          </w:p>
        </w:tc>
        <w:tc>
          <w:tcPr>
            <w:tcW w:w="100" w:type="dxa"/>
            <w:vAlign w:val="bottom"/>
            <w:tcBorders>
              <w:right w:val="single" w:sz="8" w:color="auto"/>
            </w:tcBorders>
          </w:tcPr>
          <w:p>
            <w:pPr>
              <w:spacing w:after="0"/>
              <w:rPr>
                <w:sz w:val="20"/>
                <w:szCs w:val="20"/>
                <w:color w:val="auto"/>
              </w:rPr>
            </w:pPr>
          </w:p>
        </w:tc>
        <w:tc>
          <w:tcPr>
            <w:tcW w:w="4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Outback Steakhouse</w:t>
            </w:r>
          </w:p>
        </w:tc>
        <w:tc>
          <w:tcPr>
            <w:tcW w:w="100" w:type="dxa"/>
            <w:vAlign w:val="bottom"/>
            <w:tcBorders>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 Hong Kong/China</w:t>
            </w:r>
          </w:p>
        </w:tc>
        <w:tc>
          <w:tcPr>
            <w:tcW w:w="0" w:type="dxa"/>
            <w:vAlign w:val="bottom"/>
          </w:tcPr>
          <w:p>
            <w:pPr>
              <w:spacing w:after="0"/>
              <w:rPr>
                <w:sz w:val="1"/>
                <w:szCs w:val="1"/>
                <w:color w:val="auto"/>
              </w:rPr>
            </w:pPr>
          </w:p>
        </w:tc>
      </w:tr>
      <w:tr>
        <w:trPr>
          <w:trHeight w:val="237"/>
        </w:trPr>
        <w:tc>
          <w:tcPr>
            <w:tcW w:w="2640" w:type="dxa"/>
            <w:vAlign w:val="bottom"/>
            <w:tcBorders>
              <w:left w:val="single" w:sz="8" w:color="auto"/>
              <w:bottom w:val="single" w:sz="8" w:color="auto"/>
              <w:righ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4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Carrabba’s Italian Grill (Abbraccio)</w:t>
            </w:r>
          </w:p>
        </w:tc>
        <w:tc>
          <w:tcPr>
            <w:tcW w:w="100" w:type="dxa"/>
            <w:vAlign w:val="bottom"/>
            <w:tcBorders>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84"/>
        </w:trPr>
        <w:tc>
          <w:tcPr>
            <w:tcW w:w="2640" w:type="dxa"/>
            <w:vAlign w:val="bottom"/>
          </w:tcPr>
          <w:p>
            <w:pPr>
              <w:spacing w:after="0"/>
              <w:rPr>
                <w:sz w:val="20"/>
                <w:szCs w:val="20"/>
                <w:color w:val="auto"/>
              </w:rPr>
            </w:pPr>
            <w:r>
              <w:rPr>
                <w:rFonts w:ascii="Arial" w:cs="Arial" w:eastAsia="Arial" w:hAnsi="Arial"/>
                <w:sz w:val="16"/>
                <w:szCs w:val="16"/>
                <w:color w:val="auto"/>
              </w:rPr>
              <w:t>_________________</w:t>
            </w:r>
          </w:p>
        </w:tc>
        <w:tc>
          <w:tcPr>
            <w:tcW w:w="1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Includes franchise locations.</w:t>
      </w:r>
    </w:p>
    <w:p>
      <w:pPr>
        <w:spacing w:after="0" w:line="227"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 xml:space="preserve">Segment accounting policies are the same as those described in Note 2 - </w:t>
      </w:r>
      <w:r>
        <w:rPr>
          <w:rFonts w:ascii="Arial" w:cs="Arial" w:eastAsia="Arial" w:hAnsi="Arial"/>
          <w:sz w:val="20"/>
          <w:szCs w:val="20"/>
          <w:i w:val="1"/>
          <w:iCs w:val="1"/>
          <w:color w:val="auto"/>
        </w:rPr>
        <w:t>Summary of Significant Accounting Policies</w:t>
      </w:r>
      <w:r>
        <w:rPr>
          <w:rFonts w:ascii="Arial" w:cs="Arial" w:eastAsia="Arial" w:hAnsi="Arial"/>
          <w:sz w:val="20"/>
          <w:szCs w:val="20"/>
          <w:color w:val="auto"/>
        </w:rPr>
        <w:t>. Revenues for all segments include only transactions with customers and exclude intersegment revenues. Excluded from (Loss) income from operations for U.S. and international are certain legal and corporate costs not</w:t>
      </w: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1" w:name="page112"/>
    <w:bookmarkEnd w:id="1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directly related to the performance of the segments, most stock-based compensation expenses and certain bonus expenses.</w:t>
      </w:r>
    </w:p>
    <w:p>
      <w:pPr>
        <w:spacing w:after="0" w:line="24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During 2020, the Company recorded $32.4 million of pre-tax charges as a part of transformational initiatives implemented in connection with its previously announced review of strategic alternatives. These costs were primarily recorded within General and administrative expense and Provision for impaired assets and restaurant closings and were not allocated to the Company’s segments since the Company’s CODM does not consider the impact of transformational initiatives when assessing segment performance.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summary of Total revenues by segment,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2018</w:t>
            </w: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6440" w:type="dxa"/>
            <w:vAlign w:val="bottom"/>
          </w:tcPr>
          <w:p>
            <w:pPr>
              <w:ind w:left="220"/>
              <w:spacing w:after="0"/>
              <w:rPr>
                <w:sz w:val="20"/>
                <w:szCs w:val="20"/>
                <w:color w:val="auto"/>
              </w:rPr>
            </w:pPr>
            <w:r>
              <w:rPr>
                <w:rFonts w:ascii="Arial" w:cs="Arial" w:eastAsia="Arial" w:hAnsi="Arial"/>
                <w:sz w:val="16"/>
                <w:szCs w:val="16"/>
                <w:color w:val="auto"/>
              </w:rPr>
              <w:t>U.S.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2,885,542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3,687,918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3,687,239</w:t>
            </w:r>
          </w:p>
        </w:tc>
      </w:tr>
      <w:tr>
        <w:trPr>
          <w:trHeight w:val="226"/>
        </w:trPr>
        <w:tc>
          <w:tcPr>
            <w:tcW w:w="6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International</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285,019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451,471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439,174</w:t>
            </w:r>
          </w:p>
        </w:tc>
      </w:tr>
      <w:tr>
        <w:trPr>
          <w:trHeight w:val="216"/>
        </w:trPr>
        <w:tc>
          <w:tcPr>
            <w:tcW w:w="644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3,170,561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4,139,389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4,126,413</w:t>
            </w:r>
          </w:p>
        </w:tc>
      </w:tr>
      <w:tr>
        <w:trPr>
          <w:trHeight w:val="20"/>
        </w:trPr>
        <w:tc>
          <w:tcPr>
            <w:tcW w:w="6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is a reconciliation of segment (loss) income from operations to (Loss) income before (benefit) provision for income taxes, for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2018</w:t>
            </w: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(loss) income from operations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6440" w:type="dxa"/>
            <w:vAlign w:val="bottom"/>
          </w:tcPr>
          <w:p>
            <w:pPr>
              <w:ind w:left="220"/>
              <w:spacing w:after="0"/>
              <w:rPr>
                <w:sz w:val="20"/>
                <w:szCs w:val="20"/>
                <w:color w:val="auto"/>
              </w:rPr>
            </w:pPr>
            <w:r>
              <w:rPr>
                <w:rFonts w:ascii="Arial" w:cs="Arial" w:eastAsia="Arial" w:hAnsi="Arial"/>
                <w:sz w:val="16"/>
                <w:szCs w:val="16"/>
                <w:color w:val="auto"/>
              </w:rPr>
              <w:t>U.S.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(1,630)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311,666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288,959</w:t>
            </w:r>
          </w:p>
        </w:tc>
      </w:tr>
      <w:tr>
        <w:trPr>
          <w:trHeight w:val="239"/>
        </w:trPr>
        <w:tc>
          <w:tcPr>
            <w:tcW w:w="6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International</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(13,479)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44,428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22,001</w:t>
            </w:r>
          </w:p>
        </w:tc>
      </w:tr>
      <w:tr>
        <w:trPr>
          <w:trHeight w:val="200"/>
        </w:trPr>
        <w:tc>
          <w:tcPr>
            <w:tcW w:w="6440" w:type="dxa"/>
            <w:vAlign w:val="bottom"/>
          </w:tcPr>
          <w:p>
            <w:pPr>
              <w:ind w:left="480"/>
              <w:spacing w:after="0"/>
              <w:rPr>
                <w:sz w:val="20"/>
                <w:szCs w:val="20"/>
                <w:color w:val="auto"/>
              </w:rPr>
            </w:pPr>
            <w:r>
              <w:rPr>
                <w:rFonts w:ascii="Arial" w:cs="Arial" w:eastAsia="Arial" w:hAnsi="Arial"/>
                <w:sz w:val="16"/>
                <w:szCs w:val="16"/>
                <w:color w:val="auto"/>
              </w:rPr>
              <w:t>Total segment (loss) income from operations</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(15,109)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356,094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310,960</w:t>
            </w:r>
          </w:p>
        </w:tc>
      </w:tr>
      <w:tr>
        <w:trPr>
          <w:trHeight w:val="239"/>
        </w:trPr>
        <w:tc>
          <w:tcPr>
            <w:tcW w:w="6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Unallocated corporate operating expense</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(159,864)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(165,004)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(165,707)</w:t>
            </w:r>
          </w:p>
        </w:tc>
      </w:tr>
      <w:tr>
        <w:trPr>
          <w:trHeight w:val="200"/>
        </w:trPr>
        <w:tc>
          <w:tcPr>
            <w:tcW w:w="6440" w:type="dxa"/>
            <w:vAlign w:val="bottom"/>
          </w:tcPr>
          <w:p>
            <w:pPr>
              <w:ind w:left="480"/>
              <w:spacing w:after="0"/>
              <w:rPr>
                <w:sz w:val="20"/>
                <w:szCs w:val="20"/>
                <w:color w:val="auto"/>
              </w:rPr>
            </w:pPr>
            <w:r>
              <w:rPr>
                <w:rFonts w:ascii="Arial" w:cs="Arial" w:eastAsia="Arial" w:hAnsi="Arial"/>
                <w:sz w:val="16"/>
                <w:szCs w:val="16"/>
                <w:color w:val="auto"/>
              </w:rPr>
              <w:t>Total (loss) income from operations</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(174,973)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191,090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145,253</w:t>
            </w:r>
          </w:p>
        </w:tc>
      </w:tr>
      <w:tr>
        <w:trPr>
          <w:trHeight w:val="21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modification of debt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440" w:type="dxa"/>
            <w:vAlign w:val="bottom"/>
          </w:tcPr>
          <w:p>
            <w:pPr>
              <w:ind w:left="220"/>
              <w:spacing w:after="0"/>
              <w:rPr>
                <w:sz w:val="20"/>
                <w:szCs w:val="20"/>
                <w:color w:val="auto"/>
              </w:rPr>
            </w:pPr>
            <w:r>
              <w:rPr>
                <w:rFonts w:ascii="Arial" w:cs="Arial" w:eastAsia="Arial" w:hAnsi="Arial"/>
                <w:sz w:val="16"/>
                <w:szCs w:val="16"/>
                <w:color w:val="auto"/>
              </w:rPr>
              <w:t>Other income (expense), net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26"/>
        </w:trPr>
        <w:tc>
          <w:tcPr>
            <w:tcW w:w="6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Interest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(64,442)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(49,257)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(44,937)</w:t>
            </w:r>
          </w:p>
        </w:tc>
      </w:tr>
      <w:tr>
        <w:trPr>
          <w:trHeight w:val="216"/>
        </w:trPr>
        <w:tc>
          <w:tcPr>
            <w:tcW w:w="6440" w:type="dxa"/>
            <w:vAlign w:val="bottom"/>
          </w:tcPr>
          <w:p>
            <w:pPr>
              <w:ind w:left="480"/>
              <w:spacing w:after="0"/>
              <w:rPr>
                <w:sz w:val="20"/>
                <w:szCs w:val="20"/>
                <w:color w:val="auto"/>
              </w:rPr>
            </w:pPr>
            <w:r>
              <w:rPr>
                <w:rFonts w:ascii="Arial" w:cs="Arial" w:eastAsia="Arial" w:hAnsi="Arial"/>
                <w:sz w:val="16"/>
                <w:szCs w:val="16"/>
                <w:color w:val="auto"/>
              </w:rPr>
              <w:t>(Loss) income before (benefit) provision for income taxes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(239,521)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141,690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100,305</w:t>
            </w:r>
          </w:p>
        </w:tc>
      </w:tr>
      <w:tr>
        <w:trPr>
          <w:trHeight w:val="21"/>
        </w:trPr>
        <w:tc>
          <w:tcPr>
            <w:tcW w:w="6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summary of Depreciation and amortization expense by segment for the periods indicated: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2018</w:t>
            </w: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6440" w:type="dxa"/>
            <w:vAlign w:val="bottom"/>
          </w:tcPr>
          <w:p>
            <w:pPr>
              <w:ind w:left="220"/>
              <w:spacing w:after="0"/>
              <w:rPr>
                <w:sz w:val="20"/>
                <w:szCs w:val="20"/>
                <w:color w:val="auto"/>
              </w:rPr>
            </w:pPr>
            <w:r>
              <w:rPr>
                <w:rFonts w:ascii="Arial" w:cs="Arial" w:eastAsia="Arial" w:hAnsi="Arial"/>
                <w:sz w:val="16"/>
                <w:szCs w:val="16"/>
                <w:color w:val="auto"/>
              </w:rPr>
              <w:t>U.S.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144,298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152,881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158,307</w:t>
            </w:r>
          </w:p>
        </w:tc>
      </w:tr>
      <w:tr>
        <w:trPr>
          <w:trHeight w:val="21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International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27,491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26,304</w:t>
            </w:r>
          </w:p>
        </w:tc>
      </w:tr>
      <w:tr>
        <w:trPr>
          <w:trHeight w:val="223"/>
        </w:trPr>
        <w:tc>
          <w:tcPr>
            <w:tcW w:w="6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Corporate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16,439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16,982</w:t>
            </w:r>
          </w:p>
        </w:tc>
      </w:tr>
      <w:tr>
        <w:trPr>
          <w:trHeight w:val="241"/>
        </w:trPr>
        <w:tc>
          <w:tcPr>
            <w:tcW w:w="64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depreciation and amortization</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180,261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196,811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201,593</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summary of capital expenditures by segment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2018</w:t>
            </w: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6440" w:type="dxa"/>
            <w:vAlign w:val="bottom"/>
          </w:tcPr>
          <w:p>
            <w:pPr>
              <w:ind w:left="220"/>
              <w:spacing w:after="0"/>
              <w:rPr>
                <w:sz w:val="20"/>
                <w:szCs w:val="20"/>
                <w:color w:val="auto"/>
              </w:rPr>
            </w:pPr>
            <w:r>
              <w:rPr>
                <w:rFonts w:ascii="Arial" w:cs="Arial" w:eastAsia="Arial" w:hAnsi="Arial"/>
                <w:sz w:val="16"/>
                <w:szCs w:val="16"/>
                <w:color w:val="auto"/>
              </w:rPr>
              <w:t>U.S.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64,516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121,646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162,207</w:t>
            </w:r>
          </w:p>
        </w:tc>
      </w:tr>
      <w:tr>
        <w:trPr>
          <w:trHeight w:val="21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International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28,496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36,962</w:t>
            </w:r>
          </w:p>
        </w:tc>
      </w:tr>
      <w:tr>
        <w:trPr>
          <w:trHeight w:val="223"/>
        </w:trPr>
        <w:tc>
          <w:tcPr>
            <w:tcW w:w="6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Corporate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8,885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11,754</w:t>
            </w:r>
          </w:p>
        </w:tc>
      </w:tr>
      <w:tr>
        <w:trPr>
          <w:trHeight w:val="241"/>
        </w:trPr>
        <w:tc>
          <w:tcPr>
            <w:tcW w:w="64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capital expenditures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88,994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159,027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210,923</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Total assets by segment as of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27, 2020</w:t>
            </w:r>
          </w:p>
        </w:tc>
        <w:tc>
          <w:tcPr>
            <w:tcW w:w="200" w:type="dxa"/>
            <w:vAlign w:val="bottom"/>
          </w:tcPr>
          <w:p>
            <w:pPr>
              <w:spacing w:after="0"/>
              <w:rPr>
                <w:sz w:val="17"/>
                <w:szCs w:val="17"/>
                <w:color w:val="auto"/>
              </w:rPr>
            </w:pPr>
          </w:p>
        </w:tc>
        <w:tc>
          <w:tcPr>
            <w:tcW w:w="174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29, 2019</w:t>
            </w:r>
          </w:p>
        </w:tc>
      </w:tr>
      <w:tr>
        <w:trPr>
          <w:trHeight w:val="203"/>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r>
      <w:tr>
        <w:trPr>
          <w:trHeight w:val="213"/>
        </w:trPr>
        <w:tc>
          <w:tcPr>
            <w:tcW w:w="7280" w:type="dxa"/>
            <w:vAlign w:val="bottom"/>
          </w:tcPr>
          <w:p>
            <w:pPr>
              <w:ind w:left="220"/>
              <w:spacing w:after="0"/>
              <w:rPr>
                <w:sz w:val="20"/>
                <w:szCs w:val="20"/>
                <w:color w:val="auto"/>
              </w:rPr>
            </w:pPr>
            <w:r>
              <w:rPr>
                <w:rFonts w:ascii="Arial" w:cs="Arial" w:eastAsia="Arial" w:hAnsi="Arial"/>
                <w:sz w:val="16"/>
                <w:szCs w:val="16"/>
                <w:color w:val="auto"/>
              </w:rPr>
              <w:t>U.S.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2,672,778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2,941,831</w:t>
            </w:r>
          </w:p>
        </w:tc>
      </w:tr>
      <w:tr>
        <w:trPr>
          <w:trHeight w:val="219"/>
        </w:trPr>
        <w:tc>
          <w:tcPr>
            <w:tcW w:w="7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International</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410,322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462,308</w:t>
            </w:r>
          </w:p>
        </w:tc>
      </w:tr>
      <w:tr>
        <w:trPr>
          <w:trHeight w:val="223"/>
        </w:trPr>
        <w:tc>
          <w:tcPr>
            <w:tcW w:w="72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Corporate</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279,007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188,544</w:t>
            </w:r>
          </w:p>
        </w:tc>
      </w:tr>
      <w:tr>
        <w:trPr>
          <w:trHeight w:val="241"/>
        </w:trPr>
        <w:tc>
          <w:tcPr>
            <w:tcW w:w="7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3,362,107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3,592,683</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Geographic areas </w:t>
      </w:r>
      <w:r>
        <w:rPr>
          <w:rFonts w:ascii="Arial" w:cs="Arial" w:eastAsia="Arial" w:hAnsi="Arial"/>
          <w:sz w:val="20"/>
          <w:szCs w:val="20"/>
          <w:color w:val="auto"/>
        </w:rPr>
        <w:t>— International assets are defined as assets residing in a country other than the U.S. The following table details long-lived</w:t>
      </w:r>
      <w:r>
        <w:rPr>
          <w:rFonts w:ascii="Arial" w:cs="Arial" w:eastAsia="Arial" w:hAnsi="Arial"/>
          <w:sz w:val="20"/>
          <w:szCs w:val="20"/>
          <w:i w:val="1"/>
          <w:iCs w:val="1"/>
          <w:color w:val="auto"/>
        </w:rPr>
        <w:t xml:space="preserve"> </w:t>
      </w:r>
      <w:r>
        <w:rPr>
          <w:rFonts w:ascii="Arial" w:cs="Arial" w:eastAsia="Arial" w:hAnsi="Arial"/>
          <w:sz w:val="20"/>
          <w:szCs w:val="20"/>
          <w:color w:val="auto"/>
        </w:rPr>
        <w:t>assets, excluding goodwill, operating lease right-of-use assets, intangible assets and deferred tax assets, by major geographic area as of the periods indicated: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27, 2020</w:t>
            </w:r>
          </w:p>
        </w:tc>
        <w:tc>
          <w:tcPr>
            <w:tcW w:w="200" w:type="dxa"/>
            <w:vAlign w:val="bottom"/>
          </w:tcPr>
          <w:p>
            <w:pPr>
              <w:spacing w:after="0"/>
              <w:rPr>
                <w:sz w:val="17"/>
                <w:szCs w:val="17"/>
                <w:color w:val="auto"/>
              </w:rPr>
            </w:pPr>
          </w:p>
        </w:tc>
        <w:tc>
          <w:tcPr>
            <w:tcW w:w="174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29, 2019</w:t>
            </w:r>
          </w:p>
        </w:tc>
      </w:tr>
      <w:tr>
        <w:trPr>
          <w:trHeight w:val="216"/>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879,392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1,023,146</w:t>
            </w:r>
          </w:p>
        </w:tc>
      </w:tr>
      <w:tr>
        <w:trPr>
          <w:trHeight w:val="213"/>
        </w:trPr>
        <w:tc>
          <w:tcPr>
            <w:tcW w:w="728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9"/>
        </w:trPr>
        <w:tc>
          <w:tcPr>
            <w:tcW w:w="7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Brazil</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113,795</w:t>
            </w:r>
          </w:p>
        </w:tc>
      </w:tr>
      <w:tr>
        <w:trPr>
          <w:trHeight w:val="223"/>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17,880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16,246</w:t>
            </w:r>
          </w:p>
        </w:tc>
      </w:tr>
      <w:tr>
        <w:trPr>
          <w:trHeight w:val="241"/>
        </w:trPr>
        <w:tc>
          <w:tcPr>
            <w:tcW w:w="7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980,313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1,153,187</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International revenues are defined as revenues generated from restaurant sales originating in a country other than the U.S. The following table details Total revenues by major geographic area for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96"/>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2018</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2,885,542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3,687,918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3,687,239</w:t>
            </w:r>
          </w:p>
        </w:tc>
      </w:tr>
      <w:tr>
        <w:trPr>
          <w:trHeight w:val="213"/>
        </w:trPr>
        <w:tc>
          <w:tcPr>
            <w:tcW w:w="738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7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Brazil</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222,283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393,700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376,317</w:t>
            </w:r>
          </w:p>
        </w:tc>
      </w:tr>
      <w:tr>
        <w:trPr>
          <w:trHeight w:val="223"/>
        </w:trPr>
        <w:tc>
          <w:tcPr>
            <w:tcW w:w="73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62,736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57,771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62,857</w:t>
            </w:r>
          </w:p>
        </w:tc>
      </w:tr>
      <w:tr>
        <w:trPr>
          <w:trHeight w:val="241"/>
        </w:trPr>
        <w:tc>
          <w:tcPr>
            <w:tcW w:w="7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revenues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3,170,561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4,139,389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4,126,413</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6"/>
          <w:szCs w:val="16"/>
          <w:color w:val="auto"/>
        </w:rPr>
        <w:t>Selected Quarterly Financial Data (Unaudited)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2020 FISCAL QUARTERS</w:t>
            </w:r>
          </w:p>
        </w:tc>
        <w:tc>
          <w:tcPr>
            <w:tcW w:w="260" w:type="dxa"/>
            <w:vAlign w:val="bottom"/>
          </w:tcPr>
          <w:p>
            <w:pPr>
              <w:spacing w:after="0"/>
              <w:rPr>
                <w:sz w:val="14"/>
                <w:szCs w:val="14"/>
                <w:color w:val="auto"/>
              </w:rPr>
            </w:pPr>
          </w:p>
        </w:tc>
        <w:tc>
          <w:tcPr>
            <w:tcW w:w="13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FIRST (1)</w:t>
            </w:r>
          </w:p>
        </w:tc>
        <w:tc>
          <w:tcPr>
            <w:tcW w:w="240" w:type="dxa"/>
            <w:vAlign w:val="bottom"/>
          </w:tcPr>
          <w:p>
            <w:pPr>
              <w:spacing w:after="0"/>
              <w:rPr>
                <w:sz w:val="14"/>
                <w:szCs w:val="14"/>
                <w:color w:val="auto"/>
              </w:rPr>
            </w:pPr>
          </w:p>
        </w:tc>
        <w:tc>
          <w:tcPr>
            <w:tcW w:w="13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SECOND (1)</w:t>
            </w:r>
          </w:p>
        </w:tc>
        <w:tc>
          <w:tcPr>
            <w:tcW w:w="260" w:type="dxa"/>
            <w:vAlign w:val="bottom"/>
          </w:tcPr>
          <w:p>
            <w:pPr>
              <w:spacing w:after="0"/>
              <w:rPr>
                <w:sz w:val="14"/>
                <w:szCs w:val="14"/>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THIRD (1)</w:t>
            </w:r>
          </w:p>
        </w:tc>
        <w:tc>
          <w:tcPr>
            <w:tcW w:w="240" w:type="dxa"/>
            <w:vAlign w:val="bottom"/>
          </w:tcPr>
          <w:p>
            <w:pPr>
              <w:spacing w:after="0"/>
              <w:rPr>
                <w:sz w:val="14"/>
                <w:szCs w:val="14"/>
                <w:color w:val="auto"/>
              </w:rPr>
            </w:pPr>
          </w:p>
        </w:tc>
        <w:tc>
          <w:tcPr>
            <w:tcW w:w="130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FOURTH (1)</w:t>
            </w:r>
          </w:p>
        </w:tc>
        <w:tc>
          <w:tcPr>
            <w:tcW w:w="0" w:type="dxa"/>
            <w:vAlign w:val="bottom"/>
          </w:tcPr>
          <w:p>
            <w:pPr>
              <w:spacing w:after="0"/>
              <w:rPr>
                <w:sz w:val="1"/>
                <w:szCs w:val="1"/>
                <w:color w:val="auto"/>
              </w:rPr>
            </w:pPr>
          </w:p>
        </w:tc>
      </w:tr>
      <w:tr>
        <w:trPr>
          <w:trHeight w:val="182"/>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 except per share data)</w:t>
            </w:r>
          </w:p>
        </w:tc>
        <w:tc>
          <w:tcPr>
            <w:tcW w:w="26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1,008,337</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578,459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771,260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812,505</w:t>
            </w:r>
          </w:p>
        </w:tc>
        <w:tc>
          <w:tcPr>
            <w:tcW w:w="0" w:type="dxa"/>
            <w:vAlign w:val="bottom"/>
          </w:tcPr>
          <w:p>
            <w:pPr>
              <w:spacing w:after="0"/>
              <w:rPr>
                <w:sz w:val="1"/>
                <w:szCs w:val="1"/>
                <w:color w:val="auto"/>
              </w:rPr>
            </w:pPr>
          </w:p>
        </w:tc>
      </w:tr>
      <w:tr>
        <w:trPr>
          <w:trHeight w:val="213"/>
        </w:trPr>
        <w:tc>
          <w:tcPr>
            <w:tcW w:w="482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(41,568)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(111,912)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(14,255)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(7,238)</w:t>
            </w: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(14,175)</w:t>
            </w:r>
          </w:p>
        </w:tc>
        <w:tc>
          <w:tcPr>
            <w:tcW w:w="0" w:type="dxa"/>
            <w:vAlign w:val="bottom"/>
          </w:tcPr>
          <w:p>
            <w:pPr>
              <w:spacing w:after="0"/>
              <w:rPr>
                <w:sz w:val="1"/>
                <w:szCs w:val="1"/>
                <w:color w:val="auto"/>
              </w:rPr>
            </w:pPr>
          </w:p>
        </w:tc>
      </w:tr>
      <w:tr>
        <w:trPr>
          <w:trHeight w:val="213"/>
        </w:trPr>
        <w:tc>
          <w:tcPr>
            <w:tcW w:w="4820" w:type="dxa"/>
            <w:vAlign w:val="bottom"/>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(38,107)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(92,256)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(17,637)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(14,211)</w:t>
            </w: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per share attributable to common stockholders: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20" w:type="dxa"/>
            <w:vAlign w:val="bottom"/>
          </w:tcPr>
          <w:p>
            <w:pPr>
              <w:ind w:left="14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2019 FISCAL QUARTERS</w:t>
            </w:r>
          </w:p>
        </w:tc>
        <w:tc>
          <w:tcPr>
            <w:tcW w:w="260" w:type="dxa"/>
            <w:vAlign w:val="bottom"/>
          </w:tcPr>
          <w:p>
            <w:pPr>
              <w:spacing w:after="0"/>
              <w:rPr>
                <w:sz w:val="21"/>
                <w:szCs w:val="21"/>
                <w:color w:val="auto"/>
              </w:rPr>
            </w:pPr>
          </w:p>
        </w:tc>
        <w:tc>
          <w:tcPr>
            <w:tcW w:w="13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FIRST (2)</w:t>
            </w:r>
          </w:p>
        </w:tc>
        <w:tc>
          <w:tcPr>
            <w:tcW w:w="240" w:type="dxa"/>
            <w:vAlign w:val="bottom"/>
          </w:tcPr>
          <w:p>
            <w:pPr>
              <w:spacing w:after="0"/>
              <w:rPr>
                <w:sz w:val="21"/>
                <w:szCs w:val="21"/>
                <w:color w:val="auto"/>
              </w:rPr>
            </w:pPr>
          </w:p>
        </w:tc>
        <w:tc>
          <w:tcPr>
            <w:tcW w:w="13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SECOND (2)</w:t>
            </w:r>
          </w:p>
        </w:tc>
        <w:tc>
          <w:tcPr>
            <w:tcW w:w="260" w:type="dxa"/>
            <w:vAlign w:val="bottom"/>
          </w:tcPr>
          <w:p>
            <w:pPr>
              <w:spacing w:after="0"/>
              <w:rPr>
                <w:sz w:val="21"/>
                <w:szCs w:val="21"/>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THIRD (2)</w:t>
            </w:r>
          </w:p>
        </w:tc>
        <w:tc>
          <w:tcPr>
            <w:tcW w:w="240" w:type="dxa"/>
            <w:vAlign w:val="bottom"/>
          </w:tcPr>
          <w:p>
            <w:pPr>
              <w:spacing w:after="0"/>
              <w:rPr>
                <w:sz w:val="21"/>
                <w:szCs w:val="21"/>
                <w:color w:val="auto"/>
              </w:rPr>
            </w:pPr>
          </w:p>
        </w:tc>
        <w:tc>
          <w:tcPr>
            <w:tcW w:w="130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FOURTH (2)</w:t>
            </w:r>
          </w:p>
        </w:tc>
        <w:tc>
          <w:tcPr>
            <w:tcW w:w="0" w:type="dxa"/>
            <w:vAlign w:val="bottom"/>
          </w:tcPr>
          <w:p>
            <w:pPr>
              <w:spacing w:after="0"/>
              <w:rPr>
                <w:sz w:val="1"/>
                <w:szCs w:val="1"/>
                <w:color w:val="auto"/>
              </w:rPr>
            </w:pPr>
          </w:p>
        </w:tc>
      </w:tr>
      <w:tr>
        <w:trPr>
          <w:trHeight w:val="183"/>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 except per share data)</w:t>
            </w:r>
          </w:p>
        </w:tc>
        <w:tc>
          <w:tcPr>
            <w:tcW w:w="26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1,128,131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1,021,930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967,144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1,022,184</w:t>
            </w:r>
          </w:p>
        </w:tc>
        <w:tc>
          <w:tcPr>
            <w:tcW w:w="0" w:type="dxa"/>
            <w:vAlign w:val="bottom"/>
          </w:tcPr>
          <w:p>
            <w:pPr>
              <w:spacing w:after="0"/>
              <w:rPr>
                <w:sz w:val="1"/>
                <w:szCs w:val="1"/>
                <w:color w:val="auto"/>
              </w:rPr>
            </w:pPr>
          </w:p>
        </w:tc>
      </w:tr>
      <w:tr>
        <w:trPr>
          <w:trHeight w:val="213"/>
        </w:trPr>
        <w:tc>
          <w:tcPr>
            <w:tcW w:w="482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82,494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43,460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21,958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43,178</w:t>
            </w: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65,649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29,286</w:t>
            </w:r>
          </w:p>
        </w:tc>
        <w:tc>
          <w:tcPr>
            <w:tcW w:w="0" w:type="dxa"/>
            <w:vAlign w:val="bottom"/>
          </w:tcPr>
          <w:p>
            <w:pPr>
              <w:spacing w:after="0"/>
              <w:rPr>
                <w:sz w:val="1"/>
                <w:szCs w:val="1"/>
                <w:color w:val="auto"/>
              </w:rPr>
            </w:pPr>
          </w:p>
        </w:tc>
      </w:tr>
      <w:tr>
        <w:trPr>
          <w:trHeight w:val="213"/>
        </w:trPr>
        <w:tc>
          <w:tcPr>
            <w:tcW w:w="4820" w:type="dxa"/>
            <w:vAlign w:val="bottom"/>
          </w:tcPr>
          <w:p>
            <w:pPr>
              <w:ind w:left="20"/>
              <w:spacing w:after="0"/>
              <w:rPr>
                <w:sz w:val="20"/>
                <w:szCs w:val="20"/>
                <w:color w:val="auto"/>
              </w:rPr>
            </w:pPr>
            <w:r>
              <w:rPr>
                <w:rFonts w:ascii="Arial" w:cs="Arial" w:eastAsia="Arial" w:hAnsi="Arial"/>
                <w:sz w:val="16"/>
                <w:szCs w:val="16"/>
                <w:color w:val="auto"/>
              </w:rPr>
              <w:t>Net income attributable to Bloomin’ Brands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64,300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9,248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28,004</w:t>
            </w: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20" w:type="dxa"/>
            <w:vAlign w:val="bottom"/>
          </w:tcPr>
          <w:p>
            <w:pPr>
              <w:ind w:left="14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0.32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0.32</w:t>
            </w: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jc w:val="both"/>
        <w:ind w:left="660" w:hanging="652"/>
        <w:spacing w:after="0" w:line="246"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Loss from operations in the first, second, third and fourth quarters include expense of $69.1 million, $32.8 million, $4.2 million and $18.2 million, respectively, for impairments and closure charges, primarily in connection with the COVID-19 pandemic, and severance and other costs related to transformational and restructuring activities. Net loss in the second, third and fourth quarters include expense of $1.4 million, $2.4 million and $2.5 million, respectively, for amortization of the debt discount related to the issuance of the 2025 Notes.</w:t>
      </w:r>
    </w:p>
    <w:p>
      <w:pPr>
        <w:spacing w:after="0" w:line="1" w:lineRule="exact"/>
        <w:rPr>
          <w:rFonts w:ascii="Arial" w:cs="Arial" w:eastAsia="Arial" w:hAnsi="Arial"/>
          <w:sz w:val="16"/>
          <w:szCs w:val="16"/>
          <w:color w:val="auto"/>
        </w:rPr>
      </w:pPr>
    </w:p>
    <w:p>
      <w:pPr>
        <w:jc w:val="both"/>
        <w:ind w:left="660" w:hanging="652"/>
        <w:spacing w:after="0" w:line="250"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Income from operations in the first, second, third and fourth quarters include expense of $6.0 million, $3.7 million, $3.9 million and $4.0 million, respectively, for impairments, closure charges and severance related to certain restructuring activities and the relocation of certain restaurants. Income from operations in the third and fourth quarters also include $3.8 million of gains related to the sale of certain surplus properties and $6.0 million of benefit from the recognition of certain value-added tax credits in Brazil,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4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We have established and maintain disclosure controls and procedures that are designed to ensure that information required to be disclosed by us in the reports that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 We carried out an evaluation, under the supervision and with the participation of our management, including our Chief Executive Officer and Chief Financial Officer, of the effectiveness of our disclosure controls and procedures as of the end of the period covered by this report. Based on that evaluation, the Chief Executive Officer and Chief Financial Officer concluded that our disclosure controls and procedures were effective as of December 27, 2020.</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Annual Report on Internal Control over Financial Reporting</w:t>
      </w: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Management’s report on our internal control over financial reporting and the attestation report of PricewaterhouseCoopers LLP, our independent registered certified public accounting firm, on our internal control over financial reporting are included in Item 8, Financial Statements and Supplementary Data, of this Annual Report on Form 10-K.</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There have been no changes in our internal control over financial reporting during our most recent quarter ended December 27, 2020 that have materially affected, or are reasonably likely to materially affect, our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Amendments to the Form of Performance Award Agreement</w:t>
      </w:r>
    </w:p>
    <w:p>
      <w:pPr>
        <w:spacing w:after="0" w:line="222"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On February 22, 2021, the Compensation Committee of Bloomin’ Brands’ Board of Directors (the “Committee”) approved the following amendments to the Company’s form of Performance Award Agreement under the Bloomin’ Brands, Inc. 2020 Omnibus Incentive Compensation Plan (the “Amended Form of PSU Award”):</w:t>
      </w:r>
    </w:p>
    <w:p>
      <w:pPr>
        <w:spacing w:after="0" w:line="198" w:lineRule="exact"/>
        <w:rPr>
          <w:sz w:val="20"/>
          <w:szCs w:val="20"/>
          <w:color w:val="auto"/>
        </w:rPr>
      </w:pPr>
    </w:p>
    <w:p>
      <w:pPr>
        <w:ind w:left="640" w:hanging="308"/>
        <w:spacing w:after="0"/>
        <w:tabs>
          <w:tab w:leader="none" w:pos="640" w:val="left"/>
        </w:tabs>
        <w:numPr>
          <w:ilvl w:val="0"/>
          <w:numId w:val="83"/>
        </w:numPr>
        <w:rPr>
          <w:rFonts w:ascii="Arial" w:cs="Arial" w:eastAsia="Arial" w:hAnsi="Arial"/>
          <w:sz w:val="20"/>
          <w:szCs w:val="20"/>
          <w:color w:val="auto"/>
        </w:rPr>
      </w:pPr>
      <w:r>
        <w:rPr>
          <w:rFonts w:ascii="Arial" w:cs="Arial" w:eastAsia="Arial" w:hAnsi="Arial"/>
          <w:sz w:val="20"/>
          <w:szCs w:val="20"/>
          <w:i w:val="1"/>
          <w:iCs w:val="1"/>
          <w:color w:val="auto"/>
        </w:rPr>
        <w:t>Introduction of Relative Total Stockholder Return (“TSR”) Performance Goal</w:t>
      </w:r>
    </w:p>
    <w:p>
      <w:pPr>
        <w:spacing w:after="0" w:line="215" w:lineRule="exact"/>
        <w:rPr>
          <w:rFonts w:ascii="Arial" w:cs="Arial" w:eastAsia="Arial" w:hAnsi="Arial"/>
          <w:sz w:val="20"/>
          <w:szCs w:val="20"/>
          <w:color w:val="auto"/>
        </w:rPr>
      </w:pPr>
    </w:p>
    <w:p>
      <w:pPr>
        <w:jc w:val="both"/>
        <w:ind w:left="660"/>
        <w:spacing w:after="0" w:line="259" w:lineRule="auto"/>
        <w:rPr>
          <w:rFonts w:ascii="Arial" w:cs="Arial" w:eastAsia="Arial" w:hAnsi="Arial"/>
          <w:sz w:val="20"/>
          <w:szCs w:val="20"/>
          <w:color w:val="auto"/>
        </w:rPr>
      </w:pPr>
      <w:r>
        <w:rPr>
          <w:rFonts w:ascii="Arial" w:cs="Arial" w:eastAsia="Arial" w:hAnsi="Arial"/>
          <w:sz w:val="18"/>
          <w:szCs w:val="18"/>
          <w:color w:val="auto"/>
        </w:rPr>
        <w:t>Under the Amended Form of PSU Award, relative TSR is a performance goal which will modify the number of PSUs that vest under each applicable award agreement. The relative TSR performance goal will be calculated based on the TSR of the Company as compared with companies in a comparison group, which is comprised of companies in the S&amp;P 1500 restaurant index.</w:t>
      </w:r>
    </w:p>
    <w:p>
      <w:pPr>
        <w:spacing w:after="0" w:line="180" w:lineRule="exact"/>
        <w:rPr>
          <w:rFonts w:ascii="Arial" w:cs="Arial" w:eastAsia="Arial" w:hAnsi="Arial"/>
          <w:sz w:val="20"/>
          <w:szCs w:val="20"/>
          <w:color w:val="auto"/>
        </w:rPr>
      </w:pPr>
    </w:p>
    <w:p>
      <w:pPr>
        <w:jc w:val="both"/>
        <w:ind w:left="660"/>
        <w:spacing w:after="0" w:line="251" w:lineRule="auto"/>
        <w:rPr>
          <w:rFonts w:ascii="Arial" w:cs="Arial" w:eastAsia="Arial" w:hAnsi="Arial"/>
          <w:sz w:val="20"/>
          <w:szCs w:val="20"/>
          <w:color w:val="auto"/>
        </w:rPr>
      </w:pPr>
      <w:r>
        <w:rPr>
          <w:rFonts w:ascii="Arial" w:cs="Arial" w:eastAsia="Arial" w:hAnsi="Arial"/>
          <w:sz w:val="18"/>
          <w:szCs w:val="18"/>
          <w:color w:val="auto"/>
        </w:rPr>
        <w:t>The number of PSUs that vest under each applicable award will initially be determined based on the attainment of certain financial or other performance goals, such as adjusted earnings per share. After this initial determination, the resulting number of PSUs will then be multiplied by seventy-five percent (75%), one hundred percent (100%), or one hundred twenty five percent (125%) based on the level of achievement of the relative TSR performance goal. Interpolation will not apply to the relative TSR performance goal.</w:t>
      </w:r>
    </w:p>
    <w:p>
      <w:pPr>
        <w:spacing w:after="0" w:line="187"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The maximum number of PSUs that vest shall not exceed two hundred percent (200%) of target.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0" w:lineRule="exact"/>
        <w:rPr>
          <w:sz w:val="20"/>
          <w:szCs w:val="20"/>
          <w:color w:val="auto"/>
        </w:rPr>
      </w:pPr>
    </w:p>
    <w:p>
      <w:pPr>
        <w:jc w:val="both"/>
        <w:ind w:right="20" w:firstLine="648"/>
        <w:spacing w:after="0" w:line="285" w:lineRule="auto"/>
        <w:rPr>
          <w:sz w:val="20"/>
          <w:szCs w:val="20"/>
          <w:color w:val="auto"/>
        </w:rPr>
      </w:pPr>
      <w:r>
        <w:rPr>
          <w:rFonts w:ascii="Arial" w:cs="Arial" w:eastAsia="Arial" w:hAnsi="Arial"/>
          <w:sz w:val="18"/>
          <w:szCs w:val="18"/>
          <w:color w:val="auto"/>
        </w:rPr>
        <w:t>In deciding to make these amendments, the Committee consulted with Frederic W. Cook &amp; Co., Inc., the Company’s independent compensation consultant (“FWC”), and evaluated the compensation practices of peer companies and executive compensation trends.</w:t>
      </w:r>
    </w:p>
    <w:p>
      <w:pPr>
        <w:spacing w:after="0" w:line="156" w:lineRule="exact"/>
        <w:rPr>
          <w:sz w:val="20"/>
          <w:szCs w:val="20"/>
          <w:color w:val="auto"/>
        </w:rPr>
      </w:pPr>
    </w:p>
    <w:p>
      <w:pPr>
        <w:jc w:val="both"/>
        <w:ind w:right="20" w:firstLine="648"/>
        <w:spacing w:after="0" w:line="227" w:lineRule="auto"/>
        <w:rPr>
          <w:sz w:val="20"/>
          <w:szCs w:val="20"/>
          <w:color w:val="auto"/>
        </w:rPr>
      </w:pPr>
      <w:r>
        <w:rPr>
          <w:rFonts w:ascii="Arial" w:cs="Arial" w:eastAsia="Arial" w:hAnsi="Arial"/>
          <w:sz w:val="20"/>
          <w:szCs w:val="20"/>
          <w:color w:val="auto"/>
        </w:rPr>
        <w:t>Other than as set forth above, the Amended Form of PSU Award has terms that are substantially consistent with the terms contained in the form of Performance Award Agreement Under the Bloomin’ Brands, Inc. 2020 Omnibus Incentive Compensation Plan included as an exhibit to the Company’s Form 8-K filed on May 29, 2020.</w:t>
      </w:r>
    </w:p>
    <w:p>
      <w:pPr>
        <w:spacing w:after="0" w:line="198" w:lineRule="exact"/>
        <w:rPr>
          <w:sz w:val="20"/>
          <w:szCs w:val="20"/>
          <w:color w:val="auto"/>
        </w:rPr>
      </w:pPr>
    </w:p>
    <w:p>
      <w:pPr>
        <w:jc w:val="both"/>
        <w:ind w:right="20" w:firstLine="648"/>
        <w:spacing w:after="0" w:line="227" w:lineRule="auto"/>
        <w:rPr>
          <w:sz w:val="20"/>
          <w:szCs w:val="20"/>
          <w:color w:val="auto"/>
        </w:rPr>
      </w:pPr>
      <w:r>
        <w:rPr>
          <w:rFonts w:ascii="Arial" w:cs="Arial" w:eastAsia="Arial" w:hAnsi="Arial"/>
          <w:sz w:val="20"/>
          <w:szCs w:val="20"/>
          <w:color w:val="auto"/>
        </w:rPr>
        <w:t>The foregoing summary of the Amended Form of PSU Award does not purport to be complete and is qualified in its entirety by the full text of the Amended Form of PSU Award, a copy of which is filed as Exhibit 10.48 to this Annual Report on Form 10-K and incorporated herein by reference.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PSU Grant – David Deno</w:t>
      </w:r>
    </w:p>
    <w:p>
      <w:pPr>
        <w:spacing w:after="0" w:line="222" w:lineRule="exact"/>
        <w:rPr>
          <w:sz w:val="20"/>
          <w:szCs w:val="20"/>
          <w:color w:val="auto"/>
        </w:rPr>
      </w:pPr>
    </w:p>
    <w:p>
      <w:pPr>
        <w:jc w:val="both"/>
        <w:ind w:right="20" w:firstLine="648"/>
        <w:spacing w:after="0" w:line="227" w:lineRule="auto"/>
        <w:rPr>
          <w:sz w:val="20"/>
          <w:szCs w:val="20"/>
          <w:color w:val="auto"/>
        </w:rPr>
      </w:pPr>
      <w:r>
        <w:rPr>
          <w:rFonts w:ascii="Arial" w:cs="Arial" w:eastAsia="Arial" w:hAnsi="Arial"/>
          <w:sz w:val="20"/>
          <w:szCs w:val="20"/>
          <w:color w:val="auto"/>
        </w:rPr>
        <w:t>On February 22, 2021, the Committee approved a one-time special PSU grant to David Deno, the Company’s Chief Executive Officer, with a total grant date fair market value of One Million Dollars (USD $1,000,000). In deciding to issue this grant to Mr. Deno, the Committee consulted with FWC.</w:t>
      </w:r>
    </w:p>
    <w:p>
      <w:pPr>
        <w:spacing w:after="0" w:line="198" w:lineRule="exact"/>
        <w:rPr>
          <w:sz w:val="20"/>
          <w:szCs w:val="20"/>
          <w:color w:val="auto"/>
        </w:rPr>
      </w:pPr>
    </w:p>
    <w:p>
      <w:pPr>
        <w:jc w:val="both"/>
        <w:ind w:right="20" w:firstLine="648"/>
        <w:spacing w:after="0" w:line="227" w:lineRule="auto"/>
        <w:rPr>
          <w:sz w:val="20"/>
          <w:szCs w:val="20"/>
          <w:color w:val="auto"/>
        </w:rPr>
      </w:pPr>
      <w:r>
        <w:rPr>
          <w:rFonts w:ascii="Arial" w:cs="Arial" w:eastAsia="Arial" w:hAnsi="Arial"/>
          <w:sz w:val="20"/>
          <w:szCs w:val="20"/>
          <w:color w:val="auto"/>
        </w:rPr>
        <w:t>The grant was made pursuant to the Company’s 2020 Omnibus Incentive Compensation Plan in recognition of Mr. Deno’s leadership of the Company since being appointed Chief Executive Officer, and to further incentivize go-forward performance. The Amended Form of PSU Award was utilized for Mr. Deno’s grant.</w:t>
      </w:r>
    </w:p>
    <w:p>
      <w:pPr>
        <w:spacing w:after="0" w:line="198" w:lineRule="exact"/>
        <w:rPr>
          <w:sz w:val="20"/>
          <w:szCs w:val="20"/>
          <w:color w:val="auto"/>
        </w:rPr>
      </w:pPr>
    </w:p>
    <w:p>
      <w:pPr>
        <w:jc w:val="both"/>
        <w:ind w:right="20" w:firstLine="648"/>
        <w:spacing w:after="0" w:line="227" w:lineRule="auto"/>
        <w:rPr>
          <w:sz w:val="20"/>
          <w:szCs w:val="20"/>
          <w:color w:val="auto"/>
        </w:rPr>
      </w:pPr>
      <w:r>
        <w:rPr>
          <w:rFonts w:ascii="Arial" w:cs="Arial" w:eastAsia="Arial" w:hAnsi="Arial"/>
          <w:sz w:val="20"/>
          <w:szCs w:val="20"/>
          <w:color w:val="auto"/>
        </w:rPr>
        <w:t>Subject to the terms and conditions of the award agreement, the PSUs will vest at the end of a three (3) year performance period and will range between zero percent (0%) and two-hundred percent (200%) of target, depending on the achievement of specified performance goals during the three (3) year performance period, including the relative TSR modifier.</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Adjustments to Compensation – Chris Meyer</w:t>
      </w:r>
    </w:p>
    <w:p>
      <w:pPr>
        <w:spacing w:after="0" w:line="222" w:lineRule="exact"/>
        <w:rPr>
          <w:sz w:val="20"/>
          <w:szCs w:val="20"/>
          <w:color w:val="auto"/>
        </w:rPr>
      </w:pPr>
    </w:p>
    <w:p>
      <w:pPr>
        <w:jc w:val="both"/>
        <w:ind w:right="20" w:firstLine="648"/>
        <w:spacing w:after="0" w:line="227" w:lineRule="auto"/>
        <w:rPr>
          <w:sz w:val="20"/>
          <w:szCs w:val="20"/>
          <w:color w:val="auto"/>
        </w:rPr>
      </w:pPr>
      <w:r>
        <w:rPr>
          <w:rFonts w:ascii="Arial" w:cs="Arial" w:eastAsia="Arial" w:hAnsi="Arial"/>
          <w:sz w:val="20"/>
          <w:szCs w:val="20"/>
          <w:color w:val="auto"/>
        </w:rPr>
        <w:t>On February 22, 2021, the Committee approved market adjustments to the compensation for Chris Meyer, the Company’s Executive Vice President and Chief Financial Officer. In making this decision, the Committee consulted with FWC, and evaluated the compensation practices of peer companies and executive compensation trends.</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5540" w:type="dxa"/>
            <w:vAlign w:val="bottom"/>
          </w:tcPr>
          <w:p>
            <w:pPr>
              <w:ind w:left="660"/>
              <w:spacing w:after="0"/>
              <w:rPr>
                <w:sz w:val="20"/>
                <w:szCs w:val="20"/>
                <w:color w:val="auto"/>
              </w:rPr>
            </w:pPr>
            <w:r>
              <w:rPr>
                <w:rFonts w:ascii="Arial" w:cs="Arial" w:eastAsia="Arial" w:hAnsi="Arial"/>
                <w:sz w:val="20"/>
                <w:szCs w:val="20"/>
                <w:color w:val="auto"/>
                <w:w w:val="96"/>
              </w:rPr>
              <w:t>Mr. Meyer’s compensation has been adjusted as follows:</w:t>
            </w:r>
          </w:p>
        </w:tc>
        <w:tc>
          <w:tcPr>
            <w:tcW w:w="5720" w:type="dxa"/>
            <w:vAlign w:val="bottom"/>
          </w:tcPr>
          <w:p>
            <w:pPr>
              <w:spacing w:after="0"/>
              <w:rPr>
                <w:sz w:val="21"/>
                <w:szCs w:val="21"/>
                <w:color w:val="auto"/>
              </w:rPr>
            </w:pPr>
          </w:p>
        </w:tc>
      </w:tr>
      <w:tr>
        <w:trPr>
          <w:trHeight w:val="495"/>
        </w:trPr>
        <w:tc>
          <w:tcPr>
            <w:tcW w:w="5540" w:type="dxa"/>
            <w:vAlign w:val="bottom"/>
            <w:tcBorders>
              <w:bottom w:val="single" w:sz="8" w:color="auto"/>
            </w:tcBorders>
          </w:tcPr>
          <w:p>
            <w:pPr>
              <w:ind w:left="2000"/>
              <w:spacing w:after="0"/>
              <w:rPr>
                <w:sz w:val="20"/>
                <w:szCs w:val="20"/>
                <w:color w:val="auto"/>
              </w:rPr>
            </w:pPr>
            <w:r>
              <w:rPr>
                <w:rFonts w:ascii="Arial" w:cs="Arial" w:eastAsia="Arial" w:hAnsi="Arial"/>
                <w:sz w:val="20"/>
                <w:szCs w:val="20"/>
                <w:color w:val="auto"/>
              </w:rPr>
              <w:t>Compensation Item</w:t>
            </w:r>
          </w:p>
        </w:tc>
        <w:tc>
          <w:tcPr>
            <w:tcW w:w="5720" w:type="dxa"/>
            <w:vAlign w:val="bottom"/>
            <w:tcBorders>
              <w:bottom w:val="single" w:sz="8" w:color="auto"/>
            </w:tcBorders>
          </w:tcPr>
          <w:p>
            <w:pPr>
              <w:jc w:val="right"/>
              <w:ind w:right="1641"/>
              <w:spacing w:after="0"/>
              <w:rPr>
                <w:sz w:val="20"/>
                <w:szCs w:val="20"/>
                <w:color w:val="auto"/>
              </w:rPr>
            </w:pPr>
            <w:r>
              <w:rPr>
                <w:rFonts w:ascii="Arial" w:cs="Arial" w:eastAsia="Arial" w:hAnsi="Arial"/>
                <w:sz w:val="20"/>
                <w:szCs w:val="20"/>
                <w:color w:val="auto"/>
              </w:rPr>
              <w:t>New Compensation Amount</w:t>
            </w:r>
          </w:p>
        </w:tc>
      </w:tr>
      <w:tr>
        <w:trPr>
          <w:trHeight w:val="237"/>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Base Salary</w:t>
            </w:r>
          </w:p>
        </w:tc>
        <w:tc>
          <w:tcPr>
            <w:tcW w:w="5720" w:type="dxa"/>
            <w:vAlign w:val="bottom"/>
            <w:tcBorders>
              <w:bottom w:val="single" w:sz="8" w:color="auto"/>
              <w:right w:val="single" w:sz="8" w:color="auto"/>
            </w:tcBorders>
          </w:tcPr>
          <w:p>
            <w:pPr>
              <w:jc w:val="right"/>
              <w:ind w:right="161"/>
              <w:spacing w:after="0"/>
              <w:rPr>
                <w:sz w:val="20"/>
                <w:szCs w:val="20"/>
                <w:color w:val="auto"/>
              </w:rPr>
            </w:pPr>
            <w:r>
              <w:rPr>
                <w:rFonts w:ascii="Arial" w:cs="Arial" w:eastAsia="Arial" w:hAnsi="Arial"/>
                <w:sz w:val="20"/>
                <w:szCs w:val="20"/>
                <w:color w:val="auto"/>
              </w:rPr>
              <w:t>$525,000</w:t>
            </w:r>
          </w:p>
        </w:tc>
      </w:tr>
      <w:tr>
        <w:trPr>
          <w:trHeight w:val="236"/>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Short-Term Incentive Target %</w:t>
            </w:r>
          </w:p>
        </w:tc>
        <w:tc>
          <w:tcPr>
            <w:tcW w:w="5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100 %</w:t>
            </w:r>
          </w:p>
        </w:tc>
      </w:tr>
      <w:tr>
        <w:trPr>
          <w:trHeight w:val="237"/>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Long-Term Incentive Target %</w:t>
            </w:r>
          </w:p>
        </w:tc>
        <w:tc>
          <w:tcPr>
            <w:tcW w:w="5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125 %</w:t>
            </w:r>
          </w:p>
        </w:tc>
      </w:tr>
    </w:tbl>
    <w:p>
      <w:pPr>
        <w:spacing w:after="0" w:line="33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Total Direct Compensation Target: $1,706,250</w:t>
      </w:r>
    </w:p>
    <w:p>
      <w:pPr>
        <w:spacing w:after="0" w:line="229"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20"/>
          <w:szCs w:val="20"/>
          <w:color w:val="auto"/>
        </w:rPr>
        <w:t>The Short-Term Incentive Target % and Long-Term Incentive Target % are expressed as a target percentage of Base Salary. Incentive compensation for the Company’s named executive officers, including Mr. Meyer, is subject to the Company’s performance-based short-term incentive plan and the Company’s 2020 Omnibus Incentive Compensation Plan.</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6" w:name="page117"/>
    <w:bookmarkEnd w:id="1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III</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24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information required by this item relating to our directors and nominees will be included under the captions “Proposal No. 1: Election of Directors—Nominees for Election at this Annual Meeting” and “—Directors Continuing in Office” in our definitive Proxy Statement for the 2021 Annual Meeting of Stockholders (“Definitive Proxy Statement”) and is incorporated herein by reference.</w:t>
      </w:r>
    </w:p>
    <w:p>
      <w:pPr>
        <w:spacing w:after="0" w:line="19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information required by this item relating to our executive officers is included under the caption “Information About Our Executive Officers” in Part I of this Report on Form 10-K.</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by this item regarding compliance with Section 16(a) of the Securities Act of 1934 will be included under the caption “Executive Compensation and Related Information—Delinquent Section 16(a) Reports” in our Definitive Proxy Statement and is incorporated herein by reference.</w:t>
      </w:r>
    </w:p>
    <w:p>
      <w:pPr>
        <w:spacing w:after="0" w:line="21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have adopted a Code of Conduct that applies to all employees. A copy of our Code of Conduct is available on our website, free of charge. The Internet address for our website is www.bloominbrands.com, and the Code of Conduct may be found on our main webpage by clicking first on “Investors” and then on “Governance—Governance Documents” and next on “Code of Conduct.”</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We intend to satisfy any disclosure requirement under Item 5.05 of Form 8-K regarding an amendment to, or waiver from, a provision of this code of ethics by posting such information on our website, on the Governance Documents webpage, as specified above.</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information required by this item regarding our Audit Committee will be included under the caption “Proposal No. 1: Election of Directors—Board Committees and Meetings” in our Definitive Proxy Statement and is incorporated herein by reference.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24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The information required by this item will be included under the captions “Proposal No. 1: Election of Directors—Director Compensation” and “Executive Compensation and Related Information” in our Definitive Proxy Statement and is incorporated herein by reference.</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information required by this item will be included under the caption “Ownership of Securities” in our Definitive Proxy Statement and is incorporated herein by reference.</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information relating to securities authorized for issuance under equity compensation plans is included under the caption “Securities Authorized for Issuance Under Equity Compensation Plans” in Item 5 of this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24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information required by this item relating to transactions with related persons will be included under the caption “Certain Relationships and Related Party Transactions,” and the information required by this item relating to director independence will be included under the caption “Proposal No. 1: Election of Directors—Independent Directors,” in each case in our Definitive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Accounting Fees and Services</w:t>
      </w:r>
    </w:p>
    <w:p>
      <w:pPr>
        <w:spacing w:after="0" w:line="24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information required by this item will be included under the captions “Proposal No. 2: Ratification of Independent Registered Certified Public Accounting Firm—Principal Accountant Fees and Services” and “—Policy on Audit Committee Pre-Approval of Audit and Permissible Non-Audit Services of Independent Auditor” in our Definitive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IV</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and Financial Statement Schedules.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(a)(1) </w:t>
      </w:r>
      <w:r>
        <w:rPr>
          <w:rFonts w:ascii="Arial" w:cs="Arial" w:eastAsia="Arial" w:hAnsi="Arial"/>
          <w:sz w:val="19"/>
          <w:szCs w:val="19"/>
          <w:color w:val="auto"/>
        </w:rPr>
        <w:t>LISTING OF FINANCIAL STATEMENTS</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consolidated financial statements of the Company and subsidiaries are included in Item 8 of this Report:</w:t>
      </w:r>
    </w:p>
    <w:p>
      <w:pPr>
        <w:spacing w:after="0" w:line="243" w:lineRule="exact"/>
        <w:rPr>
          <w:sz w:val="20"/>
          <w:szCs w:val="20"/>
          <w:color w:val="auto"/>
        </w:rPr>
      </w:pPr>
    </w:p>
    <w:p>
      <w:pPr>
        <w:ind w:left="640" w:hanging="308"/>
        <w:spacing w:after="0"/>
        <w:tabs>
          <w:tab w:leader="none" w:pos="640" w:val="left"/>
        </w:tabs>
        <w:numPr>
          <w:ilvl w:val="0"/>
          <w:numId w:val="84"/>
        </w:numPr>
        <w:rPr>
          <w:rFonts w:ascii="Arial" w:cs="Arial" w:eastAsia="Arial" w:hAnsi="Arial"/>
          <w:sz w:val="20"/>
          <w:szCs w:val="20"/>
          <w:b w:val="1"/>
          <w:bCs w:val="1"/>
          <w:color w:val="auto"/>
        </w:rPr>
      </w:pPr>
      <w:r>
        <w:rPr>
          <w:rFonts w:ascii="Arial" w:cs="Arial" w:eastAsia="Arial" w:hAnsi="Arial"/>
          <w:sz w:val="20"/>
          <w:szCs w:val="20"/>
          <w:color w:val="auto"/>
        </w:rPr>
        <w:t>Consolidated Balance Sheets – December 27, 2020 and December 29, 2019</w:t>
      </w:r>
    </w:p>
    <w:p>
      <w:pPr>
        <w:spacing w:after="0" w:line="15" w:lineRule="exact"/>
        <w:rPr>
          <w:rFonts w:ascii="Arial" w:cs="Arial" w:eastAsia="Arial" w:hAnsi="Arial"/>
          <w:sz w:val="20"/>
          <w:szCs w:val="20"/>
          <w:b w:val="1"/>
          <w:bCs w:val="1"/>
          <w:color w:val="auto"/>
        </w:rPr>
      </w:pPr>
    </w:p>
    <w:p>
      <w:pPr>
        <w:ind w:left="640" w:hanging="308"/>
        <w:spacing w:after="0"/>
        <w:tabs>
          <w:tab w:leader="none" w:pos="640" w:val="left"/>
        </w:tabs>
        <w:numPr>
          <w:ilvl w:val="0"/>
          <w:numId w:val="84"/>
        </w:numPr>
        <w:rPr>
          <w:rFonts w:ascii="Arial" w:cs="Arial" w:eastAsia="Arial" w:hAnsi="Arial"/>
          <w:sz w:val="20"/>
          <w:szCs w:val="20"/>
          <w:color w:val="auto"/>
        </w:rPr>
      </w:pPr>
      <w:r>
        <w:rPr>
          <w:rFonts w:ascii="Arial" w:cs="Arial" w:eastAsia="Arial" w:hAnsi="Arial"/>
          <w:sz w:val="20"/>
          <w:szCs w:val="20"/>
          <w:color w:val="auto"/>
        </w:rPr>
        <w:t>Consolidated Statements of Operations and Comprehensive (Loss) Income – Fiscal years 2020, 2019 and 2018</w:t>
      </w:r>
    </w:p>
    <w:p>
      <w:pPr>
        <w:ind w:left="640" w:hanging="308"/>
        <w:spacing w:after="0"/>
        <w:tabs>
          <w:tab w:leader="none" w:pos="640" w:val="left"/>
        </w:tabs>
        <w:numPr>
          <w:ilvl w:val="0"/>
          <w:numId w:val="84"/>
        </w:numPr>
        <w:rPr>
          <w:rFonts w:ascii="Arial" w:cs="Arial" w:eastAsia="Arial" w:hAnsi="Arial"/>
          <w:sz w:val="20"/>
          <w:szCs w:val="20"/>
          <w:color w:val="auto"/>
        </w:rPr>
      </w:pPr>
      <w:r>
        <w:rPr>
          <w:rFonts w:ascii="Arial" w:cs="Arial" w:eastAsia="Arial" w:hAnsi="Arial"/>
          <w:sz w:val="20"/>
          <w:szCs w:val="20"/>
          <w:color w:val="auto"/>
        </w:rPr>
        <w:t>Consolidated Statements of Changes in Stockholders’ Equity – Fiscal years 2020, 2019 and 2018</w:t>
      </w:r>
    </w:p>
    <w:p>
      <w:pPr>
        <w:ind w:left="640" w:hanging="308"/>
        <w:spacing w:after="0"/>
        <w:tabs>
          <w:tab w:leader="none" w:pos="640" w:val="left"/>
        </w:tabs>
        <w:numPr>
          <w:ilvl w:val="0"/>
          <w:numId w:val="84"/>
        </w:numPr>
        <w:rPr>
          <w:rFonts w:ascii="Arial" w:cs="Arial" w:eastAsia="Arial" w:hAnsi="Arial"/>
          <w:sz w:val="20"/>
          <w:szCs w:val="20"/>
          <w:color w:val="auto"/>
        </w:rPr>
      </w:pPr>
      <w:r>
        <w:rPr>
          <w:rFonts w:ascii="Arial" w:cs="Arial" w:eastAsia="Arial" w:hAnsi="Arial"/>
          <w:sz w:val="20"/>
          <w:szCs w:val="20"/>
          <w:color w:val="auto"/>
        </w:rPr>
        <w:t>Consolidated Statements of Cash Flows – Fiscal years 2020, 2019 and 2018</w:t>
      </w:r>
    </w:p>
    <w:p>
      <w:pPr>
        <w:ind w:left="640" w:hanging="308"/>
        <w:spacing w:after="0"/>
        <w:tabs>
          <w:tab w:leader="none" w:pos="640" w:val="left"/>
        </w:tabs>
        <w:numPr>
          <w:ilvl w:val="0"/>
          <w:numId w:val="84"/>
        </w:numPr>
        <w:rPr>
          <w:rFonts w:ascii="Arial" w:cs="Arial" w:eastAsia="Arial" w:hAnsi="Arial"/>
          <w:sz w:val="20"/>
          <w:szCs w:val="20"/>
          <w:color w:val="auto"/>
        </w:rPr>
      </w:pPr>
      <w:r>
        <w:rPr>
          <w:rFonts w:ascii="Arial" w:cs="Arial" w:eastAsia="Arial" w:hAnsi="Arial"/>
          <w:sz w:val="20"/>
          <w:szCs w:val="20"/>
          <w:color w:val="auto"/>
        </w:rPr>
        <w:t>Notes to Consolidated Financial Statements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(a)(2) FINANCIAL STATEMENT SCHEDULES</w:t>
      </w:r>
    </w:p>
    <w:p>
      <w:pPr>
        <w:spacing w:after="0" w:line="243"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 included in this Report.</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(a)(3) EXHIBITS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gridSpan w:val="2"/>
          </w:tcPr>
          <w:p>
            <w:pPr>
              <w:ind w:left="180"/>
              <w:spacing w:after="0"/>
              <w:rPr>
                <w:sz w:val="20"/>
                <w:szCs w:val="20"/>
                <w:color w:val="auto"/>
              </w:rPr>
            </w:pPr>
            <w:r>
              <w:rPr>
                <w:rFonts w:ascii="Arial" w:cs="Arial" w:eastAsia="Arial" w:hAnsi="Arial"/>
                <w:sz w:val="16"/>
                <w:szCs w:val="16"/>
                <w:b w:val="1"/>
                <w:bCs w:val="1"/>
                <w:color w:val="auto"/>
              </w:rPr>
              <w:t>EXHIBIT</w:t>
            </w:r>
          </w:p>
        </w:tc>
        <w:tc>
          <w:tcPr>
            <w:tcW w:w="6440" w:type="dxa"/>
            <w:vAlign w:val="bottom"/>
            <w:vMerge w:val="restart"/>
          </w:tcPr>
          <w:p>
            <w:pPr>
              <w:ind w:left="2120"/>
              <w:spacing w:after="0"/>
              <w:rPr>
                <w:sz w:val="20"/>
                <w:szCs w:val="20"/>
                <w:color w:val="auto"/>
              </w:rPr>
            </w:pPr>
            <w:r>
              <w:rPr>
                <w:rFonts w:ascii="Arial" w:cs="Arial" w:eastAsia="Arial" w:hAnsi="Arial"/>
                <w:sz w:val="16"/>
                <w:szCs w:val="16"/>
                <w:b w:val="1"/>
                <w:bCs w:val="1"/>
                <w:color w:val="auto"/>
              </w:rPr>
              <w:t>DESCRIPTION OF EXHIBITS</w:t>
            </w:r>
          </w:p>
        </w:tc>
        <w:tc>
          <w:tcPr>
            <w:tcW w:w="120" w:type="dxa"/>
            <w:vAlign w:val="bottom"/>
            <w:vMerge w:val="restart"/>
          </w:tcPr>
          <w:p>
            <w:pPr>
              <w:spacing w:after="0"/>
              <w:rPr>
                <w:sz w:val="16"/>
                <w:szCs w:val="16"/>
                <w:color w:val="auto"/>
              </w:rPr>
            </w:pPr>
          </w:p>
        </w:tc>
        <w:tc>
          <w:tcPr>
            <w:tcW w:w="3520" w:type="dxa"/>
            <w:vAlign w:val="bottom"/>
          </w:tcPr>
          <w:p>
            <w:pPr>
              <w:jc w:val="center"/>
              <w:spacing w:after="0"/>
              <w:rPr>
                <w:sz w:val="20"/>
                <w:szCs w:val="20"/>
                <w:color w:val="auto"/>
              </w:rPr>
            </w:pPr>
            <w:r>
              <w:rPr>
                <w:rFonts w:ascii="Arial" w:cs="Arial" w:eastAsia="Arial" w:hAnsi="Arial"/>
                <w:sz w:val="16"/>
                <w:szCs w:val="16"/>
                <w:b w:val="1"/>
                <w:bCs w:val="1"/>
                <w:color w:val="auto"/>
              </w:rPr>
              <w:t>FILINGS REFERENCED FOR</w:t>
            </w:r>
          </w:p>
        </w:tc>
        <w:tc>
          <w:tcPr>
            <w:tcW w:w="0" w:type="dxa"/>
            <w:vAlign w:val="bottom"/>
          </w:tcPr>
          <w:p>
            <w:pPr>
              <w:spacing w:after="0"/>
              <w:rPr>
                <w:sz w:val="1"/>
                <w:szCs w:val="1"/>
                <w:color w:val="auto"/>
              </w:rPr>
            </w:pPr>
          </w:p>
        </w:tc>
      </w:tr>
      <w:tr>
        <w:trPr>
          <w:trHeight w:val="223"/>
        </w:trPr>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9"/>
                <w:szCs w:val="19"/>
                <w:color w:val="auto"/>
              </w:rPr>
            </w:pPr>
          </w:p>
        </w:tc>
        <w:tc>
          <w:tcPr>
            <w:tcW w:w="644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INCORPORATION BY REFERENCE</w:t>
            </w:r>
          </w:p>
        </w:tc>
        <w:tc>
          <w:tcPr>
            <w:tcW w:w="0" w:type="dxa"/>
            <w:vAlign w:val="bottom"/>
          </w:tcPr>
          <w:p>
            <w:pPr>
              <w:spacing w:after="0"/>
              <w:rPr>
                <w:sz w:val="1"/>
                <w:szCs w:val="1"/>
                <w:color w:val="auto"/>
              </w:rPr>
            </w:pPr>
          </w:p>
        </w:tc>
      </w:tr>
    </w:tbl>
    <w:p>
      <w:pPr>
        <w:spacing w:after="0" w:line="37" w:lineRule="exact"/>
        <w:rPr>
          <w:sz w:val="20"/>
          <w:szCs w:val="20"/>
          <w:color w:val="auto"/>
        </w:rPr>
      </w:pPr>
    </w:p>
    <w:p>
      <w:pPr>
        <w:sectPr>
          <w:pgSz w:w="11900" w:h="16838" w:orient="portrait"/>
          <w:cols w:equalWidth="0" w:num="1">
            <w:col w:w="11240"/>
          </w:cols>
          <w:pgMar w:left="320" w:top="121" w:right="339" w:bottom="1440" w:gutter="0" w:footer="0" w:header="0"/>
        </w:sectPr>
      </w:pPr>
    </w:p>
    <w:tbl>
      <w:tblPr>
        <w:tblLayout w:type="fixed"/>
        <w:tblInd w:w="360" w:type="dxa"/>
        <w:tblCellMar>
          <w:top w:w="0" w:type="dxa"/>
          <w:left w:w="0" w:type="dxa"/>
          <w:bottom w:w="0" w:type="dxa"/>
          <w:right w:w="0" w:type="dxa"/>
        </w:tblCellMar>
      </w:tblPr>
      <w:tr>
        <w:trPr>
          <w:trHeight w:val="287"/>
        </w:trPr>
        <w:tc>
          <w:tcPr>
            <w:tcW w:w="820" w:type="dxa"/>
            <w:vAlign w:val="bottom"/>
          </w:tcPr>
          <w:p>
            <w:pPr>
              <w:jc w:val="center"/>
              <w:ind w:right="381"/>
              <w:spacing w:after="0"/>
              <w:rPr>
                <w:sz w:val="20"/>
                <w:szCs w:val="20"/>
                <w:color w:val="auto"/>
              </w:rPr>
            </w:pPr>
            <w:r>
              <w:rPr>
                <w:rFonts w:ascii="Arial" w:cs="Arial" w:eastAsia="Arial" w:hAnsi="Arial"/>
                <w:sz w:val="20"/>
                <w:szCs w:val="20"/>
                <w:color w:val="auto"/>
                <w:w w:val="93"/>
              </w:rPr>
              <w:t>3.1</w:t>
            </w:r>
          </w:p>
        </w:tc>
        <w:tc>
          <w:tcPr>
            <w:tcW w:w="6380" w:type="dxa"/>
            <w:vAlign w:val="bottom"/>
            <w:gridSpan w:val="12"/>
          </w:tcPr>
          <w:p>
            <w:pPr>
              <w:spacing w:after="0"/>
              <w:rPr>
                <w:rFonts w:ascii="Arial" w:cs="Arial" w:eastAsia="Arial" w:hAnsi="Arial"/>
                <w:sz w:val="20"/>
                <w:szCs w:val="20"/>
                <w:color w:val="0000FF"/>
                <w:w w:val="90"/>
              </w:rPr>
            </w:pPr>
            <w:hyperlink r:id="rId153">
              <w:r>
                <w:rPr>
                  <w:rFonts w:ascii="Arial" w:cs="Arial" w:eastAsia="Arial" w:hAnsi="Arial"/>
                  <w:sz w:val="20"/>
                  <w:szCs w:val="20"/>
                  <w:color w:val="0000FF"/>
                  <w:w w:val="90"/>
                </w:rPr>
                <w:t>Second Amended and Restated Certificate of Incorporation of Bloomin’ Brands,</w:t>
              </w:r>
            </w:hyperlink>
          </w:p>
        </w:tc>
      </w:tr>
      <w:tr>
        <w:trPr>
          <w:trHeight w:val="169"/>
        </w:trPr>
        <w:tc>
          <w:tcPr>
            <w:tcW w:w="820" w:type="dxa"/>
            <w:vAlign w:val="bottom"/>
          </w:tcPr>
          <w:p>
            <w:pPr>
              <w:spacing w:after="0"/>
              <w:rPr>
                <w:sz w:val="14"/>
                <w:szCs w:val="14"/>
                <w:color w:val="auto"/>
              </w:rPr>
            </w:pPr>
          </w:p>
        </w:tc>
        <w:tc>
          <w:tcPr>
            <w:tcW w:w="300" w:type="dxa"/>
            <w:vAlign w:val="bottom"/>
            <w:tcBorders>
              <w:top w:val="single" w:sz="8" w:color="0000FF"/>
              <w:bottom w:val="single" w:sz="8" w:color="0000FF"/>
            </w:tcBorders>
          </w:tcPr>
          <w:p>
            <w:pPr>
              <w:spacing w:after="0" w:line="169" w:lineRule="exact"/>
              <w:rPr>
                <w:rFonts w:ascii="Arial" w:cs="Arial" w:eastAsia="Arial" w:hAnsi="Arial"/>
                <w:sz w:val="19"/>
                <w:szCs w:val="19"/>
                <w:color w:val="0000FF"/>
                <w:w w:val="91"/>
              </w:rPr>
            </w:pPr>
            <w:hyperlink r:id="rId153">
              <w:r>
                <w:rPr>
                  <w:rFonts w:ascii="Arial" w:cs="Arial" w:eastAsia="Arial" w:hAnsi="Arial"/>
                  <w:sz w:val="19"/>
                  <w:szCs w:val="19"/>
                  <w:color w:val="0000FF"/>
                  <w:w w:val="91"/>
                </w:rPr>
                <w:t>Inc.</w:t>
              </w:r>
            </w:hyperlink>
          </w:p>
        </w:tc>
        <w:tc>
          <w:tcPr>
            <w:tcW w:w="606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r>
      <w:tr>
        <w:trPr>
          <w:trHeight w:val="605"/>
        </w:trPr>
        <w:tc>
          <w:tcPr>
            <w:tcW w:w="820" w:type="dxa"/>
            <w:vAlign w:val="bottom"/>
          </w:tcPr>
          <w:p>
            <w:pPr>
              <w:jc w:val="center"/>
              <w:ind w:right="381"/>
              <w:spacing w:after="0"/>
              <w:rPr>
                <w:sz w:val="20"/>
                <w:szCs w:val="20"/>
                <w:color w:val="auto"/>
              </w:rPr>
            </w:pPr>
            <w:r>
              <w:rPr>
                <w:rFonts w:ascii="Arial" w:cs="Arial" w:eastAsia="Arial" w:hAnsi="Arial"/>
                <w:sz w:val="20"/>
                <w:szCs w:val="20"/>
                <w:color w:val="auto"/>
                <w:w w:val="93"/>
              </w:rPr>
              <w:t>3.2</w:t>
            </w:r>
          </w:p>
        </w:tc>
        <w:tc>
          <w:tcPr>
            <w:tcW w:w="6380" w:type="dxa"/>
            <w:vAlign w:val="bottom"/>
            <w:gridSpan w:val="12"/>
          </w:tcPr>
          <w:p>
            <w:pPr>
              <w:spacing w:after="0"/>
              <w:rPr>
                <w:rFonts w:ascii="Arial" w:cs="Arial" w:eastAsia="Arial" w:hAnsi="Arial"/>
                <w:sz w:val="20"/>
                <w:szCs w:val="20"/>
                <w:u w:val="single" w:color="auto"/>
                <w:color w:val="0000FF"/>
              </w:rPr>
            </w:pPr>
            <w:hyperlink r:id="rId154">
              <w:r>
                <w:rPr>
                  <w:rFonts w:ascii="Arial" w:cs="Arial" w:eastAsia="Arial" w:hAnsi="Arial"/>
                  <w:sz w:val="20"/>
                  <w:szCs w:val="20"/>
                  <w:u w:val="single" w:color="auto"/>
                  <w:color w:val="0000FF"/>
                </w:rPr>
                <w:t>Third Amended and Restated Bylaws of Bloomin’ Brands, Inc.</w:t>
              </w:r>
            </w:hyperlink>
          </w:p>
        </w:tc>
      </w:tr>
      <w:tr>
        <w:trPr>
          <w:trHeight w:val="473"/>
        </w:trPr>
        <w:tc>
          <w:tcPr>
            <w:tcW w:w="820" w:type="dxa"/>
            <w:vAlign w:val="bottom"/>
          </w:tcPr>
          <w:p>
            <w:pPr>
              <w:jc w:val="center"/>
              <w:ind w:right="381"/>
              <w:spacing w:after="0"/>
              <w:rPr>
                <w:sz w:val="20"/>
                <w:szCs w:val="20"/>
                <w:color w:val="auto"/>
              </w:rPr>
            </w:pPr>
            <w:r>
              <w:rPr>
                <w:rFonts w:ascii="Arial" w:cs="Arial" w:eastAsia="Arial" w:hAnsi="Arial"/>
                <w:sz w:val="20"/>
                <w:szCs w:val="20"/>
                <w:color w:val="auto"/>
                <w:w w:val="93"/>
              </w:rPr>
              <w:t>4.1</w:t>
            </w:r>
          </w:p>
        </w:tc>
        <w:tc>
          <w:tcPr>
            <w:tcW w:w="6380" w:type="dxa"/>
            <w:vAlign w:val="bottom"/>
            <w:gridSpan w:val="12"/>
          </w:tcPr>
          <w:p>
            <w:pPr>
              <w:spacing w:after="0"/>
              <w:rPr>
                <w:rFonts w:ascii="Arial" w:cs="Arial" w:eastAsia="Arial" w:hAnsi="Arial"/>
                <w:sz w:val="20"/>
                <w:szCs w:val="20"/>
                <w:u w:val="single" w:color="auto"/>
                <w:color w:val="0000FF"/>
              </w:rPr>
            </w:pPr>
            <w:hyperlink r:id="rId155">
              <w:r>
                <w:rPr>
                  <w:rFonts w:ascii="Arial" w:cs="Arial" w:eastAsia="Arial" w:hAnsi="Arial"/>
                  <w:sz w:val="20"/>
                  <w:szCs w:val="20"/>
                  <w:u w:val="single" w:color="auto"/>
                  <w:color w:val="0000FF"/>
                </w:rPr>
                <w:t>Form of Common Stock Certificate</w:t>
              </w:r>
            </w:hyperlink>
          </w:p>
        </w:tc>
      </w:tr>
      <w:tr>
        <w:trPr>
          <w:trHeight w:val="675"/>
        </w:trPr>
        <w:tc>
          <w:tcPr>
            <w:tcW w:w="820" w:type="dxa"/>
            <w:vAlign w:val="bottom"/>
          </w:tcPr>
          <w:p>
            <w:pPr>
              <w:jc w:val="center"/>
              <w:ind w:right="381"/>
              <w:spacing w:after="0"/>
              <w:rPr>
                <w:sz w:val="20"/>
                <w:szCs w:val="20"/>
                <w:color w:val="auto"/>
              </w:rPr>
            </w:pPr>
            <w:r>
              <w:rPr>
                <w:rFonts w:ascii="Arial" w:cs="Arial" w:eastAsia="Arial" w:hAnsi="Arial"/>
                <w:sz w:val="20"/>
                <w:szCs w:val="20"/>
                <w:color w:val="auto"/>
                <w:w w:val="93"/>
              </w:rPr>
              <w:t>4.2</w:t>
            </w:r>
          </w:p>
        </w:tc>
        <w:tc>
          <w:tcPr>
            <w:tcW w:w="6380" w:type="dxa"/>
            <w:vAlign w:val="bottom"/>
            <w:gridSpan w:val="12"/>
          </w:tcPr>
          <w:p>
            <w:pPr>
              <w:spacing w:after="0"/>
              <w:rPr>
                <w:rFonts w:ascii="Arial" w:cs="Arial" w:eastAsia="Arial" w:hAnsi="Arial"/>
                <w:sz w:val="20"/>
                <w:szCs w:val="20"/>
                <w:u w:val="single" w:color="auto"/>
                <w:color w:val="0000FF"/>
              </w:rPr>
            </w:pPr>
            <w:hyperlink r:id="rId156">
              <w:r>
                <w:rPr>
                  <w:rFonts w:ascii="Arial" w:cs="Arial" w:eastAsia="Arial" w:hAnsi="Arial"/>
                  <w:sz w:val="20"/>
                  <w:szCs w:val="20"/>
                  <w:u w:val="single" w:color="auto"/>
                  <w:color w:val="0000FF"/>
                </w:rPr>
                <w:t>Description of Common Stock</w:t>
              </w:r>
            </w:hyperlink>
          </w:p>
        </w:tc>
      </w:tr>
      <w:tr>
        <w:trPr>
          <w:trHeight w:val="253"/>
        </w:trPr>
        <w:tc>
          <w:tcPr>
            <w:tcW w:w="820" w:type="dxa"/>
            <w:vAlign w:val="bottom"/>
          </w:tcPr>
          <w:p>
            <w:pPr>
              <w:jc w:val="center"/>
              <w:ind w:right="381"/>
              <w:spacing w:after="0"/>
              <w:rPr>
                <w:sz w:val="20"/>
                <w:szCs w:val="20"/>
                <w:color w:val="auto"/>
              </w:rPr>
            </w:pPr>
            <w:r>
              <w:rPr>
                <w:rFonts w:ascii="Arial" w:cs="Arial" w:eastAsia="Arial" w:hAnsi="Arial"/>
                <w:sz w:val="20"/>
                <w:szCs w:val="20"/>
                <w:color w:val="auto"/>
                <w:w w:val="93"/>
              </w:rPr>
              <w:t>4.3</w:t>
            </w:r>
          </w:p>
        </w:tc>
        <w:tc>
          <w:tcPr>
            <w:tcW w:w="6380" w:type="dxa"/>
            <w:vAlign w:val="bottom"/>
            <w:gridSpan w:val="12"/>
          </w:tcPr>
          <w:p>
            <w:pPr>
              <w:spacing w:after="0"/>
              <w:rPr>
                <w:rFonts w:ascii="Arial" w:cs="Arial" w:eastAsia="Arial" w:hAnsi="Arial"/>
                <w:sz w:val="20"/>
                <w:szCs w:val="20"/>
                <w:color w:val="0000FF"/>
                <w:w w:val="92"/>
              </w:rPr>
            </w:pPr>
            <w:hyperlink r:id="rId157">
              <w:r>
                <w:rPr>
                  <w:rFonts w:ascii="Arial" w:cs="Arial" w:eastAsia="Arial" w:hAnsi="Arial"/>
                  <w:sz w:val="20"/>
                  <w:szCs w:val="20"/>
                  <w:color w:val="0000FF"/>
                  <w:w w:val="92"/>
                </w:rPr>
                <w:t>Indenture, dated as of May 8, 2020, between Bloomin’ Brands, Inc. and Wells</w:t>
              </w:r>
            </w:hyperlink>
          </w:p>
        </w:tc>
      </w:tr>
      <w:tr>
        <w:trPr>
          <w:trHeight w:val="169"/>
        </w:trPr>
        <w:tc>
          <w:tcPr>
            <w:tcW w:w="820" w:type="dxa"/>
            <w:vAlign w:val="bottom"/>
          </w:tcPr>
          <w:p>
            <w:pPr>
              <w:spacing w:after="0"/>
              <w:rPr>
                <w:sz w:val="14"/>
                <w:szCs w:val="14"/>
                <w:color w:val="auto"/>
              </w:rPr>
            </w:pPr>
          </w:p>
        </w:tc>
        <w:tc>
          <w:tcPr>
            <w:tcW w:w="6160" w:type="dxa"/>
            <w:vAlign w:val="bottom"/>
            <w:tcBorders>
              <w:top w:val="single" w:sz="8" w:color="0000FF"/>
            </w:tcBorders>
            <w:gridSpan w:val="8"/>
          </w:tcPr>
          <w:p>
            <w:pPr>
              <w:spacing w:after="0" w:line="169" w:lineRule="exact"/>
              <w:rPr>
                <w:rFonts w:ascii="Arial" w:cs="Arial" w:eastAsia="Arial" w:hAnsi="Arial"/>
                <w:sz w:val="19"/>
                <w:szCs w:val="19"/>
                <w:color w:val="0000FF"/>
              </w:rPr>
            </w:pPr>
            <w:hyperlink r:id="rId157">
              <w:r>
                <w:rPr>
                  <w:rFonts w:ascii="Arial" w:cs="Arial" w:eastAsia="Arial" w:hAnsi="Arial"/>
                  <w:sz w:val="19"/>
                  <w:szCs w:val="19"/>
                  <w:color w:val="0000FF"/>
                </w:rPr>
                <w:t>Fargo Bank, National Association</w:t>
              </w:r>
            </w:hyperlink>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r>
      <w:tr>
        <w:trPr>
          <w:trHeight w:val="20"/>
        </w:trPr>
        <w:tc>
          <w:tcPr>
            <w:tcW w:w="82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21"/>
        </w:trPr>
        <w:tc>
          <w:tcPr>
            <w:tcW w:w="820" w:type="dxa"/>
            <w:vAlign w:val="bottom"/>
          </w:tcPr>
          <w:p>
            <w:pPr>
              <w:jc w:val="center"/>
              <w:ind w:right="381"/>
              <w:spacing w:after="0"/>
              <w:rPr>
                <w:sz w:val="20"/>
                <w:szCs w:val="20"/>
                <w:color w:val="auto"/>
              </w:rPr>
            </w:pPr>
            <w:r>
              <w:rPr>
                <w:rFonts w:ascii="Arial" w:cs="Arial" w:eastAsia="Arial" w:hAnsi="Arial"/>
                <w:sz w:val="20"/>
                <w:szCs w:val="20"/>
                <w:color w:val="auto"/>
                <w:w w:val="93"/>
              </w:rPr>
              <w:t>4.4</w:t>
            </w:r>
          </w:p>
        </w:tc>
        <w:tc>
          <w:tcPr>
            <w:tcW w:w="6380" w:type="dxa"/>
            <w:vAlign w:val="bottom"/>
            <w:gridSpan w:val="12"/>
          </w:tcPr>
          <w:p>
            <w:pPr>
              <w:spacing w:after="0"/>
              <w:rPr>
                <w:rFonts w:ascii="Arial" w:cs="Arial" w:eastAsia="Arial" w:hAnsi="Arial"/>
                <w:sz w:val="20"/>
                <w:szCs w:val="20"/>
                <w:u w:val="single" w:color="auto"/>
                <w:color w:val="0000FF"/>
              </w:rPr>
            </w:pPr>
            <w:hyperlink r:id="rId157">
              <w:r>
                <w:rPr>
                  <w:rFonts w:ascii="Arial" w:cs="Arial" w:eastAsia="Arial" w:hAnsi="Arial"/>
                  <w:sz w:val="20"/>
                  <w:szCs w:val="20"/>
                  <w:u w:val="single" w:color="auto"/>
                  <w:color w:val="0000FF"/>
                </w:rPr>
                <w:t>Form of 5.00% Convertible Senior Notes due 2025</w:t>
              </w:r>
            </w:hyperlink>
          </w:p>
        </w:tc>
      </w:tr>
      <w:tr>
        <w:trPr>
          <w:trHeight w:val="442"/>
        </w:trPr>
        <w:tc>
          <w:tcPr>
            <w:tcW w:w="820" w:type="dxa"/>
            <w:vAlign w:val="bottom"/>
          </w:tcPr>
          <w:p>
            <w:pPr>
              <w:jc w:val="center"/>
              <w:ind w:right="381"/>
              <w:spacing w:after="0"/>
              <w:rPr>
                <w:sz w:val="20"/>
                <w:szCs w:val="20"/>
                <w:color w:val="auto"/>
              </w:rPr>
            </w:pPr>
            <w:r>
              <w:rPr>
                <w:rFonts w:ascii="Arial" w:cs="Arial" w:eastAsia="Arial" w:hAnsi="Arial"/>
                <w:sz w:val="20"/>
                <w:szCs w:val="20"/>
                <w:color w:val="auto"/>
                <w:w w:val="87"/>
              </w:rPr>
              <w:t>10.1</w:t>
            </w:r>
          </w:p>
        </w:tc>
        <w:tc>
          <w:tcPr>
            <w:tcW w:w="6060" w:type="dxa"/>
            <w:vAlign w:val="bottom"/>
            <w:tcBorders>
              <w:bottom w:val="single" w:sz="8" w:color="0000FF"/>
            </w:tcBorders>
            <w:gridSpan w:val="7"/>
          </w:tcPr>
          <w:p>
            <w:pPr>
              <w:spacing w:after="0"/>
              <w:rPr>
                <w:rFonts w:ascii="Arial" w:cs="Arial" w:eastAsia="Arial" w:hAnsi="Arial"/>
                <w:sz w:val="20"/>
                <w:szCs w:val="20"/>
                <w:color w:val="0000FF"/>
                <w:w w:val="89"/>
              </w:rPr>
            </w:pPr>
            <w:hyperlink r:id="rId158">
              <w:r>
                <w:rPr>
                  <w:rFonts w:ascii="Arial" w:cs="Arial" w:eastAsia="Arial" w:hAnsi="Arial"/>
                  <w:sz w:val="20"/>
                  <w:szCs w:val="20"/>
                  <w:color w:val="0000FF"/>
                  <w:w w:val="89"/>
                </w:rPr>
                <w:t>Credit Agreement dated as of November 30, 2017, among Bloomin’ Brands,</w:t>
              </w:r>
            </w:hyperlink>
          </w:p>
        </w:tc>
        <w:tc>
          <w:tcPr>
            <w:tcW w:w="320" w:type="dxa"/>
            <w:vAlign w:val="bottom"/>
            <w:gridSpan w:val="5"/>
          </w:tcPr>
          <w:p>
            <w:pPr>
              <w:spacing w:after="0"/>
              <w:rPr>
                <w:sz w:val="24"/>
                <w:szCs w:val="24"/>
                <w:color w:val="auto"/>
              </w:rPr>
            </w:pPr>
          </w:p>
        </w:tc>
      </w:tr>
      <w:tr>
        <w:trPr>
          <w:trHeight w:val="169"/>
        </w:trPr>
        <w:tc>
          <w:tcPr>
            <w:tcW w:w="820" w:type="dxa"/>
            <w:vAlign w:val="bottom"/>
          </w:tcPr>
          <w:p>
            <w:pPr>
              <w:spacing w:after="0"/>
              <w:rPr>
                <w:sz w:val="14"/>
                <w:szCs w:val="14"/>
                <w:color w:val="auto"/>
              </w:rPr>
            </w:pPr>
          </w:p>
        </w:tc>
        <w:tc>
          <w:tcPr>
            <w:tcW w:w="6380" w:type="dxa"/>
            <w:vAlign w:val="bottom"/>
            <w:gridSpan w:val="12"/>
          </w:tcPr>
          <w:p>
            <w:pPr>
              <w:spacing w:after="0" w:line="169" w:lineRule="exact"/>
              <w:rPr>
                <w:rFonts w:ascii="Arial" w:cs="Arial" w:eastAsia="Arial" w:hAnsi="Arial"/>
                <w:sz w:val="19"/>
                <w:szCs w:val="19"/>
                <w:color w:val="0000FF"/>
                <w:w w:val="96"/>
              </w:rPr>
            </w:pPr>
            <w:hyperlink r:id="rId158">
              <w:r>
                <w:rPr>
                  <w:rFonts w:ascii="Arial" w:cs="Arial" w:eastAsia="Arial" w:hAnsi="Arial"/>
                  <w:sz w:val="19"/>
                  <w:szCs w:val="19"/>
                  <w:color w:val="0000FF"/>
                  <w:w w:val="96"/>
                </w:rPr>
                <w:t>Inc., OSI Restaurant Partners, LLC, the lenders party thereto, and Wells Fargo</w:t>
              </w:r>
            </w:hyperlink>
          </w:p>
        </w:tc>
      </w:tr>
      <w:tr>
        <w:trPr>
          <w:trHeight w:val="169"/>
        </w:trPr>
        <w:tc>
          <w:tcPr>
            <w:tcW w:w="820" w:type="dxa"/>
            <w:vAlign w:val="bottom"/>
          </w:tcPr>
          <w:p>
            <w:pPr>
              <w:spacing w:after="0"/>
              <w:rPr>
                <w:sz w:val="14"/>
                <w:szCs w:val="14"/>
                <w:color w:val="auto"/>
              </w:rPr>
            </w:pPr>
          </w:p>
        </w:tc>
        <w:tc>
          <w:tcPr>
            <w:tcW w:w="4100" w:type="dxa"/>
            <w:vAlign w:val="bottom"/>
            <w:tcBorders>
              <w:top w:val="single" w:sz="8" w:color="0000FF"/>
              <w:bottom w:val="single" w:sz="8" w:color="0000FF"/>
            </w:tcBorders>
            <w:gridSpan w:val="4"/>
          </w:tcPr>
          <w:p>
            <w:pPr>
              <w:spacing w:after="0" w:line="169" w:lineRule="exact"/>
              <w:rPr>
                <w:rFonts w:ascii="Arial" w:cs="Arial" w:eastAsia="Arial" w:hAnsi="Arial"/>
                <w:sz w:val="19"/>
                <w:szCs w:val="19"/>
                <w:color w:val="0000FF"/>
                <w:w w:val="94"/>
              </w:rPr>
            </w:pPr>
            <w:hyperlink r:id="rId158">
              <w:r>
                <w:rPr>
                  <w:rFonts w:ascii="Arial" w:cs="Arial" w:eastAsia="Arial" w:hAnsi="Arial"/>
                  <w:sz w:val="19"/>
                  <w:szCs w:val="19"/>
                  <w:color w:val="0000FF"/>
                  <w:w w:val="94"/>
                </w:rPr>
                <w:t>Bank, National Association, as administrative agent</w:t>
              </w:r>
            </w:hyperlink>
          </w:p>
        </w:tc>
        <w:tc>
          <w:tcPr>
            <w:tcW w:w="2080" w:type="dxa"/>
            <w:vAlign w:val="bottom"/>
            <w:tcBorders>
              <w:top w:val="single" w:sz="8" w:color="0000FF"/>
            </w:tcBorders>
            <w:gridSpan w:val="5"/>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r>
      <w:tr>
        <w:trPr>
          <w:trHeight w:val="277"/>
        </w:trPr>
        <w:tc>
          <w:tcPr>
            <w:tcW w:w="820" w:type="dxa"/>
            <w:vAlign w:val="bottom"/>
          </w:tcPr>
          <w:p>
            <w:pPr>
              <w:jc w:val="center"/>
              <w:ind w:right="381"/>
              <w:spacing w:after="0"/>
              <w:rPr>
                <w:sz w:val="20"/>
                <w:szCs w:val="20"/>
                <w:color w:val="auto"/>
              </w:rPr>
            </w:pPr>
            <w:r>
              <w:rPr>
                <w:rFonts w:ascii="Arial" w:cs="Arial" w:eastAsia="Arial" w:hAnsi="Arial"/>
                <w:sz w:val="20"/>
                <w:szCs w:val="20"/>
                <w:color w:val="auto"/>
                <w:w w:val="87"/>
              </w:rPr>
              <w:t>10.2</w:t>
            </w:r>
          </w:p>
        </w:tc>
        <w:tc>
          <w:tcPr>
            <w:tcW w:w="6380" w:type="dxa"/>
            <w:vAlign w:val="bottom"/>
            <w:gridSpan w:val="12"/>
          </w:tcPr>
          <w:p>
            <w:pPr>
              <w:spacing w:after="0"/>
              <w:rPr>
                <w:rFonts w:ascii="Arial" w:cs="Arial" w:eastAsia="Arial" w:hAnsi="Arial"/>
                <w:sz w:val="20"/>
                <w:szCs w:val="20"/>
                <w:color w:val="0000FF"/>
                <w:w w:val="90"/>
              </w:rPr>
            </w:pPr>
            <w:hyperlink r:id="rId159">
              <w:r>
                <w:rPr>
                  <w:rFonts w:ascii="Arial" w:cs="Arial" w:eastAsia="Arial" w:hAnsi="Arial"/>
                  <w:sz w:val="20"/>
                  <w:szCs w:val="20"/>
                  <w:color w:val="0000FF"/>
                  <w:w w:val="90"/>
                </w:rPr>
                <w:t>First Amendment to Amended and Restated Credit Agreement, dated as of May</w:t>
              </w:r>
            </w:hyperlink>
          </w:p>
        </w:tc>
      </w:tr>
      <w:tr>
        <w:trPr>
          <w:trHeight w:val="169"/>
        </w:trPr>
        <w:tc>
          <w:tcPr>
            <w:tcW w:w="820" w:type="dxa"/>
            <w:vAlign w:val="bottom"/>
          </w:tcPr>
          <w:p>
            <w:pPr>
              <w:spacing w:after="0"/>
              <w:rPr>
                <w:sz w:val="14"/>
                <w:szCs w:val="14"/>
                <w:color w:val="auto"/>
              </w:rPr>
            </w:pPr>
          </w:p>
        </w:tc>
        <w:tc>
          <w:tcPr>
            <w:tcW w:w="6320" w:type="dxa"/>
            <w:vAlign w:val="bottom"/>
            <w:tcBorders>
              <w:top w:val="single" w:sz="8" w:color="0000FF"/>
            </w:tcBorders>
            <w:gridSpan w:val="10"/>
          </w:tcPr>
          <w:p>
            <w:pPr>
              <w:spacing w:after="0" w:line="169" w:lineRule="exact"/>
              <w:rPr>
                <w:rFonts w:ascii="Arial" w:cs="Arial" w:eastAsia="Arial" w:hAnsi="Arial"/>
                <w:sz w:val="19"/>
                <w:szCs w:val="19"/>
                <w:color w:val="0000FF"/>
              </w:rPr>
            </w:pPr>
            <w:hyperlink r:id="rId159">
              <w:r>
                <w:rPr>
                  <w:rFonts w:ascii="Arial" w:cs="Arial" w:eastAsia="Arial" w:hAnsi="Arial"/>
                  <w:sz w:val="19"/>
                  <w:szCs w:val="19"/>
                  <w:color w:val="0000FF"/>
                </w:rPr>
                <w:t>4, 2020, among Bloomin’ Brands, Inc., OSI Restaurant Partners, LLC, the</w:t>
              </w:r>
            </w:hyperlink>
          </w:p>
        </w:tc>
        <w:tc>
          <w:tcPr>
            <w:tcW w:w="60" w:type="dxa"/>
            <w:vAlign w:val="bottom"/>
            <w:gridSpan w:val="2"/>
          </w:tcPr>
          <w:p>
            <w:pPr>
              <w:spacing w:after="0"/>
              <w:rPr>
                <w:sz w:val="14"/>
                <w:szCs w:val="14"/>
                <w:color w:val="auto"/>
              </w:rPr>
            </w:pPr>
          </w:p>
        </w:tc>
      </w:tr>
      <w:tr>
        <w:trPr>
          <w:trHeight w:val="169"/>
        </w:trPr>
        <w:tc>
          <w:tcPr>
            <w:tcW w:w="820" w:type="dxa"/>
            <w:vAlign w:val="bottom"/>
          </w:tcPr>
          <w:p>
            <w:pPr>
              <w:spacing w:after="0"/>
              <w:rPr>
                <w:sz w:val="14"/>
                <w:szCs w:val="14"/>
                <w:color w:val="auto"/>
              </w:rPr>
            </w:pPr>
          </w:p>
        </w:tc>
        <w:tc>
          <w:tcPr>
            <w:tcW w:w="5860" w:type="dxa"/>
            <w:vAlign w:val="bottom"/>
            <w:tcBorders>
              <w:top w:val="single" w:sz="8" w:color="0000FF"/>
            </w:tcBorders>
            <w:gridSpan w:val="6"/>
          </w:tcPr>
          <w:p>
            <w:pPr>
              <w:spacing w:after="0" w:line="169" w:lineRule="exact"/>
              <w:rPr>
                <w:rFonts w:ascii="Arial" w:cs="Arial" w:eastAsia="Arial" w:hAnsi="Arial"/>
                <w:sz w:val="19"/>
                <w:szCs w:val="19"/>
                <w:color w:val="0000FF"/>
                <w:w w:val="99"/>
              </w:rPr>
            </w:pPr>
            <w:hyperlink r:id="rId159">
              <w:r>
                <w:rPr>
                  <w:rFonts w:ascii="Arial" w:cs="Arial" w:eastAsia="Arial" w:hAnsi="Arial"/>
                  <w:sz w:val="19"/>
                  <w:szCs w:val="19"/>
                  <w:color w:val="0000FF"/>
                  <w:w w:val="99"/>
                </w:rPr>
                <w:t>lenders party thereto, and Wells Fargo Bank, National Association, as</w:t>
              </w:r>
            </w:hyperlink>
          </w:p>
        </w:tc>
        <w:tc>
          <w:tcPr>
            <w:tcW w:w="520" w:type="dxa"/>
            <w:vAlign w:val="bottom"/>
            <w:gridSpan w:val="6"/>
          </w:tcPr>
          <w:p>
            <w:pPr>
              <w:spacing w:after="0"/>
              <w:rPr>
                <w:sz w:val="14"/>
                <w:szCs w:val="14"/>
                <w:color w:val="auto"/>
              </w:rPr>
            </w:pPr>
          </w:p>
        </w:tc>
      </w:tr>
      <w:tr>
        <w:trPr>
          <w:trHeight w:val="169"/>
        </w:trPr>
        <w:tc>
          <w:tcPr>
            <w:tcW w:w="820" w:type="dxa"/>
            <w:vAlign w:val="bottom"/>
          </w:tcPr>
          <w:p>
            <w:pPr>
              <w:spacing w:after="0"/>
              <w:rPr>
                <w:sz w:val="14"/>
                <w:szCs w:val="14"/>
                <w:color w:val="auto"/>
              </w:rPr>
            </w:pPr>
          </w:p>
        </w:tc>
        <w:tc>
          <w:tcPr>
            <w:tcW w:w="5500" w:type="dxa"/>
            <w:vAlign w:val="bottom"/>
            <w:tcBorders>
              <w:top w:val="single" w:sz="8" w:color="0000FF"/>
            </w:tcBorders>
            <w:gridSpan w:val="5"/>
          </w:tcPr>
          <w:p>
            <w:pPr>
              <w:spacing w:after="0" w:line="169" w:lineRule="exact"/>
              <w:rPr>
                <w:rFonts w:ascii="Arial" w:cs="Arial" w:eastAsia="Arial" w:hAnsi="Arial"/>
                <w:sz w:val="19"/>
                <w:szCs w:val="19"/>
                <w:color w:val="0000FF"/>
              </w:rPr>
            </w:pPr>
            <w:hyperlink r:id="rId159">
              <w:r>
                <w:rPr>
                  <w:rFonts w:ascii="Arial" w:cs="Arial" w:eastAsia="Arial" w:hAnsi="Arial"/>
                  <w:sz w:val="19"/>
                  <w:szCs w:val="19"/>
                  <w:color w:val="0000FF"/>
                </w:rPr>
                <w:t>administrative agent</w:t>
              </w:r>
            </w:hyperlink>
          </w:p>
        </w:tc>
        <w:tc>
          <w:tcPr>
            <w:tcW w:w="880" w:type="dxa"/>
            <w:vAlign w:val="bottom"/>
            <w:gridSpan w:val="7"/>
          </w:tcPr>
          <w:p>
            <w:pPr>
              <w:spacing w:after="0"/>
              <w:rPr>
                <w:sz w:val="14"/>
                <w:szCs w:val="14"/>
                <w:color w:val="auto"/>
              </w:rPr>
            </w:pPr>
          </w:p>
        </w:tc>
      </w:tr>
      <w:tr>
        <w:trPr>
          <w:trHeight w:val="20"/>
        </w:trPr>
        <w:tc>
          <w:tcPr>
            <w:tcW w:w="8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80"/>
        <w:spacing w:after="0" w:line="218" w:lineRule="auto"/>
        <w:rPr>
          <w:sz w:val="20"/>
          <w:szCs w:val="20"/>
          <w:color w:val="auto"/>
        </w:rPr>
      </w:pPr>
      <w:r>
        <w:rPr>
          <w:rFonts w:ascii="Arial" w:cs="Arial" w:eastAsia="Arial" w:hAnsi="Arial"/>
          <w:sz w:val="20"/>
          <w:szCs w:val="20"/>
          <w:color w:val="auto"/>
        </w:rPr>
        <w:t>Registration Statement on Form S-8, File No. 333-183270, filed on August 13, 2012, Exhibit 4.1</w:t>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color w:val="auto"/>
        </w:rPr>
        <w:t>December 7, 2018 Form 8-K, Exhibit 3.1</w:t>
      </w:r>
    </w:p>
    <w:p>
      <w:pPr>
        <w:spacing w:after="0" w:line="173"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Amendment No. 4 to Registration Statement on Form S-1, File No. 333-180615, filed on July 18, 2012, Exhibit 4.1</w:t>
      </w:r>
    </w:p>
    <w:p>
      <w:pPr>
        <w:spacing w:after="0" w:line="44" w:lineRule="exact"/>
        <w:rPr>
          <w:sz w:val="20"/>
          <w:szCs w:val="20"/>
          <w:color w:val="auto"/>
        </w:rPr>
      </w:pPr>
    </w:p>
    <w:p>
      <w:pPr>
        <w:ind w:right="40"/>
        <w:spacing w:after="0" w:line="361" w:lineRule="auto"/>
        <w:rPr>
          <w:sz w:val="20"/>
          <w:szCs w:val="20"/>
          <w:color w:val="auto"/>
        </w:rPr>
      </w:pPr>
      <w:r>
        <w:rPr>
          <w:rFonts w:ascii="Arial" w:cs="Arial" w:eastAsia="Arial" w:hAnsi="Arial"/>
          <w:sz w:val="19"/>
          <w:szCs w:val="19"/>
          <w:color w:val="auto"/>
        </w:rPr>
        <w:t>December 29, 2019 Form 10-K, Exhibit 4.2 May 11, 2020 Form 8-K, Exhibit 4.1</w:t>
      </w:r>
    </w:p>
    <w:p>
      <w:pPr>
        <w:spacing w:after="0" w:line="126" w:lineRule="exact"/>
        <w:rPr>
          <w:sz w:val="20"/>
          <w:szCs w:val="20"/>
          <w:color w:val="auto"/>
        </w:rPr>
      </w:pPr>
    </w:p>
    <w:p>
      <w:pPr>
        <w:ind w:right="560"/>
        <w:spacing w:after="0" w:line="242" w:lineRule="auto"/>
        <w:rPr>
          <w:sz w:val="20"/>
          <w:szCs w:val="20"/>
          <w:color w:val="auto"/>
        </w:rPr>
      </w:pPr>
      <w:r>
        <w:rPr>
          <w:rFonts w:ascii="Arial" w:cs="Arial" w:eastAsia="Arial" w:hAnsi="Arial"/>
          <w:sz w:val="19"/>
          <w:szCs w:val="19"/>
          <w:color w:val="auto"/>
        </w:rPr>
        <w:t>May 11, 2020 Form 8-K, Included as Exhibit A to Exhibit 4.1</w:t>
      </w:r>
    </w:p>
    <w:p>
      <w:pPr>
        <w:spacing w:after="0" w:line="45" w:lineRule="exact"/>
        <w:rPr>
          <w:sz w:val="20"/>
          <w:szCs w:val="20"/>
          <w:color w:val="auto"/>
        </w:rPr>
      </w:pPr>
    </w:p>
    <w:p>
      <w:pPr>
        <w:ind w:right="340"/>
        <w:spacing w:after="0" w:line="229" w:lineRule="auto"/>
        <w:rPr>
          <w:sz w:val="20"/>
          <w:szCs w:val="20"/>
          <w:color w:val="auto"/>
        </w:rPr>
      </w:pPr>
      <w:r>
        <w:rPr>
          <w:rFonts w:ascii="Arial" w:cs="Arial" w:eastAsia="Arial" w:hAnsi="Arial"/>
          <w:sz w:val="20"/>
          <w:szCs w:val="20"/>
          <w:color w:val="auto"/>
        </w:rPr>
        <w:t>December 31, 2017 Form 10-K, Exhibit 10.38</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May 5, 2020 Form 8-K, Exhibit 10.1</w:t>
      </w:r>
    </w:p>
    <w:p>
      <w:pPr>
        <w:spacing w:after="0" w:line="756" w:lineRule="exact"/>
        <w:rPr>
          <w:sz w:val="20"/>
          <w:szCs w:val="20"/>
          <w:color w:val="auto"/>
        </w:rPr>
      </w:pPr>
    </w:p>
    <w:p>
      <w:pPr>
        <w:sectPr>
          <w:pgSz w:w="11900" w:h="16838" w:orient="portrait"/>
          <w:cols w:equalWidth="0" w:num="2">
            <w:col w:w="7540" w:space="200"/>
            <w:col w:w="3500"/>
          </w:cols>
          <w:pgMar w:left="320" w:top="121" w:right="3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9" w:name="page120"/>
    <w:bookmarkEnd w:id="1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ind w:left="4420"/>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040" w:type="dxa"/>
            <w:vAlign w:val="bottom"/>
            <w:gridSpan w:val="14"/>
            <w:vMerge w:val="restart"/>
          </w:tcPr>
          <w:p>
            <w:pPr>
              <w:ind w:left="720"/>
              <w:spacing w:after="0"/>
              <w:rPr>
                <w:sz w:val="20"/>
                <w:szCs w:val="20"/>
                <w:color w:val="auto"/>
              </w:rPr>
            </w:pPr>
            <w:r>
              <w:rPr>
                <w:rFonts w:ascii="Arial" w:cs="Arial" w:eastAsia="Arial" w:hAnsi="Arial"/>
                <w:sz w:val="16"/>
                <w:szCs w:val="16"/>
                <w:b w:val="1"/>
                <w:bCs w:val="1"/>
                <w:color w:val="auto"/>
              </w:rPr>
              <w:t>DESCRIPTION OF EXHIBITS</w:t>
            </w:r>
          </w:p>
        </w:tc>
        <w:tc>
          <w:tcPr>
            <w:tcW w:w="0" w:type="dxa"/>
            <w:vAlign w:val="bottom"/>
          </w:tcPr>
          <w:p>
            <w:pPr>
              <w:spacing w:after="0"/>
              <w:rPr>
                <w:sz w:val="1"/>
                <w:szCs w:val="1"/>
                <w:color w:val="auto"/>
              </w:rPr>
            </w:pPr>
          </w:p>
        </w:tc>
      </w:tr>
      <w:tr>
        <w:trPr>
          <w:trHeight w:val="223"/>
        </w:trPr>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040" w:type="dxa"/>
            <w:vAlign w:val="bottom"/>
            <w:gridSpan w:val="1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4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7"/>
              </w:rPr>
              <w:t>10.3</w:t>
            </w: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420" w:type="dxa"/>
            <w:vAlign w:val="bottom"/>
            <w:tcBorders>
              <w:top w:val="single" w:sz="8" w:color="auto"/>
            </w:tcBorders>
            <w:gridSpan w:val="15"/>
          </w:tcPr>
          <w:p>
            <w:pPr>
              <w:spacing w:after="0"/>
              <w:rPr>
                <w:rFonts w:ascii="Arial" w:cs="Arial" w:eastAsia="Arial" w:hAnsi="Arial"/>
                <w:sz w:val="20"/>
                <w:szCs w:val="20"/>
                <w:color w:val="0000FF"/>
                <w:w w:val="99"/>
              </w:rPr>
            </w:pPr>
            <w:hyperlink r:id="rId161">
              <w:r>
                <w:rPr>
                  <w:rFonts w:ascii="Arial" w:cs="Arial" w:eastAsia="Arial" w:hAnsi="Arial"/>
                  <w:sz w:val="20"/>
                  <w:szCs w:val="20"/>
                  <w:color w:val="0000FF"/>
                  <w:w w:val="99"/>
                </w:rPr>
                <w:t>Royalty Agreement dated April 1995 among Carrabba’s Italian Grill, Inc.,</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60" w:type="dxa"/>
            <w:vAlign w:val="bottom"/>
            <w:tcBorders>
              <w:top w:val="single" w:sz="8" w:color="0000FF"/>
            </w:tcBorders>
            <w:gridSpan w:val="5"/>
          </w:tcPr>
          <w:p>
            <w:pPr>
              <w:spacing w:after="0" w:line="169" w:lineRule="exact"/>
              <w:rPr>
                <w:rFonts w:ascii="Arial" w:cs="Arial" w:eastAsia="Arial" w:hAnsi="Arial"/>
                <w:sz w:val="19"/>
                <w:szCs w:val="19"/>
                <w:color w:val="0000FF"/>
                <w:w w:val="97"/>
              </w:rPr>
            </w:pPr>
            <w:hyperlink r:id="rId161">
              <w:r>
                <w:rPr>
                  <w:rFonts w:ascii="Arial" w:cs="Arial" w:eastAsia="Arial" w:hAnsi="Arial"/>
                  <w:sz w:val="19"/>
                  <w:szCs w:val="19"/>
                  <w:color w:val="0000FF"/>
                  <w:w w:val="97"/>
                </w:rPr>
                <w:t>Outback Steakhouse, Inc., Mangia Beve, Inc., Carrabba, Inc., Carrabba</w:t>
              </w:r>
            </w:hyperlink>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20" w:type="dxa"/>
            <w:vAlign w:val="bottom"/>
            <w:gridSpan w:val="15"/>
          </w:tcPr>
          <w:p>
            <w:pPr>
              <w:spacing w:after="0" w:line="169" w:lineRule="exact"/>
              <w:rPr>
                <w:rFonts w:ascii="Arial" w:cs="Arial" w:eastAsia="Arial" w:hAnsi="Arial"/>
                <w:sz w:val="19"/>
                <w:szCs w:val="19"/>
                <w:color w:val="0000FF"/>
              </w:rPr>
            </w:pPr>
            <w:hyperlink r:id="rId161">
              <w:r>
                <w:rPr>
                  <w:rFonts w:ascii="Arial" w:cs="Arial" w:eastAsia="Arial" w:hAnsi="Arial"/>
                  <w:sz w:val="19"/>
                  <w:szCs w:val="19"/>
                  <w:color w:val="0000FF"/>
                </w:rPr>
                <w:t>Woodway, Inc., John C. Carrabba, III, Damian C. Mandola, and John C.</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0" w:type="dxa"/>
            <w:vAlign w:val="bottom"/>
            <w:tcBorders>
              <w:bottom w:val="single" w:sz="8" w:color="0000FF"/>
            </w:tcBorders>
            <w:gridSpan w:val="6"/>
          </w:tcPr>
          <w:p>
            <w:pPr>
              <w:spacing w:after="0" w:line="169" w:lineRule="exact"/>
              <w:rPr>
                <w:rFonts w:ascii="Arial" w:cs="Arial" w:eastAsia="Arial" w:hAnsi="Arial"/>
                <w:sz w:val="19"/>
                <w:szCs w:val="19"/>
                <w:color w:val="0000FF"/>
                <w:w w:val="93"/>
              </w:rPr>
            </w:pPr>
            <w:hyperlink r:id="rId161">
              <w:r>
                <w:rPr>
                  <w:rFonts w:ascii="Arial" w:cs="Arial" w:eastAsia="Arial" w:hAnsi="Arial"/>
                  <w:sz w:val="19"/>
                  <w:szCs w:val="19"/>
                  <w:color w:val="0000FF"/>
                  <w:w w:val="93"/>
                </w:rPr>
                <w:t>Carrabba, Jr., as amended by First Amendment to Royalty Agreement dated</w:t>
              </w:r>
            </w:hyperlink>
          </w:p>
        </w:tc>
        <w:tc>
          <w:tcPr>
            <w:tcW w:w="42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20" w:type="dxa"/>
            <w:vAlign w:val="bottom"/>
            <w:gridSpan w:val="15"/>
          </w:tcPr>
          <w:p>
            <w:pPr>
              <w:spacing w:after="0" w:line="169" w:lineRule="exact"/>
              <w:rPr>
                <w:rFonts w:ascii="Arial" w:cs="Arial" w:eastAsia="Arial" w:hAnsi="Arial"/>
                <w:sz w:val="19"/>
                <w:szCs w:val="19"/>
                <w:color w:val="0000FF"/>
                <w:w w:val="94"/>
              </w:rPr>
            </w:pPr>
            <w:hyperlink r:id="rId161">
              <w:r>
                <w:rPr>
                  <w:rFonts w:ascii="Arial" w:cs="Arial" w:eastAsia="Arial" w:hAnsi="Arial"/>
                  <w:sz w:val="19"/>
                  <w:szCs w:val="19"/>
                  <w:color w:val="0000FF"/>
                  <w:w w:val="94"/>
                </w:rPr>
                <w:t>January 1997 and Second Amendment to Royalty Agreement made and entered</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00" w:type="dxa"/>
            <w:vAlign w:val="bottom"/>
            <w:tcBorders>
              <w:top w:val="single" w:sz="8" w:color="0000FF"/>
            </w:tcBorders>
            <w:gridSpan w:val="12"/>
          </w:tcPr>
          <w:p>
            <w:pPr>
              <w:spacing w:after="0" w:line="169" w:lineRule="exact"/>
              <w:rPr>
                <w:rFonts w:ascii="Arial" w:cs="Arial" w:eastAsia="Arial" w:hAnsi="Arial"/>
                <w:sz w:val="19"/>
                <w:szCs w:val="19"/>
                <w:color w:val="0000FF"/>
              </w:rPr>
            </w:pPr>
            <w:hyperlink r:id="rId161">
              <w:r>
                <w:rPr>
                  <w:rFonts w:ascii="Arial" w:cs="Arial" w:eastAsia="Arial" w:hAnsi="Arial"/>
                  <w:sz w:val="19"/>
                  <w:szCs w:val="19"/>
                  <w:color w:val="0000FF"/>
                </w:rPr>
                <w:t>into effective April 7, 2010 by and among Carrabba’s Italian Grill, LLC, OSI</w:t>
              </w:r>
            </w:hyperlink>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00" w:type="dxa"/>
            <w:vAlign w:val="bottom"/>
            <w:tcBorders>
              <w:top w:val="single" w:sz="8" w:color="0000FF"/>
            </w:tcBorders>
            <w:gridSpan w:val="7"/>
          </w:tcPr>
          <w:p>
            <w:pPr>
              <w:spacing w:after="0" w:line="156" w:lineRule="exact"/>
              <w:rPr>
                <w:rFonts w:ascii="Arial" w:cs="Arial" w:eastAsia="Arial" w:hAnsi="Arial"/>
                <w:sz w:val="18"/>
                <w:szCs w:val="18"/>
                <w:u w:val="single" w:color="auto"/>
                <w:color w:val="0000FF"/>
              </w:rPr>
            </w:pPr>
            <w:hyperlink r:id="rId161">
              <w:r>
                <w:rPr>
                  <w:rFonts w:ascii="Arial" w:cs="Arial" w:eastAsia="Arial" w:hAnsi="Arial"/>
                  <w:sz w:val="18"/>
                  <w:szCs w:val="18"/>
                  <w:u w:val="single" w:color="auto"/>
                  <w:color w:val="0000FF"/>
                </w:rPr>
                <w:t>Restaurant Partners, LLC, Mangia Beve, Inc., Mangia Beve II, Inc., Original,</w:t>
              </w:r>
            </w:hyperlink>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20" w:type="dxa"/>
            <w:vAlign w:val="bottom"/>
            <w:gridSpan w:val="15"/>
          </w:tcPr>
          <w:p>
            <w:pPr>
              <w:spacing w:after="0" w:line="189" w:lineRule="exact"/>
              <w:rPr>
                <w:rFonts w:ascii="Arial" w:cs="Arial" w:eastAsia="Arial" w:hAnsi="Arial"/>
                <w:sz w:val="20"/>
                <w:szCs w:val="20"/>
                <w:u w:val="single" w:color="auto"/>
                <w:color w:val="0000FF"/>
              </w:rPr>
            </w:pPr>
            <w:hyperlink r:id="rId161">
              <w:r>
                <w:rPr>
                  <w:rFonts w:ascii="Arial" w:cs="Arial" w:eastAsia="Arial" w:hAnsi="Arial"/>
                  <w:sz w:val="20"/>
                  <w:szCs w:val="20"/>
                  <w:u w:val="single" w:color="auto"/>
                  <w:color w:val="0000FF"/>
                </w:rPr>
                <w:t>Inc., Voss, Inc., John C. Carrabba, III, Damian C. Mandola, and John C.</w:t>
              </w:r>
            </w:hyperlink>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20" w:type="dxa"/>
            <w:vAlign w:val="bottom"/>
            <w:gridSpan w:val="15"/>
          </w:tcPr>
          <w:p>
            <w:pPr>
              <w:spacing w:after="0"/>
              <w:rPr>
                <w:rFonts w:ascii="Arial" w:cs="Arial" w:eastAsia="Arial" w:hAnsi="Arial"/>
                <w:sz w:val="20"/>
                <w:szCs w:val="20"/>
                <w:u w:val="single" w:color="auto"/>
                <w:color w:val="0000FF"/>
              </w:rPr>
            </w:pPr>
            <w:hyperlink r:id="rId161">
              <w:r>
                <w:rPr>
                  <w:rFonts w:ascii="Arial" w:cs="Arial" w:eastAsia="Arial" w:hAnsi="Arial"/>
                  <w:sz w:val="20"/>
                  <w:szCs w:val="20"/>
                  <w:u w:val="single" w:color="auto"/>
                  <w:color w:val="0000FF"/>
                </w:rPr>
                <w:t>Carrabba, Jr.</w:t>
              </w:r>
            </w:hyperlink>
          </w:p>
        </w:tc>
        <w:tc>
          <w:tcPr>
            <w:tcW w:w="0" w:type="dxa"/>
            <w:vAlign w:val="bottom"/>
          </w:tcPr>
          <w:p>
            <w:pPr>
              <w:spacing w:after="0"/>
              <w:rPr>
                <w:sz w:val="1"/>
                <w:szCs w:val="1"/>
                <w:color w:val="auto"/>
              </w:rPr>
            </w:pPr>
          </w:p>
        </w:tc>
      </w:tr>
      <w:tr>
        <w:trPr>
          <w:trHeight w:val="249"/>
        </w:trPr>
        <w:tc>
          <w:tcPr>
            <w:tcW w:w="1040" w:type="dxa"/>
            <w:vAlign w:val="bottom"/>
          </w:tcPr>
          <w:p>
            <w:pPr>
              <w:jc w:val="center"/>
              <w:spacing w:after="0"/>
              <w:rPr>
                <w:sz w:val="20"/>
                <w:szCs w:val="20"/>
                <w:color w:val="auto"/>
              </w:rPr>
            </w:pPr>
            <w:r>
              <w:rPr>
                <w:rFonts w:ascii="Arial" w:cs="Arial" w:eastAsia="Arial" w:hAnsi="Arial"/>
                <w:sz w:val="20"/>
                <w:szCs w:val="20"/>
                <w:color w:val="auto"/>
                <w:w w:val="87"/>
              </w:rPr>
              <w:t>10.4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20" w:type="dxa"/>
            <w:vAlign w:val="bottom"/>
            <w:gridSpan w:val="15"/>
          </w:tcPr>
          <w:p>
            <w:pPr>
              <w:spacing w:after="0"/>
              <w:rPr>
                <w:rFonts w:ascii="Arial" w:cs="Arial" w:eastAsia="Arial" w:hAnsi="Arial"/>
                <w:sz w:val="20"/>
                <w:szCs w:val="20"/>
                <w:color w:val="0000FF"/>
                <w:w w:val="92"/>
              </w:rPr>
            </w:pPr>
            <w:hyperlink r:id="rId162">
              <w:r>
                <w:rPr>
                  <w:rFonts w:ascii="Arial" w:cs="Arial" w:eastAsia="Arial" w:hAnsi="Arial"/>
                  <w:sz w:val="20"/>
                  <w:szCs w:val="20"/>
                  <w:color w:val="0000FF"/>
                  <w:w w:val="92"/>
                </w:rPr>
                <w:t>Third Amendment to Royalty Agreement made and entered into effective June</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20" w:type="dxa"/>
            <w:vAlign w:val="bottom"/>
            <w:tcBorders>
              <w:top w:val="single" w:sz="8" w:color="0000FF"/>
              <w:bottom w:val="single" w:sz="8" w:color="0000FF"/>
            </w:tcBorders>
            <w:gridSpan w:val="9"/>
          </w:tcPr>
          <w:p>
            <w:pPr>
              <w:spacing w:after="0" w:line="169" w:lineRule="exact"/>
              <w:rPr>
                <w:rFonts w:ascii="Arial" w:cs="Arial" w:eastAsia="Arial" w:hAnsi="Arial"/>
                <w:sz w:val="19"/>
                <w:szCs w:val="19"/>
                <w:color w:val="0000FF"/>
                <w:w w:val="94"/>
              </w:rPr>
            </w:pPr>
            <w:hyperlink r:id="rId162">
              <w:r>
                <w:rPr>
                  <w:rFonts w:ascii="Arial" w:cs="Arial" w:eastAsia="Arial" w:hAnsi="Arial"/>
                  <w:sz w:val="19"/>
                  <w:szCs w:val="19"/>
                  <w:color w:val="0000FF"/>
                  <w:w w:val="94"/>
                </w:rPr>
                <w:t>1, 2014, by and among Carrabba’s Italian Grill, LLC, OSI Restaurant Partners,</w:t>
              </w:r>
            </w:hyperlink>
          </w:p>
        </w:tc>
        <w:tc>
          <w:tcPr>
            <w:tcW w:w="20" w:type="dxa"/>
            <w:vAlign w:val="bottom"/>
            <w:tcBorders>
              <w:bottom w:val="single" w:sz="8" w:color="0000FF"/>
            </w:tcBorders>
          </w:tcPr>
          <w:p>
            <w:pPr>
              <w:spacing w:after="0"/>
              <w:rPr>
                <w:sz w:val="14"/>
                <w:szCs w:val="14"/>
                <w:color w:val="auto"/>
              </w:rPr>
            </w:pPr>
          </w:p>
        </w:tc>
        <w:tc>
          <w:tcPr>
            <w:tcW w:w="180" w:type="dxa"/>
            <w:vAlign w:val="bottom"/>
            <w:gridSpan w:val="5"/>
            <w:vMerge w:val="restart"/>
          </w:tcPr>
          <w:p>
            <w:pPr>
              <w:spacing w:after="0"/>
              <w:rPr>
                <w:rFonts w:ascii="Arial" w:cs="Arial" w:eastAsia="Arial" w:hAnsi="Arial"/>
                <w:sz w:val="20"/>
                <w:szCs w:val="20"/>
                <w:color w:val="0000FF"/>
                <w:w w:val="79"/>
              </w:rPr>
            </w:pPr>
            <w:hyperlink r:id="rId162">
              <w:r>
                <w:rPr>
                  <w:rFonts w:ascii="Arial" w:cs="Arial" w:eastAsia="Arial" w:hAnsi="Arial"/>
                  <w:sz w:val="20"/>
                  <w:szCs w:val="20"/>
                  <w:color w:val="0000FF"/>
                  <w:w w:val="79"/>
                </w:rPr>
                <w:t>C.</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40" w:type="dxa"/>
            <w:vAlign w:val="bottom"/>
            <w:gridSpan w:val="10"/>
          </w:tcPr>
          <w:p>
            <w:pPr>
              <w:spacing w:after="0" w:line="169" w:lineRule="exact"/>
              <w:rPr>
                <w:rFonts w:ascii="Arial" w:cs="Arial" w:eastAsia="Arial" w:hAnsi="Arial"/>
                <w:sz w:val="19"/>
                <w:szCs w:val="19"/>
                <w:color w:val="0000FF"/>
                <w:w w:val="97"/>
              </w:rPr>
            </w:pPr>
            <w:hyperlink r:id="rId162">
              <w:r>
                <w:rPr>
                  <w:rFonts w:ascii="Arial" w:cs="Arial" w:eastAsia="Arial" w:hAnsi="Arial"/>
                  <w:sz w:val="19"/>
                  <w:szCs w:val="19"/>
                  <w:color w:val="0000FF"/>
                  <w:w w:val="97"/>
                </w:rPr>
                <w:t>LLC, Mangia Beve, Inc., Mangia Beve II, Inc., Original, Inc., Voss, Inc., John</w:t>
              </w:r>
            </w:hyperlink>
          </w:p>
        </w:tc>
        <w:tc>
          <w:tcPr>
            <w:tcW w:w="1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20" w:type="dxa"/>
            <w:vAlign w:val="bottom"/>
            <w:tcBorders>
              <w:top w:val="single" w:sz="8" w:color="0000FF"/>
              <w:bottom w:val="single" w:sz="8" w:color="0000FF"/>
            </w:tcBorders>
            <w:gridSpan w:val="2"/>
          </w:tcPr>
          <w:p>
            <w:pPr>
              <w:spacing w:after="0" w:line="169" w:lineRule="exact"/>
              <w:rPr>
                <w:rFonts w:ascii="Arial" w:cs="Arial" w:eastAsia="Arial" w:hAnsi="Arial"/>
                <w:sz w:val="19"/>
                <w:szCs w:val="19"/>
                <w:color w:val="0000FF"/>
                <w:w w:val="93"/>
              </w:rPr>
            </w:pPr>
            <w:hyperlink r:id="rId162">
              <w:r>
                <w:rPr>
                  <w:rFonts w:ascii="Arial" w:cs="Arial" w:eastAsia="Arial" w:hAnsi="Arial"/>
                  <w:sz w:val="19"/>
                  <w:szCs w:val="19"/>
                  <w:color w:val="0000FF"/>
                  <w:w w:val="93"/>
                </w:rPr>
                <w:t>Carrabba, III, Damian C. Mandola, and John C. Carrabba, Jr.</w:t>
              </w:r>
            </w:hyperlink>
          </w:p>
        </w:tc>
        <w:tc>
          <w:tcPr>
            <w:tcW w:w="158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87"/>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20" w:type="dxa"/>
            <w:vAlign w:val="bottom"/>
            <w:gridSpan w:val="15"/>
          </w:tcPr>
          <w:p>
            <w:pPr>
              <w:spacing w:after="0"/>
              <w:rPr>
                <w:rFonts w:ascii="Arial" w:cs="Arial" w:eastAsia="Arial" w:hAnsi="Arial"/>
                <w:sz w:val="20"/>
                <w:szCs w:val="20"/>
                <w:color w:val="0000FF"/>
                <w:w w:val="91"/>
              </w:rPr>
            </w:pPr>
            <w:hyperlink r:id="rId163">
              <w:r>
                <w:rPr>
                  <w:rFonts w:ascii="Arial" w:cs="Arial" w:eastAsia="Arial" w:hAnsi="Arial"/>
                  <w:sz w:val="20"/>
                  <w:szCs w:val="20"/>
                  <w:color w:val="0000FF"/>
                  <w:w w:val="91"/>
                </w:rPr>
                <w:t>Fourth Amendment to Royalty Agreement made and entered into effective May</w:t>
              </w:r>
            </w:hyperlink>
          </w:p>
        </w:tc>
        <w:tc>
          <w:tcPr>
            <w:tcW w:w="0" w:type="dxa"/>
            <w:vAlign w:val="bottom"/>
          </w:tcPr>
          <w:p>
            <w:pPr>
              <w:spacing w:after="0"/>
              <w:rPr>
                <w:sz w:val="1"/>
                <w:szCs w:val="1"/>
                <w:color w:val="auto"/>
              </w:rPr>
            </w:pPr>
          </w:p>
        </w:tc>
      </w:tr>
      <w:tr>
        <w:trPr>
          <w:trHeight w:val="163"/>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2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63">
              <w:r>
                <w:rPr>
                  <w:rFonts w:ascii="Arial" w:cs="Arial" w:eastAsia="Arial" w:hAnsi="Arial"/>
                  <w:sz w:val="18"/>
                  <w:szCs w:val="18"/>
                  <w:color w:val="0000FF"/>
                </w:rPr>
                <w:t>1, 2017, by and among Carrabba’s Italian Grill, LLC, OSI Restaurant Partners,</w:t>
              </w:r>
            </w:hyperlink>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40" w:type="dxa"/>
            <w:vAlign w:val="bottom"/>
            <w:tcBorders>
              <w:top w:val="single" w:sz="8" w:color="0000FF"/>
            </w:tcBorders>
            <w:gridSpan w:val="10"/>
          </w:tcPr>
          <w:p>
            <w:pPr>
              <w:spacing w:after="0" w:line="176" w:lineRule="exact"/>
              <w:rPr>
                <w:rFonts w:ascii="Arial" w:cs="Arial" w:eastAsia="Arial" w:hAnsi="Arial"/>
                <w:sz w:val="20"/>
                <w:szCs w:val="20"/>
                <w:color w:val="0000FF"/>
                <w:w w:val="92"/>
              </w:rPr>
            </w:pPr>
            <w:hyperlink r:id="rId163">
              <w:r>
                <w:rPr>
                  <w:rFonts w:ascii="Arial" w:cs="Arial" w:eastAsia="Arial" w:hAnsi="Arial"/>
                  <w:sz w:val="20"/>
                  <w:szCs w:val="20"/>
                  <w:color w:val="0000FF"/>
                  <w:w w:val="92"/>
                </w:rPr>
                <w:t>LLC, Mangia Beve, Inc., Mangia Beve II, Inc., Original, Inc., Voss, Inc., John</w:t>
              </w:r>
            </w:hyperlink>
          </w:p>
        </w:tc>
        <w:tc>
          <w:tcPr>
            <w:tcW w:w="180" w:type="dxa"/>
            <w:vAlign w:val="bottom"/>
            <w:gridSpan w:val="5"/>
          </w:tcPr>
          <w:p>
            <w:pPr>
              <w:spacing w:after="0" w:line="176" w:lineRule="exact"/>
              <w:rPr>
                <w:rFonts w:ascii="Arial" w:cs="Arial" w:eastAsia="Arial" w:hAnsi="Arial"/>
                <w:sz w:val="20"/>
                <w:szCs w:val="20"/>
                <w:color w:val="0000FF"/>
                <w:w w:val="79"/>
              </w:rPr>
            </w:pPr>
            <w:hyperlink r:id="rId163">
              <w:r>
                <w:rPr>
                  <w:rFonts w:ascii="Arial" w:cs="Arial" w:eastAsia="Arial" w:hAnsi="Arial"/>
                  <w:sz w:val="20"/>
                  <w:szCs w:val="20"/>
                  <w:color w:val="0000FF"/>
                  <w:w w:val="79"/>
                </w:rPr>
                <w:t>C.</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20" w:type="dxa"/>
            <w:vAlign w:val="bottom"/>
            <w:tcBorders>
              <w:top w:val="single" w:sz="8" w:color="0000FF"/>
              <w:bottom w:val="single" w:sz="8" w:color="0000FF"/>
            </w:tcBorders>
            <w:gridSpan w:val="2"/>
          </w:tcPr>
          <w:p>
            <w:pPr>
              <w:spacing w:after="0" w:line="169" w:lineRule="exact"/>
              <w:rPr>
                <w:rFonts w:ascii="Arial" w:cs="Arial" w:eastAsia="Arial" w:hAnsi="Arial"/>
                <w:sz w:val="19"/>
                <w:szCs w:val="19"/>
                <w:color w:val="0000FF"/>
                <w:w w:val="93"/>
              </w:rPr>
            </w:pPr>
            <w:hyperlink r:id="rId163">
              <w:r>
                <w:rPr>
                  <w:rFonts w:ascii="Arial" w:cs="Arial" w:eastAsia="Arial" w:hAnsi="Arial"/>
                  <w:sz w:val="19"/>
                  <w:szCs w:val="19"/>
                  <w:color w:val="0000FF"/>
                  <w:w w:val="93"/>
                </w:rPr>
                <w:t>Carrabba, III, Damian C. Mandola, and John C. Carrabba, Jr.</w:t>
              </w:r>
            </w:hyperlink>
          </w:p>
        </w:tc>
        <w:tc>
          <w:tcPr>
            <w:tcW w:w="158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87"/>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20" w:type="dxa"/>
            <w:vAlign w:val="bottom"/>
            <w:gridSpan w:val="15"/>
          </w:tcPr>
          <w:p>
            <w:pPr>
              <w:spacing w:after="0"/>
              <w:rPr>
                <w:rFonts w:ascii="Arial" w:cs="Arial" w:eastAsia="Arial" w:hAnsi="Arial"/>
                <w:sz w:val="20"/>
                <w:szCs w:val="20"/>
                <w:color w:val="0000FF"/>
                <w:w w:val="91"/>
              </w:rPr>
            </w:pPr>
            <w:hyperlink r:id="rId164">
              <w:r>
                <w:rPr>
                  <w:rFonts w:ascii="Arial" w:cs="Arial" w:eastAsia="Arial" w:hAnsi="Arial"/>
                  <w:sz w:val="20"/>
                  <w:szCs w:val="20"/>
                  <w:color w:val="0000FF"/>
                  <w:w w:val="91"/>
                </w:rPr>
                <w:t>Amended and Restated Operating Agreement for OSI/Fleming’s, LLC made as</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60" w:type="dxa"/>
            <w:vAlign w:val="bottom"/>
            <w:tcBorders>
              <w:top w:val="single" w:sz="8" w:color="0000FF"/>
            </w:tcBorders>
            <w:gridSpan w:val="11"/>
          </w:tcPr>
          <w:p>
            <w:pPr>
              <w:spacing w:after="0" w:line="169" w:lineRule="exact"/>
              <w:rPr>
                <w:rFonts w:ascii="Arial" w:cs="Arial" w:eastAsia="Arial" w:hAnsi="Arial"/>
                <w:sz w:val="19"/>
                <w:szCs w:val="19"/>
                <w:color w:val="0000FF"/>
                <w:w w:val="97"/>
              </w:rPr>
            </w:pPr>
            <w:hyperlink r:id="rId164">
              <w:r>
                <w:rPr>
                  <w:rFonts w:ascii="Arial" w:cs="Arial" w:eastAsia="Arial" w:hAnsi="Arial"/>
                  <w:sz w:val="19"/>
                  <w:szCs w:val="19"/>
                  <w:color w:val="0000FF"/>
                  <w:w w:val="97"/>
                </w:rPr>
                <w:t>of June 4, 2010 by and among OS Prime, LLC, a wholly-owned subsidiary of</w:t>
              </w:r>
            </w:hyperlink>
          </w:p>
        </w:tc>
        <w:tc>
          <w:tcPr>
            <w:tcW w:w="16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140" w:type="dxa"/>
            <w:vAlign w:val="bottom"/>
            <w:tcBorders>
              <w:top w:val="single" w:sz="8" w:color="0000FF"/>
            </w:tcBorders>
            <w:gridSpan w:val="8"/>
          </w:tcPr>
          <w:p>
            <w:pPr>
              <w:spacing w:after="0" w:line="169" w:lineRule="exact"/>
              <w:rPr>
                <w:rFonts w:ascii="Arial" w:cs="Arial" w:eastAsia="Arial" w:hAnsi="Arial"/>
                <w:sz w:val="19"/>
                <w:szCs w:val="19"/>
                <w:color w:val="0000FF"/>
              </w:rPr>
            </w:pPr>
            <w:hyperlink r:id="rId164">
              <w:r>
                <w:rPr>
                  <w:rFonts w:ascii="Arial" w:cs="Arial" w:eastAsia="Arial" w:hAnsi="Arial"/>
                  <w:sz w:val="19"/>
                  <w:szCs w:val="19"/>
                  <w:color w:val="0000FF"/>
                </w:rPr>
                <w:t>OSI Restaurant Partners, LLC, FPSH Limited Partnership and AWA III</w:t>
              </w:r>
            </w:hyperlink>
          </w:p>
        </w:tc>
        <w:tc>
          <w:tcPr>
            <w:tcW w:w="28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Borders>
              <w:top w:val="single" w:sz="8" w:color="0000FF"/>
              <w:bottom w:val="single" w:sz="8" w:color="0000FF"/>
            </w:tcBorders>
          </w:tcPr>
          <w:p>
            <w:pPr>
              <w:spacing w:after="0" w:line="169" w:lineRule="exact"/>
              <w:rPr>
                <w:rFonts w:ascii="Arial" w:cs="Arial" w:eastAsia="Arial" w:hAnsi="Arial"/>
                <w:sz w:val="19"/>
                <w:szCs w:val="19"/>
                <w:color w:val="0000FF"/>
                <w:w w:val="90"/>
              </w:rPr>
            </w:pPr>
            <w:hyperlink r:id="rId164">
              <w:r>
                <w:rPr>
                  <w:rFonts w:ascii="Arial" w:cs="Arial" w:eastAsia="Arial" w:hAnsi="Arial"/>
                  <w:sz w:val="19"/>
                  <w:szCs w:val="19"/>
                  <w:color w:val="0000FF"/>
                  <w:w w:val="90"/>
                </w:rPr>
                <w:t>Steakhouses, Inc.</w:t>
              </w:r>
            </w:hyperlink>
          </w:p>
        </w:tc>
        <w:tc>
          <w:tcPr>
            <w:tcW w:w="4320" w:type="dxa"/>
            <w:vAlign w:val="bottom"/>
            <w:tcBorders>
              <w:top w:val="single" w:sz="8" w:color="0000FF"/>
            </w:tcBorders>
            <w:gridSpan w:val="3"/>
          </w:tcPr>
          <w:p>
            <w:pPr>
              <w:spacing w:after="0"/>
              <w:rPr>
                <w:sz w:val="14"/>
                <w:szCs w:val="14"/>
                <w:color w:val="auto"/>
              </w:rPr>
            </w:pPr>
          </w:p>
        </w:tc>
        <w:tc>
          <w:tcPr>
            <w:tcW w:w="72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FILINGS REFERENCED FOR</w:t>
      </w:r>
    </w:p>
    <w:p>
      <w:pPr>
        <w:jc w:val="center"/>
        <w:ind w:right="-119"/>
        <w:spacing w:after="0"/>
        <w:rPr>
          <w:sz w:val="20"/>
          <w:szCs w:val="20"/>
          <w:color w:val="auto"/>
        </w:rPr>
      </w:pPr>
      <w:r>
        <w:rPr>
          <w:rFonts w:ascii="Arial" w:cs="Arial" w:eastAsia="Arial" w:hAnsi="Arial"/>
          <w:sz w:val="16"/>
          <w:szCs w:val="16"/>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8890</wp:posOffset>
            </wp:positionV>
            <wp:extent cx="223710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extLst>
                    </a:blip>
                    <a:srcRect/>
                    <a:stretch>
                      <a:fillRect/>
                    </a:stretch>
                  </pic:blipFill>
                  <pic:spPr bwMode="auto">
                    <a:xfrm>
                      <a:off x="0" y="0"/>
                      <a:ext cx="2237105" cy="17145"/>
                    </a:xfrm>
                    <a:prstGeom prst="rect">
                      <a:avLst/>
                    </a:prstGeom>
                    <a:noFill/>
                  </pic:spPr>
                </pic:pic>
              </a:graphicData>
            </a:graphic>
          </wp:anchor>
        </w:drawing>
      </w:r>
    </w:p>
    <w:p>
      <w:pPr>
        <w:spacing w:after="0" w:line="59" w:lineRule="exact"/>
        <w:rPr>
          <w:sz w:val="20"/>
          <w:szCs w:val="20"/>
          <w:color w:val="auto"/>
        </w:rPr>
      </w:pPr>
    </w:p>
    <w:p>
      <w:pPr>
        <w:jc w:val="both"/>
        <w:ind w:right="100"/>
        <w:spacing w:after="0" w:line="218" w:lineRule="auto"/>
        <w:rPr>
          <w:sz w:val="20"/>
          <w:szCs w:val="20"/>
          <w:color w:val="auto"/>
        </w:rPr>
      </w:pPr>
      <w:r>
        <w:rPr>
          <w:rFonts w:ascii="Arial" w:cs="Arial" w:eastAsia="Arial" w:hAnsi="Arial"/>
          <w:sz w:val="20"/>
          <w:szCs w:val="20"/>
          <w:color w:val="auto"/>
        </w:rPr>
        <w:t>Registration Statement on Form S-1, File No. 333-180615, filed on April 6, 2012, 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June 29, 2014 Form 10-Q, Exhibit 10.6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June 25, 2017 Form 10-Q, Exhibit 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100"/>
        <w:spacing w:after="0" w:line="218" w:lineRule="auto"/>
        <w:rPr>
          <w:sz w:val="20"/>
          <w:szCs w:val="20"/>
          <w:color w:val="auto"/>
        </w:rPr>
      </w:pPr>
      <w:r>
        <w:rPr>
          <w:rFonts w:ascii="Arial" w:cs="Arial" w:eastAsia="Arial" w:hAnsi="Arial"/>
          <w:sz w:val="20"/>
          <w:szCs w:val="20"/>
          <w:color w:val="auto"/>
        </w:rPr>
        <w:t>Registration Statement on Form S-1, File No. 333-180615, filed on April 6, 2012, Exhibit 10.8</w:t>
      </w:r>
    </w:p>
    <w:p>
      <w:pPr>
        <w:spacing w:after="0" w:line="253" w:lineRule="exact"/>
        <w:rPr>
          <w:sz w:val="20"/>
          <w:szCs w:val="20"/>
          <w:color w:val="auto"/>
        </w:rPr>
      </w:pPr>
    </w:p>
    <w:p>
      <w:pPr>
        <w:sectPr>
          <w:pgSz w:w="11900" w:h="16838" w:orient="portrait"/>
          <w:cols w:equalWidth="0" w:num="2">
            <w:col w:w="7600" w:space="140"/>
            <w:col w:w="3360"/>
          </w:cols>
          <w:pgMar w:left="320" w:top="121" w:right="479" w:bottom="1440" w:gutter="0" w:footer="0" w:header="0"/>
        </w:sectPr>
      </w:pPr>
    </w:p>
    <w:tbl>
      <w:tblPr>
        <w:tblLayout w:type="fixed"/>
        <w:tblInd w:w="260" w:type="dxa"/>
        <w:tblCellMar>
          <w:top w:w="0" w:type="dxa"/>
          <w:left w:w="0" w:type="dxa"/>
          <w:bottom w:w="0" w:type="dxa"/>
          <w:right w:w="0" w:type="dxa"/>
        </w:tblCellMar>
      </w:tblPr>
      <w:tr>
        <w:trPr>
          <w:trHeight w:val="230"/>
        </w:trPr>
        <w:tc>
          <w:tcPr>
            <w:tcW w:w="920" w:type="dxa"/>
            <w:vAlign w:val="bottom"/>
          </w:tcPr>
          <w:p>
            <w:pPr>
              <w:jc w:val="center"/>
              <w:ind w:right="281"/>
              <w:spacing w:after="0"/>
              <w:rPr>
                <w:sz w:val="20"/>
                <w:szCs w:val="20"/>
                <w:color w:val="auto"/>
              </w:rPr>
            </w:pPr>
            <w:r>
              <w:rPr>
                <w:rFonts w:ascii="Arial" w:cs="Arial" w:eastAsia="Arial" w:hAnsi="Arial"/>
                <w:sz w:val="20"/>
                <w:szCs w:val="20"/>
                <w:color w:val="auto"/>
                <w:w w:val="98"/>
              </w:rPr>
              <w:t>10.7*</w:t>
            </w:r>
          </w:p>
        </w:tc>
        <w:tc>
          <w:tcPr>
            <w:tcW w:w="6400" w:type="dxa"/>
            <w:vAlign w:val="bottom"/>
            <w:gridSpan w:val="12"/>
          </w:tcPr>
          <w:p>
            <w:pPr>
              <w:spacing w:after="0"/>
              <w:rPr>
                <w:rFonts w:ascii="Arial" w:cs="Arial" w:eastAsia="Arial" w:hAnsi="Arial"/>
                <w:sz w:val="20"/>
                <w:szCs w:val="20"/>
                <w:color w:val="0000FF"/>
                <w:w w:val="96"/>
              </w:rPr>
            </w:pPr>
            <w:hyperlink r:id="rId166">
              <w:r>
                <w:rPr>
                  <w:rFonts w:ascii="Arial" w:cs="Arial" w:eastAsia="Arial" w:hAnsi="Arial"/>
                  <w:sz w:val="20"/>
                  <w:szCs w:val="20"/>
                  <w:color w:val="0000FF"/>
                  <w:w w:val="96"/>
                </w:rPr>
                <w:t>OSI Restaurant Partners, LLC HCE Deferred Compensation Plan effective</w:t>
              </w:r>
            </w:hyperlink>
          </w:p>
        </w:tc>
      </w:tr>
      <w:tr>
        <w:trPr>
          <w:trHeight w:val="169"/>
        </w:trPr>
        <w:tc>
          <w:tcPr>
            <w:tcW w:w="920" w:type="dxa"/>
            <w:vAlign w:val="bottom"/>
          </w:tcPr>
          <w:p>
            <w:pPr>
              <w:spacing w:after="0"/>
              <w:rPr>
                <w:sz w:val="14"/>
                <w:szCs w:val="14"/>
                <w:color w:val="auto"/>
              </w:rPr>
            </w:pPr>
          </w:p>
        </w:tc>
        <w:tc>
          <w:tcPr>
            <w:tcW w:w="1280" w:type="dxa"/>
            <w:vAlign w:val="bottom"/>
            <w:tcBorders>
              <w:top w:val="single" w:sz="8" w:color="0000FF"/>
              <w:bottom w:val="single" w:sz="8" w:color="0000FF"/>
            </w:tcBorders>
            <w:gridSpan w:val="2"/>
          </w:tcPr>
          <w:p>
            <w:pPr>
              <w:spacing w:after="0" w:line="169" w:lineRule="exact"/>
              <w:rPr>
                <w:rFonts w:ascii="Arial" w:cs="Arial" w:eastAsia="Arial" w:hAnsi="Arial"/>
                <w:sz w:val="19"/>
                <w:szCs w:val="19"/>
                <w:color w:val="0000FF"/>
                <w:w w:val="92"/>
              </w:rPr>
            </w:pPr>
            <w:hyperlink r:id="rId166">
              <w:r>
                <w:rPr>
                  <w:rFonts w:ascii="Arial" w:cs="Arial" w:eastAsia="Arial" w:hAnsi="Arial"/>
                  <w:sz w:val="19"/>
                  <w:szCs w:val="19"/>
                  <w:color w:val="0000FF"/>
                  <w:w w:val="92"/>
                </w:rPr>
                <w:t>October 1, 2007</w:t>
              </w:r>
            </w:hyperlink>
          </w:p>
        </w:tc>
        <w:tc>
          <w:tcPr>
            <w:tcW w:w="4620" w:type="dxa"/>
            <w:vAlign w:val="bottom"/>
            <w:tcBorders>
              <w:top w:val="single" w:sz="8" w:color="0000FF"/>
            </w:tcBorders>
            <w:gridSpan w:val="5"/>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511"/>
        </w:trPr>
        <w:tc>
          <w:tcPr>
            <w:tcW w:w="920" w:type="dxa"/>
            <w:vAlign w:val="bottom"/>
          </w:tcPr>
          <w:p>
            <w:pPr>
              <w:jc w:val="center"/>
              <w:ind w:right="281"/>
              <w:spacing w:after="0"/>
              <w:rPr>
                <w:sz w:val="20"/>
                <w:szCs w:val="20"/>
                <w:color w:val="auto"/>
              </w:rPr>
            </w:pPr>
            <w:r>
              <w:rPr>
                <w:rFonts w:ascii="Arial" w:cs="Arial" w:eastAsia="Arial" w:hAnsi="Arial"/>
                <w:sz w:val="20"/>
                <w:szCs w:val="20"/>
                <w:color w:val="auto"/>
                <w:w w:val="98"/>
              </w:rPr>
              <w:t>10.8*</w:t>
            </w:r>
          </w:p>
        </w:tc>
        <w:tc>
          <w:tcPr>
            <w:tcW w:w="6400" w:type="dxa"/>
            <w:vAlign w:val="bottom"/>
            <w:gridSpan w:val="12"/>
          </w:tcPr>
          <w:p>
            <w:pPr>
              <w:spacing w:after="0"/>
              <w:rPr>
                <w:rFonts w:ascii="Arial" w:cs="Arial" w:eastAsia="Arial" w:hAnsi="Arial"/>
                <w:sz w:val="20"/>
                <w:szCs w:val="20"/>
                <w:u w:val="single" w:color="auto"/>
                <w:color w:val="0000FF"/>
              </w:rPr>
            </w:pPr>
            <w:hyperlink r:id="rId167">
              <w:r>
                <w:rPr>
                  <w:rFonts w:ascii="Arial" w:cs="Arial" w:eastAsia="Arial" w:hAnsi="Arial"/>
                  <w:sz w:val="20"/>
                  <w:szCs w:val="20"/>
                  <w:u w:val="single" w:color="auto"/>
                  <w:color w:val="0000FF"/>
                </w:rPr>
                <w:t>Kangaroo Holdings, Inc. 2007 Equity Incentive Plan, as amended</w:t>
              </w:r>
            </w:hyperlink>
          </w:p>
        </w:tc>
      </w:tr>
      <w:tr>
        <w:trPr>
          <w:trHeight w:val="630"/>
        </w:trPr>
        <w:tc>
          <w:tcPr>
            <w:tcW w:w="920" w:type="dxa"/>
            <w:vAlign w:val="bottom"/>
          </w:tcPr>
          <w:p>
            <w:pPr>
              <w:jc w:val="center"/>
              <w:ind w:right="281"/>
              <w:spacing w:after="0"/>
              <w:rPr>
                <w:sz w:val="20"/>
                <w:szCs w:val="20"/>
                <w:color w:val="auto"/>
              </w:rPr>
            </w:pPr>
            <w:r>
              <w:rPr>
                <w:rFonts w:ascii="Arial" w:cs="Arial" w:eastAsia="Arial" w:hAnsi="Arial"/>
                <w:sz w:val="20"/>
                <w:szCs w:val="20"/>
                <w:color w:val="auto"/>
                <w:w w:val="98"/>
              </w:rPr>
              <w:t>10.9*</w:t>
            </w:r>
          </w:p>
        </w:tc>
        <w:tc>
          <w:tcPr>
            <w:tcW w:w="6400" w:type="dxa"/>
            <w:vAlign w:val="bottom"/>
            <w:gridSpan w:val="12"/>
          </w:tcPr>
          <w:p>
            <w:pPr>
              <w:spacing w:after="0"/>
              <w:rPr>
                <w:rFonts w:ascii="Arial" w:cs="Arial" w:eastAsia="Arial" w:hAnsi="Arial"/>
                <w:sz w:val="20"/>
                <w:szCs w:val="20"/>
                <w:color w:val="0000FF"/>
                <w:w w:val="91"/>
              </w:rPr>
            </w:pPr>
            <w:hyperlink r:id="rId168">
              <w:r>
                <w:rPr>
                  <w:rFonts w:ascii="Arial" w:cs="Arial" w:eastAsia="Arial" w:hAnsi="Arial"/>
                  <w:sz w:val="20"/>
                  <w:szCs w:val="20"/>
                  <w:color w:val="0000FF"/>
                  <w:w w:val="91"/>
                </w:rPr>
                <w:t>Form of Option Agreement for Options under the Kangaroo Holdings, Inc. 2007</w:t>
              </w:r>
            </w:hyperlink>
          </w:p>
        </w:tc>
      </w:tr>
      <w:tr>
        <w:trPr>
          <w:trHeight w:val="169"/>
        </w:trPr>
        <w:tc>
          <w:tcPr>
            <w:tcW w:w="920" w:type="dxa"/>
            <w:vAlign w:val="bottom"/>
          </w:tcPr>
          <w:p>
            <w:pPr>
              <w:spacing w:after="0"/>
              <w:rPr>
                <w:sz w:val="14"/>
                <w:szCs w:val="14"/>
                <w:color w:val="auto"/>
              </w:rPr>
            </w:pPr>
          </w:p>
        </w:tc>
        <w:tc>
          <w:tcPr>
            <w:tcW w:w="6360" w:type="dxa"/>
            <w:vAlign w:val="bottom"/>
            <w:tcBorders>
              <w:top w:val="single" w:sz="8" w:color="0000FF"/>
            </w:tcBorders>
            <w:gridSpan w:val="10"/>
          </w:tcPr>
          <w:p>
            <w:pPr>
              <w:spacing w:after="0" w:line="169" w:lineRule="exact"/>
              <w:rPr>
                <w:rFonts w:ascii="Arial" w:cs="Arial" w:eastAsia="Arial" w:hAnsi="Arial"/>
                <w:sz w:val="19"/>
                <w:szCs w:val="19"/>
                <w:color w:val="0000FF"/>
              </w:rPr>
            </w:pPr>
            <w:hyperlink r:id="rId168">
              <w:r>
                <w:rPr>
                  <w:rFonts w:ascii="Arial" w:cs="Arial" w:eastAsia="Arial" w:hAnsi="Arial"/>
                  <w:sz w:val="19"/>
                  <w:szCs w:val="19"/>
                  <w:color w:val="0000FF"/>
                </w:rPr>
                <w:t>Equity Incentive Plan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10"/>
        </w:trPr>
        <w:tc>
          <w:tcPr>
            <w:tcW w:w="920" w:type="dxa"/>
            <w:vAlign w:val="bottom"/>
          </w:tcPr>
          <w:p>
            <w:pPr>
              <w:jc w:val="center"/>
              <w:ind w:right="281"/>
              <w:spacing w:after="0"/>
              <w:rPr>
                <w:sz w:val="20"/>
                <w:szCs w:val="20"/>
                <w:color w:val="auto"/>
              </w:rPr>
            </w:pPr>
            <w:r>
              <w:rPr>
                <w:rFonts w:ascii="Arial" w:cs="Arial" w:eastAsia="Arial" w:hAnsi="Arial"/>
                <w:sz w:val="20"/>
                <w:szCs w:val="20"/>
                <w:color w:val="auto"/>
                <w:w w:val="93"/>
              </w:rPr>
              <w:t>10.10*</w:t>
            </w:r>
          </w:p>
        </w:tc>
        <w:tc>
          <w:tcPr>
            <w:tcW w:w="6400" w:type="dxa"/>
            <w:vAlign w:val="bottom"/>
            <w:gridSpan w:val="12"/>
          </w:tcPr>
          <w:p>
            <w:pPr>
              <w:spacing w:after="0"/>
              <w:rPr>
                <w:rFonts w:ascii="Arial" w:cs="Arial" w:eastAsia="Arial" w:hAnsi="Arial"/>
                <w:sz w:val="20"/>
                <w:szCs w:val="20"/>
                <w:u w:val="single" w:color="auto"/>
                <w:color w:val="0000FF"/>
              </w:rPr>
            </w:pPr>
            <w:hyperlink r:id="rId169">
              <w:r>
                <w:rPr>
                  <w:rFonts w:ascii="Arial" w:cs="Arial" w:eastAsia="Arial" w:hAnsi="Arial"/>
                  <w:sz w:val="20"/>
                  <w:szCs w:val="20"/>
                  <w:u w:val="single" w:color="auto"/>
                  <w:color w:val="0000FF"/>
                </w:rPr>
                <w:t>Bloomin’ Brands, Inc. 2012 Incentive Award Plan</w:t>
              </w:r>
            </w:hyperlink>
          </w:p>
        </w:tc>
      </w:tr>
      <w:tr>
        <w:trPr>
          <w:trHeight w:val="900"/>
        </w:trPr>
        <w:tc>
          <w:tcPr>
            <w:tcW w:w="920" w:type="dxa"/>
            <w:vAlign w:val="bottom"/>
          </w:tcPr>
          <w:p>
            <w:pPr>
              <w:jc w:val="center"/>
              <w:ind w:right="281"/>
              <w:spacing w:after="0"/>
              <w:rPr>
                <w:sz w:val="20"/>
                <w:szCs w:val="20"/>
                <w:color w:val="auto"/>
              </w:rPr>
            </w:pPr>
            <w:r>
              <w:rPr>
                <w:rFonts w:ascii="Arial" w:cs="Arial" w:eastAsia="Arial" w:hAnsi="Arial"/>
                <w:sz w:val="20"/>
                <w:szCs w:val="20"/>
                <w:color w:val="auto"/>
                <w:w w:val="93"/>
              </w:rPr>
              <w:t>10.11*</w:t>
            </w:r>
          </w:p>
        </w:tc>
        <w:tc>
          <w:tcPr>
            <w:tcW w:w="6400" w:type="dxa"/>
            <w:vAlign w:val="bottom"/>
            <w:gridSpan w:val="12"/>
          </w:tcPr>
          <w:p>
            <w:pPr>
              <w:spacing w:after="0"/>
              <w:rPr>
                <w:rFonts w:ascii="Arial" w:cs="Arial" w:eastAsia="Arial" w:hAnsi="Arial"/>
                <w:sz w:val="20"/>
                <w:szCs w:val="20"/>
                <w:color w:val="0000FF"/>
                <w:w w:val="91"/>
              </w:rPr>
            </w:pPr>
            <w:hyperlink r:id="rId170">
              <w:r>
                <w:rPr>
                  <w:rFonts w:ascii="Arial" w:cs="Arial" w:eastAsia="Arial" w:hAnsi="Arial"/>
                  <w:sz w:val="20"/>
                  <w:szCs w:val="20"/>
                  <w:color w:val="0000FF"/>
                  <w:w w:val="91"/>
                </w:rPr>
                <w:t>Form of Nonqualified Stock Option Award Agreement for options granted under</w:t>
              </w:r>
            </w:hyperlink>
          </w:p>
        </w:tc>
      </w:tr>
      <w:tr>
        <w:trPr>
          <w:trHeight w:val="169"/>
        </w:trPr>
        <w:tc>
          <w:tcPr>
            <w:tcW w:w="920" w:type="dxa"/>
            <w:vAlign w:val="bottom"/>
          </w:tcPr>
          <w:p>
            <w:pPr>
              <w:spacing w:after="0"/>
              <w:rPr>
                <w:sz w:val="14"/>
                <w:szCs w:val="14"/>
                <w:color w:val="auto"/>
              </w:rPr>
            </w:pPr>
          </w:p>
        </w:tc>
        <w:tc>
          <w:tcPr>
            <w:tcW w:w="4260" w:type="dxa"/>
            <w:vAlign w:val="bottom"/>
            <w:tcBorders>
              <w:top w:val="single" w:sz="8" w:color="0000FF"/>
              <w:bottom w:val="single" w:sz="8" w:color="0000FF"/>
            </w:tcBorders>
            <w:gridSpan w:val="4"/>
          </w:tcPr>
          <w:p>
            <w:pPr>
              <w:spacing w:after="0" w:line="169" w:lineRule="exact"/>
              <w:rPr>
                <w:rFonts w:ascii="Arial" w:cs="Arial" w:eastAsia="Arial" w:hAnsi="Arial"/>
                <w:sz w:val="19"/>
                <w:szCs w:val="19"/>
                <w:color w:val="0000FF"/>
                <w:w w:val="95"/>
              </w:rPr>
            </w:pPr>
            <w:hyperlink r:id="rId170">
              <w:r>
                <w:rPr>
                  <w:rFonts w:ascii="Arial" w:cs="Arial" w:eastAsia="Arial" w:hAnsi="Arial"/>
                  <w:sz w:val="19"/>
                  <w:szCs w:val="19"/>
                  <w:color w:val="0000FF"/>
                  <w:w w:val="95"/>
                </w:rPr>
                <w:t>the Bloomin’ Brands, Inc. 2012 Incentive Award Plan</w:t>
              </w:r>
            </w:hyperlink>
          </w:p>
        </w:tc>
        <w:tc>
          <w:tcPr>
            <w:tcW w:w="2120" w:type="dxa"/>
            <w:vAlign w:val="bottom"/>
            <w:tcBorders>
              <w:top w:val="single" w:sz="8" w:color="0000FF"/>
            </w:tcBorders>
            <w:gridSpan w:val="7"/>
          </w:tcPr>
          <w:p>
            <w:pPr>
              <w:spacing w:after="0"/>
              <w:rPr>
                <w:sz w:val="14"/>
                <w:szCs w:val="14"/>
                <w:color w:val="auto"/>
              </w:rPr>
            </w:pPr>
          </w:p>
        </w:tc>
        <w:tc>
          <w:tcPr>
            <w:tcW w:w="20" w:type="dxa"/>
            <w:vAlign w:val="bottom"/>
          </w:tcPr>
          <w:p>
            <w:pPr>
              <w:spacing w:after="0"/>
              <w:rPr>
                <w:sz w:val="14"/>
                <w:szCs w:val="14"/>
                <w:color w:val="auto"/>
              </w:rPr>
            </w:pPr>
          </w:p>
        </w:tc>
      </w:tr>
      <w:tr>
        <w:trPr>
          <w:trHeight w:val="372"/>
        </w:trPr>
        <w:tc>
          <w:tcPr>
            <w:tcW w:w="920" w:type="dxa"/>
            <w:vAlign w:val="bottom"/>
          </w:tcPr>
          <w:p>
            <w:pPr>
              <w:jc w:val="center"/>
              <w:ind w:right="281"/>
              <w:spacing w:after="0"/>
              <w:rPr>
                <w:sz w:val="20"/>
                <w:szCs w:val="20"/>
                <w:color w:val="auto"/>
              </w:rPr>
            </w:pPr>
            <w:r>
              <w:rPr>
                <w:rFonts w:ascii="Arial" w:cs="Arial" w:eastAsia="Arial" w:hAnsi="Arial"/>
                <w:sz w:val="20"/>
                <w:szCs w:val="20"/>
                <w:color w:val="auto"/>
                <w:w w:val="93"/>
              </w:rPr>
              <w:t>10.12*</w:t>
            </w:r>
          </w:p>
        </w:tc>
        <w:tc>
          <w:tcPr>
            <w:tcW w:w="6400" w:type="dxa"/>
            <w:vAlign w:val="bottom"/>
            <w:gridSpan w:val="12"/>
          </w:tcPr>
          <w:p>
            <w:pPr>
              <w:spacing w:after="0"/>
              <w:rPr>
                <w:rFonts w:ascii="Arial" w:cs="Arial" w:eastAsia="Arial" w:hAnsi="Arial"/>
                <w:sz w:val="20"/>
                <w:szCs w:val="20"/>
                <w:color w:val="0000FF"/>
                <w:w w:val="98"/>
              </w:rPr>
            </w:pPr>
            <w:hyperlink r:id="rId171">
              <w:r>
                <w:rPr>
                  <w:rFonts w:ascii="Arial" w:cs="Arial" w:eastAsia="Arial" w:hAnsi="Arial"/>
                  <w:sz w:val="20"/>
                  <w:szCs w:val="20"/>
                  <w:color w:val="0000FF"/>
                  <w:w w:val="98"/>
                </w:rPr>
                <w:t>Form of Restricted Stock Award Agreement for restricted stock granted to</w:t>
              </w:r>
            </w:hyperlink>
          </w:p>
        </w:tc>
      </w:tr>
      <w:tr>
        <w:trPr>
          <w:trHeight w:val="244"/>
        </w:trPr>
        <w:tc>
          <w:tcPr>
            <w:tcW w:w="920" w:type="dxa"/>
            <w:vAlign w:val="bottom"/>
          </w:tcPr>
          <w:p>
            <w:pPr>
              <w:spacing w:after="0"/>
              <w:rPr>
                <w:sz w:val="21"/>
                <w:szCs w:val="21"/>
                <w:color w:val="auto"/>
              </w:rPr>
            </w:pPr>
          </w:p>
        </w:tc>
        <w:tc>
          <w:tcPr>
            <w:tcW w:w="5860" w:type="dxa"/>
            <w:vAlign w:val="bottom"/>
            <w:tcBorders>
              <w:top w:val="single" w:sz="8" w:color="0000FF"/>
            </w:tcBorders>
            <w:gridSpan w:val="5"/>
          </w:tcPr>
          <w:p>
            <w:pPr>
              <w:spacing w:after="0"/>
              <w:rPr>
                <w:rFonts w:ascii="Arial" w:cs="Arial" w:eastAsia="Arial" w:hAnsi="Arial"/>
                <w:sz w:val="20"/>
                <w:szCs w:val="20"/>
                <w:u w:val="single" w:color="auto"/>
                <w:color w:val="0000FF"/>
                <w:w w:val="96"/>
              </w:rPr>
            </w:pPr>
            <w:hyperlink r:id="rId171">
              <w:r>
                <w:rPr>
                  <w:rFonts w:ascii="Arial" w:cs="Arial" w:eastAsia="Arial" w:hAnsi="Arial"/>
                  <w:sz w:val="20"/>
                  <w:szCs w:val="20"/>
                  <w:u w:val="single" w:color="auto"/>
                  <w:color w:val="0000FF"/>
                  <w:w w:val="96"/>
                </w:rPr>
                <w:t>directors under the Bloomin’ Brands, Inc. 2012 Incentive Award Plan</w:t>
              </w:r>
            </w:hyperlink>
          </w:p>
        </w:tc>
        <w:tc>
          <w:tcPr>
            <w:tcW w:w="20" w:type="dxa"/>
            <w:vAlign w:val="bottom"/>
          </w:tcPr>
          <w:p>
            <w:pPr>
              <w:spacing w:after="0"/>
              <w:rPr>
                <w:sz w:val="21"/>
                <w:szCs w:val="21"/>
                <w:color w:val="auto"/>
              </w:rPr>
            </w:pPr>
          </w:p>
        </w:tc>
        <w:tc>
          <w:tcPr>
            <w:tcW w:w="80" w:type="dxa"/>
            <w:vAlign w:val="bottom"/>
            <w:gridSpan w:val="2"/>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gridSpan w:val="3"/>
          </w:tcPr>
          <w:p>
            <w:pPr>
              <w:spacing w:after="0"/>
              <w:rPr>
                <w:sz w:val="21"/>
                <w:szCs w:val="21"/>
                <w:color w:val="auto"/>
              </w:rPr>
            </w:pPr>
          </w:p>
        </w:tc>
      </w:tr>
      <w:tr>
        <w:trPr>
          <w:trHeight w:val="222"/>
        </w:trPr>
        <w:tc>
          <w:tcPr>
            <w:tcW w:w="920" w:type="dxa"/>
            <w:vAlign w:val="bottom"/>
          </w:tcPr>
          <w:p>
            <w:pPr>
              <w:jc w:val="center"/>
              <w:ind w:right="281"/>
              <w:spacing w:after="0" w:line="222" w:lineRule="exact"/>
              <w:rPr>
                <w:sz w:val="20"/>
                <w:szCs w:val="20"/>
                <w:color w:val="auto"/>
              </w:rPr>
            </w:pPr>
            <w:r>
              <w:rPr>
                <w:rFonts w:ascii="Arial" w:cs="Arial" w:eastAsia="Arial" w:hAnsi="Arial"/>
                <w:sz w:val="20"/>
                <w:szCs w:val="20"/>
                <w:color w:val="auto"/>
                <w:w w:val="93"/>
              </w:rPr>
              <w:t>10.13*</w:t>
            </w:r>
          </w:p>
        </w:tc>
        <w:tc>
          <w:tcPr>
            <w:tcW w:w="6400" w:type="dxa"/>
            <w:vAlign w:val="bottom"/>
            <w:gridSpan w:val="12"/>
          </w:tcPr>
          <w:p>
            <w:pPr>
              <w:spacing w:after="0" w:line="222" w:lineRule="exact"/>
              <w:rPr>
                <w:rFonts w:ascii="Arial" w:cs="Arial" w:eastAsia="Arial" w:hAnsi="Arial"/>
                <w:sz w:val="20"/>
                <w:szCs w:val="20"/>
                <w:color w:val="0000FF"/>
                <w:w w:val="98"/>
              </w:rPr>
            </w:pPr>
            <w:hyperlink r:id="rId172">
              <w:r>
                <w:rPr>
                  <w:rFonts w:ascii="Arial" w:cs="Arial" w:eastAsia="Arial" w:hAnsi="Arial"/>
                  <w:sz w:val="20"/>
                  <w:szCs w:val="20"/>
                  <w:color w:val="0000FF"/>
                  <w:w w:val="98"/>
                </w:rPr>
                <w:t>Form of Restricted Stock Award Agreement for restricted stock granted to</w:t>
              </w:r>
            </w:hyperlink>
          </w:p>
        </w:tc>
      </w:tr>
      <w:tr>
        <w:trPr>
          <w:trHeight w:val="169"/>
        </w:trPr>
        <w:tc>
          <w:tcPr>
            <w:tcW w:w="920" w:type="dxa"/>
            <w:vAlign w:val="bottom"/>
          </w:tcPr>
          <w:p>
            <w:pPr>
              <w:spacing w:after="0"/>
              <w:rPr>
                <w:sz w:val="14"/>
                <w:szCs w:val="14"/>
                <w:color w:val="auto"/>
              </w:rPr>
            </w:pPr>
          </w:p>
        </w:tc>
        <w:tc>
          <w:tcPr>
            <w:tcW w:w="5880" w:type="dxa"/>
            <w:vAlign w:val="bottom"/>
            <w:tcBorders>
              <w:top w:val="single" w:sz="8" w:color="0000FF"/>
              <w:bottom w:val="single" w:sz="8" w:color="0000FF"/>
            </w:tcBorders>
            <w:gridSpan w:val="6"/>
          </w:tcPr>
          <w:p>
            <w:pPr>
              <w:spacing w:after="0" w:line="169" w:lineRule="exact"/>
              <w:rPr>
                <w:rFonts w:ascii="Arial" w:cs="Arial" w:eastAsia="Arial" w:hAnsi="Arial"/>
                <w:sz w:val="19"/>
                <w:szCs w:val="19"/>
                <w:color w:val="0000FF"/>
                <w:w w:val="93"/>
              </w:rPr>
            </w:pPr>
            <w:hyperlink r:id="rId172">
              <w:r>
                <w:rPr>
                  <w:rFonts w:ascii="Arial" w:cs="Arial" w:eastAsia="Arial" w:hAnsi="Arial"/>
                  <w:sz w:val="19"/>
                  <w:szCs w:val="19"/>
                  <w:color w:val="0000FF"/>
                  <w:w w:val="93"/>
                </w:rPr>
                <w:t>employees and consultants under the Bloomin’ Brands, Inc. 2012 Incentive</w:t>
              </w:r>
            </w:hyperlink>
          </w:p>
        </w:tc>
        <w:tc>
          <w:tcPr>
            <w:tcW w:w="80" w:type="dxa"/>
            <w:vAlign w:val="bottom"/>
            <w:tcBorders>
              <w:bottom w:val="single" w:sz="8" w:color="0000FF"/>
            </w:tcBorders>
            <w:gridSpan w:val="2"/>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r>
      <w:tr>
        <w:trPr>
          <w:trHeight w:val="169"/>
        </w:trPr>
        <w:tc>
          <w:tcPr>
            <w:tcW w:w="920" w:type="dxa"/>
            <w:vAlign w:val="bottom"/>
          </w:tcPr>
          <w:p>
            <w:pPr>
              <w:spacing w:after="0"/>
              <w:rPr>
                <w:sz w:val="14"/>
                <w:szCs w:val="14"/>
                <w:color w:val="auto"/>
              </w:rPr>
            </w:pPr>
          </w:p>
        </w:tc>
        <w:tc>
          <w:tcPr>
            <w:tcW w:w="920" w:type="dxa"/>
            <w:vAlign w:val="bottom"/>
            <w:tcBorders>
              <w:bottom w:val="single" w:sz="8" w:color="0000FF"/>
            </w:tcBorders>
          </w:tcPr>
          <w:p>
            <w:pPr>
              <w:spacing w:after="0" w:line="169" w:lineRule="exact"/>
              <w:rPr>
                <w:rFonts w:ascii="Arial" w:cs="Arial" w:eastAsia="Arial" w:hAnsi="Arial"/>
                <w:sz w:val="19"/>
                <w:szCs w:val="19"/>
                <w:color w:val="0000FF"/>
                <w:w w:val="92"/>
              </w:rPr>
            </w:pPr>
            <w:hyperlink r:id="rId172">
              <w:r>
                <w:rPr>
                  <w:rFonts w:ascii="Arial" w:cs="Arial" w:eastAsia="Arial" w:hAnsi="Arial"/>
                  <w:sz w:val="19"/>
                  <w:szCs w:val="19"/>
                  <w:color w:val="0000FF"/>
                  <w:w w:val="92"/>
                </w:rPr>
                <w:t>Award Plan</w:t>
              </w:r>
            </w:hyperlink>
          </w:p>
        </w:tc>
        <w:tc>
          <w:tcPr>
            <w:tcW w:w="5040" w:type="dxa"/>
            <w:vAlign w:val="bottom"/>
            <w:gridSpan w:val="7"/>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r>
      <w:tr>
        <w:trPr>
          <w:trHeight w:val="277"/>
        </w:trPr>
        <w:tc>
          <w:tcPr>
            <w:tcW w:w="920" w:type="dxa"/>
            <w:vAlign w:val="bottom"/>
          </w:tcPr>
          <w:p>
            <w:pPr>
              <w:jc w:val="center"/>
              <w:ind w:right="281"/>
              <w:spacing w:after="0"/>
              <w:rPr>
                <w:sz w:val="20"/>
                <w:szCs w:val="20"/>
                <w:color w:val="auto"/>
              </w:rPr>
            </w:pPr>
            <w:r>
              <w:rPr>
                <w:rFonts w:ascii="Arial" w:cs="Arial" w:eastAsia="Arial" w:hAnsi="Arial"/>
                <w:sz w:val="20"/>
                <w:szCs w:val="20"/>
                <w:color w:val="auto"/>
                <w:w w:val="93"/>
              </w:rPr>
              <w:t>10.14*</w:t>
            </w:r>
          </w:p>
        </w:tc>
        <w:tc>
          <w:tcPr>
            <w:tcW w:w="6400" w:type="dxa"/>
            <w:vAlign w:val="bottom"/>
            <w:gridSpan w:val="12"/>
          </w:tcPr>
          <w:p>
            <w:pPr>
              <w:spacing w:after="0"/>
              <w:rPr>
                <w:rFonts w:ascii="Arial" w:cs="Arial" w:eastAsia="Arial" w:hAnsi="Arial"/>
                <w:sz w:val="20"/>
                <w:szCs w:val="20"/>
                <w:color w:val="0000FF"/>
                <w:w w:val="92"/>
              </w:rPr>
            </w:pPr>
            <w:hyperlink r:id="rId173">
              <w:r>
                <w:rPr>
                  <w:rFonts w:ascii="Arial" w:cs="Arial" w:eastAsia="Arial" w:hAnsi="Arial"/>
                  <w:sz w:val="20"/>
                  <w:szCs w:val="20"/>
                  <w:color w:val="0000FF"/>
                  <w:w w:val="92"/>
                </w:rPr>
                <w:t>Form of Restricted Stock Unit Award Agreement for restricted stock granted to</w:t>
              </w:r>
            </w:hyperlink>
          </w:p>
        </w:tc>
      </w:tr>
      <w:tr>
        <w:trPr>
          <w:trHeight w:val="244"/>
        </w:trPr>
        <w:tc>
          <w:tcPr>
            <w:tcW w:w="920" w:type="dxa"/>
            <w:vAlign w:val="bottom"/>
          </w:tcPr>
          <w:p>
            <w:pPr>
              <w:spacing w:after="0"/>
              <w:rPr>
                <w:sz w:val="21"/>
                <w:szCs w:val="21"/>
                <w:color w:val="auto"/>
              </w:rPr>
            </w:pPr>
          </w:p>
        </w:tc>
        <w:tc>
          <w:tcPr>
            <w:tcW w:w="6260" w:type="dxa"/>
            <w:vAlign w:val="bottom"/>
            <w:tcBorders>
              <w:top w:val="single" w:sz="8" w:color="0000FF"/>
            </w:tcBorders>
            <w:gridSpan w:val="9"/>
          </w:tcPr>
          <w:p>
            <w:pPr>
              <w:spacing w:after="0"/>
              <w:rPr>
                <w:rFonts w:ascii="Arial" w:cs="Arial" w:eastAsia="Arial" w:hAnsi="Arial"/>
                <w:sz w:val="20"/>
                <w:szCs w:val="20"/>
                <w:u w:val="single" w:color="auto"/>
                <w:color w:val="0000FF"/>
              </w:rPr>
            </w:pPr>
            <w:hyperlink r:id="rId173">
              <w:r>
                <w:rPr>
                  <w:rFonts w:ascii="Arial" w:cs="Arial" w:eastAsia="Arial" w:hAnsi="Arial"/>
                  <w:sz w:val="20"/>
                  <w:szCs w:val="20"/>
                  <w:u w:val="single" w:color="auto"/>
                  <w:color w:val="0000FF"/>
                </w:rPr>
                <w:t>directors under the Bloomin’ Brands, Inc. 2012 Incentive Award Plan</w:t>
              </w:r>
            </w:hyperlink>
          </w:p>
        </w:tc>
        <w:tc>
          <w:tcPr>
            <w:tcW w:w="140" w:type="dxa"/>
            <w:vAlign w:val="bottom"/>
            <w:gridSpan w:val="3"/>
          </w:tcPr>
          <w:p>
            <w:pPr>
              <w:spacing w:after="0"/>
              <w:rPr>
                <w:sz w:val="21"/>
                <w:szCs w:val="21"/>
                <w:color w:val="auto"/>
              </w:rPr>
            </w:pPr>
          </w:p>
        </w:tc>
      </w:tr>
      <w:tr>
        <w:trPr>
          <w:trHeight w:val="857"/>
        </w:trPr>
        <w:tc>
          <w:tcPr>
            <w:tcW w:w="920" w:type="dxa"/>
            <w:vAlign w:val="bottom"/>
          </w:tcPr>
          <w:p>
            <w:pPr>
              <w:spacing w:after="0"/>
              <w:rPr>
                <w:sz w:val="24"/>
                <w:szCs w:val="24"/>
                <w:color w:val="auto"/>
              </w:rPr>
            </w:pPr>
          </w:p>
        </w:tc>
        <w:tc>
          <w:tcPr>
            <w:tcW w:w="5860" w:type="dxa"/>
            <w:vAlign w:val="bottom"/>
            <w:gridSpan w:val="5"/>
          </w:tcPr>
          <w:p>
            <w:pPr>
              <w:ind w:left="4320"/>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both"/>
        <w:ind w:right="100"/>
        <w:spacing w:after="0" w:line="218" w:lineRule="auto"/>
        <w:rPr>
          <w:sz w:val="20"/>
          <w:szCs w:val="20"/>
          <w:color w:val="auto"/>
        </w:rPr>
      </w:pPr>
      <w:r>
        <w:rPr>
          <w:rFonts w:ascii="Arial" w:cs="Arial" w:eastAsia="Arial" w:hAnsi="Arial"/>
          <w:sz w:val="20"/>
          <w:szCs w:val="20"/>
          <w:color w:val="auto"/>
        </w:rPr>
        <w:t>Registration Statement on Form S-1, File No. 333-180615, filed on April 6, 2012, Exhibit 10.46</w:t>
      </w:r>
    </w:p>
    <w:p>
      <w:pPr>
        <w:spacing w:after="0" w:line="48" w:lineRule="exact"/>
        <w:rPr>
          <w:sz w:val="20"/>
          <w:szCs w:val="20"/>
          <w:color w:val="auto"/>
        </w:rPr>
      </w:pPr>
    </w:p>
    <w:p>
      <w:pPr>
        <w:jc w:val="both"/>
        <w:ind w:right="100"/>
        <w:spacing w:after="0" w:line="218" w:lineRule="auto"/>
        <w:rPr>
          <w:sz w:val="20"/>
          <w:szCs w:val="20"/>
          <w:color w:val="auto"/>
        </w:rPr>
      </w:pPr>
      <w:r>
        <w:rPr>
          <w:rFonts w:ascii="Arial" w:cs="Arial" w:eastAsia="Arial" w:hAnsi="Arial"/>
          <w:sz w:val="20"/>
          <w:szCs w:val="20"/>
          <w:color w:val="auto"/>
        </w:rPr>
        <w:t>Registration Statement on Form S-1, File No. 333-180615, filed on April 6, 2012, Exhibit 10.1</w:t>
      </w:r>
    </w:p>
    <w:p>
      <w:pPr>
        <w:spacing w:after="0" w:line="48" w:lineRule="exact"/>
        <w:rPr>
          <w:sz w:val="20"/>
          <w:szCs w:val="20"/>
          <w:color w:val="auto"/>
        </w:rPr>
      </w:pPr>
    </w:p>
    <w:p>
      <w:pPr>
        <w:jc w:val="both"/>
        <w:ind w:right="100"/>
        <w:spacing w:after="0" w:line="218" w:lineRule="auto"/>
        <w:rPr>
          <w:sz w:val="20"/>
          <w:szCs w:val="20"/>
          <w:color w:val="auto"/>
        </w:rPr>
      </w:pPr>
      <w:r>
        <w:rPr>
          <w:rFonts w:ascii="Arial" w:cs="Arial" w:eastAsia="Arial" w:hAnsi="Arial"/>
          <w:sz w:val="20"/>
          <w:szCs w:val="20"/>
          <w:color w:val="auto"/>
        </w:rPr>
        <w:t>Registration Statement on Form S-1, File No. 333-180615, filed on April 6, 2012, Exhibit 10.42</w:t>
      </w:r>
    </w:p>
    <w:p>
      <w:pPr>
        <w:spacing w:after="0" w:line="48" w:lineRule="exact"/>
        <w:rPr>
          <w:sz w:val="20"/>
          <w:szCs w:val="20"/>
          <w:color w:val="auto"/>
        </w:rPr>
      </w:pPr>
    </w:p>
    <w:p>
      <w:pPr>
        <w:ind w:right="260"/>
        <w:spacing w:after="0" w:line="213" w:lineRule="auto"/>
        <w:rPr>
          <w:sz w:val="20"/>
          <w:szCs w:val="20"/>
          <w:color w:val="auto"/>
        </w:rPr>
      </w:pPr>
      <w:r>
        <w:rPr>
          <w:rFonts w:ascii="Arial" w:cs="Arial" w:eastAsia="Arial" w:hAnsi="Arial"/>
          <w:sz w:val="20"/>
          <w:szCs w:val="20"/>
          <w:color w:val="auto"/>
        </w:rPr>
        <w:t>Amendment No. 4 to Registration Statement on Form S-1, File No. 333-180615, filed on July 18, 2012, Exhibit 10.2</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December 7, 2012 Form 8-K, Exhibit 10.2</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December 7, 2012 Form 8-K, Exhibit 10.3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December 7, 2012 Form 8-K, Exhibit 10.4</w:t>
      </w:r>
    </w:p>
    <w:p>
      <w:pPr>
        <w:spacing w:after="0" w:line="387" w:lineRule="exact"/>
        <w:rPr>
          <w:sz w:val="20"/>
          <w:szCs w:val="20"/>
          <w:color w:val="auto"/>
        </w:rPr>
      </w:pPr>
    </w:p>
    <w:p>
      <w:pPr>
        <w:ind w:right="160"/>
        <w:spacing w:after="0" w:line="229" w:lineRule="auto"/>
        <w:rPr>
          <w:sz w:val="20"/>
          <w:szCs w:val="20"/>
          <w:color w:val="auto"/>
        </w:rPr>
      </w:pPr>
      <w:r>
        <w:rPr>
          <w:rFonts w:ascii="Arial" w:cs="Arial" w:eastAsia="Arial" w:hAnsi="Arial"/>
          <w:sz w:val="20"/>
          <w:szCs w:val="20"/>
          <w:color w:val="auto"/>
        </w:rPr>
        <w:t>September 30, 2013 Form 10-Q, Exhibit 10.1</w:t>
      </w:r>
    </w:p>
    <w:p>
      <w:pPr>
        <w:sectPr>
          <w:pgSz w:w="11900" w:h="16838" w:orient="portrait"/>
          <w:cols w:equalWidth="0" w:num="2">
            <w:col w:w="7560" w:space="180"/>
            <w:col w:w="3360"/>
          </w:cols>
          <w:pgMar w:left="320" w:top="121" w:right="479" w:bottom="1440" w:gutter="0" w:footer="0" w:header="0"/>
          <w:type w:val="continuous"/>
        </w:sectPr>
      </w:pPr>
    </w:p>
    <w:bookmarkStart w:id="120" w:name="page121"/>
    <w:bookmarkEnd w:id="1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ind w:left="4420"/>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900" w:type="dxa"/>
            <w:vAlign w:val="bottom"/>
            <w:gridSpan w:val="17"/>
            <w:vMerge w:val="restart"/>
          </w:tcPr>
          <w:p>
            <w:pPr>
              <w:ind w:left="560"/>
              <w:spacing w:after="0"/>
              <w:rPr>
                <w:sz w:val="20"/>
                <w:szCs w:val="20"/>
                <w:color w:val="auto"/>
              </w:rPr>
            </w:pPr>
            <w:r>
              <w:rPr>
                <w:rFonts w:ascii="Arial" w:cs="Arial" w:eastAsia="Arial" w:hAnsi="Arial"/>
                <w:sz w:val="16"/>
                <w:szCs w:val="16"/>
                <w:b w:val="1"/>
                <w:bCs w:val="1"/>
                <w:color w:val="auto"/>
              </w:rPr>
              <w:t>DESCRIPTION OF EXHIBITS</w:t>
            </w:r>
          </w:p>
        </w:tc>
        <w:tc>
          <w:tcPr>
            <w:tcW w:w="0" w:type="dxa"/>
            <w:vAlign w:val="bottom"/>
          </w:tcPr>
          <w:p>
            <w:pPr>
              <w:spacing w:after="0"/>
              <w:rPr>
                <w:sz w:val="1"/>
                <w:szCs w:val="1"/>
                <w:color w:val="auto"/>
              </w:rPr>
            </w:pPr>
          </w:p>
        </w:tc>
      </w:tr>
      <w:tr>
        <w:trPr>
          <w:trHeight w:val="223"/>
        </w:trPr>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900" w:type="dxa"/>
            <w:vAlign w:val="bottom"/>
            <w:gridSpan w:val="1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4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3"/>
              </w:rPr>
              <w:t>10.15*</w:t>
            </w: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440" w:type="dxa"/>
            <w:vAlign w:val="bottom"/>
            <w:tcBorders>
              <w:top w:val="single" w:sz="8" w:color="auto"/>
            </w:tcBorders>
            <w:gridSpan w:val="21"/>
          </w:tcPr>
          <w:p>
            <w:pPr>
              <w:spacing w:after="0"/>
              <w:rPr>
                <w:rFonts w:ascii="Arial" w:cs="Arial" w:eastAsia="Arial" w:hAnsi="Arial"/>
                <w:sz w:val="20"/>
                <w:szCs w:val="20"/>
                <w:color w:val="0000FF"/>
                <w:w w:val="92"/>
              </w:rPr>
            </w:pPr>
            <w:hyperlink r:id="rId175">
              <w:r>
                <w:rPr>
                  <w:rFonts w:ascii="Arial" w:cs="Arial" w:eastAsia="Arial" w:hAnsi="Arial"/>
                  <w:sz w:val="20"/>
                  <w:szCs w:val="20"/>
                  <w:color w:val="0000FF"/>
                  <w:w w:val="92"/>
                </w:rPr>
                <w:t>Form of Restricted Stock Unit Award Agreement for restricted stock granted to</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60" w:type="dxa"/>
            <w:vAlign w:val="bottom"/>
            <w:tcBorders>
              <w:top w:val="single" w:sz="8" w:color="0000FF"/>
            </w:tcBorders>
            <w:gridSpan w:val="16"/>
          </w:tcPr>
          <w:p>
            <w:pPr>
              <w:spacing w:after="0" w:line="169" w:lineRule="exact"/>
              <w:rPr>
                <w:rFonts w:ascii="Arial" w:cs="Arial" w:eastAsia="Arial" w:hAnsi="Arial"/>
                <w:sz w:val="19"/>
                <w:szCs w:val="19"/>
                <w:color w:val="0000FF"/>
                <w:w w:val="99"/>
              </w:rPr>
            </w:pPr>
            <w:hyperlink r:id="rId175">
              <w:r>
                <w:rPr>
                  <w:rFonts w:ascii="Arial" w:cs="Arial" w:eastAsia="Arial" w:hAnsi="Arial"/>
                  <w:sz w:val="19"/>
                  <w:szCs w:val="19"/>
                  <w:color w:val="0000FF"/>
                  <w:w w:val="99"/>
                </w:rPr>
                <w:t>employees and consultants under the Bloomin’ Brands, Inc. 2012 Incentive</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top w:val="single" w:sz="8" w:color="0000FF"/>
              <w:bottom w:val="single" w:sz="8" w:color="0000FF"/>
            </w:tcBorders>
            <w:gridSpan w:val="2"/>
          </w:tcPr>
          <w:p>
            <w:pPr>
              <w:spacing w:after="0" w:line="169" w:lineRule="exact"/>
              <w:rPr>
                <w:rFonts w:ascii="Arial" w:cs="Arial" w:eastAsia="Arial" w:hAnsi="Arial"/>
                <w:sz w:val="19"/>
                <w:szCs w:val="19"/>
                <w:color w:val="0000FF"/>
                <w:w w:val="92"/>
              </w:rPr>
            </w:pPr>
            <w:hyperlink r:id="rId175">
              <w:r>
                <w:rPr>
                  <w:rFonts w:ascii="Arial" w:cs="Arial" w:eastAsia="Arial" w:hAnsi="Arial"/>
                  <w:sz w:val="19"/>
                  <w:szCs w:val="19"/>
                  <w:color w:val="0000FF"/>
                  <w:w w:val="92"/>
                </w:rPr>
                <w:t>Award Plan</w:t>
              </w:r>
            </w:hyperlink>
          </w:p>
        </w:tc>
        <w:tc>
          <w:tcPr>
            <w:tcW w:w="5040" w:type="dxa"/>
            <w:vAlign w:val="bottom"/>
            <w:tcBorders>
              <w:top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10.16*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gridSpan w:val="21"/>
          </w:tcPr>
          <w:p>
            <w:pPr>
              <w:spacing w:after="0"/>
              <w:rPr>
                <w:rFonts w:ascii="Arial" w:cs="Arial" w:eastAsia="Arial" w:hAnsi="Arial"/>
                <w:sz w:val="20"/>
                <w:szCs w:val="20"/>
                <w:color w:val="0000FF"/>
                <w:w w:val="96"/>
              </w:rPr>
            </w:pPr>
            <w:hyperlink r:id="rId176">
              <w:r>
                <w:rPr>
                  <w:rFonts w:ascii="Arial" w:cs="Arial" w:eastAsia="Arial" w:hAnsi="Arial"/>
                  <w:sz w:val="20"/>
                  <w:szCs w:val="20"/>
                  <w:color w:val="0000FF"/>
                  <w:w w:val="96"/>
                </w:rPr>
                <w:t>Form of Performance Unit Award Agreement for performance units granted</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60" w:type="dxa"/>
            <w:vAlign w:val="bottom"/>
            <w:tcBorders>
              <w:top w:val="single" w:sz="8" w:color="0000FF"/>
              <w:bottom w:val="single" w:sz="8" w:color="0000FF"/>
            </w:tcBorders>
            <w:gridSpan w:val="6"/>
          </w:tcPr>
          <w:p>
            <w:pPr>
              <w:spacing w:after="0" w:line="169" w:lineRule="exact"/>
              <w:rPr>
                <w:rFonts w:ascii="Arial" w:cs="Arial" w:eastAsia="Arial" w:hAnsi="Arial"/>
                <w:sz w:val="19"/>
                <w:szCs w:val="19"/>
                <w:color w:val="0000FF"/>
                <w:w w:val="95"/>
              </w:rPr>
            </w:pPr>
            <w:hyperlink r:id="rId176">
              <w:r>
                <w:rPr>
                  <w:rFonts w:ascii="Arial" w:cs="Arial" w:eastAsia="Arial" w:hAnsi="Arial"/>
                  <w:sz w:val="19"/>
                  <w:szCs w:val="19"/>
                  <w:color w:val="0000FF"/>
                  <w:w w:val="95"/>
                </w:rPr>
                <w:t>under the Bloomin’ Brands, Inc. 2012 Incentive Award Plan</w:t>
              </w:r>
            </w:hyperlink>
          </w:p>
        </w:tc>
        <w:tc>
          <w:tcPr>
            <w:tcW w:w="1240" w:type="dxa"/>
            <w:vAlign w:val="bottom"/>
            <w:tcBorders>
              <w:top w:val="single" w:sz="8" w:color="0000FF"/>
            </w:tcBorders>
            <w:gridSpan w:val="7"/>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10.17*</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40" w:type="dxa"/>
            <w:vAlign w:val="bottom"/>
            <w:gridSpan w:val="21"/>
          </w:tcPr>
          <w:p>
            <w:pPr>
              <w:spacing w:after="0"/>
              <w:rPr>
                <w:rFonts w:ascii="Arial" w:cs="Arial" w:eastAsia="Arial" w:hAnsi="Arial"/>
                <w:sz w:val="20"/>
                <w:szCs w:val="20"/>
                <w:color w:val="0000FF"/>
                <w:w w:val="98"/>
              </w:rPr>
            </w:pPr>
            <w:hyperlink r:id="rId177">
              <w:r>
                <w:rPr>
                  <w:rFonts w:ascii="Arial" w:cs="Arial" w:eastAsia="Arial" w:hAnsi="Arial"/>
                  <w:sz w:val="20"/>
                  <w:szCs w:val="20"/>
                  <w:color w:val="0000FF"/>
                  <w:w w:val="98"/>
                </w:rPr>
                <w:t>Form of Bloomin’ Brands, Inc. Indemnification Agreement by and between</w:t>
              </w:r>
            </w:hyperlink>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80" w:type="dxa"/>
            <w:vAlign w:val="bottom"/>
            <w:tcBorders>
              <w:top w:val="single" w:sz="8" w:color="0000FF"/>
            </w:tcBorders>
            <w:gridSpan w:val="12"/>
          </w:tcPr>
          <w:p>
            <w:pPr>
              <w:spacing w:after="0" w:line="176" w:lineRule="exact"/>
              <w:rPr>
                <w:rFonts w:ascii="Arial" w:cs="Arial" w:eastAsia="Arial" w:hAnsi="Arial"/>
                <w:sz w:val="20"/>
                <w:szCs w:val="20"/>
                <w:color w:val="0000FF"/>
                <w:w w:val="90"/>
              </w:rPr>
            </w:pPr>
            <w:hyperlink r:id="rId177">
              <w:r>
                <w:rPr>
                  <w:rFonts w:ascii="Arial" w:cs="Arial" w:eastAsia="Arial" w:hAnsi="Arial"/>
                  <w:sz w:val="20"/>
                  <w:szCs w:val="20"/>
                  <w:color w:val="0000FF"/>
                  <w:w w:val="90"/>
                </w:rPr>
                <w:t>Bloomin’ Brands, Inc. and each member of its Board of Directors and each</w:t>
              </w:r>
            </w:hyperlink>
          </w:p>
        </w:tc>
        <w:tc>
          <w:tcPr>
            <w:tcW w:w="460" w:type="dxa"/>
            <w:vAlign w:val="bottom"/>
            <w:gridSpan w:val="9"/>
          </w:tcPr>
          <w:p>
            <w:pPr>
              <w:spacing w:after="0" w:line="176" w:lineRule="exact"/>
              <w:rPr>
                <w:rFonts w:ascii="Arial" w:cs="Arial" w:eastAsia="Arial" w:hAnsi="Arial"/>
                <w:sz w:val="20"/>
                <w:szCs w:val="20"/>
                <w:color w:val="0000FF"/>
              </w:rPr>
            </w:pPr>
            <w:hyperlink r:id="rId177">
              <w:r>
                <w:rPr>
                  <w:rFonts w:ascii="Arial" w:cs="Arial" w:eastAsia="Arial" w:hAnsi="Arial"/>
                  <w:sz w:val="20"/>
                  <w:szCs w:val="20"/>
                  <w:color w:val="0000FF"/>
                </w:rPr>
                <w:t>of its</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0" w:type="dxa"/>
            <w:vAlign w:val="bottom"/>
            <w:tcBorders>
              <w:top w:val="single" w:sz="8" w:color="0000FF"/>
            </w:tcBorders>
            <w:gridSpan w:val="19"/>
          </w:tcPr>
          <w:p>
            <w:pPr>
              <w:spacing w:after="0" w:line="169" w:lineRule="exact"/>
              <w:rPr>
                <w:rFonts w:ascii="Arial" w:cs="Arial" w:eastAsia="Arial" w:hAnsi="Arial"/>
                <w:sz w:val="19"/>
                <w:szCs w:val="19"/>
                <w:color w:val="0000FF"/>
              </w:rPr>
            </w:pPr>
            <w:hyperlink r:id="rId177">
              <w:r>
                <w:rPr>
                  <w:rFonts w:ascii="Arial" w:cs="Arial" w:eastAsia="Arial" w:hAnsi="Arial"/>
                  <w:sz w:val="19"/>
                  <w:szCs w:val="19"/>
                  <w:color w:val="0000FF"/>
                </w:rPr>
                <w:t>executive officers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10.18*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gridSpan w:val="21"/>
          </w:tcPr>
          <w:p>
            <w:pPr>
              <w:spacing w:after="0"/>
              <w:rPr>
                <w:rFonts w:ascii="Arial" w:cs="Arial" w:eastAsia="Arial" w:hAnsi="Arial"/>
                <w:sz w:val="20"/>
                <w:szCs w:val="20"/>
                <w:u w:val="single" w:color="auto"/>
                <w:color w:val="0000FF"/>
              </w:rPr>
            </w:pPr>
            <w:hyperlink r:id="rId178">
              <w:r>
                <w:rPr>
                  <w:rFonts w:ascii="Arial" w:cs="Arial" w:eastAsia="Arial" w:hAnsi="Arial"/>
                  <w:sz w:val="20"/>
                  <w:szCs w:val="20"/>
                  <w:u w:val="single" w:color="auto"/>
                  <w:color w:val="0000FF"/>
                </w:rPr>
                <w:t>Bloomin’ Brands, Inc. 2016 Omnibus Incentive Compensation Plan</w:t>
              </w:r>
            </w:hyperlink>
          </w:p>
        </w:tc>
        <w:tc>
          <w:tcPr>
            <w:tcW w:w="0" w:type="dxa"/>
            <w:vAlign w:val="bottom"/>
          </w:tcPr>
          <w:p>
            <w:pPr>
              <w:spacing w:after="0"/>
              <w:rPr>
                <w:sz w:val="1"/>
                <w:szCs w:val="1"/>
                <w:color w:val="auto"/>
              </w:rPr>
            </w:pPr>
          </w:p>
        </w:tc>
      </w:tr>
      <w:tr>
        <w:trPr>
          <w:trHeight w:val="252"/>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10.19*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40" w:type="dxa"/>
            <w:vAlign w:val="bottom"/>
            <w:gridSpan w:val="21"/>
          </w:tcPr>
          <w:p>
            <w:pPr>
              <w:spacing w:after="0"/>
              <w:rPr>
                <w:rFonts w:ascii="Arial" w:cs="Arial" w:eastAsia="Arial" w:hAnsi="Arial"/>
                <w:sz w:val="20"/>
                <w:szCs w:val="20"/>
                <w:color w:val="0000FF"/>
                <w:w w:val="96"/>
              </w:rPr>
            </w:pPr>
            <w:hyperlink r:id="rId179">
              <w:r>
                <w:rPr>
                  <w:rFonts w:ascii="Arial" w:cs="Arial" w:eastAsia="Arial" w:hAnsi="Arial"/>
                  <w:sz w:val="20"/>
                  <w:szCs w:val="20"/>
                  <w:color w:val="0000FF"/>
                  <w:w w:val="96"/>
                </w:rPr>
                <w:t>Form of Nonqualified Stock Option Award Agreement for options granted to</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80" w:type="dxa"/>
            <w:vAlign w:val="bottom"/>
            <w:tcBorders>
              <w:top w:val="single" w:sz="8" w:color="0000FF"/>
            </w:tcBorders>
            <w:gridSpan w:val="14"/>
          </w:tcPr>
          <w:p>
            <w:pPr>
              <w:spacing w:after="0" w:line="169" w:lineRule="exact"/>
              <w:rPr>
                <w:rFonts w:ascii="Arial" w:cs="Arial" w:eastAsia="Arial" w:hAnsi="Arial"/>
                <w:sz w:val="19"/>
                <w:szCs w:val="19"/>
                <w:color w:val="0000FF"/>
              </w:rPr>
            </w:pPr>
            <w:hyperlink r:id="rId179">
              <w:r>
                <w:rPr>
                  <w:rFonts w:ascii="Arial" w:cs="Arial" w:eastAsia="Arial" w:hAnsi="Arial"/>
                  <w:sz w:val="19"/>
                  <w:szCs w:val="19"/>
                  <w:color w:val="0000FF"/>
                </w:rPr>
                <w:t>executive management under the Bloomin’ Brands, Inc. 2016 Omnibus</w:t>
              </w:r>
            </w:hyperlink>
          </w:p>
        </w:tc>
        <w:tc>
          <w:tcPr>
            <w:tcW w:w="8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40" w:type="dxa"/>
            <w:vAlign w:val="bottom"/>
            <w:tcBorders>
              <w:top w:val="single" w:sz="8" w:color="0000FF"/>
            </w:tcBorders>
            <w:gridSpan w:val="9"/>
          </w:tcPr>
          <w:p>
            <w:pPr>
              <w:spacing w:after="0" w:line="169" w:lineRule="exact"/>
              <w:rPr>
                <w:rFonts w:ascii="Arial" w:cs="Arial" w:eastAsia="Arial" w:hAnsi="Arial"/>
                <w:sz w:val="19"/>
                <w:szCs w:val="19"/>
                <w:color w:val="0000FF"/>
              </w:rPr>
            </w:pPr>
            <w:hyperlink r:id="rId179">
              <w:r>
                <w:rPr>
                  <w:rFonts w:ascii="Arial" w:cs="Arial" w:eastAsia="Arial" w:hAnsi="Arial"/>
                  <w:sz w:val="19"/>
                  <w:szCs w:val="19"/>
                  <w:color w:val="0000FF"/>
                </w:rPr>
                <w:t>Incentive Compensation Plan</w:t>
              </w:r>
            </w:hyperlink>
          </w:p>
        </w:tc>
        <w:tc>
          <w:tcPr>
            <w:tcW w:w="160" w:type="dxa"/>
            <w:vAlign w:val="bottom"/>
          </w:tcPr>
          <w:p>
            <w:pPr>
              <w:spacing w:after="0"/>
              <w:rPr>
                <w:sz w:val="14"/>
                <w:szCs w:val="14"/>
                <w:color w:val="auto"/>
              </w:rPr>
            </w:pPr>
          </w:p>
        </w:tc>
        <w:tc>
          <w:tcPr>
            <w:tcW w:w="360" w:type="dxa"/>
            <w:vAlign w:val="bottom"/>
            <w:gridSpan w:val="5"/>
          </w:tcPr>
          <w:p>
            <w:pPr>
              <w:spacing w:after="0"/>
              <w:rPr>
                <w:sz w:val="14"/>
                <w:szCs w:val="14"/>
                <w:color w:val="auto"/>
              </w:rPr>
            </w:pPr>
          </w:p>
        </w:tc>
        <w:tc>
          <w:tcPr>
            <w:tcW w:w="2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10.20*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gridSpan w:val="21"/>
          </w:tcPr>
          <w:p>
            <w:pPr>
              <w:spacing w:after="0"/>
              <w:rPr>
                <w:rFonts w:ascii="Arial" w:cs="Arial" w:eastAsia="Arial" w:hAnsi="Arial"/>
                <w:sz w:val="20"/>
                <w:szCs w:val="20"/>
                <w:color w:val="0000FF"/>
                <w:w w:val="92"/>
              </w:rPr>
            </w:pPr>
            <w:hyperlink r:id="rId180">
              <w:r>
                <w:rPr>
                  <w:rFonts w:ascii="Arial" w:cs="Arial" w:eastAsia="Arial" w:hAnsi="Arial"/>
                  <w:sz w:val="20"/>
                  <w:szCs w:val="20"/>
                  <w:color w:val="0000FF"/>
                  <w:w w:val="92"/>
                </w:rPr>
                <w:t>Form of Restricted Stock Unit Award Agreement for restricted stock granted to</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60" w:type="dxa"/>
            <w:vAlign w:val="bottom"/>
            <w:tcBorders>
              <w:top w:val="single" w:sz="8" w:color="0000FF"/>
            </w:tcBorders>
            <w:gridSpan w:val="16"/>
          </w:tcPr>
          <w:p>
            <w:pPr>
              <w:spacing w:after="0" w:line="169" w:lineRule="exact"/>
              <w:rPr>
                <w:rFonts w:ascii="Arial" w:cs="Arial" w:eastAsia="Arial" w:hAnsi="Arial"/>
                <w:sz w:val="19"/>
                <w:szCs w:val="19"/>
                <w:color w:val="0000FF"/>
              </w:rPr>
            </w:pPr>
            <w:hyperlink r:id="rId180">
              <w:r>
                <w:rPr>
                  <w:rFonts w:ascii="Arial" w:cs="Arial" w:eastAsia="Arial" w:hAnsi="Arial"/>
                  <w:sz w:val="19"/>
                  <w:szCs w:val="19"/>
                  <w:color w:val="0000FF"/>
                </w:rPr>
                <w:t>directors under the Bloomin’ Brands, Inc. 2016 Omnibus Incentive</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Borders>
              <w:top w:val="single" w:sz="8" w:color="0000FF"/>
              <w:bottom w:val="single" w:sz="8" w:color="0000FF"/>
            </w:tcBorders>
            <w:gridSpan w:val="4"/>
          </w:tcPr>
          <w:p>
            <w:pPr>
              <w:spacing w:after="0" w:line="169" w:lineRule="exact"/>
              <w:rPr>
                <w:rFonts w:ascii="Arial" w:cs="Arial" w:eastAsia="Arial" w:hAnsi="Arial"/>
                <w:sz w:val="19"/>
                <w:szCs w:val="19"/>
                <w:color w:val="0000FF"/>
                <w:w w:val="91"/>
              </w:rPr>
            </w:pPr>
            <w:hyperlink r:id="rId180">
              <w:r>
                <w:rPr>
                  <w:rFonts w:ascii="Arial" w:cs="Arial" w:eastAsia="Arial" w:hAnsi="Arial"/>
                  <w:sz w:val="19"/>
                  <w:szCs w:val="19"/>
                  <w:color w:val="0000FF"/>
                  <w:w w:val="91"/>
                </w:rPr>
                <w:t>Compensation Plan</w:t>
              </w:r>
            </w:hyperlink>
          </w:p>
        </w:tc>
        <w:tc>
          <w:tcPr>
            <w:tcW w:w="3760" w:type="dxa"/>
            <w:vAlign w:val="bottom"/>
            <w:tcBorders>
              <w:top w:val="single" w:sz="8" w:color="0000FF"/>
            </w:tcBorders>
            <w:gridSpan w:val="3"/>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360" w:type="dxa"/>
            <w:vAlign w:val="bottom"/>
            <w:gridSpan w:val="5"/>
          </w:tcPr>
          <w:p>
            <w:pPr>
              <w:spacing w:after="0"/>
              <w:rPr>
                <w:sz w:val="14"/>
                <w:szCs w:val="14"/>
                <w:color w:val="auto"/>
              </w:rPr>
            </w:pPr>
          </w:p>
        </w:tc>
        <w:tc>
          <w:tcPr>
            <w:tcW w:w="2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gridSpan w:val="21"/>
          </w:tcPr>
          <w:p>
            <w:pPr>
              <w:spacing w:after="0"/>
              <w:rPr>
                <w:rFonts w:ascii="Arial" w:cs="Arial" w:eastAsia="Arial" w:hAnsi="Arial"/>
                <w:sz w:val="20"/>
                <w:szCs w:val="20"/>
                <w:color w:val="0000FF"/>
                <w:w w:val="92"/>
              </w:rPr>
            </w:pPr>
            <w:hyperlink r:id="rId181">
              <w:r>
                <w:rPr>
                  <w:rFonts w:ascii="Arial" w:cs="Arial" w:eastAsia="Arial" w:hAnsi="Arial"/>
                  <w:sz w:val="20"/>
                  <w:szCs w:val="20"/>
                  <w:color w:val="0000FF"/>
                  <w:w w:val="92"/>
                </w:rPr>
                <w:t>Form of Restricted Stock Unit Award Agreement for restricted stock granted to</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60" w:type="dxa"/>
            <w:vAlign w:val="bottom"/>
            <w:tcBorders>
              <w:top w:val="single" w:sz="8" w:color="0000FF"/>
            </w:tcBorders>
            <w:gridSpan w:val="16"/>
          </w:tcPr>
          <w:p>
            <w:pPr>
              <w:spacing w:after="0" w:line="169" w:lineRule="exact"/>
              <w:rPr>
                <w:rFonts w:ascii="Arial" w:cs="Arial" w:eastAsia="Arial" w:hAnsi="Arial"/>
                <w:sz w:val="19"/>
                <w:szCs w:val="19"/>
                <w:color w:val="0000FF"/>
              </w:rPr>
            </w:pPr>
            <w:hyperlink r:id="rId181">
              <w:r>
                <w:rPr>
                  <w:rFonts w:ascii="Arial" w:cs="Arial" w:eastAsia="Arial" w:hAnsi="Arial"/>
                  <w:sz w:val="19"/>
                  <w:szCs w:val="19"/>
                  <w:color w:val="0000FF"/>
                </w:rPr>
                <w:t>executive management under the Bloomin’ Brands, Inc. 2016 Omnibus</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40" w:type="dxa"/>
            <w:vAlign w:val="bottom"/>
            <w:tcBorders>
              <w:top w:val="single" w:sz="8" w:color="0000FF"/>
            </w:tcBorders>
            <w:gridSpan w:val="9"/>
          </w:tcPr>
          <w:p>
            <w:pPr>
              <w:spacing w:after="0" w:line="169" w:lineRule="exact"/>
              <w:rPr>
                <w:rFonts w:ascii="Arial" w:cs="Arial" w:eastAsia="Arial" w:hAnsi="Arial"/>
                <w:sz w:val="19"/>
                <w:szCs w:val="19"/>
                <w:color w:val="0000FF"/>
              </w:rPr>
            </w:pPr>
            <w:hyperlink r:id="rId181">
              <w:r>
                <w:rPr>
                  <w:rFonts w:ascii="Arial" w:cs="Arial" w:eastAsia="Arial" w:hAnsi="Arial"/>
                  <w:sz w:val="19"/>
                  <w:szCs w:val="19"/>
                  <w:color w:val="0000FF"/>
                </w:rPr>
                <w:t>Incentive Compensation Plan</w:t>
              </w:r>
            </w:hyperlink>
          </w:p>
        </w:tc>
        <w:tc>
          <w:tcPr>
            <w:tcW w:w="160" w:type="dxa"/>
            <w:vAlign w:val="bottom"/>
          </w:tcPr>
          <w:p>
            <w:pPr>
              <w:spacing w:after="0"/>
              <w:rPr>
                <w:sz w:val="14"/>
                <w:szCs w:val="14"/>
                <w:color w:val="auto"/>
              </w:rPr>
            </w:pPr>
          </w:p>
        </w:tc>
        <w:tc>
          <w:tcPr>
            <w:tcW w:w="360" w:type="dxa"/>
            <w:vAlign w:val="bottom"/>
            <w:gridSpan w:val="5"/>
          </w:tcPr>
          <w:p>
            <w:pPr>
              <w:spacing w:after="0"/>
              <w:rPr>
                <w:sz w:val="14"/>
                <w:szCs w:val="14"/>
                <w:color w:val="auto"/>
              </w:rPr>
            </w:pPr>
          </w:p>
        </w:tc>
        <w:tc>
          <w:tcPr>
            <w:tcW w:w="2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gridSpan w:val="21"/>
          </w:tcPr>
          <w:p>
            <w:pPr>
              <w:spacing w:after="0"/>
              <w:rPr>
                <w:rFonts w:ascii="Arial" w:cs="Arial" w:eastAsia="Arial" w:hAnsi="Arial"/>
                <w:sz w:val="20"/>
                <w:szCs w:val="20"/>
                <w:color w:val="0000FF"/>
                <w:w w:val="90"/>
              </w:rPr>
            </w:pPr>
            <w:hyperlink r:id="rId182">
              <w:r>
                <w:rPr>
                  <w:rFonts w:ascii="Arial" w:cs="Arial" w:eastAsia="Arial" w:hAnsi="Arial"/>
                  <w:sz w:val="20"/>
                  <w:szCs w:val="20"/>
                  <w:color w:val="0000FF"/>
                  <w:w w:val="90"/>
                </w:rPr>
                <w:t>Form of Performance Award Agreement for performance units granted under the</w:t>
              </w:r>
            </w:hyperlink>
          </w:p>
        </w:tc>
        <w:tc>
          <w:tcPr>
            <w:tcW w:w="0" w:type="dxa"/>
            <w:vAlign w:val="bottom"/>
          </w:tcPr>
          <w:p>
            <w:pPr>
              <w:spacing w:after="0"/>
              <w:rPr>
                <w:sz w:val="1"/>
                <w:szCs w:val="1"/>
                <w:color w:val="auto"/>
              </w:rPr>
            </w:pPr>
          </w:p>
        </w:tc>
      </w:tr>
      <w:tr>
        <w:trPr>
          <w:trHeight w:val="244"/>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20" w:type="dxa"/>
            <w:vAlign w:val="bottom"/>
            <w:tcBorders>
              <w:top w:val="single" w:sz="8" w:color="0000FF"/>
            </w:tcBorders>
            <w:gridSpan w:val="20"/>
          </w:tcPr>
          <w:p>
            <w:pPr>
              <w:spacing w:after="0"/>
              <w:rPr>
                <w:rFonts w:ascii="Arial" w:cs="Arial" w:eastAsia="Arial" w:hAnsi="Arial"/>
                <w:sz w:val="20"/>
                <w:szCs w:val="20"/>
                <w:u w:val="single" w:color="auto"/>
                <w:color w:val="0000FF"/>
              </w:rPr>
            </w:pPr>
            <w:hyperlink r:id="rId182">
              <w:r>
                <w:rPr>
                  <w:rFonts w:ascii="Arial" w:cs="Arial" w:eastAsia="Arial" w:hAnsi="Arial"/>
                  <w:sz w:val="20"/>
                  <w:szCs w:val="20"/>
                  <w:u w:val="single" w:color="auto"/>
                  <w:color w:val="0000FF"/>
                </w:rPr>
                <w:t>Bloomin’ Brands, Inc. 2016 Omnibus Incentive Compensation Plan</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1040" w:type="dxa"/>
            <w:vAlign w:val="bottom"/>
          </w:tcPr>
          <w:p>
            <w:pPr>
              <w:jc w:val="center"/>
              <w:spacing w:after="0" w:line="222" w:lineRule="exact"/>
              <w:rPr>
                <w:sz w:val="20"/>
                <w:szCs w:val="20"/>
                <w:color w:val="auto"/>
              </w:rPr>
            </w:pPr>
            <w:r>
              <w:rPr>
                <w:rFonts w:ascii="Arial" w:cs="Arial" w:eastAsia="Arial" w:hAnsi="Arial"/>
                <w:sz w:val="20"/>
                <w:szCs w:val="20"/>
                <w:color w:val="auto"/>
                <w:w w:val="93"/>
              </w:rPr>
              <w:t>10.23*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40" w:type="dxa"/>
            <w:vAlign w:val="bottom"/>
            <w:gridSpan w:val="21"/>
          </w:tcPr>
          <w:p>
            <w:pPr>
              <w:spacing w:after="0" w:line="222" w:lineRule="exact"/>
              <w:rPr>
                <w:rFonts w:ascii="Arial" w:cs="Arial" w:eastAsia="Arial" w:hAnsi="Arial"/>
                <w:sz w:val="20"/>
                <w:szCs w:val="20"/>
                <w:color w:val="0000FF"/>
                <w:w w:val="92"/>
              </w:rPr>
            </w:pPr>
            <w:hyperlink r:id="rId183">
              <w:r>
                <w:rPr>
                  <w:rFonts w:ascii="Arial" w:cs="Arial" w:eastAsia="Arial" w:hAnsi="Arial"/>
                  <w:sz w:val="20"/>
                  <w:szCs w:val="20"/>
                  <w:color w:val="0000FF"/>
                  <w:w w:val="92"/>
                </w:rPr>
                <w:t>Form of Restricted Cash Award Agreement for cash awards granted under the</w:t>
              </w:r>
            </w:hyperlink>
          </w:p>
        </w:tc>
        <w:tc>
          <w:tcPr>
            <w:tcW w:w="0" w:type="dxa"/>
            <w:vAlign w:val="bottom"/>
          </w:tcPr>
          <w:p>
            <w:pPr>
              <w:spacing w:after="0"/>
              <w:rPr>
                <w:sz w:val="1"/>
                <w:szCs w:val="1"/>
                <w:color w:val="auto"/>
              </w:rPr>
            </w:pPr>
          </w:p>
        </w:tc>
      </w:tr>
      <w:tr>
        <w:trPr>
          <w:trHeight w:val="244"/>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60" w:type="dxa"/>
            <w:vAlign w:val="bottom"/>
            <w:tcBorders>
              <w:top w:val="single" w:sz="8" w:color="0000FF"/>
            </w:tcBorders>
            <w:gridSpan w:val="15"/>
          </w:tcPr>
          <w:p>
            <w:pPr>
              <w:spacing w:after="0"/>
              <w:rPr>
                <w:rFonts w:ascii="Arial" w:cs="Arial" w:eastAsia="Arial" w:hAnsi="Arial"/>
                <w:sz w:val="20"/>
                <w:szCs w:val="20"/>
                <w:u w:val="single" w:color="auto"/>
                <w:color w:val="0000FF"/>
              </w:rPr>
            </w:pPr>
            <w:hyperlink r:id="rId183">
              <w:r>
                <w:rPr>
                  <w:rFonts w:ascii="Arial" w:cs="Arial" w:eastAsia="Arial" w:hAnsi="Arial"/>
                  <w:sz w:val="20"/>
                  <w:szCs w:val="20"/>
                  <w:u w:val="single" w:color="auto"/>
                  <w:color w:val="0000FF"/>
                </w:rPr>
                <w:t>Bloomin’ Brands, Inc. 2016 Omnibus Incentive Compensation Plan</w:t>
              </w:r>
            </w:hyperlink>
          </w:p>
        </w:tc>
        <w:tc>
          <w:tcPr>
            <w:tcW w:w="20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10.24*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40" w:type="dxa"/>
            <w:vAlign w:val="bottom"/>
            <w:gridSpan w:val="21"/>
          </w:tcPr>
          <w:p>
            <w:pPr>
              <w:spacing w:after="0"/>
              <w:rPr>
                <w:rFonts w:ascii="Arial" w:cs="Arial" w:eastAsia="Arial" w:hAnsi="Arial"/>
                <w:sz w:val="20"/>
                <w:szCs w:val="20"/>
                <w:u w:val="single" w:color="auto"/>
                <w:color w:val="0000FF"/>
              </w:rPr>
            </w:pPr>
            <w:hyperlink r:id="rId184">
              <w:r>
                <w:rPr>
                  <w:rFonts w:ascii="Arial" w:cs="Arial" w:eastAsia="Arial" w:hAnsi="Arial"/>
                  <w:sz w:val="20"/>
                  <w:szCs w:val="20"/>
                  <w:u w:val="single" w:color="auto"/>
                  <w:color w:val="0000FF"/>
                </w:rPr>
                <w:t>Bloomin’ Brands, Inc. 2020 Omnibus Incentive Compensation Plan</w:t>
              </w:r>
            </w:hyperlink>
          </w:p>
        </w:tc>
        <w:tc>
          <w:tcPr>
            <w:tcW w:w="0" w:type="dxa"/>
            <w:vAlign w:val="bottom"/>
          </w:tcPr>
          <w:p>
            <w:pPr>
              <w:spacing w:after="0"/>
              <w:rPr>
                <w:sz w:val="1"/>
                <w:szCs w:val="1"/>
                <w:color w:val="auto"/>
              </w:rPr>
            </w:pPr>
          </w:p>
        </w:tc>
      </w:tr>
      <w:tr>
        <w:trPr>
          <w:trHeight w:val="253"/>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10.25*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40" w:type="dxa"/>
            <w:vAlign w:val="bottom"/>
            <w:gridSpan w:val="21"/>
          </w:tcPr>
          <w:p>
            <w:pPr>
              <w:spacing w:after="0"/>
              <w:rPr>
                <w:rFonts w:ascii="Arial" w:cs="Arial" w:eastAsia="Arial" w:hAnsi="Arial"/>
                <w:sz w:val="20"/>
                <w:szCs w:val="20"/>
                <w:color w:val="0000FF"/>
                <w:w w:val="92"/>
              </w:rPr>
            </w:pPr>
            <w:hyperlink r:id="rId185">
              <w:r>
                <w:rPr>
                  <w:rFonts w:ascii="Arial" w:cs="Arial" w:eastAsia="Arial" w:hAnsi="Arial"/>
                  <w:sz w:val="20"/>
                  <w:szCs w:val="20"/>
                  <w:color w:val="0000FF"/>
                  <w:w w:val="92"/>
                </w:rPr>
                <w:t>Form of Restricted Stock Unit Award Agreement for restricted stock granted to</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60" w:type="dxa"/>
            <w:vAlign w:val="bottom"/>
            <w:tcBorders>
              <w:top w:val="single" w:sz="8" w:color="0000FF"/>
            </w:tcBorders>
            <w:gridSpan w:val="16"/>
          </w:tcPr>
          <w:p>
            <w:pPr>
              <w:spacing w:after="0" w:line="156" w:lineRule="exact"/>
              <w:rPr>
                <w:rFonts w:ascii="Arial" w:cs="Arial" w:eastAsia="Arial" w:hAnsi="Arial"/>
                <w:sz w:val="18"/>
                <w:szCs w:val="18"/>
                <w:u w:val="single" w:color="auto"/>
                <w:color w:val="0000FF"/>
              </w:rPr>
            </w:pPr>
            <w:hyperlink r:id="rId185">
              <w:r>
                <w:rPr>
                  <w:rFonts w:ascii="Arial" w:cs="Arial" w:eastAsia="Arial" w:hAnsi="Arial"/>
                  <w:sz w:val="18"/>
                  <w:szCs w:val="18"/>
                  <w:u w:val="single" w:color="auto"/>
                  <w:color w:val="0000FF"/>
                </w:rPr>
                <w:t>directors under the Bloomin’ Brands, Inc. 2020 Omnibus Incentive</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Borders>
              <w:bottom w:val="single" w:sz="8" w:color="0000FF"/>
            </w:tcBorders>
            <w:gridSpan w:val="4"/>
          </w:tcPr>
          <w:p>
            <w:pPr>
              <w:spacing w:after="0" w:line="203" w:lineRule="exact"/>
              <w:rPr>
                <w:rFonts w:ascii="Arial" w:cs="Arial" w:eastAsia="Arial" w:hAnsi="Arial"/>
                <w:sz w:val="20"/>
                <w:szCs w:val="20"/>
                <w:color w:val="0000FF"/>
                <w:w w:val="87"/>
              </w:rPr>
            </w:pPr>
            <w:hyperlink r:id="rId185">
              <w:r>
                <w:rPr>
                  <w:rFonts w:ascii="Arial" w:cs="Arial" w:eastAsia="Arial" w:hAnsi="Arial"/>
                  <w:sz w:val="20"/>
                  <w:szCs w:val="20"/>
                  <w:color w:val="0000FF"/>
                  <w:w w:val="87"/>
                </w:rPr>
                <w:t>Compensation Plan</w:t>
              </w:r>
            </w:hyperlink>
          </w:p>
        </w:tc>
        <w:tc>
          <w:tcPr>
            <w:tcW w:w="49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10.26*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gridSpan w:val="21"/>
          </w:tcPr>
          <w:p>
            <w:pPr>
              <w:spacing w:after="0"/>
              <w:rPr>
                <w:rFonts w:ascii="Arial" w:cs="Arial" w:eastAsia="Arial" w:hAnsi="Arial"/>
                <w:sz w:val="20"/>
                <w:szCs w:val="20"/>
                <w:color w:val="0000FF"/>
                <w:w w:val="96"/>
              </w:rPr>
            </w:pPr>
            <w:hyperlink r:id="rId186">
              <w:r>
                <w:rPr>
                  <w:rFonts w:ascii="Arial" w:cs="Arial" w:eastAsia="Arial" w:hAnsi="Arial"/>
                  <w:sz w:val="20"/>
                  <w:szCs w:val="20"/>
                  <w:color w:val="0000FF"/>
                  <w:w w:val="96"/>
                </w:rPr>
                <w:t>Form of Nonqualified Stock Option Award Agreement for options granted to</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80" w:type="dxa"/>
            <w:vAlign w:val="bottom"/>
            <w:tcBorders>
              <w:top w:val="single" w:sz="8" w:color="0000FF"/>
            </w:tcBorders>
            <w:gridSpan w:val="14"/>
          </w:tcPr>
          <w:p>
            <w:pPr>
              <w:spacing w:after="0" w:line="169" w:lineRule="exact"/>
              <w:rPr>
                <w:rFonts w:ascii="Arial" w:cs="Arial" w:eastAsia="Arial" w:hAnsi="Arial"/>
                <w:sz w:val="19"/>
                <w:szCs w:val="19"/>
                <w:color w:val="0000FF"/>
              </w:rPr>
            </w:pPr>
            <w:hyperlink r:id="rId186">
              <w:r>
                <w:rPr>
                  <w:rFonts w:ascii="Arial" w:cs="Arial" w:eastAsia="Arial" w:hAnsi="Arial"/>
                  <w:sz w:val="19"/>
                  <w:szCs w:val="19"/>
                  <w:color w:val="0000FF"/>
                </w:rPr>
                <w:t>executive management under the Bloomin’ Brands, Inc. 2020 Omnibus</w:t>
              </w:r>
            </w:hyperlink>
          </w:p>
        </w:tc>
        <w:tc>
          <w:tcPr>
            <w:tcW w:w="2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40" w:type="dxa"/>
            <w:vAlign w:val="bottom"/>
            <w:tcBorders>
              <w:top w:val="single" w:sz="8" w:color="0000FF"/>
            </w:tcBorders>
            <w:gridSpan w:val="9"/>
          </w:tcPr>
          <w:p>
            <w:pPr>
              <w:spacing w:after="0" w:line="169" w:lineRule="exact"/>
              <w:rPr>
                <w:rFonts w:ascii="Arial" w:cs="Arial" w:eastAsia="Arial" w:hAnsi="Arial"/>
                <w:sz w:val="19"/>
                <w:szCs w:val="19"/>
                <w:color w:val="0000FF"/>
              </w:rPr>
            </w:pPr>
            <w:hyperlink r:id="rId186">
              <w:r>
                <w:rPr>
                  <w:rFonts w:ascii="Arial" w:cs="Arial" w:eastAsia="Arial" w:hAnsi="Arial"/>
                  <w:sz w:val="19"/>
                  <w:szCs w:val="19"/>
                  <w:color w:val="0000FF"/>
                </w:rPr>
                <w:t>Incentive Compensation Plan</w:t>
              </w:r>
            </w:hyperlink>
          </w:p>
        </w:tc>
        <w:tc>
          <w:tcPr>
            <w:tcW w:w="160" w:type="dxa"/>
            <w:vAlign w:val="bottom"/>
          </w:tcPr>
          <w:p>
            <w:pPr>
              <w:spacing w:after="0"/>
              <w:rPr>
                <w:sz w:val="14"/>
                <w:szCs w:val="14"/>
                <w:color w:val="auto"/>
              </w:rPr>
            </w:pPr>
          </w:p>
        </w:tc>
        <w:tc>
          <w:tcPr>
            <w:tcW w:w="56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10.27*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gridSpan w:val="21"/>
          </w:tcPr>
          <w:p>
            <w:pPr>
              <w:spacing w:after="0"/>
              <w:rPr>
                <w:rFonts w:ascii="Arial" w:cs="Arial" w:eastAsia="Arial" w:hAnsi="Arial"/>
                <w:sz w:val="20"/>
                <w:szCs w:val="20"/>
                <w:color w:val="0000FF"/>
                <w:w w:val="92"/>
              </w:rPr>
            </w:pPr>
            <w:hyperlink r:id="rId187">
              <w:r>
                <w:rPr>
                  <w:rFonts w:ascii="Arial" w:cs="Arial" w:eastAsia="Arial" w:hAnsi="Arial"/>
                  <w:sz w:val="20"/>
                  <w:szCs w:val="20"/>
                  <w:color w:val="0000FF"/>
                  <w:w w:val="92"/>
                </w:rPr>
                <w:t>Form of Restricted Stock Unit Award Agreement for restricted stock granted to</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60" w:type="dxa"/>
            <w:vAlign w:val="bottom"/>
            <w:tcBorders>
              <w:top w:val="single" w:sz="8" w:color="0000FF"/>
            </w:tcBorders>
            <w:gridSpan w:val="16"/>
          </w:tcPr>
          <w:p>
            <w:pPr>
              <w:spacing w:after="0" w:line="169" w:lineRule="exact"/>
              <w:rPr>
                <w:rFonts w:ascii="Arial" w:cs="Arial" w:eastAsia="Arial" w:hAnsi="Arial"/>
                <w:sz w:val="19"/>
                <w:szCs w:val="19"/>
                <w:color w:val="0000FF"/>
              </w:rPr>
            </w:pPr>
            <w:hyperlink r:id="rId187">
              <w:r>
                <w:rPr>
                  <w:rFonts w:ascii="Arial" w:cs="Arial" w:eastAsia="Arial" w:hAnsi="Arial"/>
                  <w:sz w:val="19"/>
                  <w:szCs w:val="19"/>
                  <w:color w:val="0000FF"/>
                </w:rPr>
                <w:t>executive management under the Bloomin’ Brands, Inc. 2020 Omnibus</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40" w:type="dxa"/>
            <w:vAlign w:val="bottom"/>
            <w:tcBorders>
              <w:top w:val="single" w:sz="8" w:color="0000FF"/>
            </w:tcBorders>
            <w:gridSpan w:val="9"/>
          </w:tcPr>
          <w:p>
            <w:pPr>
              <w:spacing w:after="0" w:line="169" w:lineRule="exact"/>
              <w:rPr>
                <w:rFonts w:ascii="Arial" w:cs="Arial" w:eastAsia="Arial" w:hAnsi="Arial"/>
                <w:sz w:val="19"/>
                <w:szCs w:val="19"/>
                <w:color w:val="0000FF"/>
              </w:rPr>
            </w:pPr>
            <w:hyperlink r:id="rId187">
              <w:r>
                <w:rPr>
                  <w:rFonts w:ascii="Arial" w:cs="Arial" w:eastAsia="Arial" w:hAnsi="Arial"/>
                  <w:sz w:val="19"/>
                  <w:szCs w:val="19"/>
                  <w:color w:val="0000FF"/>
                </w:rPr>
                <w:t>Incentive Compensation Plan</w:t>
              </w:r>
            </w:hyperlink>
          </w:p>
        </w:tc>
        <w:tc>
          <w:tcPr>
            <w:tcW w:w="160" w:type="dxa"/>
            <w:vAlign w:val="bottom"/>
          </w:tcPr>
          <w:p>
            <w:pPr>
              <w:spacing w:after="0"/>
              <w:rPr>
                <w:sz w:val="14"/>
                <w:szCs w:val="14"/>
                <w:color w:val="auto"/>
              </w:rPr>
            </w:pPr>
          </w:p>
        </w:tc>
        <w:tc>
          <w:tcPr>
            <w:tcW w:w="56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10.28*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gridSpan w:val="21"/>
          </w:tcPr>
          <w:p>
            <w:pPr>
              <w:spacing w:after="0"/>
              <w:rPr>
                <w:rFonts w:ascii="Arial" w:cs="Arial" w:eastAsia="Arial" w:hAnsi="Arial"/>
                <w:sz w:val="20"/>
                <w:szCs w:val="20"/>
                <w:color w:val="0000FF"/>
                <w:w w:val="99"/>
              </w:rPr>
            </w:pPr>
            <w:hyperlink r:id="rId188">
              <w:r>
                <w:rPr>
                  <w:rFonts w:ascii="Arial" w:cs="Arial" w:eastAsia="Arial" w:hAnsi="Arial"/>
                  <w:sz w:val="20"/>
                  <w:szCs w:val="20"/>
                  <w:color w:val="0000FF"/>
                  <w:w w:val="99"/>
                </w:rPr>
                <w:t>Form of Performance Award Agreement for performance units granted to</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0" w:type="dxa"/>
            <w:vAlign w:val="bottom"/>
            <w:tcBorders>
              <w:top w:val="single" w:sz="8" w:color="0000FF"/>
            </w:tcBorders>
            <w:gridSpan w:val="10"/>
          </w:tcPr>
          <w:p>
            <w:pPr>
              <w:spacing w:after="0" w:line="169" w:lineRule="exact"/>
              <w:rPr>
                <w:rFonts w:ascii="Arial" w:cs="Arial" w:eastAsia="Arial" w:hAnsi="Arial"/>
                <w:sz w:val="19"/>
                <w:szCs w:val="19"/>
                <w:color w:val="0000FF"/>
                <w:w w:val="97"/>
              </w:rPr>
            </w:pPr>
            <w:hyperlink r:id="rId188">
              <w:r>
                <w:rPr>
                  <w:rFonts w:ascii="Arial" w:cs="Arial" w:eastAsia="Arial" w:hAnsi="Arial"/>
                  <w:sz w:val="19"/>
                  <w:szCs w:val="19"/>
                  <w:color w:val="0000FF"/>
                  <w:w w:val="97"/>
                </w:rPr>
                <w:t>executive management under the Bloomin’ Brands, Inc. 2020 Omnibus</w:t>
              </w:r>
            </w:hyperlink>
          </w:p>
        </w:tc>
        <w:tc>
          <w:tcPr>
            <w:tcW w:w="56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40" w:type="dxa"/>
            <w:vAlign w:val="bottom"/>
            <w:tcBorders>
              <w:top w:val="single" w:sz="8" w:color="0000FF"/>
            </w:tcBorders>
            <w:gridSpan w:val="9"/>
          </w:tcPr>
          <w:p>
            <w:pPr>
              <w:spacing w:after="0" w:line="169" w:lineRule="exact"/>
              <w:rPr>
                <w:rFonts w:ascii="Arial" w:cs="Arial" w:eastAsia="Arial" w:hAnsi="Arial"/>
                <w:sz w:val="19"/>
                <w:szCs w:val="19"/>
                <w:color w:val="0000FF"/>
              </w:rPr>
            </w:pPr>
            <w:hyperlink r:id="rId188">
              <w:r>
                <w:rPr>
                  <w:rFonts w:ascii="Arial" w:cs="Arial" w:eastAsia="Arial" w:hAnsi="Arial"/>
                  <w:sz w:val="19"/>
                  <w:szCs w:val="19"/>
                  <w:color w:val="0000FF"/>
                </w:rPr>
                <w:t>Incentive Compensation Plan</w:t>
              </w:r>
            </w:hyperlink>
          </w:p>
        </w:tc>
        <w:tc>
          <w:tcPr>
            <w:tcW w:w="72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7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10.29*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gridSpan w:val="21"/>
          </w:tcPr>
          <w:p>
            <w:pPr>
              <w:spacing w:after="0"/>
              <w:rPr>
                <w:rFonts w:ascii="Arial" w:cs="Arial" w:eastAsia="Arial" w:hAnsi="Arial"/>
                <w:sz w:val="20"/>
                <w:szCs w:val="20"/>
                <w:color w:val="0000FF"/>
                <w:w w:val="89"/>
              </w:rPr>
            </w:pPr>
            <w:hyperlink r:id="rId189">
              <w:r>
                <w:rPr>
                  <w:rFonts w:ascii="Arial" w:cs="Arial" w:eastAsia="Arial" w:hAnsi="Arial"/>
                  <w:sz w:val="20"/>
                  <w:szCs w:val="20"/>
                  <w:color w:val="0000FF"/>
                  <w:w w:val="89"/>
                </w:rPr>
                <w:t>Form of Restricted Cash Award Agreement for cash awards granted to executive</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80" w:type="dxa"/>
            <w:vAlign w:val="bottom"/>
            <w:tcBorders>
              <w:top w:val="single" w:sz="8" w:color="0000FF"/>
            </w:tcBorders>
            <w:gridSpan w:val="18"/>
          </w:tcPr>
          <w:p>
            <w:pPr>
              <w:spacing w:after="0" w:line="169" w:lineRule="exact"/>
              <w:rPr>
                <w:rFonts w:ascii="Arial" w:cs="Arial" w:eastAsia="Arial" w:hAnsi="Arial"/>
                <w:sz w:val="19"/>
                <w:szCs w:val="19"/>
                <w:color w:val="0000FF"/>
              </w:rPr>
            </w:pPr>
            <w:hyperlink r:id="rId189">
              <w:r>
                <w:rPr>
                  <w:rFonts w:ascii="Arial" w:cs="Arial" w:eastAsia="Arial" w:hAnsi="Arial"/>
                  <w:sz w:val="19"/>
                  <w:szCs w:val="19"/>
                  <w:color w:val="0000FF"/>
                </w:rPr>
                <w:t>management under the Bloomin’ Brands, Inc. 2020 Omnibus Incentive</w:t>
              </w:r>
            </w:hyperlink>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Borders>
              <w:top w:val="single" w:sz="8" w:color="0000FF"/>
              <w:bottom w:val="single" w:sz="8" w:color="0000FF"/>
            </w:tcBorders>
            <w:gridSpan w:val="4"/>
          </w:tcPr>
          <w:p>
            <w:pPr>
              <w:spacing w:after="0" w:line="169" w:lineRule="exact"/>
              <w:rPr>
                <w:rFonts w:ascii="Arial" w:cs="Arial" w:eastAsia="Arial" w:hAnsi="Arial"/>
                <w:sz w:val="19"/>
                <w:szCs w:val="19"/>
                <w:color w:val="0000FF"/>
                <w:w w:val="91"/>
              </w:rPr>
            </w:pPr>
            <w:hyperlink r:id="rId189">
              <w:r>
                <w:rPr>
                  <w:rFonts w:ascii="Arial" w:cs="Arial" w:eastAsia="Arial" w:hAnsi="Arial"/>
                  <w:sz w:val="19"/>
                  <w:szCs w:val="19"/>
                  <w:color w:val="0000FF"/>
                  <w:w w:val="91"/>
                </w:rPr>
                <w:t>Compensation Plan</w:t>
              </w:r>
            </w:hyperlink>
          </w:p>
        </w:tc>
        <w:tc>
          <w:tcPr>
            <w:tcW w:w="4080" w:type="dxa"/>
            <w:vAlign w:val="bottom"/>
            <w:tcBorders>
              <w:top w:val="single" w:sz="8" w:color="0000FF"/>
            </w:tcBorders>
            <w:gridSpan w:val="4"/>
          </w:tcPr>
          <w:p>
            <w:pPr>
              <w:spacing w:after="0"/>
              <w:rPr>
                <w:sz w:val="14"/>
                <w:szCs w:val="14"/>
                <w:color w:val="auto"/>
              </w:rPr>
            </w:pPr>
          </w:p>
        </w:tc>
        <w:tc>
          <w:tcPr>
            <w:tcW w:w="740" w:type="dxa"/>
            <w:vAlign w:val="bottom"/>
            <w:gridSpan w:val="9"/>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gridSpan w:val="21"/>
          </w:tcPr>
          <w:p>
            <w:pPr>
              <w:spacing w:after="0"/>
              <w:rPr>
                <w:rFonts w:ascii="Arial" w:cs="Arial" w:eastAsia="Arial" w:hAnsi="Arial"/>
                <w:sz w:val="20"/>
                <w:szCs w:val="20"/>
                <w:color w:val="0000FF"/>
                <w:w w:val="91"/>
              </w:rPr>
            </w:pPr>
            <w:hyperlink r:id="rId190">
              <w:r>
                <w:rPr>
                  <w:rFonts w:ascii="Arial" w:cs="Arial" w:eastAsia="Arial" w:hAnsi="Arial"/>
                  <w:sz w:val="20"/>
                  <w:szCs w:val="20"/>
                  <w:color w:val="0000FF"/>
                  <w:w w:val="91"/>
                </w:rPr>
                <w:t>Bloomin’ Brands, Inc. Executive Change in Control Plan, effective December 6,</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top w:val="single" w:sz="8" w:color="0000FF"/>
              <w:bottom w:val="single" w:sz="8" w:color="0000FF"/>
            </w:tcBorders>
          </w:tcPr>
          <w:p>
            <w:pPr>
              <w:spacing w:after="0" w:line="169" w:lineRule="exact"/>
              <w:rPr>
                <w:rFonts w:ascii="Arial" w:cs="Arial" w:eastAsia="Arial" w:hAnsi="Arial"/>
                <w:sz w:val="19"/>
                <w:szCs w:val="19"/>
                <w:color w:val="0000FF"/>
                <w:w w:val="85"/>
              </w:rPr>
            </w:pPr>
            <w:hyperlink r:id="rId190">
              <w:r>
                <w:rPr>
                  <w:rFonts w:ascii="Arial" w:cs="Arial" w:eastAsia="Arial" w:hAnsi="Arial"/>
                  <w:sz w:val="19"/>
                  <w:szCs w:val="19"/>
                  <w:color w:val="0000FF"/>
                  <w:w w:val="85"/>
                </w:rPr>
                <w:t>2012</w:t>
              </w:r>
            </w:hyperlink>
          </w:p>
        </w:tc>
        <w:tc>
          <w:tcPr>
            <w:tcW w:w="54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44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FILINGS REFERENCED FOR</w:t>
      </w:r>
    </w:p>
    <w:p>
      <w:pPr>
        <w:jc w:val="center"/>
        <w:ind w:right="-19"/>
        <w:spacing w:after="0"/>
        <w:rPr>
          <w:sz w:val="20"/>
          <w:szCs w:val="20"/>
          <w:color w:val="auto"/>
        </w:rPr>
      </w:pPr>
      <w:r>
        <w:rPr>
          <w:rFonts w:ascii="Arial" w:cs="Arial" w:eastAsia="Arial" w:hAnsi="Arial"/>
          <w:sz w:val="16"/>
          <w:szCs w:val="16"/>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8890</wp:posOffset>
            </wp:positionV>
            <wp:extent cx="223710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2">
                      <a:extLst>
                        <a:ext uri="{28A0092B-C50C-407E-A947-70E740481C1C}"/>
                      </a:extLst>
                    </a:blip>
                    <a:srcRect/>
                    <a:stretch>
                      <a:fillRect/>
                    </a:stretch>
                  </pic:blipFill>
                  <pic:spPr bwMode="auto">
                    <a:xfrm>
                      <a:off x="0" y="0"/>
                      <a:ext cx="2237105" cy="17145"/>
                    </a:xfrm>
                    <a:prstGeom prst="rect">
                      <a:avLst/>
                    </a:prstGeom>
                    <a:noFill/>
                  </pic:spPr>
                </pic:pic>
              </a:graphicData>
            </a:graphic>
          </wp:anchor>
        </w:drawing>
      </w:r>
    </w:p>
    <w:p>
      <w:pPr>
        <w:spacing w:after="0" w:line="59" w:lineRule="exact"/>
        <w:rPr>
          <w:sz w:val="20"/>
          <w:szCs w:val="20"/>
          <w:color w:val="auto"/>
        </w:rPr>
      </w:pPr>
    </w:p>
    <w:p>
      <w:pPr>
        <w:ind w:right="260"/>
        <w:spacing w:after="0" w:line="229" w:lineRule="auto"/>
        <w:rPr>
          <w:sz w:val="20"/>
          <w:szCs w:val="20"/>
          <w:color w:val="auto"/>
        </w:rPr>
      </w:pPr>
      <w:r>
        <w:rPr>
          <w:rFonts w:ascii="Arial" w:cs="Arial" w:eastAsia="Arial" w:hAnsi="Arial"/>
          <w:sz w:val="20"/>
          <w:szCs w:val="20"/>
          <w:color w:val="auto"/>
        </w:rPr>
        <w:t>September 30, 2013 Form 10-Q, Exhibit 10.2</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December 7, 2012 Form 8-K, Exhibit 10.5</w:t>
      </w:r>
    </w:p>
    <w:p>
      <w:pPr>
        <w:spacing w:after="0" w:line="198" w:lineRule="exact"/>
        <w:rPr>
          <w:sz w:val="20"/>
          <w:szCs w:val="20"/>
          <w:color w:val="auto"/>
        </w:rPr>
      </w:pPr>
    </w:p>
    <w:p>
      <w:pPr>
        <w:ind w:right="360"/>
        <w:spacing w:after="0" w:line="213" w:lineRule="auto"/>
        <w:rPr>
          <w:sz w:val="20"/>
          <w:szCs w:val="20"/>
          <w:color w:val="auto"/>
        </w:rPr>
      </w:pPr>
      <w:r>
        <w:rPr>
          <w:rFonts w:ascii="Arial" w:cs="Arial" w:eastAsia="Arial" w:hAnsi="Arial"/>
          <w:sz w:val="20"/>
          <w:szCs w:val="20"/>
          <w:color w:val="auto"/>
        </w:rPr>
        <w:t>Amendment No. 4 to Registration Statement on Form S-1, File No. 333-180615, filed on July 18, 2012, Exhibit 10.39</w:t>
      </w:r>
    </w:p>
    <w:p>
      <w:pPr>
        <w:spacing w:after="0" w:line="48" w:lineRule="exact"/>
        <w:rPr>
          <w:sz w:val="20"/>
          <w:szCs w:val="20"/>
          <w:color w:val="auto"/>
        </w:rPr>
      </w:pPr>
    </w:p>
    <w:p>
      <w:pPr>
        <w:spacing w:after="0" w:line="394" w:lineRule="auto"/>
        <w:rPr>
          <w:sz w:val="20"/>
          <w:szCs w:val="20"/>
          <w:color w:val="auto"/>
        </w:rPr>
      </w:pPr>
      <w:r>
        <w:rPr>
          <w:rFonts w:ascii="Arial" w:cs="Arial" w:eastAsia="Arial" w:hAnsi="Arial"/>
          <w:sz w:val="18"/>
          <w:szCs w:val="18"/>
          <w:color w:val="auto"/>
        </w:rPr>
        <w:t>March 11, 2016 Definitive Proxy Statement June 26, 2016 Form 10-Q, Exhibit 10.2</w:t>
      </w: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color w:val="auto"/>
        </w:rPr>
        <w:t>June 26, 2016 Form 10-Q, Exhibit 10.3</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June 26, 2016 Form 10-Q, Exhibit 10.4</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June 26, 2016 Form 10-Q, Exhibit 10.5</w:t>
      </w: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color w:val="auto"/>
        </w:rPr>
        <w:t>March 26, 2017 Form 10-Q, Exhibit 10.1</w:t>
      </w:r>
    </w:p>
    <w:p>
      <w:pPr>
        <w:spacing w:after="0" w:line="268" w:lineRule="exact"/>
        <w:rPr>
          <w:sz w:val="20"/>
          <w:szCs w:val="20"/>
          <w:color w:val="auto"/>
        </w:rPr>
      </w:pPr>
    </w:p>
    <w:p>
      <w:pPr>
        <w:ind w:right="200"/>
        <w:spacing w:after="0" w:line="394" w:lineRule="auto"/>
        <w:rPr>
          <w:sz w:val="20"/>
          <w:szCs w:val="20"/>
          <w:color w:val="auto"/>
        </w:rPr>
      </w:pPr>
      <w:r>
        <w:rPr>
          <w:rFonts w:ascii="Arial" w:cs="Arial" w:eastAsia="Arial" w:hAnsi="Arial"/>
          <w:sz w:val="18"/>
          <w:szCs w:val="18"/>
          <w:color w:val="auto"/>
        </w:rPr>
        <w:t>April 9, 2020 Definitive Proxy Statement May 29, 2020 Form 8-K, Exhibit 10.2</w:t>
      </w: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color w:val="auto"/>
        </w:rPr>
        <w:t>May 29, 2020 Form 8-K, Exhibit 10.3</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May 29, 2020 Form 8-K, Exhibit 10.4</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May 29, 2020 Form 8-K, Exhibit 10.5</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May 29, 2020 Form 8-K, Exhibit 10.6</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December 7, 2012 Form 8-K, Exhibit 10.1</w:t>
      </w:r>
    </w:p>
    <w:p>
      <w:pPr>
        <w:sectPr>
          <w:pgSz w:w="11900" w:h="16838" w:orient="portrait"/>
          <w:cols w:equalWidth="0" w:num="2">
            <w:col w:w="7600" w:space="140"/>
            <w:col w:w="3460"/>
          </w:cols>
          <w:pgMar w:left="320" w:top="121" w:right="379" w:bottom="1440" w:gutter="0" w:footer="0" w:header="0"/>
        </w:sectPr>
      </w:pPr>
    </w:p>
    <w:bookmarkStart w:id="121" w:name="page122"/>
    <w:bookmarkEnd w:id="1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ind w:left="4420"/>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gridSpan w:val="2"/>
          </w:tcPr>
          <w:p>
            <w:pPr>
              <w:ind w:left="18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80" w:type="dxa"/>
            <w:vAlign w:val="bottom"/>
            <w:gridSpan w:val="30"/>
            <w:vMerge w:val="restart"/>
          </w:tcPr>
          <w:p>
            <w:pPr>
              <w:ind w:left="80"/>
              <w:spacing w:after="0"/>
              <w:rPr>
                <w:sz w:val="20"/>
                <w:szCs w:val="20"/>
                <w:color w:val="auto"/>
              </w:rPr>
            </w:pPr>
            <w:r>
              <w:rPr>
                <w:rFonts w:ascii="Arial" w:cs="Arial" w:eastAsia="Arial" w:hAnsi="Arial"/>
                <w:sz w:val="16"/>
                <w:szCs w:val="16"/>
                <w:b w:val="1"/>
                <w:bCs w:val="1"/>
                <w:color w:val="auto"/>
              </w:rPr>
              <w:t>DESCRIPTION OF EXHIBITS</w:t>
            </w:r>
          </w:p>
        </w:tc>
        <w:tc>
          <w:tcPr>
            <w:tcW w:w="0" w:type="dxa"/>
            <w:vAlign w:val="bottom"/>
          </w:tcPr>
          <w:p>
            <w:pPr>
              <w:spacing w:after="0"/>
              <w:rPr>
                <w:sz w:val="1"/>
                <w:szCs w:val="1"/>
                <w:color w:val="auto"/>
              </w:rPr>
            </w:pPr>
          </w:p>
        </w:tc>
      </w:tr>
      <w:tr>
        <w:trPr>
          <w:trHeight w:val="223"/>
        </w:trPr>
        <w:tc>
          <w:tcPr>
            <w:tcW w:w="1160" w:type="dxa"/>
            <w:vAlign w:val="bottom"/>
            <w:gridSpan w:val="2"/>
          </w:tcPr>
          <w:p>
            <w:pPr>
              <w:ind w:left="16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80" w:type="dxa"/>
            <w:vAlign w:val="bottom"/>
            <w:gridSpan w:val="30"/>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4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3"/>
              </w:rPr>
              <w:t>10.31*</w:t>
            </w: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500" w:type="dxa"/>
            <w:vAlign w:val="bottom"/>
            <w:tcBorders>
              <w:top w:val="single" w:sz="8" w:color="auto"/>
            </w:tcBorders>
            <w:gridSpan w:val="33"/>
          </w:tcPr>
          <w:p>
            <w:pPr>
              <w:spacing w:after="0"/>
              <w:rPr>
                <w:rFonts w:ascii="Arial" w:cs="Arial" w:eastAsia="Arial" w:hAnsi="Arial"/>
                <w:sz w:val="20"/>
                <w:szCs w:val="20"/>
                <w:color w:val="0000FF"/>
                <w:w w:val="91"/>
              </w:rPr>
            </w:pPr>
            <w:hyperlink r:id="rId193">
              <w:r>
                <w:rPr>
                  <w:rFonts w:ascii="Arial" w:cs="Arial" w:eastAsia="Arial" w:hAnsi="Arial"/>
                  <w:sz w:val="20"/>
                  <w:szCs w:val="20"/>
                  <w:color w:val="0000FF"/>
                  <w:w w:val="91"/>
                </w:rPr>
                <w:t>Option Agreement, dated July 1, 2011, by and between Kangaroo Holdings, Inc.</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tcBorders>
              <w:top w:val="single" w:sz="8" w:color="0000FF"/>
              <w:bottom w:val="single" w:sz="8" w:color="0000FF"/>
            </w:tcBorders>
            <w:gridSpan w:val="2"/>
          </w:tcPr>
          <w:p>
            <w:pPr>
              <w:spacing w:after="0" w:line="169" w:lineRule="exact"/>
              <w:rPr>
                <w:rFonts w:ascii="Arial" w:cs="Arial" w:eastAsia="Arial" w:hAnsi="Arial"/>
                <w:sz w:val="19"/>
                <w:szCs w:val="19"/>
                <w:color w:val="0000FF"/>
                <w:w w:val="94"/>
              </w:rPr>
            </w:pPr>
            <w:hyperlink r:id="rId193">
              <w:r>
                <w:rPr>
                  <w:rFonts w:ascii="Arial" w:cs="Arial" w:eastAsia="Arial" w:hAnsi="Arial"/>
                  <w:sz w:val="19"/>
                  <w:szCs w:val="19"/>
                  <w:color w:val="0000FF"/>
                  <w:w w:val="94"/>
                </w:rPr>
                <w:t>and Elizabeth A. Smith</w:t>
              </w:r>
            </w:hyperlink>
          </w:p>
        </w:tc>
        <w:tc>
          <w:tcPr>
            <w:tcW w:w="4540" w:type="dxa"/>
            <w:vAlign w:val="bottom"/>
            <w:tcBorders>
              <w:top w:val="single" w:sz="8" w:color="0000FF"/>
            </w:tcBorders>
            <w:gridSpan w:val="2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gridSpan w:val="33"/>
          </w:tcPr>
          <w:p>
            <w:pPr>
              <w:spacing w:after="0"/>
              <w:rPr>
                <w:rFonts w:ascii="Arial" w:cs="Arial" w:eastAsia="Arial" w:hAnsi="Arial"/>
                <w:sz w:val="20"/>
                <w:szCs w:val="20"/>
                <w:color w:val="0000FF"/>
                <w:w w:val="90"/>
              </w:rPr>
            </w:pPr>
            <w:hyperlink r:id="rId194">
              <w:r>
                <w:rPr>
                  <w:rFonts w:ascii="Arial" w:cs="Arial" w:eastAsia="Arial" w:hAnsi="Arial"/>
                  <w:sz w:val="20"/>
                  <w:szCs w:val="20"/>
                  <w:color w:val="0000FF"/>
                  <w:w w:val="90"/>
                </w:rPr>
                <w:t>Second Amended and Restated Employment Agreement, effective April 1, 2019,</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80" w:type="dxa"/>
            <w:vAlign w:val="bottom"/>
            <w:tcBorders>
              <w:top w:val="single" w:sz="8" w:color="0000FF"/>
            </w:tcBorders>
            <w:gridSpan w:val="32"/>
          </w:tcPr>
          <w:p>
            <w:pPr>
              <w:spacing w:after="0" w:line="169" w:lineRule="exact"/>
              <w:rPr>
                <w:rFonts w:ascii="Arial" w:cs="Arial" w:eastAsia="Arial" w:hAnsi="Arial"/>
                <w:sz w:val="19"/>
                <w:szCs w:val="19"/>
                <w:color w:val="0000FF"/>
              </w:rPr>
            </w:pPr>
            <w:hyperlink r:id="rId194">
              <w:r>
                <w:rPr>
                  <w:rFonts w:ascii="Arial" w:cs="Arial" w:eastAsia="Arial" w:hAnsi="Arial"/>
                  <w:sz w:val="19"/>
                  <w:szCs w:val="19"/>
                  <w:color w:val="0000FF"/>
                </w:rPr>
                <w:t>by and between Elizabeth A. Smith and Bloomin’ Brands, Inc.</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gridSpan w:val="33"/>
          </w:tcPr>
          <w:p>
            <w:pPr>
              <w:spacing w:after="0"/>
              <w:rPr>
                <w:rFonts w:ascii="Arial" w:cs="Arial" w:eastAsia="Arial" w:hAnsi="Arial"/>
                <w:sz w:val="20"/>
                <w:szCs w:val="20"/>
                <w:color w:val="0000FF"/>
                <w:w w:val="92"/>
              </w:rPr>
            </w:pPr>
            <w:hyperlink r:id="rId195">
              <w:r>
                <w:rPr>
                  <w:rFonts w:ascii="Arial" w:cs="Arial" w:eastAsia="Arial" w:hAnsi="Arial"/>
                  <w:sz w:val="20"/>
                  <w:szCs w:val="20"/>
                  <w:color w:val="0000FF"/>
                  <w:w w:val="92"/>
                </w:rPr>
                <w:t>Amended and Restated Officer Employment Agreement, effective April 1, 2019,</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80" w:type="dxa"/>
            <w:vAlign w:val="bottom"/>
            <w:tcBorders>
              <w:top w:val="single" w:sz="8" w:color="0000FF"/>
              <w:bottom w:val="single" w:sz="8" w:color="0000FF"/>
            </w:tcBorders>
            <w:gridSpan w:val="14"/>
          </w:tcPr>
          <w:p>
            <w:pPr>
              <w:spacing w:after="0" w:line="169" w:lineRule="exact"/>
              <w:rPr>
                <w:rFonts w:ascii="Arial" w:cs="Arial" w:eastAsia="Arial" w:hAnsi="Arial"/>
                <w:sz w:val="19"/>
                <w:szCs w:val="19"/>
                <w:color w:val="0000FF"/>
                <w:w w:val="94"/>
              </w:rPr>
            </w:pPr>
            <w:hyperlink r:id="rId195">
              <w:r>
                <w:rPr>
                  <w:rFonts w:ascii="Arial" w:cs="Arial" w:eastAsia="Arial" w:hAnsi="Arial"/>
                  <w:sz w:val="19"/>
                  <w:szCs w:val="19"/>
                  <w:color w:val="0000FF"/>
                  <w:w w:val="94"/>
                </w:rPr>
                <w:t>by and between David J. Deno and Bloomin’ Brands, Inc.</w:t>
              </w:r>
            </w:hyperlink>
          </w:p>
        </w:tc>
        <w:tc>
          <w:tcPr>
            <w:tcW w:w="1860" w:type="dxa"/>
            <w:vAlign w:val="bottom"/>
            <w:tcBorders>
              <w:top w:val="single" w:sz="8" w:color="0000FF"/>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10.34*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gridSpan w:val="33"/>
          </w:tcPr>
          <w:p>
            <w:pPr>
              <w:spacing w:after="0"/>
              <w:rPr>
                <w:rFonts w:ascii="Arial" w:cs="Arial" w:eastAsia="Arial" w:hAnsi="Arial"/>
                <w:sz w:val="20"/>
                <w:szCs w:val="20"/>
                <w:color w:val="0000FF"/>
                <w:w w:val="92"/>
              </w:rPr>
            </w:pPr>
            <w:hyperlink r:id="rId196">
              <w:r>
                <w:rPr>
                  <w:rFonts w:ascii="Arial" w:cs="Arial" w:eastAsia="Arial" w:hAnsi="Arial"/>
                  <w:sz w:val="20"/>
                  <w:szCs w:val="20"/>
                  <w:color w:val="0000FF"/>
                  <w:w w:val="92"/>
                </w:rPr>
                <w:t>Split-Dollar Agreement dated August 12, 2008 and effective March 30, 2006, by</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0" w:type="dxa"/>
            <w:vAlign w:val="bottom"/>
            <w:tcBorders>
              <w:top w:val="single" w:sz="8" w:color="0000FF"/>
            </w:tcBorders>
            <w:gridSpan w:val="28"/>
          </w:tcPr>
          <w:p>
            <w:pPr>
              <w:spacing w:after="0" w:line="169" w:lineRule="exact"/>
              <w:rPr>
                <w:rFonts w:ascii="Arial" w:cs="Arial" w:eastAsia="Arial" w:hAnsi="Arial"/>
                <w:sz w:val="19"/>
                <w:szCs w:val="19"/>
                <w:color w:val="0000FF"/>
              </w:rPr>
            </w:pPr>
            <w:hyperlink r:id="rId196">
              <w:r>
                <w:rPr>
                  <w:rFonts w:ascii="Arial" w:cs="Arial" w:eastAsia="Arial" w:hAnsi="Arial"/>
                  <w:sz w:val="19"/>
                  <w:szCs w:val="19"/>
                  <w:color w:val="0000FF"/>
                </w:rPr>
                <w:t>and between OSI Restaurant Partners, LLC (formerly known as Outback</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60" w:type="dxa"/>
            <w:vAlign w:val="bottom"/>
            <w:tcBorders>
              <w:top w:val="single" w:sz="8" w:color="0000FF"/>
            </w:tcBorders>
            <w:gridSpan w:val="17"/>
          </w:tcPr>
          <w:p>
            <w:pPr>
              <w:spacing w:after="0" w:line="169" w:lineRule="exact"/>
              <w:rPr>
                <w:rFonts w:ascii="Arial" w:cs="Arial" w:eastAsia="Arial" w:hAnsi="Arial"/>
                <w:sz w:val="19"/>
                <w:szCs w:val="19"/>
                <w:color w:val="0000FF"/>
              </w:rPr>
            </w:pPr>
            <w:hyperlink r:id="rId196">
              <w:r>
                <w:rPr>
                  <w:rFonts w:ascii="Arial" w:cs="Arial" w:eastAsia="Arial" w:hAnsi="Arial"/>
                  <w:sz w:val="19"/>
                  <w:szCs w:val="19"/>
                  <w:color w:val="0000FF"/>
                </w:rPr>
                <w:t>Steakhouse, Inc.) and Joseph J. Kadow</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10.35*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gridSpan w:val="33"/>
          </w:tcPr>
          <w:p>
            <w:pPr>
              <w:spacing w:after="0"/>
              <w:rPr>
                <w:rFonts w:ascii="Arial" w:cs="Arial" w:eastAsia="Arial" w:hAnsi="Arial"/>
                <w:sz w:val="20"/>
                <w:szCs w:val="20"/>
                <w:color w:val="0000FF"/>
              </w:rPr>
            </w:pPr>
            <w:hyperlink r:id="rId197">
              <w:r>
                <w:rPr>
                  <w:rFonts w:ascii="Arial" w:cs="Arial" w:eastAsia="Arial" w:hAnsi="Arial"/>
                  <w:sz w:val="20"/>
                  <w:szCs w:val="20"/>
                  <w:color w:val="0000FF"/>
                </w:rPr>
                <w:t>Employment Offer Letter Agreement, dated as of July 30, 2014, between</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80" w:type="dxa"/>
            <w:vAlign w:val="bottom"/>
            <w:tcBorders>
              <w:top w:val="single" w:sz="8" w:color="0000FF"/>
            </w:tcBorders>
            <w:gridSpan w:val="18"/>
          </w:tcPr>
          <w:p>
            <w:pPr>
              <w:spacing w:after="0" w:line="169" w:lineRule="exact"/>
              <w:rPr>
                <w:rFonts w:ascii="Arial" w:cs="Arial" w:eastAsia="Arial" w:hAnsi="Arial"/>
                <w:sz w:val="19"/>
                <w:szCs w:val="19"/>
                <w:color w:val="0000FF"/>
              </w:rPr>
            </w:pPr>
            <w:hyperlink r:id="rId197">
              <w:r>
                <w:rPr>
                  <w:rFonts w:ascii="Arial" w:cs="Arial" w:eastAsia="Arial" w:hAnsi="Arial"/>
                  <w:sz w:val="19"/>
                  <w:szCs w:val="19"/>
                  <w:color w:val="0000FF"/>
                </w:rPr>
                <w:t>Bloomin’ Brands, Inc. and Donagh Herlihy</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10.36*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gridSpan w:val="33"/>
          </w:tcPr>
          <w:p>
            <w:pPr>
              <w:spacing w:after="0"/>
              <w:rPr>
                <w:rFonts w:ascii="Arial" w:cs="Arial" w:eastAsia="Arial" w:hAnsi="Arial"/>
                <w:sz w:val="20"/>
                <w:szCs w:val="20"/>
                <w:color w:val="0000FF"/>
              </w:rPr>
            </w:pPr>
            <w:hyperlink r:id="rId198">
              <w:r>
                <w:rPr>
                  <w:rFonts w:ascii="Arial" w:cs="Arial" w:eastAsia="Arial" w:hAnsi="Arial"/>
                  <w:sz w:val="20"/>
                  <w:szCs w:val="20"/>
                  <w:color w:val="0000FF"/>
                </w:rPr>
                <w:t>Employment Offer Letter Agreement, dated as of July 29, 2016, between</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00" w:type="dxa"/>
            <w:vAlign w:val="bottom"/>
            <w:tcBorders>
              <w:top w:val="single" w:sz="8" w:color="0000FF"/>
              <w:bottom w:val="single" w:sz="8" w:color="0000FF"/>
            </w:tcBorders>
            <w:gridSpan w:val="10"/>
          </w:tcPr>
          <w:p>
            <w:pPr>
              <w:spacing w:after="0" w:line="169" w:lineRule="exact"/>
              <w:rPr>
                <w:rFonts w:ascii="Arial" w:cs="Arial" w:eastAsia="Arial" w:hAnsi="Arial"/>
                <w:sz w:val="19"/>
                <w:szCs w:val="19"/>
                <w:color w:val="0000FF"/>
                <w:w w:val="95"/>
              </w:rPr>
            </w:pPr>
            <w:hyperlink r:id="rId198">
              <w:r>
                <w:rPr>
                  <w:rFonts w:ascii="Arial" w:cs="Arial" w:eastAsia="Arial" w:hAnsi="Arial"/>
                  <w:sz w:val="19"/>
                  <w:szCs w:val="19"/>
                  <w:color w:val="0000FF"/>
                  <w:w w:val="95"/>
                </w:rPr>
                <w:t>Bloomin’ Brands, Inc. and Gregg Scarlett</w:t>
              </w:r>
            </w:hyperlink>
          </w:p>
        </w:tc>
        <w:tc>
          <w:tcPr>
            <w:tcW w:w="248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10.37*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gridSpan w:val="33"/>
          </w:tcPr>
          <w:p>
            <w:pPr>
              <w:spacing w:after="0"/>
              <w:rPr>
                <w:rFonts w:ascii="Arial" w:cs="Arial" w:eastAsia="Arial" w:hAnsi="Arial"/>
                <w:sz w:val="20"/>
                <w:szCs w:val="20"/>
                <w:color w:val="0000FF"/>
                <w:w w:val="99"/>
              </w:rPr>
            </w:pPr>
            <w:hyperlink r:id="rId199">
              <w:r>
                <w:rPr>
                  <w:rFonts w:ascii="Arial" w:cs="Arial" w:eastAsia="Arial" w:hAnsi="Arial"/>
                  <w:sz w:val="20"/>
                  <w:szCs w:val="20"/>
                  <w:color w:val="0000FF"/>
                  <w:w w:val="99"/>
                </w:rPr>
                <w:t>Employment Offer Letter Agreement, dated as of March 7, 2019, between</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60" w:type="dxa"/>
            <w:vAlign w:val="bottom"/>
            <w:tcBorders>
              <w:top w:val="single" w:sz="8" w:color="0000FF"/>
            </w:tcBorders>
            <w:gridSpan w:val="20"/>
          </w:tcPr>
          <w:p>
            <w:pPr>
              <w:spacing w:after="0" w:line="169" w:lineRule="exact"/>
              <w:rPr>
                <w:rFonts w:ascii="Arial" w:cs="Arial" w:eastAsia="Arial" w:hAnsi="Arial"/>
                <w:sz w:val="19"/>
                <w:szCs w:val="19"/>
                <w:color w:val="0000FF"/>
              </w:rPr>
            </w:pPr>
            <w:hyperlink r:id="rId199">
              <w:r>
                <w:rPr>
                  <w:rFonts w:ascii="Arial" w:cs="Arial" w:eastAsia="Arial" w:hAnsi="Arial"/>
                  <w:sz w:val="19"/>
                  <w:szCs w:val="19"/>
                  <w:color w:val="0000FF"/>
                </w:rPr>
                <w:t>Bloomin’ Brands, Inc. and Christopher Meyer</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10.38*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gridSpan w:val="33"/>
          </w:tcPr>
          <w:p>
            <w:pPr>
              <w:spacing w:after="0"/>
              <w:rPr>
                <w:rFonts w:ascii="Arial" w:cs="Arial" w:eastAsia="Arial" w:hAnsi="Arial"/>
                <w:sz w:val="20"/>
                <w:szCs w:val="20"/>
                <w:color w:val="0000FF"/>
                <w:w w:val="91"/>
              </w:rPr>
            </w:pPr>
            <w:hyperlink r:id="rId200">
              <w:r>
                <w:rPr>
                  <w:rFonts w:ascii="Arial" w:cs="Arial" w:eastAsia="Arial" w:hAnsi="Arial"/>
                  <w:sz w:val="20"/>
                  <w:szCs w:val="20"/>
                  <w:color w:val="0000FF"/>
                  <w:w w:val="91"/>
                </w:rPr>
                <w:t>Employment Offer Letter Agreement, dated as of May 1, 2019, between Michael</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0" w:type="dxa"/>
            <w:vAlign w:val="bottom"/>
            <w:tcBorders>
              <w:top w:val="single" w:sz="8" w:color="0000FF"/>
              <w:bottom w:val="single" w:sz="8" w:color="0000FF"/>
            </w:tcBorders>
            <w:gridSpan w:val="4"/>
          </w:tcPr>
          <w:p>
            <w:pPr>
              <w:spacing w:after="0" w:line="169" w:lineRule="exact"/>
              <w:rPr>
                <w:rFonts w:ascii="Arial" w:cs="Arial" w:eastAsia="Arial" w:hAnsi="Arial"/>
                <w:sz w:val="19"/>
                <w:szCs w:val="19"/>
                <w:color w:val="0000FF"/>
                <w:w w:val="95"/>
              </w:rPr>
            </w:pPr>
            <w:hyperlink r:id="rId200">
              <w:r>
                <w:rPr>
                  <w:rFonts w:ascii="Arial" w:cs="Arial" w:eastAsia="Arial" w:hAnsi="Arial"/>
                  <w:sz w:val="19"/>
                  <w:szCs w:val="19"/>
                  <w:color w:val="0000FF"/>
                  <w:w w:val="95"/>
                </w:rPr>
                <w:t>Stutts and Bloomin’ Brands, Inc.</w:t>
              </w:r>
            </w:hyperlink>
          </w:p>
        </w:tc>
        <w:tc>
          <w:tcPr>
            <w:tcW w:w="3860" w:type="dxa"/>
            <w:vAlign w:val="bottom"/>
            <w:tcBorders>
              <w:top w:val="single" w:sz="8" w:color="0000FF"/>
            </w:tcBorders>
            <w:gridSpan w:val="27"/>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10.39*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gridSpan w:val="33"/>
          </w:tcPr>
          <w:p>
            <w:pPr>
              <w:spacing w:after="0"/>
              <w:rPr>
                <w:rFonts w:ascii="Arial" w:cs="Arial" w:eastAsia="Arial" w:hAnsi="Arial"/>
                <w:sz w:val="20"/>
                <w:szCs w:val="20"/>
                <w:color w:val="0000FF"/>
                <w:w w:val="94"/>
              </w:rPr>
            </w:pPr>
            <w:hyperlink r:id="rId201">
              <w:r>
                <w:rPr>
                  <w:rFonts w:ascii="Arial" w:cs="Arial" w:eastAsia="Arial" w:hAnsi="Arial"/>
                  <w:sz w:val="20"/>
                  <w:szCs w:val="20"/>
                  <w:color w:val="0000FF"/>
                  <w:w w:val="94"/>
                </w:rPr>
                <w:t>Employment Offer Letter Agreement, dated as of May 1, 2019, between Kelly</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80" w:type="dxa"/>
            <w:vAlign w:val="bottom"/>
            <w:tcBorders>
              <w:top w:val="single" w:sz="8" w:color="0000FF"/>
              <w:bottom w:val="single" w:sz="8" w:color="0000FF"/>
            </w:tcBorders>
            <w:gridSpan w:val="7"/>
          </w:tcPr>
          <w:p>
            <w:pPr>
              <w:spacing w:after="0" w:line="169" w:lineRule="exact"/>
              <w:rPr>
                <w:rFonts w:ascii="Arial" w:cs="Arial" w:eastAsia="Arial" w:hAnsi="Arial"/>
                <w:sz w:val="19"/>
                <w:szCs w:val="19"/>
                <w:color w:val="0000FF"/>
                <w:w w:val="96"/>
              </w:rPr>
            </w:pPr>
            <w:hyperlink r:id="rId201">
              <w:r>
                <w:rPr>
                  <w:rFonts w:ascii="Arial" w:cs="Arial" w:eastAsia="Arial" w:hAnsi="Arial"/>
                  <w:sz w:val="19"/>
                  <w:szCs w:val="19"/>
                  <w:color w:val="0000FF"/>
                  <w:w w:val="96"/>
                </w:rPr>
                <w:t>Lefferts and Bloomin’ Brands, Inc.</w:t>
              </w:r>
            </w:hyperlink>
          </w:p>
        </w:tc>
        <w:tc>
          <w:tcPr>
            <w:tcW w:w="3420" w:type="dxa"/>
            <w:vAlign w:val="bottom"/>
            <w:tcBorders>
              <w:top w:val="single" w:sz="8" w:color="0000FF"/>
            </w:tcBorders>
            <w:gridSpan w:val="17"/>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10.40*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gridSpan w:val="33"/>
          </w:tcPr>
          <w:p>
            <w:pPr>
              <w:spacing w:after="0"/>
              <w:rPr>
                <w:rFonts w:ascii="Arial" w:cs="Arial" w:eastAsia="Arial" w:hAnsi="Arial"/>
                <w:sz w:val="20"/>
                <w:szCs w:val="20"/>
                <w:color w:val="0000FF"/>
                <w:w w:val="89"/>
              </w:rPr>
            </w:pPr>
            <w:hyperlink r:id="rId202">
              <w:r>
                <w:rPr>
                  <w:rFonts w:ascii="Arial" w:cs="Arial" w:eastAsia="Arial" w:hAnsi="Arial"/>
                  <w:sz w:val="20"/>
                  <w:szCs w:val="20"/>
                  <w:color w:val="0000FF"/>
                  <w:w w:val="89"/>
                </w:rPr>
                <w:t>Severance Agreement, dated as of January 14, 2020, by and between Donagh H.</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tcBorders>
              <w:top w:val="single" w:sz="8" w:color="0000FF"/>
              <w:bottom w:val="single" w:sz="8" w:color="0000FF"/>
            </w:tcBorders>
            <w:gridSpan w:val="6"/>
          </w:tcPr>
          <w:p>
            <w:pPr>
              <w:spacing w:after="0" w:line="169" w:lineRule="exact"/>
              <w:rPr>
                <w:rFonts w:ascii="Arial" w:cs="Arial" w:eastAsia="Arial" w:hAnsi="Arial"/>
                <w:sz w:val="19"/>
                <w:szCs w:val="19"/>
                <w:color w:val="0000FF"/>
                <w:w w:val="94"/>
              </w:rPr>
            </w:pPr>
            <w:hyperlink r:id="rId202">
              <w:r>
                <w:rPr>
                  <w:rFonts w:ascii="Arial" w:cs="Arial" w:eastAsia="Arial" w:hAnsi="Arial"/>
                  <w:sz w:val="19"/>
                  <w:szCs w:val="19"/>
                  <w:color w:val="0000FF"/>
                  <w:w w:val="94"/>
                </w:rPr>
                <w:t>Herlihy and OS Management, Inc.</w:t>
              </w:r>
            </w:hyperlink>
          </w:p>
        </w:tc>
        <w:tc>
          <w:tcPr>
            <w:tcW w:w="3640" w:type="dxa"/>
            <w:vAlign w:val="bottom"/>
            <w:tcBorders>
              <w:top w:val="single" w:sz="8" w:color="0000FF"/>
            </w:tcBorders>
            <w:gridSpan w:val="20"/>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gridSpan w:val="33"/>
          </w:tcPr>
          <w:p>
            <w:pPr>
              <w:spacing w:after="0"/>
              <w:rPr>
                <w:rFonts w:ascii="Arial" w:cs="Arial" w:eastAsia="Arial" w:hAnsi="Arial"/>
                <w:sz w:val="20"/>
                <w:szCs w:val="20"/>
                <w:color w:val="0000FF"/>
                <w:w w:val="93"/>
              </w:rPr>
            </w:pPr>
            <w:hyperlink r:id="rId203">
              <w:r>
                <w:rPr>
                  <w:rFonts w:ascii="Arial" w:cs="Arial" w:eastAsia="Arial" w:hAnsi="Arial"/>
                  <w:sz w:val="20"/>
                  <w:szCs w:val="20"/>
                  <w:color w:val="0000FF"/>
                  <w:w w:val="93"/>
                </w:rPr>
                <w:t>Resignation Agreement, effective March 6, 2020, by and between Elizabeth A.</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40" w:type="dxa"/>
            <w:vAlign w:val="bottom"/>
            <w:tcBorders>
              <w:top w:val="single" w:sz="8" w:color="0000FF"/>
            </w:tcBorders>
            <w:gridSpan w:val="25"/>
          </w:tcPr>
          <w:p>
            <w:pPr>
              <w:spacing w:after="0" w:line="169" w:lineRule="exact"/>
              <w:rPr>
                <w:rFonts w:ascii="Arial" w:cs="Arial" w:eastAsia="Arial" w:hAnsi="Arial"/>
                <w:sz w:val="19"/>
                <w:szCs w:val="19"/>
                <w:color w:val="0000FF"/>
              </w:rPr>
            </w:pPr>
            <w:hyperlink r:id="rId203">
              <w:r>
                <w:rPr>
                  <w:rFonts w:ascii="Arial" w:cs="Arial" w:eastAsia="Arial" w:hAnsi="Arial"/>
                  <w:sz w:val="19"/>
                  <w:szCs w:val="19"/>
                  <w:color w:val="0000FF"/>
                </w:rPr>
                <w:t>Smith and Bloomin’ Brands, Inc.</w:t>
              </w:r>
            </w:hyperlink>
          </w:p>
        </w:tc>
        <w:tc>
          <w:tcPr>
            <w:tcW w:w="1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gridSpan w:val="33"/>
          </w:tcPr>
          <w:p>
            <w:pPr>
              <w:spacing w:after="0"/>
              <w:rPr>
                <w:rFonts w:ascii="Arial" w:cs="Arial" w:eastAsia="Arial" w:hAnsi="Arial"/>
                <w:sz w:val="20"/>
                <w:szCs w:val="20"/>
                <w:color w:val="0000FF"/>
                <w:w w:val="94"/>
              </w:rPr>
            </w:pPr>
            <w:hyperlink r:id="rId204">
              <w:r>
                <w:rPr>
                  <w:rFonts w:ascii="Arial" w:cs="Arial" w:eastAsia="Arial" w:hAnsi="Arial"/>
                  <w:sz w:val="20"/>
                  <w:szCs w:val="20"/>
                  <w:color w:val="0000FF"/>
                  <w:w w:val="94"/>
                </w:rPr>
                <w:t>Employment Offer Letter Agreement, dated as of February 14, 2020, between</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00" w:type="dxa"/>
            <w:vAlign w:val="bottom"/>
            <w:tcBorders>
              <w:top w:val="single" w:sz="8" w:color="0000FF"/>
              <w:bottom w:val="single" w:sz="8" w:color="0000FF"/>
            </w:tcBorders>
            <w:gridSpan w:val="10"/>
          </w:tcPr>
          <w:p>
            <w:pPr>
              <w:spacing w:after="0" w:line="169" w:lineRule="exact"/>
              <w:rPr>
                <w:rFonts w:ascii="Arial" w:cs="Arial" w:eastAsia="Arial" w:hAnsi="Arial"/>
                <w:sz w:val="19"/>
                <w:szCs w:val="19"/>
                <w:color w:val="0000FF"/>
                <w:w w:val="95"/>
              </w:rPr>
            </w:pPr>
            <w:hyperlink r:id="rId204">
              <w:r>
                <w:rPr>
                  <w:rFonts w:ascii="Arial" w:cs="Arial" w:eastAsia="Arial" w:hAnsi="Arial"/>
                  <w:sz w:val="19"/>
                  <w:szCs w:val="19"/>
                  <w:color w:val="0000FF"/>
                  <w:w w:val="95"/>
                </w:rPr>
                <w:t>Bloomin’ Brands, Inc. and Gregg Scarlett</w:t>
              </w:r>
            </w:hyperlink>
          </w:p>
        </w:tc>
        <w:tc>
          <w:tcPr>
            <w:tcW w:w="2860" w:type="dxa"/>
            <w:vAlign w:val="bottom"/>
            <w:tcBorders>
              <w:top w:val="single" w:sz="8" w:color="0000FF"/>
            </w:tcBorders>
            <w:gridSpan w:val="13"/>
          </w:tcPr>
          <w:p>
            <w:pPr>
              <w:spacing w:after="0"/>
              <w:rPr>
                <w:sz w:val="14"/>
                <w:szCs w:val="14"/>
                <w:color w:val="auto"/>
              </w:rPr>
            </w:pPr>
          </w:p>
        </w:tc>
        <w:tc>
          <w:tcPr>
            <w:tcW w:w="260" w:type="dxa"/>
            <w:vAlign w:val="bottom"/>
            <w:gridSpan w:val="6"/>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gridSpan w:val="33"/>
          </w:tcPr>
          <w:p>
            <w:pPr>
              <w:spacing w:after="0"/>
              <w:rPr>
                <w:rFonts w:ascii="Arial" w:cs="Arial" w:eastAsia="Arial" w:hAnsi="Arial"/>
                <w:sz w:val="20"/>
                <w:szCs w:val="20"/>
                <w:color w:val="0000FF"/>
                <w:w w:val="99"/>
              </w:rPr>
            </w:pPr>
            <w:hyperlink r:id="rId205">
              <w:r>
                <w:rPr>
                  <w:rFonts w:ascii="Arial" w:cs="Arial" w:eastAsia="Arial" w:hAnsi="Arial"/>
                  <w:sz w:val="20"/>
                  <w:szCs w:val="20"/>
                  <w:color w:val="0000FF"/>
                  <w:w w:val="99"/>
                </w:rPr>
                <w:t>Amendment to Officer Employment Agreement, dated as of April 6, 2020,</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0" w:type="dxa"/>
            <w:vAlign w:val="bottom"/>
            <w:tcBorders>
              <w:top w:val="single" w:sz="8" w:color="0000FF"/>
              <w:bottom w:val="single" w:sz="8" w:color="0000FF"/>
            </w:tcBorders>
            <w:gridSpan w:val="13"/>
          </w:tcPr>
          <w:p>
            <w:pPr>
              <w:spacing w:after="0" w:line="169" w:lineRule="exact"/>
              <w:rPr>
                <w:rFonts w:ascii="Arial" w:cs="Arial" w:eastAsia="Arial" w:hAnsi="Arial"/>
                <w:sz w:val="19"/>
                <w:szCs w:val="19"/>
                <w:color w:val="0000FF"/>
                <w:w w:val="95"/>
              </w:rPr>
            </w:pPr>
            <w:hyperlink r:id="rId205">
              <w:r>
                <w:rPr>
                  <w:rFonts w:ascii="Arial" w:cs="Arial" w:eastAsia="Arial" w:hAnsi="Arial"/>
                  <w:sz w:val="19"/>
                  <w:szCs w:val="19"/>
                  <w:color w:val="0000FF"/>
                  <w:w w:val="95"/>
                </w:rPr>
                <w:t>between Bloomin’ Brands, Inc. and David J. Deno</w:t>
              </w:r>
            </w:hyperlink>
          </w:p>
        </w:tc>
        <w:tc>
          <w:tcPr>
            <w:tcW w:w="190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7"/>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1"/>
              </w:rPr>
              <w:t>10.44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gridSpan w:val="33"/>
          </w:tcPr>
          <w:p>
            <w:pPr>
              <w:spacing w:after="0"/>
              <w:rPr>
                <w:rFonts w:ascii="Arial" w:cs="Arial" w:eastAsia="Arial" w:hAnsi="Arial"/>
                <w:sz w:val="20"/>
                <w:szCs w:val="20"/>
                <w:color w:val="0000FF"/>
                <w:w w:val="99"/>
              </w:rPr>
            </w:pPr>
            <w:hyperlink r:id="rId206">
              <w:r>
                <w:rPr>
                  <w:rFonts w:ascii="Arial" w:cs="Arial" w:eastAsia="Arial" w:hAnsi="Arial"/>
                  <w:sz w:val="20"/>
                  <w:szCs w:val="20"/>
                  <w:color w:val="0000FF"/>
                  <w:w w:val="99"/>
                </w:rPr>
                <w:t>Agreement dated April 8, 2020, between Bloomin’ Brands, Inc. and JANA</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20" w:type="dxa"/>
            <w:vAlign w:val="bottom"/>
            <w:tcBorders>
              <w:top w:val="single" w:sz="8" w:color="0000FF"/>
            </w:tcBorders>
            <w:gridSpan w:val="22"/>
          </w:tcPr>
          <w:p>
            <w:pPr>
              <w:spacing w:after="0" w:line="169" w:lineRule="exact"/>
              <w:rPr>
                <w:rFonts w:ascii="Arial" w:cs="Arial" w:eastAsia="Arial" w:hAnsi="Arial"/>
                <w:sz w:val="19"/>
                <w:szCs w:val="19"/>
                <w:color w:val="0000FF"/>
              </w:rPr>
            </w:pPr>
            <w:hyperlink r:id="rId206">
              <w:r>
                <w:rPr>
                  <w:rFonts w:ascii="Arial" w:cs="Arial" w:eastAsia="Arial" w:hAnsi="Arial"/>
                  <w:sz w:val="19"/>
                  <w:szCs w:val="19"/>
                  <w:color w:val="0000FF"/>
                </w:rPr>
                <w:t>Partners, LLC.</w:t>
              </w:r>
            </w:hyperlink>
          </w:p>
        </w:tc>
        <w:tc>
          <w:tcPr>
            <w:tcW w:w="500" w:type="dxa"/>
            <w:vAlign w:val="bottom"/>
            <w:gridSpan w:val="7"/>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20" w:type="dxa"/>
            <w:vAlign w:val="bottom"/>
            <w:gridSpan w:val="10"/>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1040" w:type="dxa"/>
            <w:vAlign w:val="bottom"/>
          </w:tcPr>
          <w:p>
            <w:pPr>
              <w:jc w:val="center"/>
              <w:spacing w:after="0"/>
              <w:rPr>
                <w:sz w:val="20"/>
                <w:szCs w:val="20"/>
                <w:color w:val="auto"/>
              </w:rPr>
            </w:pPr>
            <w:r>
              <w:rPr>
                <w:rFonts w:ascii="Arial" w:cs="Arial" w:eastAsia="Arial" w:hAnsi="Arial"/>
                <w:sz w:val="20"/>
                <w:szCs w:val="20"/>
                <w:color w:val="auto"/>
                <w:w w:val="91"/>
              </w:rPr>
              <w:t>10.45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gridSpan w:val="33"/>
          </w:tcPr>
          <w:p>
            <w:pPr>
              <w:spacing w:after="0"/>
              <w:rPr>
                <w:rFonts w:ascii="Arial" w:cs="Arial" w:eastAsia="Arial" w:hAnsi="Arial"/>
                <w:sz w:val="20"/>
                <w:szCs w:val="20"/>
                <w:u w:val="single" w:color="auto"/>
                <w:color w:val="0000FF"/>
              </w:rPr>
            </w:pPr>
            <w:hyperlink r:id="rId207">
              <w:r>
                <w:rPr>
                  <w:rFonts w:ascii="Arial" w:cs="Arial" w:eastAsia="Arial" w:hAnsi="Arial"/>
                  <w:sz w:val="20"/>
                  <w:szCs w:val="20"/>
                  <w:u w:val="single" w:color="auto"/>
                  <w:color w:val="0000FF"/>
                </w:rPr>
                <w:t>Form of Convertible Note Hedge Transactions confirmation</w:t>
              </w:r>
            </w:hyperlink>
          </w:p>
        </w:tc>
        <w:tc>
          <w:tcPr>
            <w:tcW w:w="0" w:type="dxa"/>
            <w:vAlign w:val="bottom"/>
          </w:tcPr>
          <w:p>
            <w:pPr>
              <w:spacing w:after="0"/>
              <w:rPr>
                <w:sz w:val="1"/>
                <w:szCs w:val="1"/>
                <w:color w:val="auto"/>
              </w:rPr>
            </w:pPr>
          </w:p>
        </w:tc>
      </w:tr>
      <w:tr>
        <w:trPr>
          <w:trHeight w:val="297"/>
        </w:trPr>
        <w:tc>
          <w:tcPr>
            <w:tcW w:w="1040" w:type="dxa"/>
            <w:vAlign w:val="bottom"/>
          </w:tcPr>
          <w:p>
            <w:pPr>
              <w:jc w:val="center"/>
              <w:spacing w:after="0"/>
              <w:rPr>
                <w:sz w:val="20"/>
                <w:szCs w:val="20"/>
                <w:color w:val="auto"/>
              </w:rPr>
            </w:pPr>
            <w:r>
              <w:rPr>
                <w:rFonts w:ascii="Arial" w:cs="Arial" w:eastAsia="Arial" w:hAnsi="Arial"/>
                <w:sz w:val="20"/>
                <w:szCs w:val="20"/>
                <w:color w:val="auto"/>
                <w:w w:val="91"/>
              </w:rPr>
              <w:t>10.46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gridSpan w:val="33"/>
          </w:tcPr>
          <w:p>
            <w:pPr>
              <w:spacing w:after="0"/>
              <w:rPr>
                <w:rFonts w:ascii="Arial" w:cs="Arial" w:eastAsia="Arial" w:hAnsi="Arial"/>
                <w:sz w:val="20"/>
                <w:szCs w:val="20"/>
                <w:u w:val="single" w:color="auto"/>
                <w:color w:val="0000FF"/>
              </w:rPr>
            </w:pPr>
            <w:hyperlink r:id="rId208">
              <w:r>
                <w:rPr>
                  <w:rFonts w:ascii="Arial" w:cs="Arial" w:eastAsia="Arial" w:hAnsi="Arial"/>
                  <w:sz w:val="20"/>
                  <w:szCs w:val="20"/>
                  <w:u w:val="single" w:color="auto"/>
                  <w:color w:val="0000FF"/>
                </w:rPr>
                <w:t>Form of Warrant Transactions confirmation</w:t>
              </w:r>
            </w:hyperlink>
          </w:p>
        </w:tc>
        <w:tc>
          <w:tcPr>
            <w:tcW w:w="0" w:type="dxa"/>
            <w:vAlign w:val="bottom"/>
          </w:tcPr>
          <w:p>
            <w:pPr>
              <w:spacing w:after="0"/>
              <w:rPr>
                <w:sz w:val="1"/>
                <w:szCs w:val="1"/>
                <w:color w:val="auto"/>
              </w:rPr>
            </w:pPr>
          </w:p>
        </w:tc>
      </w:tr>
      <w:tr>
        <w:trPr>
          <w:trHeight w:val="253"/>
        </w:trPr>
        <w:tc>
          <w:tcPr>
            <w:tcW w:w="1040" w:type="dxa"/>
            <w:vAlign w:val="bottom"/>
          </w:tcPr>
          <w:p>
            <w:pPr>
              <w:jc w:val="center"/>
              <w:spacing w:after="0"/>
              <w:rPr>
                <w:sz w:val="20"/>
                <w:szCs w:val="20"/>
                <w:color w:val="auto"/>
              </w:rPr>
            </w:pPr>
            <w:r>
              <w:rPr>
                <w:rFonts w:ascii="Arial" w:cs="Arial" w:eastAsia="Arial" w:hAnsi="Arial"/>
                <w:sz w:val="20"/>
                <w:szCs w:val="20"/>
                <w:color w:val="auto"/>
                <w:w w:val="91"/>
              </w:rPr>
              <w:t>10.47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00" w:type="dxa"/>
            <w:vAlign w:val="bottom"/>
            <w:gridSpan w:val="33"/>
          </w:tcPr>
          <w:p>
            <w:pPr>
              <w:spacing w:after="0"/>
              <w:rPr>
                <w:rFonts w:ascii="Arial" w:cs="Arial" w:eastAsia="Arial" w:hAnsi="Arial"/>
                <w:sz w:val="20"/>
                <w:szCs w:val="20"/>
                <w:color w:val="0000FF"/>
                <w:w w:val="91"/>
              </w:rPr>
            </w:pPr>
            <w:hyperlink r:id="rId209">
              <w:r>
                <w:rPr>
                  <w:rFonts w:ascii="Arial" w:cs="Arial" w:eastAsia="Arial" w:hAnsi="Arial"/>
                  <w:sz w:val="20"/>
                  <w:szCs w:val="20"/>
                  <w:color w:val="0000FF"/>
                  <w:w w:val="91"/>
                </w:rPr>
                <w:t>Consulting Agreement effective June 1, 2020, by and between Bloomin’ Brands,</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tcBorders>
              <w:top w:val="single" w:sz="8" w:color="0000FF"/>
              <w:bottom w:val="single" w:sz="8" w:color="0000FF"/>
            </w:tcBorders>
            <w:gridSpan w:val="3"/>
          </w:tcPr>
          <w:p>
            <w:pPr>
              <w:spacing w:after="0" w:line="169" w:lineRule="exact"/>
              <w:rPr>
                <w:rFonts w:ascii="Arial" w:cs="Arial" w:eastAsia="Arial" w:hAnsi="Arial"/>
                <w:sz w:val="19"/>
                <w:szCs w:val="19"/>
                <w:color w:val="0000FF"/>
                <w:w w:val="91"/>
              </w:rPr>
            </w:pPr>
            <w:hyperlink r:id="rId209">
              <w:r>
                <w:rPr>
                  <w:rFonts w:ascii="Arial" w:cs="Arial" w:eastAsia="Arial" w:hAnsi="Arial"/>
                  <w:sz w:val="19"/>
                  <w:szCs w:val="19"/>
                  <w:color w:val="0000FF"/>
                  <w:w w:val="91"/>
                </w:rPr>
                <w:t>Inc. and Joseph J. Kadow</w:t>
              </w:r>
            </w:hyperlink>
          </w:p>
        </w:tc>
        <w:tc>
          <w:tcPr>
            <w:tcW w:w="4400" w:type="dxa"/>
            <w:vAlign w:val="bottom"/>
            <w:tcBorders>
              <w:top w:val="single" w:sz="8" w:color="0000FF"/>
            </w:tcBorders>
            <w:gridSpan w:val="26"/>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10.48*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gridSpan w:val="33"/>
          </w:tcPr>
          <w:p>
            <w:pPr>
              <w:spacing w:after="0"/>
              <w:rPr>
                <w:rFonts w:ascii="Arial" w:cs="Arial" w:eastAsia="Arial" w:hAnsi="Arial"/>
                <w:sz w:val="20"/>
                <w:szCs w:val="20"/>
                <w:color w:val="0000FF"/>
              </w:rPr>
            </w:pPr>
            <w:hyperlink w:anchor="page125">
              <w:r>
                <w:rPr>
                  <w:rFonts w:ascii="Arial" w:cs="Arial" w:eastAsia="Arial" w:hAnsi="Arial"/>
                  <w:sz w:val="20"/>
                  <w:szCs w:val="20"/>
                  <w:color w:val="0000FF"/>
                </w:rPr>
                <w:t>Amended Form of Performance Award Agreement for performance units</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0" w:type="dxa"/>
            <w:vAlign w:val="bottom"/>
            <w:tcBorders>
              <w:top w:val="single" w:sz="8" w:color="0000FF"/>
            </w:tcBorders>
            <w:gridSpan w:val="19"/>
          </w:tcPr>
          <w:p>
            <w:pPr>
              <w:spacing w:after="0" w:line="169" w:lineRule="exact"/>
              <w:rPr>
                <w:rFonts w:ascii="Arial" w:cs="Arial" w:eastAsia="Arial" w:hAnsi="Arial"/>
                <w:sz w:val="19"/>
                <w:szCs w:val="19"/>
                <w:color w:val="0000FF"/>
                <w:w w:val="95"/>
              </w:rPr>
            </w:pPr>
            <w:hyperlink w:anchor="page125">
              <w:r>
                <w:rPr>
                  <w:rFonts w:ascii="Arial" w:cs="Arial" w:eastAsia="Arial" w:hAnsi="Arial"/>
                  <w:sz w:val="19"/>
                  <w:szCs w:val="19"/>
                  <w:color w:val="0000FF"/>
                  <w:w w:val="95"/>
                </w:rPr>
                <w:t>granted to executive management under the Bloomin’ Brands, Inc. 2020</w:t>
              </w:r>
            </w:hyperlink>
          </w:p>
        </w:tc>
        <w:tc>
          <w:tcPr>
            <w:tcW w:w="70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00" w:type="dxa"/>
            <w:vAlign w:val="bottom"/>
            <w:tcBorders>
              <w:top w:val="single" w:sz="8" w:color="0000FF"/>
              <w:bottom w:val="single" w:sz="8" w:color="0000FF"/>
            </w:tcBorders>
            <w:gridSpan w:val="9"/>
          </w:tcPr>
          <w:p>
            <w:pPr>
              <w:spacing w:after="0" w:line="169" w:lineRule="exact"/>
              <w:rPr>
                <w:rFonts w:ascii="Arial" w:cs="Arial" w:eastAsia="Arial" w:hAnsi="Arial"/>
                <w:sz w:val="19"/>
                <w:szCs w:val="19"/>
                <w:color w:val="0000FF"/>
                <w:w w:val="93"/>
              </w:rPr>
            </w:pPr>
            <w:hyperlink w:anchor="page125">
              <w:r>
                <w:rPr>
                  <w:rFonts w:ascii="Arial" w:cs="Arial" w:eastAsia="Arial" w:hAnsi="Arial"/>
                  <w:sz w:val="19"/>
                  <w:szCs w:val="19"/>
                  <w:color w:val="0000FF"/>
                  <w:w w:val="93"/>
                </w:rPr>
                <w:t>Omnibus Incentive Compensation Plan</w:t>
              </w:r>
            </w:hyperlink>
          </w:p>
        </w:tc>
        <w:tc>
          <w:tcPr>
            <w:tcW w:w="2620" w:type="dxa"/>
            <w:vAlign w:val="bottom"/>
            <w:tcBorders>
              <w:top w:val="single" w:sz="8" w:color="0000FF"/>
            </w:tcBorders>
            <w:gridSpan w:val="7"/>
          </w:tcPr>
          <w:p>
            <w:pPr>
              <w:spacing w:after="0"/>
              <w:rPr>
                <w:sz w:val="14"/>
                <w:szCs w:val="14"/>
                <w:color w:val="auto"/>
              </w:rPr>
            </w:pPr>
          </w:p>
        </w:tc>
        <w:tc>
          <w:tcPr>
            <w:tcW w:w="780" w:type="dxa"/>
            <w:vAlign w:val="bottom"/>
            <w:gridSpan w:val="17"/>
          </w:tcPr>
          <w:p>
            <w:pPr>
              <w:spacing w:after="0"/>
              <w:rPr>
                <w:sz w:val="14"/>
                <w:szCs w:val="14"/>
                <w:color w:val="auto"/>
              </w:rPr>
            </w:pPr>
          </w:p>
        </w:tc>
        <w:tc>
          <w:tcPr>
            <w:tcW w:w="0" w:type="dxa"/>
            <w:vAlign w:val="bottom"/>
          </w:tcPr>
          <w:p>
            <w:pPr>
              <w:spacing w:after="0"/>
              <w:rPr>
                <w:sz w:val="1"/>
                <w:szCs w:val="1"/>
                <w:color w:val="auto"/>
              </w:rPr>
            </w:pPr>
          </w:p>
        </w:tc>
      </w:tr>
      <w:tr>
        <w:trPr>
          <w:trHeight w:val="912"/>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60" w:type="dxa"/>
            <w:vAlign w:val="bottom"/>
            <w:gridSpan w:val="16"/>
          </w:tcPr>
          <w:p>
            <w:pPr>
              <w:jc w:val="right"/>
              <w:ind w:right="360"/>
              <w:spacing w:after="0"/>
              <w:rPr>
                <w:sz w:val="20"/>
                <w:szCs w:val="20"/>
                <w:color w:val="auto"/>
              </w:rPr>
            </w:pPr>
            <w:r>
              <w:rPr>
                <w:rFonts w:ascii="Arial" w:cs="Arial" w:eastAsia="Arial" w:hAnsi="Arial"/>
                <w:sz w:val="18"/>
                <w:szCs w:val="18"/>
                <w:color w:val="auto"/>
              </w:rPr>
              <w:t>121</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FILINGS REFERENCED FOR</w:t>
      </w:r>
    </w:p>
    <w:p>
      <w:pPr>
        <w:jc w:val="center"/>
        <w:ind w:right="-219"/>
        <w:spacing w:after="0"/>
        <w:rPr>
          <w:sz w:val="20"/>
          <w:szCs w:val="20"/>
          <w:color w:val="auto"/>
        </w:rPr>
      </w:pPr>
      <w:r>
        <w:rPr>
          <w:rFonts w:ascii="Arial" w:cs="Arial" w:eastAsia="Arial" w:hAnsi="Arial"/>
          <w:sz w:val="16"/>
          <w:szCs w:val="16"/>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8890</wp:posOffset>
            </wp:positionV>
            <wp:extent cx="223710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1">
                      <a:extLst>
                        <a:ext uri="{28A0092B-C50C-407E-A947-70E740481C1C}"/>
                      </a:extLst>
                    </a:blip>
                    <a:srcRect/>
                    <a:stretch>
                      <a:fillRect/>
                    </a:stretch>
                  </pic:blipFill>
                  <pic:spPr bwMode="auto">
                    <a:xfrm>
                      <a:off x="0" y="0"/>
                      <a:ext cx="2237105" cy="17145"/>
                    </a:xfrm>
                    <a:prstGeom prst="rect">
                      <a:avLst/>
                    </a:prstGeom>
                    <a:noFill/>
                  </pic:spPr>
                </pic:pic>
              </a:graphicData>
            </a:graphic>
          </wp:anchor>
        </w:drawing>
      </w:r>
    </w:p>
    <w:p>
      <w:pPr>
        <w:spacing w:after="0" w:line="59"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Registration Statement on Form S-1, File No. 333-180615, filed on April 6, 2012, Exhibit 10.41</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March 31, 2019 Form 10-Q, Exhibit 10.2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March 31, 2019 Form 10-Q, Exhibit 10.3</w:t>
      </w:r>
    </w:p>
    <w:p>
      <w:pPr>
        <w:spacing w:after="0" w:line="279"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Registration Statement on Form S-1, File No. 333-180615, filed on April 6, 2012, Exhibit 10.48</w:t>
      </w:r>
    </w:p>
    <w:p>
      <w:pPr>
        <w:spacing w:after="0" w:line="48" w:lineRule="exact"/>
        <w:rPr>
          <w:sz w:val="20"/>
          <w:szCs w:val="20"/>
          <w:color w:val="auto"/>
        </w:rPr>
      </w:pPr>
    </w:p>
    <w:p>
      <w:pPr>
        <w:ind w:right="100"/>
        <w:spacing w:after="0" w:line="229" w:lineRule="auto"/>
        <w:rPr>
          <w:sz w:val="20"/>
          <w:szCs w:val="20"/>
          <w:color w:val="auto"/>
        </w:rPr>
      </w:pPr>
      <w:r>
        <w:rPr>
          <w:rFonts w:ascii="Arial" w:cs="Arial" w:eastAsia="Arial" w:hAnsi="Arial"/>
          <w:sz w:val="20"/>
          <w:szCs w:val="20"/>
          <w:color w:val="auto"/>
        </w:rPr>
        <w:t>December 28, 2014 Form 10-K, Exhibit 10.58</w:t>
      </w:r>
    </w:p>
    <w:p>
      <w:pPr>
        <w:spacing w:after="0" w:line="47" w:lineRule="exact"/>
        <w:rPr>
          <w:sz w:val="20"/>
          <w:szCs w:val="20"/>
          <w:color w:val="auto"/>
        </w:rPr>
      </w:pPr>
    </w:p>
    <w:p>
      <w:pPr>
        <w:ind w:right="60"/>
        <w:spacing w:after="0" w:line="229" w:lineRule="auto"/>
        <w:rPr>
          <w:sz w:val="20"/>
          <w:szCs w:val="20"/>
          <w:color w:val="auto"/>
        </w:rPr>
      </w:pPr>
      <w:r>
        <w:rPr>
          <w:rFonts w:ascii="Arial" w:cs="Arial" w:eastAsia="Arial" w:hAnsi="Arial"/>
          <w:sz w:val="20"/>
          <w:szCs w:val="20"/>
          <w:color w:val="auto"/>
        </w:rPr>
        <w:t>September 25, 2016 Form 10-Q, Exhibit 10.2</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March 31, 2019 Form 10-Q, Exhibit 10.4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June 30, 2019 Form 10-Q, Exhibit 10.3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June 30, 2019 Form 10-Q, Exhibit 10.4</w:t>
      </w:r>
    </w:p>
    <w:p>
      <w:pPr>
        <w:spacing w:after="0" w:line="279" w:lineRule="exact"/>
        <w:rPr>
          <w:sz w:val="20"/>
          <w:szCs w:val="20"/>
          <w:color w:val="auto"/>
        </w:rPr>
      </w:pPr>
    </w:p>
    <w:p>
      <w:pPr>
        <w:ind w:right="100"/>
        <w:spacing w:after="0" w:line="229" w:lineRule="auto"/>
        <w:rPr>
          <w:sz w:val="20"/>
          <w:szCs w:val="20"/>
          <w:color w:val="auto"/>
        </w:rPr>
      </w:pPr>
      <w:r>
        <w:rPr>
          <w:rFonts w:ascii="Arial" w:cs="Arial" w:eastAsia="Arial" w:hAnsi="Arial"/>
          <w:sz w:val="20"/>
          <w:szCs w:val="20"/>
          <w:color w:val="auto"/>
        </w:rPr>
        <w:t>December 29, 2019 Form 10-K, Exhibit 10.38</w:t>
      </w:r>
    </w:p>
    <w:p>
      <w:pPr>
        <w:spacing w:after="0" w:line="47" w:lineRule="exact"/>
        <w:rPr>
          <w:sz w:val="20"/>
          <w:szCs w:val="20"/>
          <w:color w:val="auto"/>
        </w:rPr>
      </w:pPr>
    </w:p>
    <w:p>
      <w:pPr>
        <w:ind w:right="100"/>
        <w:spacing w:after="0" w:line="229" w:lineRule="auto"/>
        <w:rPr>
          <w:sz w:val="20"/>
          <w:szCs w:val="20"/>
          <w:color w:val="auto"/>
        </w:rPr>
      </w:pPr>
      <w:r>
        <w:rPr>
          <w:rFonts w:ascii="Arial" w:cs="Arial" w:eastAsia="Arial" w:hAnsi="Arial"/>
          <w:sz w:val="20"/>
          <w:szCs w:val="20"/>
          <w:color w:val="auto"/>
        </w:rPr>
        <w:t>December 29, 2019 Form 10-K, Exhibit 10.39</w:t>
      </w:r>
    </w:p>
    <w:p>
      <w:pPr>
        <w:spacing w:after="0" w:line="47" w:lineRule="exact"/>
        <w:rPr>
          <w:sz w:val="20"/>
          <w:szCs w:val="20"/>
          <w:color w:val="auto"/>
        </w:rPr>
      </w:pPr>
    </w:p>
    <w:p>
      <w:pPr>
        <w:ind w:right="100"/>
        <w:spacing w:after="0" w:line="229" w:lineRule="auto"/>
        <w:rPr>
          <w:sz w:val="20"/>
          <w:szCs w:val="20"/>
          <w:color w:val="auto"/>
        </w:rPr>
      </w:pPr>
      <w:r>
        <w:rPr>
          <w:rFonts w:ascii="Arial" w:cs="Arial" w:eastAsia="Arial" w:hAnsi="Arial"/>
          <w:sz w:val="20"/>
          <w:szCs w:val="20"/>
          <w:color w:val="auto"/>
        </w:rPr>
        <w:t>December 29, 2019 Form 10-K, Exhibit 10.40</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March 29, 2020 Form 10-Q, Exhibit 10.4</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April 9, 2020 Form 8-K, Exhibit 10.1</w:t>
      </w:r>
    </w:p>
    <w:p>
      <w:pPr>
        <w:spacing w:after="0" w:line="256" w:lineRule="exact"/>
        <w:rPr>
          <w:sz w:val="20"/>
          <w:szCs w:val="20"/>
          <w:color w:val="auto"/>
        </w:rPr>
      </w:pPr>
    </w:p>
    <w:p>
      <w:pPr>
        <w:spacing w:after="0" w:line="369" w:lineRule="auto"/>
        <w:rPr>
          <w:sz w:val="20"/>
          <w:szCs w:val="20"/>
          <w:color w:val="auto"/>
        </w:rPr>
      </w:pPr>
      <w:r>
        <w:rPr>
          <w:rFonts w:ascii="Arial" w:cs="Arial" w:eastAsia="Arial" w:hAnsi="Arial"/>
          <w:sz w:val="18"/>
          <w:szCs w:val="18"/>
          <w:color w:val="auto"/>
        </w:rPr>
        <w:t>May 11, 2020 Form 8-K, Exhibit 10.1 May 11, 2020 Form 8-K, Exhibit 10.2 March 29, 2020 Form 10-Q, Exhibit 10.6</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Filed herewith</w:t>
      </w:r>
    </w:p>
    <w:p>
      <w:pPr>
        <w:sectPr>
          <w:pgSz w:w="11900" w:h="16838" w:orient="portrait"/>
          <w:cols w:equalWidth="0" w:num="2">
            <w:col w:w="7600" w:space="140"/>
            <w:col w:w="3260"/>
          </w:cols>
          <w:pgMar w:left="320" w:top="121" w:right="579" w:bottom="1440" w:gutter="0" w:footer="0" w:header="0"/>
        </w:sectPr>
      </w:pPr>
    </w:p>
    <w:bookmarkStart w:id="122" w:name="page123"/>
    <w:bookmarkEnd w:id="1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gridSpan w:val="2"/>
          </w:tcPr>
          <w:p>
            <w:pPr>
              <w:ind w:left="18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960" w:type="dxa"/>
            <w:vAlign w:val="bottom"/>
            <w:gridSpan w:val="12"/>
            <w:vMerge w:val="restart"/>
          </w:tcPr>
          <w:p>
            <w:pPr>
              <w:ind w:left="640"/>
              <w:spacing w:after="0"/>
              <w:rPr>
                <w:sz w:val="20"/>
                <w:szCs w:val="20"/>
                <w:color w:val="auto"/>
              </w:rPr>
            </w:pPr>
            <w:r>
              <w:rPr>
                <w:rFonts w:ascii="Arial" w:cs="Arial" w:eastAsia="Arial" w:hAnsi="Arial"/>
                <w:sz w:val="16"/>
                <w:szCs w:val="16"/>
                <w:b w:val="1"/>
                <w:bCs w:val="1"/>
                <w:color w:val="auto"/>
              </w:rPr>
              <w:t>DESCRIPTION OF EXHIBITS</w:t>
            </w:r>
          </w:p>
        </w:tc>
        <w:tc>
          <w:tcPr>
            <w:tcW w:w="120" w:type="dxa"/>
            <w:vAlign w:val="bottom"/>
            <w:vMerge w:val="restart"/>
          </w:tcPr>
          <w:p>
            <w:pPr>
              <w:spacing w:after="0"/>
              <w:rPr>
                <w:sz w:val="16"/>
                <w:szCs w:val="16"/>
                <w:color w:val="auto"/>
              </w:rPr>
            </w:pPr>
          </w:p>
        </w:tc>
        <w:tc>
          <w:tcPr>
            <w:tcW w:w="3520" w:type="dxa"/>
            <w:vAlign w:val="bottom"/>
          </w:tcPr>
          <w:p>
            <w:pPr>
              <w:ind w:left="660"/>
              <w:spacing w:after="0"/>
              <w:rPr>
                <w:sz w:val="20"/>
                <w:szCs w:val="20"/>
                <w:color w:val="auto"/>
              </w:rPr>
            </w:pPr>
            <w:r>
              <w:rPr>
                <w:rFonts w:ascii="Arial" w:cs="Arial" w:eastAsia="Arial" w:hAnsi="Arial"/>
                <w:sz w:val="16"/>
                <w:szCs w:val="16"/>
                <w:b w:val="1"/>
                <w:bCs w:val="1"/>
                <w:color w:val="auto"/>
              </w:rPr>
              <w:t>FILINGS REFERENCED FOR</w:t>
            </w:r>
          </w:p>
        </w:tc>
        <w:tc>
          <w:tcPr>
            <w:tcW w:w="0" w:type="dxa"/>
            <w:vAlign w:val="bottom"/>
          </w:tcPr>
          <w:p>
            <w:pPr>
              <w:spacing w:after="0"/>
              <w:rPr>
                <w:sz w:val="1"/>
                <w:szCs w:val="1"/>
                <w:color w:val="auto"/>
              </w:rPr>
            </w:pPr>
          </w:p>
        </w:tc>
      </w:tr>
      <w:tr>
        <w:trPr>
          <w:trHeight w:val="223"/>
        </w:trPr>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4960" w:type="dxa"/>
            <w:vAlign w:val="bottom"/>
            <w:tcBorders>
              <w:bottom w:val="single" w:sz="8" w:color="auto"/>
            </w:tcBorders>
            <w:gridSpan w:val="1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352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INCORPORATION BY REFERENCE</w:t>
            </w:r>
          </w:p>
        </w:tc>
        <w:tc>
          <w:tcPr>
            <w:tcW w:w="0" w:type="dxa"/>
            <w:vAlign w:val="bottom"/>
          </w:tcPr>
          <w:p>
            <w:pPr>
              <w:spacing w:after="0"/>
              <w:rPr>
                <w:sz w:val="1"/>
                <w:szCs w:val="1"/>
                <w:color w:val="auto"/>
              </w:rPr>
            </w:pPr>
          </w:p>
        </w:tc>
      </w:tr>
      <w:tr>
        <w:trPr>
          <w:trHeight w:val="243"/>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10.49*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40" w:type="dxa"/>
            <w:vAlign w:val="bottom"/>
            <w:gridSpan w:val="14"/>
          </w:tcPr>
          <w:p>
            <w:pPr>
              <w:spacing w:after="0"/>
              <w:rPr>
                <w:rFonts w:ascii="Arial" w:cs="Arial" w:eastAsia="Arial" w:hAnsi="Arial"/>
                <w:sz w:val="20"/>
                <w:szCs w:val="20"/>
                <w:color w:val="0000FF"/>
                <w:w w:val="93"/>
              </w:rPr>
            </w:pPr>
            <w:hyperlink w:anchor="page137">
              <w:r>
                <w:rPr>
                  <w:rFonts w:ascii="Arial" w:cs="Arial" w:eastAsia="Arial" w:hAnsi="Arial"/>
                  <w:sz w:val="20"/>
                  <w:szCs w:val="20"/>
                  <w:color w:val="0000FF"/>
                  <w:w w:val="93"/>
                </w:rPr>
                <w:t>Amended Form of Performance Award Agreement with adapted service criteria</w:t>
              </w:r>
            </w:hyperlink>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00" w:type="dxa"/>
            <w:vAlign w:val="bottom"/>
            <w:tcBorders>
              <w:top w:val="single" w:sz="8" w:color="0000FF"/>
            </w:tcBorders>
            <w:gridSpan w:val="11"/>
          </w:tcPr>
          <w:p>
            <w:pPr>
              <w:spacing w:after="0" w:line="169" w:lineRule="exact"/>
              <w:rPr>
                <w:rFonts w:ascii="Arial" w:cs="Arial" w:eastAsia="Arial" w:hAnsi="Arial"/>
                <w:sz w:val="19"/>
                <w:szCs w:val="19"/>
                <w:color w:val="0000FF"/>
                <w:w w:val="98"/>
              </w:rPr>
            </w:pPr>
            <w:hyperlink w:anchor="page137">
              <w:r>
                <w:rPr>
                  <w:rFonts w:ascii="Arial" w:cs="Arial" w:eastAsia="Arial" w:hAnsi="Arial"/>
                  <w:sz w:val="19"/>
                  <w:szCs w:val="19"/>
                  <w:color w:val="0000FF"/>
                  <w:w w:val="98"/>
                </w:rPr>
                <w:t>for performance units granted to executive management under the Bloomin’</w:t>
              </w:r>
            </w:hyperlink>
          </w:p>
        </w:tc>
        <w:tc>
          <w:tcPr>
            <w:tcW w:w="6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80" w:type="dxa"/>
            <w:vAlign w:val="bottom"/>
            <w:tcBorders>
              <w:top w:val="single" w:sz="8" w:color="0000FF"/>
              <w:bottom w:val="single" w:sz="8" w:color="0000FF"/>
            </w:tcBorders>
            <w:gridSpan w:val="4"/>
          </w:tcPr>
          <w:p>
            <w:pPr>
              <w:spacing w:after="0" w:line="169" w:lineRule="exact"/>
              <w:rPr>
                <w:rFonts w:ascii="Arial" w:cs="Arial" w:eastAsia="Arial" w:hAnsi="Arial"/>
                <w:sz w:val="19"/>
                <w:szCs w:val="19"/>
                <w:color w:val="0000FF"/>
                <w:w w:val="94"/>
              </w:rPr>
            </w:pPr>
            <w:hyperlink w:anchor="page137">
              <w:r>
                <w:rPr>
                  <w:rFonts w:ascii="Arial" w:cs="Arial" w:eastAsia="Arial" w:hAnsi="Arial"/>
                  <w:sz w:val="19"/>
                  <w:szCs w:val="19"/>
                  <w:color w:val="0000FF"/>
                  <w:w w:val="94"/>
                </w:rPr>
                <w:t>Brands, Inc. 2020 Omnibus Incentive Compensation Plan</w:t>
              </w:r>
            </w:hyperlink>
          </w:p>
        </w:tc>
        <w:tc>
          <w:tcPr>
            <w:tcW w:w="1440" w:type="dxa"/>
            <w:vAlign w:val="bottom"/>
            <w:tcBorders>
              <w:top w:val="single" w:sz="8" w:color="0000FF"/>
            </w:tcBorders>
            <w:gridSpan w:val="2"/>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80" w:type="dxa"/>
            <w:vAlign w:val="bottom"/>
            <w:gridSpan w:val="2"/>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10.50*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14"/>
          </w:tcPr>
          <w:p>
            <w:pPr>
              <w:spacing w:after="0"/>
              <w:rPr>
                <w:rFonts w:ascii="Arial" w:cs="Arial" w:eastAsia="Arial" w:hAnsi="Arial"/>
                <w:sz w:val="20"/>
                <w:szCs w:val="20"/>
                <w:color w:val="0000FF"/>
                <w:w w:val="95"/>
              </w:rPr>
            </w:pPr>
            <w:hyperlink w:anchor="page149">
              <w:r>
                <w:rPr>
                  <w:rFonts w:ascii="Arial" w:cs="Arial" w:eastAsia="Arial" w:hAnsi="Arial"/>
                  <w:sz w:val="20"/>
                  <w:szCs w:val="20"/>
                  <w:color w:val="0000FF"/>
                  <w:w w:val="95"/>
                </w:rPr>
                <w:t>Form of Restricted Stock Unit Award Agreement with adapted service criteria</w:t>
              </w:r>
            </w:hyperlink>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180" w:type="dxa"/>
            <w:vAlign w:val="bottom"/>
            <w:tcBorders>
              <w:top w:val="single" w:sz="8" w:color="0000FF"/>
              <w:bottom w:val="single" w:sz="8" w:color="0000FF"/>
            </w:tcBorders>
            <w:gridSpan w:val="7"/>
          </w:tcPr>
          <w:p>
            <w:pPr>
              <w:spacing w:after="0" w:line="169" w:lineRule="exact"/>
              <w:rPr>
                <w:rFonts w:ascii="Arial" w:cs="Arial" w:eastAsia="Arial" w:hAnsi="Arial"/>
                <w:sz w:val="19"/>
                <w:szCs w:val="19"/>
                <w:color w:val="0000FF"/>
                <w:w w:val="93"/>
              </w:rPr>
            </w:pPr>
            <w:hyperlink w:anchor="page149">
              <w:r>
                <w:rPr>
                  <w:rFonts w:ascii="Arial" w:cs="Arial" w:eastAsia="Arial" w:hAnsi="Arial"/>
                  <w:sz w:val="19"/>
                  <w:szCs w:val="19"/>
                  <w:color w:val="0000FF"/>
                  <w:w w:val="93"/>
                </w:rPr>
                <w:t>for restricted stock units granted to executive management under the Bloomin’</w:t>
              </w:r>
            </w:hyperlink>
          </w:p>
        </w:tc>
        <w:tc>
          <w:tcPr>
            <w:tcW w:w="4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80" w:type="dxa"/>
            <w:vAlign w:val="bottom"/>
            <w:gridSpan w:val="2"/>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60" w:type="dxa"/>
            <w:vAlign w:val="bottom"/>
            <w:tcBorders>
              <w:bottom w:val="single" w:sz="8" w:color="0000FF"/>
            </w:tcBorders>
            <w:gridSpan w:val="3"/>
          </w:tcPr>
          <w:p>
            <w:pPr>
              <w:spacing w:after="0" w:line="169" w:lineRule="exact"/>
              <w:rPr>
                <w:rFonts w:ascii="Arial" w:cs="Arial" w:eastAsia="Arial" w:hAnsi="Arial"/>
                <w:sz w:val="19"/>
                <w:szCs w:val="19"/>
                <w:color w:val="0000FF"/>
                <w:w w:val="94"/>
              </w:rPr>
            </w:pPr>
            <w:hyperlink w:anchor="page149">
              <w:r>
                <w:rPr>
                  <w:rFonts w:ascii="Arial" w:cs="Arial" w:eastAsia="Arial" w:hAnsi="Arial"/>
                  <w:sz w:val="19"/>
                  <w:szCs w:val="19"/>
                  <w:color w:val="0000FF"/>
                  <w:w w:val="94"/>
                </w:rPr>
                <w:t>Brands, Inc. 2020 Omnibus Incentive Compensation Plan</w:t>
              </w:r>
            </w:hyperlink>
          </w:p>
        </w:tc>
        <w:tc>
          <w:tcPr>
            <w:tcW w:w="1680" w:type="dxa"/>
            <w:vAlign w:val="bottom"/>
            <w:gridSpan w:val="6"/>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80" w:type="dxa"/>
            <w:vAlign w:val="bottom"/>
            <w:gridSpan w:val="2"/>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1040" w:type="dxa"/>
            <w:vAlign w:val="bottom"/>
          </w:tcPr>
          <w:p>
            <w:pPr>
              <w:jc w:val="center"/>
              <w:spacing w:after="0"/>
              <w:rPr>
                <w:sz w:val="20"/>
                <w:szCs w:val="20"/>
                <w:color w:val="auto"/>
              </w:rPr>
            </w:pPr>
            <w:r>
              <w:rPr>
                <w:rFonts w:ascii="Arial" w:cs="Arial" w:eastAsia="Arial" w:hAnsi="Arial"/>
                <w:sz w:val="20"/>
                <w:szCs w:val="20"/>
                <w:color w:val="auto"/>
                <w:w w:val="87"/>
              </w:rPr>
              <w:t>21.1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14"/>
          </w:tcPr>
          <w:p>
            <w:pPr>
              <w:spacing w:after="0"/>
              <w:rPr>
                <w:rFonts w:ascii="Arial" w:cs="Arial" w:eastAsia="Arial" w:hAnsi="Arial"/>
                <w:sz w:val="20"/>
                <w:szCs w:val="20"/>
                <w:u w:val="single" w:color="auto"/>
                <w:color w:val="0000FF"/>
              </w:rPr>
            </w:pPr>
            <w:hyperlink w:anchor="page155">
              <w:r>
                <w:rPr>
                  <w:rFonts w:ascii="Arial" w:cs="Arial" w:eastAsia="Arial" w:hAnsi="Arial"/>
                  <w:sz w:val="20"/>
                  <w:szCs w:val="20"/>
                  <w:u w:val="single" w:color="auto"/>
                  <w:color w:val="0000FF"/>
                </w:rPr>
                <w:t>List of Subsidiaries</w:t>
              </w:r>
            </w:hyperlink>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297"/>
        </w:trPr>
        <w:tc>
          <w:tcPr>
            <w:tcW w:w="1040" w:type="dxa"/>
            <w:vAlign w:val="bottom"/>
          </w:tcPr>
          <w:p>
            <w:pPr>
              <w:jc w:val="center"/>
              <w:spacing w:after="0"/>
              <w:rPr>
                <w:sz w:val="20"/>
                <w:szCs w:val="20"/>
                <w:color w:val="auto"/>
              </w:rPr>
            </w:pPr>
            <w:r>
              <w:rPr>
                <w:rFonts w:ascii="Arial" w:cs="Arial" w:eastAsia="Arial" w:hAnsi="Arial"/>
                <w:sz w:val="20"/>
                <w:szCs w:val="20"/>
                <w:color w:val="auto"/>
                <w:w w:val="87"/>
              </w:rPr>
              <w:t>23.1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14"/>
          </w:tcPr>
          <w:p>
            <w:pPr>
              <w:spacing w:after="0"/>
              <w:rPr>
                <w:rFonts w:ascii="Arial" w:cs="Arial" w:eastAsia="Arial" w:hAnsi="Arial"/>
                <w:sz w:val="20"/>
                <w:szCs w:val="20"/>
                <w:u w:val="single" w:color="auto"/>
                <w:color w:val="0000FF"/>
              </w:rPr>
            </w:pPr>
            <w:hyperlink w:anchor="page158">
              <w:r>
                <w:rPr>
                  <w:rFonts w:ascii="Arial" w:cs="Arial" w:eastAsia="Arial" w:hAnsi="Arial"/>
                  <w:sz w:val="20"/>
                  <w:szCs w:val="20"/>
                  <w:u w:val="single" w:color="auto"/>
                  <w:color w:val="0000FF"/>
                </w:rPr>
                <w:t>Consent of PricewaterhouseCoopers LLP</w:t>
              </w:r>
            </w:hyperlink>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252"/>
        </w:trPr>
        <w:tc>
          <w:tcPr>
            <w:tcW w:w="1040" w:type="dxa"/>
            <w:vAlign w:val="bottom"/>
          </w:tcPr>
          <w:p>
            <w:pPr>
              <w:jc w:val="center"/>
              <w:spacing w:after="0"/>
              <w:rPr>
                <w:sz w:val="20"/>
                <w:szCs w:val="20"/>
                <w:color w:val="auto"/>
              </w:rPr>
            </w:pPr>
            <w:r>
              <w:rPr>
                <w:rFonts w:ascii="Arial" w:cs="Arial" w:eastAsia="Arial" w:hAnsi="Arial"/>
                <w:sz w:val="20"/>
                <w:szCs w:val="20"/>
                <w:color w:val="auto"/>
                <w:w w:val="87"/>
              </w:rPr>
              <w:t>31.1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40" w:type="dxa"/>
            <w:vAlign w:val="bottom"/>
            <w:gridSpan w:val="14"/>
          </w:tcPr>
          <w:p>
            <w:pPr>
              <w:spacing w:after="0"/>
              <w:rPr>
                <w:rFonts w:ascii="Arial" w:cs="Arial" w:eastAsia="Arial" w:hAnsi="Arial"/>
                <w:sz w:val="20"/>
                <w:szCs w:val="20"/>
                <w:color w:val="0000FF"/>
              </w:rPr>
            </w:pPr>
            <w:hyperlink w:anchor="page159">
              <w:r>
                <w:rPr>
                  <w:rFonts w:ascii="Arial" w:cs="Arial" w:eastAsia="Arial" w:hAnsi="Arial"/>
                  <w:sz w:val="20"/>
                  <w:szCs w:val="20"/>
                  <w:color w:val="0000FF"/>
                </w:rPr>
                <w:t>Certification of Chief Executive Officer pursuant to Section 302 of the</w:t>
              </w:r>
            </w:hyperlink>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80" w:type="dxa"/>
            <w:vAlign w:val="bottom"/>
            <w:tcBorders>
              <w:top w:val="single" w:sz="8" w:color="0000FF"/>
            </w:tcBorders>
            <w:gridSpan w:val="5"/>
          </w:tcPr>
          <w:p>
            <w:pPr>
              <w:spacing w:after="0" w:line="169" w:lineRule="exact"/>
              <w:rPr>
                <w:rFonts w:ascii="Arial" w:cs="Arial" w:eastAsia="Arial" w:hAnsi="Arial"/>
                <w:sz w:val="19"/>
                <w:szCs w:val="19"/>
                <w:color w:val="0000FF"/>
              </w:rPr>
            </w:pPr>
            <w:hyperlink w:anchor="page159">
              <w:r>
                <w:rPr>
                  <w:rFonts w:ascii="Arial" w:cs="Arial" w:eastAsia="Arial" w:hAnsi="Arial"/>
                  <w:sz w:val="19"/>
                  <w:szCs w:val="19"/>
                  <w:color w:val="0000FF"/>
                </w:rPr>
                <w:t>Sarbanes-Oxley Act of 2002</w:t>
              </w:r>
            </w:hyperlink>
          </w:p>
        </w:tc>
        <w:tc>
          <w:tcPr>
            <w:tcW w:w="64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180" w:type="dxa"/>
            <w:vAlign w:val="bottom"/>
            <w:gridSpan w:val="2"/>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9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87"/>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14"/>
          </w:tcPr>
          <w:p>
            <w:pPr>
              <w:spacing w:after="0"/>
              <w:rPr>
                <w:rFonts w:ascii="Arial" w:cs="Arial" w:eastAsia="Arial" w:hAnsi="Arial"/>
                <w:sz w:val="20"/>
                <w:szCs w:val="20"/>
                <w:color w:val="0000FF"/>
                <w:w w:val="93"/>
              </w:rPr>
            </w:pPr>
            <w:hyperlink w:anchor="page160">
              <w:r>
                <w:rPr>
                  <w:rFonts w:ascii="Arial" w:cs="Arial" w:eastAsia="Arial" w:hAnsi="Arial"/>
                  <w:sz w:val="20"/>
                  <w:szCs w:val="20"/>
                  <w:color w:val="0000FF"/>
                  <w:w w:val="93"/>
                </w:rPr>
                <w:t>Certification of Chief Financial Officer pursuant to Section 302 of the Sarbanes-</w:t>
              </w:r>
            </w:hyperlink>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60" w:type="dxa"/>
            <w:vAlign w:val="bottom"/>
            <w:tcBorders>
              <w:top w:val="single" w:sz="8" w:color="0000FF"/>
            </w:tcBorders>
            <w:gridSpan w:val="12"/>
          </w:tcPr>
          <w:p>
            <w:pPr>
              <w:spacing w:after="0" w:line="169" w:lineRule="exact"/>
              <w:rPr>
                <w:rFonts w:ascii="Arial" w:cs="Arial" w:eastAsia="Arial" w:hAnsi="Arial"/>
                <w:sz w:val="19"/>
                <w:szCs w:val="19"/>
                <w:color w:val="0000FF"/>
              </w:rPr>
            </w:pPr>
            <w:hyperlink w:anchor="page160">
              <w:r>
                <w:rPr>
                  <w:rFonts w:ascii="Arial" w:cs="Arial" w:eastAsia="Arial" w:hAnsi="Arial"/>
                  <w:sz w:val="19"/>
                  <w:szCs w:val="19"/>
                  <w:color w:val="0000FF"/>
                </w:rPr>
                <w:t>Oxley Act of 2002</w:t>
              </w:r>
            </w:hyperlink>
          </w:p>
        </w:tc>
        <w:tc>
          <w:tcPr>
            <w:tcW w:w="180" w:type="dxa"/>
            <w:vAlign w:val="bottom"/>
            <w:gridSpan w:val="2"/>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76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87"/>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14"/>
          </w:tcPr>
          <w:p>
            <w:pPr>
              <w:spacing w:after="0"/>
              <w:rPr>
                <w:rFonts w:ascii="Arial" w:cs="Arial" w:eastAsia="Arial" w:hAnsi="Arial"/>
                <w:sz w:val="20"/>
                <w:szCs w:val="20"/>
                <w:color w:val="0000FF"/>
                <w:w w:val="94"/>
              </w:rPr>
            </w:pPr>
            <w:hyperlink w:anchor="page161">
              <w:r>
                <w:rPr>
                  <w:rFonts w:ascii="Arial" w:cs="Arial" w:eastAsia="Arial" w:hAnsi="Arial"/>
                  <w:sz w:val="20"/>
                  <w:szCs w:val="20"/>
                  <w:color w:val="0000FF"/>
                  <w:w w:val="94"/>
                </w:rPr>
                <w:t>Certification of Chief Executive Officer pursuant to 18 U.S.C. Section 1350, as</w:t>
              </w:r>
            </w:hyperlink>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260"/>
        </w:trPr>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80" w:type="dxa"/>
            <w:vAlign w:val="bottom"/>
            <w:tcBorders>
              <w:top w:val="single" w:sz="8" w:color="0000FF"/>
            </w:tcBorders>
            <w:gridSpan w:val="10"/>
          </w:tcPr>
          <w:p>
            <w:pPr>
              <w:spacing w:after="0" w:line="260" w:lineRule="exact"/>
              <w:rPr>
                <w:rFonts w:ascii="Arial" w:cs="Arial" w:eastAsia="Arial" w:hAnsi="Arial"/>
                <w:sz w:val="20"/>
                <w:szCs w:val="20"/>
                <w:u w:val="single" w:color="auto"/>
                <w:color w:val="0000FF"/>
              </w:rPr>
            </w:pPr>
            <w:hyperlink w:anchor="page161">
              <w:r>
                <w:rPr>
                  <w:rFonts w:ascii="Arial" w:cs="Arial" w:eastAsia="Arial" w:hAnsi="Arial"/>
                  <w:sz w:val="20"/>
                  <w:szCs w:val="20"/>
                  <w:u w:val="single" w:color="auto"/>
                  <w:color w:val="0000FF"/>
                </w:rPr>
                <w:t>adopted pursuant to Section 906 of the Sarbanes-Oxley Act of 2002</w:t>
              </w:r>
              <w:r>
                <w:rPr>
                  <w:rFonts w:ascii="Arial" w:cs="Arial" w:eastAsia="Arial" w:hAnsi="Arial"/>
                  <w:sz w:val="25"/>
                  <w:szCs w:val="25"/>
                  <w:u w:val="single" w:color="auto"/>
                  <w:color w:val="0094FF"/>
                  <w:vertAlign w:val="superscript"/>
                </w:rPr>
                <w:t>1</w:t>
              </w:r>
            </w:hyperlink>
          </w:p>
        </w:tc>
        <w:tc>
          <w:tcPr>
            <w:tcW w:w="260" w:type="dxa"/>
            <w:vAlign w:val="bottom"/>
            <w:gridSpan w:val="4"/>
          </w:tcPr>
          <w:p>
            <w:pPr>
              <w:spacing w:after="0"/>
              <w:rPr>
                <w:sz w:val="22"/>
                <w:szCs w:val="22"/>
                <w:color w:val="auto"/>
              </w:rPr>
            </w:pPr>
          </w:p>
        </w:tc>
        <w:tc>
          <w:tcPr>
            <w:tcW w:w="3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1040" w:type="dxa"/>
            <w:vAlign w:val="bottom"/>
          </w:tcPr>
          <w:p>
            <w:pPr>
              <w:jc w:val="center"/>
              <w:spacing w:after="0" w:line="206" w:lineRule="exact"/>
              <w:rPr>
                <w:sz w:val="20"/>
                <w:szCs w:val="20"/>
                <w:color w:val="auto"/>
              </w:rPr>
            </w:pPr>
            <w:r>
              <w:rPr>
                <w:rFonts w:ascii="Arial" w:cs="Arial" w:eastAsia="Arial" w:hAnsi="Arial"/>
                <w:sz w:val="20"/>
                <w:szCs w:val="20"/>
                <w:color w:val="auto"/>
                <w:w w:val="87"/>
              </w:rPr>
              <w:t>32.2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40" w:type="dxa"/>
            <w:vAlign w:val="bottom"/>
            <w:gridSpan w:val="14"/>
          </w:tcPr>
          <w:p>
            <w:pPr>
              <w:spacing w:after="0" w:line="206" w:lineRule="exact"/>
              <w:rPr>
                <w:rFonts w:ascii="Arial" w:cs="Arial" w:eastAsia="Arial" w:hAnsi="Arial"/>
                <w:sz w:val="20"/>
                <w:szCs w:val="20"/>
                <w:color w:val="0000FF"/>
                <w:w w:val="95"/>
              </w:rPr>
            </w:pPr>
            <w:hyperlink w:anchor="page162">
              <w:r>
                <w:rPr>
                  <w:rFonts w:ascii="Arial" w:cs="Arial" w:eastAsia="Arial" w:hAnsi="Arial"/>
                  <w:sz w:val="20"/>
                  <w:szCs w:val="20"/>
                  <w:color w:val="0000FF"/>
                  <w:w w:val="95"/>
                </w:rPr>
                <w:t>Certification of Chief Financial Officer pursuant to 18 U.S.C. Section 1350, as</w:t>
              </w:r>
            </w:hyperlink>
          </w:p>
        </w:tc>
        <w:tc>
          <w:tcPr>
            <w:tcW w:w="3520" w:type="dxa"/>
            <w:vAlign w:val="bottom"/>
          </w:tcPr>
          <w:p>
            <w:pPr>
              <w:ind w:left="20"/>
              <w:spacing w:after="0" w:line="206" w:lineRule="exact"/>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260"/>
        </w:trPr>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20" w:type="dxa"/>
            <w:vAlign w:val="bottom"/>
            <w:tcBorders>
              <w:top w:val="single" w:sz="8" w:color="0000FF"/>
            </w:tcBorders>
            <w:gridSpan w:val="8"/>
          </w:tcPr>
          <w:p>
            <w:pPr>
              <w:spacing w:after="0" w:line="260" w:lineRule="exact"/>
              <w:rPr>
                <w:rFonts w:ascii="Arial" w:cs="Arial" w:eastAsia="Arial" w:hAnsi="Arial"/>
                <w:sz w:val="20"/>
                <w:szCs w:val="20"/>
                <w:u w:val="single" w:color="auto"/>
                <w:color w:val="0000FF"/>
              </w:rPr>
            </w:pPr>
            <w:hyperlink w:anchor="page162">
              <w:r>
                <w:rPr>
                  <w:rFonts w:ascii="Arial" w:cs="Arial" w:eastAsia="Arial" w:hAnsi="Arial"/>
                  <w:sz w:val="20"/>
                  <w:szCs w:val="20"/>
                  <w:u w:val="single" w:color="auto"/>
                  <w:color w:val="0000FF"/>
                </w:rPr>
                <w:t>adopted pursuant to Section 906 of the Sarbanes-Oxley Act of 2002</w:t>
              </w:r>
              <w:r>
                <w:rPr>
                  <w:rFonts w:ascii="Arial" w:cs="Arial" w:eastAsia="Arial" w:hAnsi="Arial"/>
                  <w:sz w:val="25"/>
                  <w:szCs w:val="25"/>
                  <w:u w:val="single" w:color="auto"/>
                  <w:color w:val="0094FF"/>
                  <w:vertAlign w:val="superscript"/>
                </w:rPr>
                <w:t>1</w:t>
              </w:r>
            </w:hyperlink>
          </w:p>
        </w:tc>
        <w:tc>
          <w:tcPr>
            <w:tcW w:w="320" w:type="dxa"/>
            <w:vAlign w:val="bottom"/>
            <w:gridSpan w:val="6"/>
          </w:tcPr>
          <w:p>
            <w:pPr>
              <w:spacing w:after="0"/>
              <w:rPr>
                <w:sz w:val="22"/>
                <w:szCs w:val="22"/>
                <w:color w:val="auto"/>
              </w:rPr>
            </w:pPr>
          </w:p>
        </w:tc>
        <w:tc>
          <w:tcPr>
            <w:tcW w:w="3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160" w:type="dxa"/>
            <w:vAlign w:val="bottom"/>
            <w:gridSpan w:val="2"/>
          </w:tcPr>
          <w:p>
            <w:pPr>
              <w:ind w:left="200"/>
              <w:spacing w:after="0"/>
              <w:rPr>
                <w:sz w:val="20"/>
                <w:szCs w:val="20"/>
                <w:color w:val="auto"/>
              </w:rPr>
            </w:pPr>
            <w:r>
              <w:rPr>
                <w:rFonts w:ascii="Arial" w:cs="Arial" w:eastAsia="Arial" w:hAnsi="Arial"/>
                <w:sz w:val="20"/>
                <w:szCs w:val="20"/>
                <w:color w:val="auto"/>
              </w:rPr>
              <w:t>101.INS</w:t>
            </w:r>
          </w:p>
        </w:tc>
        <w:tc>
          <w:tcPr>
            <w:tcW w:w="20" w:type="dxa"/>
            <w:vAlign w:val="bottom"/>
          </w:tcPr>
          <w:p>
            <w:pPr>
              <w:spacing w:after="0"/>
              <w:rPr>
                <w:sz w:val="21"/>
                <w:szCs w:val="21"/>
                <w:color w:val="auto"/>
              </w:rPr>
            </w:pPr>
          </w:p>
        </w:tc>
        <w:tc>
          <w:tcPr>
            <w:tcW w:w="6540" w:type="dxa"/>
            <w:vAlign w:val="bottom"/>
            <w:gridSpan w:val="14"/>
          </w:tcPr>
          <w:p>
            <w:pPr>
              <w:spacing w:after="0"/>
              <w:rPr>
                <w:sz w:val="20"/>
                <w:szCs w:val="20"/>
                <w:color w:val="auto"/>
              </w:rPr>
            </w:pPr>
            <w:r>
              <w:rPr>
                <w:rFonts w:ascii="Arial" w:cs="Arial" w:eastAsia="Arial" w:hAnsi="Arial"/>
                <w:sz w:val="20"/>
                <w:szCs w:val="20"/>
                <w:color w:val="auto"/>
              </w:rPr>
              <w:t>Inline XBRL Instance Document</w:t>
            </w: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297"/>
        </w:trPr>
        <w:tc>
          <w:tcPr>
            <w:tcW w:w="1160" w:type="dxa"/>
            <w:vAlign w:val="bottom"/>
            <w:gridSpan w:val="2"/>
          </w:tcPr>
          <w:p>
            <w:pPr>
              <w:ind w:left="160"/>
              <w:spacing w:after="0"/>
              <w:rPr>
                <w:sz w:val="20"/>
                <w:szCs w:val="20"/>
                <w:color w:val="auto"/>
              </w:rPr>
            </w:pPr>
            <w:r>
              <w:rPr>
                <w:rFonts w:ascii="Arial" w:cs="Arial" w:eastAsia="Arial" w:hAnsi="Arial"/>
                <w:sz w:val="20"/>
                <w:szCs w:val="20"/>
                <w:color w:val="auto"/>
              </w:rPr>
              <w:t>101.SCH</w:t>
            </w:r>
          </w:p>
        </w:tc>
        <w:tc>
          <w:tcPr>
            <w:tcW w:w="20" w:type="dxa"/>
            <w:vAlign w:val="bottom"/>
          </w:tcPr>
          <w:p>
            <w:pPr>
              <w:spacing w:after="0"/>
              <w:rPr>
                <w:sz w:val="24"/>
                <w:szCs w:val="24"/>
                <w:color w:val="auto"/>
              </w:rPr>
            </w:pPr>
          </w:p>
        </w:tc>
        <w:tc>
          <w:tcPr>
            <w:tcW w:w="6540" w:type="dxa"/>
            <w:vAlign w:val="bottom"/>
            <w:gridSpan w:val="14"/>
          </w:tcPr>
          <w:p>
            <w:pPr>
              <w:spacing w:after="0"/>
              <w:rPr>
                <w:sz w:val="20"/>
                <w:szCs w:val="20"/>
                <w:color w:val="auto"/>
              </w:rPr>
            </w:pPr>
            <w:r>
              <w:rPr>
                <w:rFonts w:ascii="Arial" w:cs="Arial" w:eastAsia="Arial" w:hAnsi="Arial"/>
                <w:sz w:val="20"/>
                <w:szCs w:val="20"/>
                <w:color w:val="auto"/>
              </w:rPr>
              <w:t>Inline XBRL Taxonomy Extension Schema Document</w:t>
            </w: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297"/>
        </w:trPr>
        <w:tc>
          <w:tcPr>
            <w:tcW w:w="1160" w:type="dxa"/>
            <w:vAlign w:val="bottom"/>
            <w:gridSpan w:val="2"/>
          </w:tcPr>
          <w:p>
            <w:pPr>
              <w:ind w:left="160"/>
              <w:spacing w:after="0"/>
              <w:rPr>
                <w:sz w:val="20"/>
                <w:szCs w:val="20"/>
                <w:color w:val="auto"/>
              </w:rPr>
            </w:pPr>
            <w:r>
              <w:rPr>
                <w:rFonts w:ascii="Arial" w:cs="Arial" w:eastAsia="Arial" w:hAnsi="Arial"/>
                <w:sz w:val="20"/>
                <w:szCs w:val="20"/>
                <w:color w:val="auto"/>
              </w:rPr>
              <w:t>101.CAL</w:t>
            </w:r>
          </w:p>
        </w:tc>
        <w:tc>
          <w:tcPr>
            <w:tcW w:w="20" w:type="dxa"/>
            <w:vAlign w:val="bottom"/>
          </w:tcPr>
          <w:p>
            <w:pPr>
              <w:spacing w:after="0"/>
              <w:rPr>
                <w:sz w:val="24"/>
                <w:szCs w:val="24"/>
                <w:color w:val="auto"/>
              </w:rPr>
            </w:pPr>
          </w:p>
        </w:tc>
        <w:tc>
          <w:tcPr>
            <w:tcW w:w="6540" w:type="dxa"/>
            <w:vAlign w:val="bottom"/>
            <w:gridSpan w:val="14"/>
          </w:tcPr>
          <w:p>
            <w:pPr>
              <w:spacing w:after="0"/>
              <w:rPr>
                <w:sz w:val="20"/>
                <w:szCs w:val="20"/>
                <w:color w:val="auto"/>
              </w:rPr>
            </w:pPr>
            <w:r>
              <w:rPr>
                <w:rFonts w:ascii="Arial" w:cs="Arial" w:eastAsia="Arial" w:hAnsi="Arial"/>
                <w:sz w:val="20"/>
                <w:szCs w:val="20"/>
                <w:color w:val="auto"/>
              </w:rPr>
              <w:t>Inline XBRL Taxonomy Extension Calculation Linkbase Document</w:t>
            </w: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297"/>
        </w:trPr>
        <w:tc>
          <w:tcPr>
            <w:tcW w:w="1160" w:type="dxa"/>
            <w:vAlign w:val="bottom"/>
            <w:gridSpan w:val="2"/>
          </w:tcPr>
          <w:p>
            <w:pPr>
              <w:ind w:left="160"/>
              <w:spacing w:after="0"/>
              <w:rPr>
                <w:sz w:val="20"/>
                <w:szCs w:val="20"/>
                <w:color w:val="auto"/>
              </w:rPr>
            </w:pPr>
            <w:r>
              <w:rPr>
                <w:rFonts w:ascii="Arial" w:cs="Arial" w:eastAsia="Arial" w:hAnsi="Arial"/>
                <w:sz w:val="20"/>
                <w:szCs w:val="20"/>
                <w:color w:val="auto"/>
              </w:rPr>
              <w:t>101.DEF</w:t>
            </w:r>
          </w:p>
        </w:tc>
        <w:tc>
          <w:tcPr>
            <w:tcW w:w="20" w:type="dxa"/>
            <w:vAlign w:val="bottom"/>
          </w:tcPr>
          <w:p>
            <w:pPr>
              <w:spacing w:after="0"/>
              <w:rPr>
                <w:sz w:val="24"/>
                <w:szCs w:val="24"/>
                <w:color w:val="auto"/>
              </w:rPr>
            </w:pPr>
          </w:p>
        </w:tc>
        <w:tc>
          <w:tcPr>
            <w:tcW w:w="6540" w:type="dxa"/>
            <w:vAlign w:val="bottom"/>
            <w:gridSpan w:val="14"/>
          </w:tcPr>
          <w:p>
            <w:pPr>
              <w:spacing w:after="0"/>
              <w:rPr>
                <w:sz w:val="20"/>
                <w:szCs w:val="20"/>
                <w:color w:val="auto"/>
              </w:rPr>
            </w:pPr>
            <w:r>
              <w:rPr>
                <w:rFonts w:ascii="Arial" w:cs="Arial" w:eastAsia="Arial" w:hAnsi="Arial"/>
                <w:sz w:val="20"/>
                <w:szCs w:val="20"/>
                <w:color w:val="auto"/>
              </w:rPr>
              <w:t>Inline XBRL Taxonomy Extension Definition Linkbase Document</w:t>
            </w: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297"/>
        </w:trPr>
        <w:tc>
          <w:tcPr>
            <w:tcW w:w="1160" w:type="dxa"/>
            <w:vAlign w:val="bottom"/>
            <w:gridSpan w:val="2"/>
          </w:tcPr>
          <w:p>
            <w:pPr>
              <w:ind w:left="160"/>
              <w:spacing w:after="0"/>
              <w:rPr>
                <w:sz w:val="20"/>
                <w:szCs w:val="20"/>
                <w:color w:val="auto"/>
              </w:rPr>
            </w:pPr>
            <w:r>
              <w:rPr>
                <w:rFonts w:ascii="Arial" w:cs="Arial" w:eastAsia="Arial" w:hAnsi="Arial"/>
                <w:sz w:val="20"/>
                <w:szCs w:val="20"/>
                <w:color w:val="auto"/>
              </w:rPr>
              <w:t>101.LAB</w:t>
            </w:r>
          </w:p>
        </w:tc>
        <w:tc>
          <w:tcPr>
            <w:tcW w:w="20" w:type="dxa"/>
            <w:vAlign w:val="bottom"/>
          </w:tcPr>
          <w:p>
            <w:pPr>
              <w:spacing w:after="0"/>
              <w:rPr>
                <w:sz w:val="24"/>
                <w:szCs w:val="24"/>
                <w:color w:val="auto"/>
              </w:rPr>
            </w:pPr>
          </w:p>
        </w:tc>
        <w:tc>
          <w:tcPr>
            <w:tcW w:w="6540" w:type="dxa"/>
            <w:vAlign w:val="bottom"/>
            <w:gridSpan w:val="14"/>
          </w:tcPr>
          <w:p>
            <w:pPr>
              <w:spacing w:after="0"/>
              <w:rPr>
                <w:sz w:val="20"/>
                <w:szCs w:val="20"/>
                <w:color w:val="auto"/>
              </w:rPr>
            </w:pPr>
            <w:r>
              <w:rPr>
                <w:rFonts w:ascii="Arial" w:cs="Arial" w:eastAsia="Arial" w:hAnsi="Arial"/>
                <w:sz w:val="20"/>
                <w:szCs w:val="20"/>
                <w:color w:val="auto"/>
              </w:rPr>
              <w:t>Inline XBRL Taxonomy Extension Label Linkbase Document</w:t>
            </w: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297"/>
        </w:trPr>
        <w:tc>
          <w:tcPr>
            <w:tcW w:w="1160" w:type="dxa"/>
            <w:vAlign w:val="bottom"/>
            <w:gridSpan w:val="2"/>
          </w:tcPr>
          <w:p>
            <w:pPr>
              <w:ind w:left="180"/>
              <w:spacing w:after="0"/>
              <w:rPr>
                <w:sz w:val="20"/>
                <w:szCs w:val="20"/>
                <w:color w:val="auto"/>
              </w:rPr>
            </w:pPr>
            <w:r>
              <w:rPr>
                <w:rFonts w:ascii="Arial" w:cs="Arial" w:eastAsia="Arial" w:hAnsi="Arial"/>
                <w:sz w:val="20"/>
                <w:szCs w:val="20"/>
                <w:color w:val="auto"/>
              </w:rPr>
              <w:t>101.PRE</w:t>
            </w:r>
          </w:p>
        </w:tc>
        <w:tc>
          <w:tcPr>
            <w:tcW w:w="20" w:type="dxa"/>
            <w:vAlign w:val="bottom"/>
          </w:tcPr>
          <w:p>
            <w:pPr>
              <w:spacing w:after="0"/>
              <w:rPr>
                <w:sz w:val="24"/>
                <w:szCs w:val="24"/>
                <w:color w:val="auto"/>
              </w:rPr>
            </w:pPr>
          </w:p>
        </w:tc>
        <w:tc>
          <w:tcPr>
            <w:tcW w:w="6540" w:type="dxa"/>
            <w:vAlign w:val="bottom"/>
            <w:gridSpan w:val="14"/>
          </w:tcPr>
          <w:p>
            <w:pPr>
              <w:spacing w:after="0"/>
              <w:rPr>
                <w:sz w:val="20"/>
                <w:szCs w:val="20"/>
                <w:color w:val="auto"/>
              </w:rPr>
            </w:pPr>
            <w:r>
              <w:rPr>
                <w:rFonts w:ascii="Arial" w:cs="Arial" w:eastAsia="Arial" w:hAnsi="Arial"/>
                <w:sz w:val="20"/>
                <w:szCs w:val="20"/>
                <w:color w:val="auto"/>
              </w:rPr>
              <w:t>Inline XBRL Taxonomy Extension Presentation Linkbase Document</w:t>
            </w: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239"/>
        </w:trPr>
        <w:tc>
          <w:tcPr>
            <w:tcW w:w="1040" w:type="dxa"/>
            <w:vAlign w:val="bottom"/>
          </w:tcPr>
          <w:p>
            <w:pPr>
              <w:jc w:val="center"/>
              <w:spacing w:after="0"/>
              <w:rPr>
                <w:sz w:val="20"/>
                <w:szCs w:val="20"/>
                <w:color w:val="auto"/>
              </w:rPr>
            </w:pPr>
            <w:r>
              <w:rPr>
                <w:rFonts w:ascii="Arial" w:cs="Arial" w:eastAsia="Arial" w:hAnsi="Arial"/>
                <w:sz w:val="20"/>
                <w:szCs w:val="20"/>
                <w:color w:val="auto"/>
                <w:w w:val="89"/>
              </w:rPr>
              <w:t>104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40" w:type="dxa"/>
            <w:vAlign w:val="bottom"/>
            <w:gridSpan w:val="14"/>
          </w:tcPr>
          <w:p>
            <w:pPr>
              <w:spacing w:after="0"/>
              <w:rPr>
                <w:sz w:val="20"/>
                <w:szCs w:val="20"/>
                <w:color w:val="auto"/>
              </w:rPr>
            </w:pPr>
            <w:r>
              <w:rPr>
                <w:rFonts w:ascii="Arial" w:cs="Arial" w:eastAsia="Arial" w:hAnsi="Arial"/>
                <w:sz w:val="20"/>
                <w:szCs w:val="20"/>
                <w:color w:val="auto"/>
                <w:w w:val="96"/>
              </w:rPr>
              <w:t>Cover Page Interactive Data File (formatted as inline XBRL and contained in</w:t>
            </w: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40" w:type="dxa"/>
            <w:vAlign w:val="bottom"/>
            <w:gridSpan w:val="14"/>
          </w:tcPr>
          <w:p>
            <w:pPr>
              <w:spacing w:after="0"/>
              <w:rPr>
                <w:sz w:val="20"/>
                <w:szCs w:val="20"/>
                <w:color w:val="auto"/>
              </w:rPr>
            </w:pPr>
            <w:r>
              <w:rPr>
                <w:rFonts w:ascii="Arial" w:cs="Arial" w:eastAsia="Arial" w:hAnsi="Arial"/>
                <w:sz w:val="20"/>
                <w:szCs w:val="20"/>
                <w:color w:val="auto"/>
              </w:rPr>
              <w:t>Exhibit 101)</w:t>
            </w:r>
          </w:p>
        </w:tc>
        <w:tc>
          <w:tcPr>
            <w:tcW w:w="3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0"/>
          <w:szCs w:val="20"/>
          <w:color w:val="auto"/>
        </w:rPr>
        <w:t>*Management contract or compensatory plan or arrangement required to be filed as an exhibit</w:t>
      </w:r>
    </w:p>
    <w:p>
      <w:pPr>
        <w:spacing w:after="0" w:line="243" w:lineRule="exact"/>
        <w:rPr>
          <w:sz w:val="20"/>
          <w:szCs w:val="20"/>
          <w:color w:val="auto"/>
        </w:rPr>
      </w:pPr>
    </w:p>
    <w:p>
      <w:pPr>
        <w:jc w:val="both"/>
        <w:spacing w:after="0" w:line="227"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20"/>
          <w:szCs w:val="20"/>
          <w:color w:val="auto"/>
        </w:rPr>
        <w:t>These certifications are not deemed to be “filed” for purposes of Section 18 of the Exchange Act, or otherwise subject to the liability of that section. These certifications will not be deemed to be incorporated by reference into any filing under the Securities Act or the Exchange Act, except to the extent that the registrant specifically incorporates them by reference.</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4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96" w:lineRule="exact"/>
        <w:rPr>
          <w:sz w:val="20"/>
          <w:szCs w:val="20"/>
          <w:color w:val="auto"/>
        </w:rPr>
      </w:pPr>
    </w:p>
    <w:p>
      <w:pPr>
        <w:ind w:left="1020"/>
        <w:spacing w:after="0"/>
        <w:tabs>
          <w:tab w:leader="none" w:pos="1700" w:val="left"/>
          <w:tab w:leader="none" w:pos="4520" w:val="left"/>
        </w:tabs>
        <w:rPr>
          <w:sz w:val="20"/>
          <w:szCs w:val="20"/>
          <w:color w:val="auto"/>
        </w:rPr>
      </w:pPr>
      <w:r>
        <w:rPr>
          <w:rFonts w:ascii="Arial" w:cs="Arial" w:eastAsia="Arial" w:hAnsi="Arial"/>
          <w:sz w:val="20"/>
          <w:szCs w:val="20"/>
          <w:color w:val="auto"/>
        </w:rPr>
        <w:t>Date:</w:t>
        <w:tab/>
        <w:t>February 24, 2021</w:t>
      </w:r>
      <w:r>
        <w:rPr>
          <w:sz w:val="20"/>
          <w:szCs w:val="20"/>
          <w:color w:val="auto"/>
        </w:rPr>
        <w:tab/>
      </w:r>
      <w:r>
        <w:rPr>
          <w:rFonts w:ascii="Arial" w:cs="Arial" w:eastAsia="Arial" w:hAnsi="Arial"/>
          <w:sz w:val="18"/>
          <w:szCs w:val="18"/>
          <w:color w:val="auto"/>
        </w:rPr>
        <w:t>Bloomin’ Brands, Inc.</w:t>
      </w:r>
    </w:p>
    <w:p>
      <w:pPr>
        <w:spacing w:after="0" w:line="283"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By: /s/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10160</wp:posOffset>
            </wp:positionV>
            <wp:extent cx="357441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3">
                      <a:extLst>
                        <a:ext uri="{28A0092B-C50C-407E-A947-70E740481C1C}"/>
                      </a:extLst>
                    </a:blip>
                    <a:srcRect/>
                    <a:stretch>
                      <a:fillRect/>
                    </a:stretch>
                  </pic:blipFill>
                  <pic:spPr bwMode="auto">
                    <a:xfrm>
                      <a:off x="0" y="0"/>
                      <a:ext cx="3574415" cy="17145"/>
                    </a:xfrm>
                    <a:prstGeom prst="rect">
                      <a:avLst/>
                    </a:prstGeom>
                    <a:noFill/>
                  </pic:spPr>
                </pic:pic>
              </a:graphicData>
            </a:graphic>
          </wp:anchor>
        </w:drawing>
      </w:r>
    </w:p>
    <w:p>
      <w:pPr>
        <w:ind w:left="5340"/>
        <w:spacing w:after="0"/>
        <w:rPr>
          <w:sz w:val="20"/>
          <w:szCs w:val="20"/>
          <w:color w:val="auto"/>
        </w:rPr>
      </w:pPr>
      <w:r>
        <w:rPr>
          <w:rFonts w:ascii="Arial" w:cs="Arial" w:eastAsia="Arial" w:hAnsi="Arial"/>
          <w:sz w:val="20"/>
          <w:szCs w:val="20"/>
          <w:color w:val="auto"/>
        </w:rPr>
        <w:t>David J. Deno</w:t>
      </w:r>
    </w:p>
    <w:p>
      <w:pPr>
        <w:ind w:left="5340"/>
        <w:spacing w:after="0" w:line="197" w:lineRule="auto"/>
        <w:rPr>
          <w:sz w:val="20"/>
          <w:szCs w:val="20"/>
          <w:color w:val="auto"/>
        </w:rPr>
      </w:pPr>
      <w:r>
        <w:rPr>
          <w:rFonts w:ascii="Arial" w:cs="Arial" w:eastAsia="Arial" w:hAnsi="Arial"/>
          <w:sz w:val="20"/>
          <w:szCs w:val="20"/>
          <w:color w:val="auto"/>
        </w:rPr>
        <w:t>Chief Executive Officer</w:t>
      </w:r>
    </w:p>
    <w:p>
      <w:pPr>
        <w:ind w:left="5340"/>
        <w:spacing w:after="0"/>
        <w:rPr>
          <w:sz w:val="20"/>
          <w:szCs w:val="20"/>
          <w:color w:val="auto"/>
        </w:rPr>
      </w:pPr>
      <w:r>
        <w:rPr>
          <w:rFonts w:ascii="Arial" w:cs="Arial" w:eastAsia="Arial" w:hAnsi="Arial"/>
          <w:sz w:val="20"/>
          <w:szCs w:val="20"/>
          <w:color w:val="auto"/>
        </w:rPr>
        <w:t>(Principal Executive Officer)</w:t>
      </w:r>
    </w:p>
    <w:p>
      <w:pPr>
        <w:spacing w:after="0" w:line="30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020" w:type="dxa"/>
            <w:vAlign w:val="bottom"/>
            <w:tcBorders>
              <w:bottom w:val="single" w:sz="8" w:color="auto"/>
            </w:tcBorders>
          </w:tcPr>
          <w:p>
            <w:pPr>
              <w:ind w:left="1100"/>
              <w:spacing w:after="0"/>
              <w:rPr>
                <w:sz w:val="20"/>
                <w:szCs w:val="20"/>
                <w:color w:val="auto"/>
              </w:rPr>
            </w:pPr>
            <w:r>
              <w:rPr>
                <w:rFonts w:ascii="Arial" w:cs="Arial" w:eastAsia="Arial" w:hAnsi="Arial"/>
                <w:sz w:val="20"/>
                <w:szCs w:val="20"/>
                <w:b w:val="1"/>
                <w:bCs w:val="1"/>
                <w:color w:val="auto"/>
              </w:rPr>
              <w:t>Signature</w:t>
            </w:r>
          </w:p>
        </w:tc>
        <w:tc>
          <w:tcPr>
            <w:tcW w:w="340" w:type="dxa"/>
            <w:vAlign w:val="bottom"/>
          </w:tcPr>
          <w:p>
            <w:pPr>
              <w:spacing w:after="0"/>
              <w:rPr>
                <w:sz w:val="22"/>
                <w:szCs w:val="22"/>
                <w:color w:val="auto"/>
              </w:rPr>
            </w:pPr>
          </w:p>
        </w:tc>
        <w:tc>
          <w:tcPr>
            <w:tcW w:w="5520" w:type="dxa"/>
            <w:vAlign w:val="bottom"/>
            <w:tcBorders>
              <w:bottom w:val="single" w:sz="8" w:color="auto"/>
            </w:tcBorders>
          </w:tcPr>
          <w:p>
            <w:pPr>
              <w:ind w:left="2560"/>
              <w:spacing w:after="0"/>
              <w:rPr>
                <w:sz w:val="20"/>
                <w:szCs w:val="20"/>
                <w:color w:val="auto"/>
              </w:rPr>
            </w:pPr>
            <w:r>
              <w:rPr>
                <w:rFonts w:ascii="Arial" w:cs="Arial" w:eastAsia="Arial" w:hAnsi="Arial"/>
                <w:sz w:val="20"/>
                <w:szCs w:val="20"/>
                <w:b w:val="1"/>
                <w:bCs w:val="1"/>
                <w:color w:val="auto"/>
              </w:rPr>
              <w:t>Title</w:t>
            </w:r>
          </w:p>
        </w:tc>
        <w:tc>
          <w:tcPr>
            <w:tcW w:w="340" w:type="dxa"/>
            <w:vAlign w:val="bottom"/>
          </w:tcPr>
          <w:p>
            <w:pPr>
              <w:spacing w:after="0"/>
              <w:rPr>
                <w:sz w:val="22"/>
                <w:szCs w:val="22"/>
                <w:color w:val="auto"/>
              </w:rPr>
            </w:pPr>
          </w:p>
        </w:tc>
        <w:tc>
          <w:tcPr>
            <w:tcW w:w="2020" w:type="dxa"/>
            <w:vAlign w:val="bottom"/>
            <w:tcBorders>
              <w:bottom w:val="single" w:sz="8" w:color="auto"/>
            </w:tcBorders>
          </w:tcPr>
          <w:p>
            <w:pPr>
              <w:ind w:left="820"/>
              <w:spacing w:after="0"/>
              <w:rPr>
                <w:sz w:val="20"/>
                <w:szCs w:val="20"/>
                <w:color w:val="auto"/>
              </w:rPr>
            </w:pPr>
            <w:r>
              <w:rPr>
                <w:rFonts w:ascii="Arial" w:cs="Arial" w:eastAsia="Arial" w:hAnsi="Arial"/>
                <w:sz w:val="20"/>
                <w:szCs w:val="20"/>
                <w:b w:val="1"/>
                <w:bCs w:val="1"/>
                <w:color w:val="auto"/>
              </w:rPr>
              <w:t>Date</w:t>
            </w:r>
          </w:p>
        </w:tc>
      </w:tr>
      <w:tr>
        <w:trPr>
          <w:trHeight w:val="507"/>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David J. Deno</w:t>
            </w:r>
          </w:p>
        </w:tc>
        <w:tc>
          <w:tcPr>
            <w:tcW w:w="340" w:type="dxa"/>
            <w:vAlign w:val="bottom"/>
          </w:tcPr>
          <w:p>
            <w:pPr>
              <w:spacing w:after="0"/>
              <w:rPr>
                <w:sz w:val="24"/>
                <w:szCs w:val="24"/>
                <w:color w:val="auto"/>
              </w:rPr>
            </w:pPr>
          </w:p>
        </w:tc>
        <w:tc>
          <w:tcPr>
            <w:tcW w:w="5860" w:type="dxa"/>
            <w:vAlign w:val="bottom"/>
            <w:gridSpan w:val="2"/>
          </w:tcPr>
          <w:p>
            <w:pPr>
              <w:ind w:left="20"/>
              <w:spacing w:after="0"/>
              <w:rPr>
                <w:sz w:val="20"/>
                <w:szCs w:val="20"/>
                <w:color w:val="auto"/>
              </w:rPr>
            </w:pPr>
            <w:r>
              <w:rPr>
                <w:rFonts w:ascii="Arial" w:cs="Arial" w:eastAsia="Arial" w:hAnsi="Arial"/>
                <w:sz w:val="20"/>
                <w:szCs w:val="20"/>
                <w:color w:val="auto"/>
              </w:rPr>
              <w:t>Chief Executive Officer and Director</w:t>
            </w:r>
          </w:p>
        </w:tc>
        <w:tc>
          <w:tcPr>
            <w:tcW w:w="2020" w:type="dxa"/>
            <w:vAlign w:val="bottom"/>
          </w:tcPr>
          <w:p>
            <w:pPr>
              <w:spacing w:after="0"/>
              <w:rPr>
                <w:sz w:val="24"/>
                <w:szCs w:val="24"/>
                <w:color w:val="auto"/>
              </w:rPr>
            </w:pPr>
          </w:p>
        </w:tc>
      </w:tr>
      <w:tr>
        <w:trPr>
          <w:trHeight w:val="264"/>
        </w:trPr>
        <w:tc>
          <w:tcPr>
            <w:tcW w:w="3020" w:type="dxa"/>
            <w:vAlign w:val="bottom"/>
          </w:tcPr>
          <w:p>
            <w:pPr>
              <w:ind w:left="20"/>
              <w:spacing w:after="0"/>
              <w:rPr>
                <w:sz w:val="20"/>
                <w:szCs w:val="20"/>
                <w:color w:val="auto"/>
              </w:rPr>
            </w:pPr>
            <w:r>
              <w:rPr>
                <w:rFonts w:ascii="Arial" w:cs="Arial" w:eastAsia="Arial" w:hAnsi="Arial"/>
                <w:sz w:val="20"/>
                <w:szCs w:val="20"/>
                <w:color w:val="auto"/>
              </w:rPr>
              <w:t>David J. Deno</w:t>
            </w:r>
          </w:p>
        </w:tc>
        <w:tc>
          <w:tcPr>
            <w:tcW w:w="340" w:type="dxa"/>
            <w:vAlign w:val="bottom"/>
          </w:tcPr>
          <w:p>
            <w:pPr>
              <w:spacing w:after="0"/>
              <w:rPr>
                <w:sz w:val="22"/>
                <w:szCs w:val="22"/>
                <w:color w:val="auto"/>
              </w:rPr>
            </w:pPr>
          </w:p>
        </w:tc>
        <w:tc>
          <w:tcPr>
            <w:tcW w:w="5860" w:type="dxa"/>
            <w:vAlign w:val="bottom"/>
            <w:gridSpan w:val="2"/>
          </w:tcPr>
          <w:p>
            <w:pPr>
              <w:ind w:left="20"/>
              <w:spacing w:after="0"/>
              <w:rPr>
                <w:sz w:val="20"/>
                <w:szCs w:val="20"/>
                <w:color w:val="auto"/>
              </w:rPr>
            </w:pPr>
            <w:r>
              <w:rPr>
                <w:rFonts w:ascii="Arial" w:cs="Arial" w:eastAsia="Arial" w:hAnsi="Arial"/>
                <w:sz w:val="20"/>
                <w:szCs w:val="20"/>
                <w:color w:val="auto"/>
              </w:rPr>
              <w:t>(Principal Executive Officer)</w:t>
            </w:r>
          </w:p>
        </w:tc>
        <w:tc>
          <w:tcPr>
            <w:tcW w:w="2020" w:type="dxa"/>
            <w:vAlign w:val="bottom"/>
          </w:tcPr>
          <w:p>
            <w:pPr>
              <w:ind w:left="20"/>
              <w:spacing w:after="0"/>
              <w:rPr>
                <w:sz w:val="20"/>
                <w:szCs w:val="20"/>
                <w:color w:val="auto"/>
              </w:rPr>
            </w:pPr>
            <w:r>
              <w:rPr>
                <w:rFonts w:ascii="Arial" w:cs="Arial" w:eastAsia="Arial" w:hAnsi="Arial"/>
                <w:sz w:val="20"/>
                <w:szCs w:val="20"/>
                <w:color w:val="auto"/>
              </w:rPr>
              <w:t>February 24, 2021</w:t>
            </w:r>
          </w:p>
        </w:tc>
      </w:tr>
      <w:tr>
        <w:trPr>
          <w:trHeight w:val="499"/>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Christopher Meyer</w:t>
            </w:r>
          </w:p>
        </w:tc>
        <w:tc>
          <w:tcPr>
            <w:tcW w:w="340" w:type="dxa"/>
            <w:vAlign w:val="bottom"/>
          </w:tcPr>
          <w:p>
            <w:pPr>
              <w:spacing w:after="0"/>
              <w:rPr>
                <w:sz w:val="24"/>
                <w:szCs w:val="24"/>
                <w:color w:val="auto"/>
              </w:rPr>
            </w:pPr>
          </w:p>
        </w:tc>
        <w:tc>
          <w:tcPr>
            <w:tcW w:w="5860" w:type="dxa"/>
            <w:vAlign w:val="bottom"/>
            <w:gridSpan w:val="2"/>
          </w:tcPr>
          <w:p>
            <w:pPr>
              <w:ind w:left="20"/>
              <w:spacing w:after="0"/>
              <w:rPr>
                <w:sz w:val="20"/>
                <w:szCs w:val="20"/>
                <w:color w:val="auto"/>
              </w:rPr>
            </w:pPr>
            <w:r>
              <w:rPr>
                <w:rFonts w:ascii="Arial" w:cs="Arial" w:eastAsia="Arial" w:hAnsi="Arial"/>
                <w:sz w:val="20"/>
                <w:szCs w:val="20"/>
                <w:color w:val="auto"/>
              </w:rPr>
              <w:t>Executive Vice President and Chief Financial Officer</w:t>
            </w:r>
          </w:p>
        </w:tc>
        <w:tc>
          <w:tcPr>
            <w:tcW w:w="2020" w:type="dxa"/>
            <w:vAlign w:val="bottom"/>
          </w:tcPr>
          <w:p>
            <w:pPr>
              <w:spacing w:after="0"/>
              <w:rPr>
                <w:sz w:val="24"/>
                <w:szCs w:val="24"/>
                <w:color w:val="auto"/>
              </w:rPr>
            </w:pPr>
          </w:p>
        </w:tc>
      </w:tr>
      <w:tr>
        <w:trPr>
          <w:trHeight w:val="264"/>
        </w:trPr>
        <w:tc>
          <w:tcPr>
            <w:tcW w:w="3020" w:type="dxa"/>
            <w:vAlign w:val="bottom"/>
          </w:tcPr>
          <w:p>
            <w:pPr>
              <w:ind w:left="20"/>
              <w:spacing w:after="0"/>
              <w:rPr>
                <w:sz w:val="20"/>
                <w:szCs w:val="20"/>
                <w:color w:val="auto"/>
              </w:rPr>
            </w:pPr>
            <w:r>
              <w:rPr>
                <w:rFonts w:ascii="Arial" w:cs="Arial" w:eastAsia="Arial" w:hAnsi="Arial"/>
                <w:sz w:val="20"/>
                <w:szCs w:val="20"/>
                <w:color w:val="auto"/>
              </w:rPr>
              <w:t>Christopher Meyer</w:t>
            </w:r>
          </w:p>
        </w:tc>
        <w:tc>
          <w:tcPr>
            <w:tcW w:w="340" w:type="dxa"/>
            <w:vAlign w:val="bottom"/>
          </w:tcPr>
          <w:p>
            <w:pPr>
              <w:spacing w:after="0"/>
              <w:rPr>
                <w:sz w:val="22"/>
                <w:szCs w:val="22"/>
                <w:color w:val="auto"/>
              </w:rPr>
            </w:pPr>
          </w:p>
        </w:tc>
        <w:tc>
          <w:tcPr>
            <w:tcW w:w="5860" w:type="dxa"/>
            <w:vAlign w:val="bottom"/>
            <w:gridSpan w:val="2"/>
          </w:tcPr>
          <w:p>
            <w:pPr>
              <w:ind w:left="20"/>
              <w:spacing w:after="0"/>
              <w:rPr>
                <w:sz w:val="20"/>
                <w:szCs w:val="20"/>
                <w:color w:val="auto"/>
              </w:rPr>
            </w:pPr>
            <w:r>
              <w:rPr>
                <w:rFonts w:ascii="Arial" w:cs="Arial" w:eastAsia="Arial" w:hAnsi="Arial"/>
                <w:sz w:val="20"/>
                <w:szCs w:val="20"/>
                <w:color w:val="auto"/>
              </w:rPr>
              <w:t>(Principal Financial and Accounting Officer)</w:t>
            </w:r>
          </w:p>
        </w:tc>
        <w:tc>
          <w:tcPr>
            <w:tcW w:w="2020" w:type="dxa"/>
            <w:vAlign w:val="bottom"/>
          </w:tcPr>
          <w:p>
            <w:pPr>
              <w:ind w:left="20"/>
              <w:spacing w:after="0"/>
              <w:rPr>
                <w:sz w:val="20"/>
                <w:szCs w:val="20"/>
                <w:color w:val="auto"/>
              </w:rPr>
            </w:pPr>
            <w:r>
              <w:rPr>
                <w:rFonts w:ascii="Arial" w:cs="Arial" w:eastAsia="Arial" w:hAnsi="Arial"/>
                <w:sz w:val="20"/>
                <w:szCs w:val="20"/>
                <w:color w:val="auto"/>
              </w:rPr>
              <w:t>February 24, 2021</w:t>
            </w:r>
          </w:p>
        </w:tc>
      </w:tr>
      <w:tr>
        <w:trPr>
          <w:trHeight w:val="459"/>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James R. Craigie</w:t>
            </w:r>
          </w:p>
        </w:tc>
        <w:tc>
          <w:tcPr>
            <w:tcW w:w="3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3020" w:type="dxa"/>
            <w:vAlign w:val="bottom"/>
          </w:tcPr>
          <w:p>
            <w:pPr>
              <w:ind w:left="20"/>
              <w:spacing w:after="0"/>
              <w:rPr>
                <w:sz w:val="20"/>
                <w:szCs w:val="20"/>
                <w:color w:val="auto"/>
              </w:rPr>
            </w:pPr>
            <w:r>
              <w:rPr>
                <w:rFonts w:ascii="Arial" w:cs="Arial" w:eastAsia="Arial" w:hAnsi="Arial"/>
                <w:sz w:val="20"/>
                <w:szCs w:val="20"/>
                <w:color w:val="auto"/>
              </w:rPr>
              <w:t>James R. Craigie</w:t>
            </w:r>
          </w:p>
        </w:tc>
        <w:tc>
          <w:tcPr>
            <w:tcW w:w="340" w:type="dxa"/>
            <w:vAlign w:val="bottom"/>
          </w:tcPr>
          <w:p>
            <w:pPr>
              <w:spacing w:after="0"/>
              <w:rPr>
                <w:sz w:val="21"/>
                <w:szCs w:val="21"/>
                <w:color w:val="auto"/>
              </w:rPr>
            </w:pPr>
          </w:p>
        </w:tc>
        <w:tc>
          <w:tcPr>
            <w:tcW w:w="5860" w:type="dxa"/>
            <w:vAlign w:val="bottom"/>
            <w:gridSpan w:val="2"/>
          </w:tcPr>
          <w:p>
            <w:pPr>
              <w:ind w:left="20"/>
              <w:spacing w:after="0"/>
              <w:rPr>
                <w:sz w:val="20"/>
                <w:szCs w:val="20"/>
                <w:color w:val="auto"/>
              </w:rPr>
            </w:pPr>
            <w:r>
              <w:rPr>
                <w:rFonts w:ascii="Arial" w:cs="Arial" w:eastAsia="Arial" w:hAnsi="Arial"/>
                <w:sz w:val="20"/>
                <w:szCs w:val="20"/>
                <w:color w:val="auto"/>
              </w:rPr>
              <w:t>Chairman of the Board and Director</w:t>
            </w:r>
          </w:p>
        </w:tc>
        <w:tc>
          <w:tcPr>
            <w:tcW w:w="2020" w:type="dxa"/>
            <w:vAlign w:val="bottom"/>
          </w:tcPr>
          <w:p>
            <w:pPr>
              <w:ind w:left="20"/>
              <w:spacing w:after="0"/>
              <w:rPr>
                <w:sz w:val="20"/>
                <w:szCs w:val="20"/>
                <w:color w:val="auto"/>
              </w:rPr>
            </w:pPr>
            <w:r>
              <w:rPr>
                <w:rFonts w:ascii="Arial" w:cs="Arial" w:eastAsia="Arial" w:hAnsi="Arial"/>
                <w:sz w:val="20"/>
                <w:szCs w:val="20"/>
                <w:color w:val="auto"/>
              </w:rPr>
              <w:t>February 24, 2021</w:t>
            </w:r>
          </w:p>
        </w:tc>
      </w:tr>
      <w:tr>
        <w:trPr>
          <w:trHeight w:val="513"/>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Wendy A. Beck</w:t>
            </w:r>
          </w:p>
        </w:tc>
        <w:tc>
          <w:tcPr>
            <w:tcW w:w="3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3020" w:type="dxa"/>
            <w:vAlign w:val="bottom"/>
          </w:tcPr>
          <w:p>
            <w:pPr>
              <w:ind w:left="20"/>
              <w:spacing w:after="0"/>
              <w:rPr>
                <w:sz w:val="20"/>
                <w:szCs w:val="20"/>
                <w:color w:val="auto"/>
              </w:rPr>
            </w:pPr>
            <w:r>
              <w:rPr>
                <w:rFonts w:ascii="Arial" w:cs="Arial" w:eastAsia="Arial" w:hAnsi="Arial"/>
                <w:sz w:val="20"/>
                <w:szCs w:val="20"/>
                <w:color w:val="auto"/>
              </w:rPr>
              <w:t>Wendy A. Beck</w:t>
            </w:r>
          </w:p>
        </w:tc>
        <w:tc>
          <w:tcPr>
            <w:tcW w:w="340" w:type="dxa"/>
            <w:vAlign w:val="bottom"/>
          </w:tcPr>
          <w:p>
            <w:pPr>
              <w:spacing w:after="0"/>
              <w:rPr>
                <w:sz w:val="21"/>
                <w:szCs w:val="21"/>
                <w:color w:val="auto"/>
              </w:rPr>
            </w:pPr>
          </w:p>
        </w:tc>
        <w:tc>
          <w:tcPr>
            <w:tcW w:w="586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20" w:type="dxa"/>
            <w:vAlign w:val="bottom"/>
          </w:tcPr>
          <w:p>
            <w:pPr>
              <w:ind w:left="20"/>
              <w:spacing w:after="0"/>
              <w:rPr>
                <w:sz w:val="20"/>
                <w:szCs w:val="20"/>
                <w:color w:val="auto"/>
              </w:rPr>
            </w:pPr>
            <w:r>
              <w:rPr>
                <w:rFonts w:ascii="Arial" w:cs="Arial" w:eastAsia="Arial" w:hAnsi="Arial"/>
                <w:sz w:val="20"/>
                <w:szCs w:val="20"/>
                <w:color w:val="auto"/>
              </w:rPr>
              <w:t>February 24, 2021</w:t>
            </w:r>
          </w:p>
        </w:tc>
      </w:tr>
      <w:tr>
        <w:trPr>
          <w:trHeight w:val="486"/>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David R. Fitzjohn</w:t>
            </w:r>
          </w:p>
        </w:tc>
        <w:tc>
          <w:tcPr>
            <w:tcW w:w="3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3020" w:type="dxa"/>
            <w:vAlign w:val="bottom"/>
          </w:tcPr>
          <w:p>
            <w:pPr>
              <w:ind w:left="20"/>
              <w:spacing w:after="0"/>
              <w:rPr>
                <w:sz w:val="20"/>
                <w:szCs w:val="20"/>
                <w:color w:val="auto"/>
              </w:rPr>
            </w:pPr>
            <w:r>
              <w:rPr>
                <w:rFonts w:ascii="Arial" w:cs="Arial" w:eastAsia="Arial" w:hAnsi="Arial"/>
                <w:sz w:val="20"/>
                <w:szCs w:val="20"/>
                <w:color w:val="auto"/>
              </w:rPr>
              <w:t>David R. Fitzjohn</w:t>
            </w:r>
          </w:p>
        </w:tc>
        <w:tc>
          <w:tcPr>
            <w:tcW w:w="340" w:type="dxa"/>
            <w:vAlign w:val="bottom"/>
          </w:tcPr>
          <w:p>
            <w:pPr>
              <w:spacing w:after="0"/>
              <w:rPr>
                <w:sz w:val="21"/>
                <w:szCs w:val="21"/>
                <w:color w:val="auto"/>
              </w:rPr>
            </w:pPr>
          </w:p>
        </w:tc>
        <w:tc>
          <w:tcPr>
            <w:tcW w:w="586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20" w:type="dxa"/>
            <w:vAlign w:val="bottom"/>
          </w:tcPr>
          <w:p>
            <w:pPr>
              <w:ind w:left="20"/>
              <w:spacing w:after="0"/>
              <w:rPr>
                <w:sz w:val="20"/>
                <w:szCs w:val="20"/>
                <w:color w:val="auto"/>
              </w:rPr>
            </w:pPr>
            <w:r>
              <w:rPr>
                <w:rFonts w:ascii="Arial" w:cs="Arial" w:eastAsia="Arial" w:hAnsi="Arial"/>
                <w:sz w:val="20"/>
                <w:szCs w:val="20"/>
                <w:color w:val="auto"/>
              </w:rPr>
              <w:t>February 24, 2021</w:t>
            </w:r>
          </w:p>
        </w:tc>
      </w:tr>
      <w:tr>
        <w:trPr>
          <w:trHeight w:val="513"/>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John Gainor</w:t>
            </w:r>
          </w:p>
        </w:tc>
        <w:tc>
          <w:tcPr>
            <w:tcW w:w="3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3020" w:type="dxa"/>
            <w:vAlign w:val="bottom"/>
          </w:tcPr>
          <w:p>
            <w:pPr>
              <w:ind w:left="20"/>
              <w:spacing w:after="0"/>
              <w:rPr>
                <w:sz w:val="20"/>
                <w:szCs w:val="20"/>
                <w:color w:val="auto"/>
              </w:rPr>
            </w:pPr>
            <w:r>
              <w:rPr>
                <w:rFonts w:ascii="Arial" w:cs="Arial" w:eastAsia="Arial" w:hAnsi="Arial"/>
                <w:sz w:val="20"/>
                <w:szCs w:val="20"/>
                <w:color w:val="auto"/>
              </w:rPr>
              <w:t>John Gainor</w:t>
            </w:r>
          </w:p>
        </w:tc>
        <w:tc>
          <w:tcPr>
            <w:tcW w:w="340" w:type="dxa"/>
            <w:vAlign w:val="bottom"/>
          </w:tcPr>
          <w:p>
            <w:pPr>
              <w:spacing w:after="0"/>
              <w:rPr>
                <w:sz w:val="21"/>
                <w:szCs w:val="21"/>
                <w:color w:val="auto"/>
              </w:rPr>
            </w:pPr>
          </w:p>
        </w:tc>
        <w:tc>
          <w:tcPr>
            <w:tcW w:w="586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20" w:type="dxa"/>
            <w:vAlign w:val="bottom"/>
          </w:tcPr>
          <w:p>
            <w:pPr>
              <w:ind w:left="20"/>
              <w:spacing w:after="0"/>
              <w:rPr>
                <w:sz w:val="20"/>
                <w:szCs w:val="20"/>
                <w:color w:val="auto"/>
              </w:rPr>
            </w:pPr>
            <w:r>
              <w:rPr>
                <w:rFonts w:ascii="Arial" w:cs="Arial" w:eastAsia="Arial" w:hAnsi="Arial"/>
                <w:sz w:val="20"/>
                <w:szCs w:val="20"/>
                <w:color w:val="auto"/>
              </w:rPr>
              <w:t>February 24, 2021</w:t>
            </w:r>
          </w:p>
        </w:tc>
      </w:tr>
      <w:tr>
        <w:trPr>
          <w:trHeight w:val="459"/>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Lawrence Jackson</w:t>
            </w:r>
          </w:p>
        </w:tc>
        <w:tc>
          <w:tcPr>
            <w:tcW w:w="3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3020" w:type="dxa"/>
            <w:vAlign w:val="bottom"/>
          </w:tcPr>
          <w:p>
            <w:pPr>
              <w:ind w:left="20"/>
              <w:spacing w:after="0"/>
              <w:rPr>
                <w:sz w:val="20"/>
                <w:szCs w:val="20"/>
                <w:color w:val="auto"/>
              </w:rPr>
            </w:pPr>
            <w:r>
              <w:rPr>
                <w:rFonts w:ascii="Arial" w:cs="Arial" w:eastAsia="Arial" w:hAnsi="Arial"/>
                <w:sz w:val="20"/>
                <w:szCs w:val="20"/>
                <w:color w:val="auto"/>
              </w:rPr>
              <w:t>Lawrence Jackson</w:t>
            </w:r>
          </w:p>
        </w:tc>
        <w:tc>
          <w:tcPr>
            <w:tcW w:w="340" w:type="dxa"/>
            <w:vAlign w:val="bottom"/>
          </w:tcPr>
          <w:p>
            <w:pPr>
              <w:spacing w:after="0"/>
              <w:rPr>
                <w:sz w:val="21"/>
                <w:szCs w:val="21"/>
                <w:color w:val="auto"/>
              </w:rPr>
            </w:pPr>
          </w:p>
        </w:tc>
        <w:tc>
          <w:tcPr>
            <w:tcW w:w="586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20" w:type="dxa"/>
            <w:vAlign w:val="bottom"/>
          </w:tcPr>
          <w:p>
            <w:pPr>
              <w:ind w:left="20"/>
              <w:spacing w:after="0"/>
              <w:rPr>
                <w:sz w:val="20"/>
                <w:szCs w:val="20"/>
                <w:color w:val="auto"/>
              </w:rPr>
            </w:pPr>
            <w:r>
              <w:rPr>
                <w:rFonts w:ascii="Arial" w:cs="Arial" w:eastAsia="Arial" w:hAnsi="Arial"/>
                <w:sz w:val="20"/>
                <w:szCs w:val="20"/>
                <w:color w:val="auto"/>
              </w:rPr>
              <w:t>February 24, 2021</w:t>
            </w:r>
          </w:p>
        </w:tc>
      </w:tr>
      <w:tr>
        <w:trPr>
          <w:trHeight w:val="459"/>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Tara Walpert Levy</w:t>
            </w:r>
          </w:p>
        </w:tc>
        <w:tc>
          <w:tcPr>
            <w:tcW w:w="3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3020" w:type="dxa"/>
            <w:vAlign w:val="bottom"/>
          </w:tcPr>
          <w:p>
            <w:pPr>
              <w:ind w:left="20"/>
              <w:spacing w:after="0"/>
              <w:rPr>
                <w:sz w:val="20"/>
                <w:szCs w:val="20"/>
                <w:color w:val="auto"/>
              </w:rPr>
            </w:pPr>
            <w:r>
              <w:rPr>
                <w:rFonts w:ascii="Arial" w:cs="Arial" w:eastAsia="Arial" w:hAnsi="Arial"/>
                <w:sz w:val="20"/>
                <w:szCs w:val="20"/>
                <w:color w:val="auto"/>
              </w:rPr>
              <w:t>Tara Walpert Levy</w:t>
            </w:r>
          </w:p>
        </w:tc>
        <w:tc>
          <w:tcPr>
            <w:tcW w:w="340" w:type="dxa"/>
            <w:vAlign w:val="bottom"/>
          </w:tcPr>
          <w:p>
            <w:pPr>
              <w:spacing w:after="0"/>
              <w:rPr>
                <w:sz w:val="21"/>
                <w:szCs w:val="21"/>
                <w:color w:val="auto"/>
              </w:rPr>
            </w:pPr>
          </w:p>
        </w:tc>
        <w:tc>
          <w:tcPr>
            <w:tcW w:w="586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20" w:type="dxa"/>
            <w:vAlign w:val="bottom"/>
          </w:tcPr>
          <w:p>
            <w:pPr>
              <w:ind w:left="20"/>
              <w:spacing w:after="0"/>
              <w:rPr>
                <w:sz w:val="20"/>
                <w:szCs w:val="20"/>
                <w:color w:val="auto"/>
              </w:rPr>
            </w:pPr>
            <w:r>
              <w:rPr>
                <w:rFonts w:ascii="Arial" w:cs="Arial" w:eastAsia="Arial" w:hAnsi="Arial"/>
                <w:sz w:val="20"/>
                <w:szCs w:val="20"/>
                <w:color w:val="auto"/>
              </w:rPr>
              <w:t>February 24, 2021</w:t>
            </w:r>
          </w:p>
        </w:tc>
      </w:tr>
      <w:tr>
        <w:trPr>
          <w:trHeight w:val="486"/>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John J. Mahoney</w:t>
            </w:r>
          </w:p>
        </w:tc>
        <w:tc>
          <w:tcPr>
            <w:tcW w:w="3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3020" w:type="dxa"/>
            <w:vAlign w:val="bottom"/>
          </w:tcPr>
          <w:p>
            <w:pPr>
              <w:ind w:left="20"/>
              <w:spacing w:after="0"/>
              <w:rPr>
                <w:sz w:val="20"/>
                <w:szCs w:val="20"/>
                <w:color w:val="auto"/>
              </w:rPr>
            </w:pPr>
            <w:r>
              <w:rPr>
                <w:rFonts w:ascii="Arial" w:cs="Arial" w:eastAsia="Arial" w:hAnsi="Arial"/>
                <w:sz w:val="20"/>
                <w:szCs w:val="20"/>
                <w:color w:val="auto"/>
              </w:rPr>
              <w:t>John J. Mahoney</w:t>
            </w:r>
          </w:p>
        </w:tc>
        <w:tc>
          <w:tcPr>
            <w:tcW w:w="340" w:type="dxa"/>
            <w:vAlign w:val="bottom"/>
          </w:tcPr>
          <w:p>
            <w:pPr>
              <w:spacing w:after="0"/>
              <w:rPr>
                <w:sz w:val="21"/>
                <w:szCs w:val="21"/>
                <w:color w:val="auto"/>
              </w:rPr>
            </w:pPr>
          </w:p>
        </w:tc>
        <w:tc>
          <w:tcPr>
            <w:tcW w:w="586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20" w:type="dxa"/>
            <w:vAlign w:val="bottom"/>
          </w:tcPr>
          <w:p>
            <w:pPr>
              <w:ind w:left="20"/>
              <w:spacing w:after="0"/>
              <w:rPr>
                <w:sz w:val="20"/>
                <w:szCs w:val="20"/>
                <w:color w:val="auto"/>
              </w:rPr>
            </w:pPr>
            <w:r>
              <w:rPr>
                <w:rFonts w:ascii="Arial" w:cs="Arial" w:eastAsia="Arial" w:hAnsi="Arial"/>
                <w:sz w:val="20"/>
                <w:szCs w:val="20"/>
                <w:color w:val="auto"/>
              </w:rPr>
              <w:t>February 24, 2021</w:t>
            </w:r>
          </w:p>
        </w:tc>
      </w:tr>
      <w:tr>
        <w:trPr>
          <w:trHeight w:val="459"/>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R. Michael Mohan</w:t>
            </w:r>
          </w:p>
        </w:tc>
        <w:tc>
          <w:tcPr>
            <w:tcW w:w="3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3020" w:type="dxa"/>
            <w:vAlign w:val="bottom"/>
          </w:tcPr>
          <w:p>
            <w:pPr>
              <w:ind w:left="20"/>
              <w:spacing w:after="0"/>
              <w:rPr>
                <w:sz w:val="20"/>
                <w:szCs w:val="20"/>
                <w:color w:val="auto"/>
              </w:rPr>
            </w:pPr>
            <w:r>
              <w:rPr>
                <w:rFonts w:ascii="Arial" w:cs="Arial" w:eastAsia="Arial" w:hAnsi="Arial"/>
                <w:sz w:val="20"/>
                <w:szCs w:val="20"/>
                <w:color w:val="auto"/>
              </w:rPr>
              <w:t>R. Michael Mohan</w:t>
            </w:r>
          </w:p>
        </w:tc>
        <w:tc>
          <w:tcPr>
            <w:tcW w:w="340" w:type="dxa"/>
            <w:vAlign w:val="bottom"/>
          </w:tcPr>
          <w:p>
            <w:pPr>
              <w:spacing w:after="0"/>
              <w:rPr>
                <w:sz w:val="21"/>
                <w:szCs w:val="21"/>
                <w:color w:val="auto"/>
              </w:rPr>
            </w:pPr>
          </w:p>
        </w:tc>
        <w:tc>
          <w:tcPr>
            <w:tcW w:w="586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20" w:type="dxa"/>
            <w:vAlign w:val="bottom"/>
          </w:tcPr>
          <w:p>
            <w:pPr>
              <w:ind w:left="20"/>
              <w:spacing w:after="0"/>
              <w:rPr>
                <w:sz w:val="20"/>
                <w:szCs w:val="20"/>
                <w:color w:val="auto"/>
              </w:rPr>
            </w:pPr>
            <w:r>
              <w:rPr>
                <w:rFonts w:ascii="Arial" w:cs="Arial" w:eastAsia="Arial" w:hAnsi="Arial"/>
                <w:sz w:val="20"/>
                <w:szCs w:val="20"/>
                <w:color w:val="auto"/>
              </w:rPr>
              <w:t>February 24, 2021</w:t>
            </w:r>
          </w:p>
        </w:tc>
      </w:tr>
      <w:tr>
        <w:trPr>
          <w:trHeight w:val="513"/>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Elizabeth A. Smith</w:t>
            </w:r>
          </w:p>
        </w:tc>
        <w:tc>
          <w:tcPr>
            <w:tcW w:w="3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3020" w:type="dxa"/>
            <w:vAlign w:val="bottom"/>
          </w:tcPr>
          <w:p>
            <w:pPr>
              <w:ind w:left="20"/>
              <w:spacing w:after="0"/>
              <w:rPr>
                <w:sz w:val="20"/>
                <w:szCs w:val="20"/>
                <w:color w:val="auto"/>
              </w:rPr>
            </w:pPr>
            <w:r>
              <w:rPr>
                <w:rFonts w:ascii="Arial" w:cs="Arial" w:eastAsia="Arial" w:hAnsi="Arial"/>
                <w:sz w:val="20"/>
                <w:szCs w:val="20"/>
                <w:color w:val="auto"/>
              </w:rPr>
              <w:t>Elizabeth A. Smith</w:t>
            </w:r>
          </w:p>
        </w:tc>
        <w:tc>
          <w:tcPr>
            <w:tcW w:w="340" w:type="dxa"/>
            <w:vAlign w:val="bottom"/>
          </w:tcPr>
          <w:p>
            <w:pPr>
              <w:spacing w:after="0"/>
              <w:rPr>
                <w:sz w:val="21"/>
                <w:szCs w:val="21"/>
                <w:color w:val="auto"/>
              </w:rPr>
            </w:pPr>
          </w:p>
        </w:tc>
        <w:tc>
          <w:tcPr>
            <w:tcW w:w="586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20" w:type="dxa"/>
            <w:vAlign w:val="bottom"/>
          </w:tcPr>
          <w:p>
            <w:pPr>
              <w:ind w:left="20"/>
              <w:spacing w:after="0"/>
              <w:rPr>
                <w:sz w:val="20"/>
                <w:szCs w:val="20"/>
                <w:color w:val="auto"/>
              </w:rPr>
            </w:pPr>
            <w:r>
              <w:rPr>
                <w:rFonts w:ascii="Arial" w:cs="Arial" w:eastAsia="Arial" w:hAnsi="Arial"/>
                <w:sz w:val="20"/>
                <w:szCs w:val="20"/>
                <w:color w:val="auto"/>
              </w:rPr>
              <w:t>February 24, 2021</w:t>
            </w:r>
          </w:p>
        </w:tc>
      </w:tr>
    </w:tbl>
    <w:p>
      <w:pPr>
        <w:sectPr>
          <w:pgSz w:w="11900" w:h="16838" w:orient="portrait"/>
          <w:cols w:equalWidth="0" w:num="1">
            <w:col w:w="11240"/>
          </w:cols>
          <w:pgMar w:left="320" w:top="121" w:right="339" w:bottom="1440" w:gutter="0" w:footer="0" w:header="0"/>
        </w:sectPr>
      </w:pPr>
    </w:p>
    <w:bookmarkStart w:id="124" w:name="page125"/>
    <w:bookmarkEnd w:id="124"/>
    <w:p>
      <w:pPr>
        <w:ind w:left="9780"/>
        <w:spacing w:after="0"/>
        <w:rPr>
          <w:sz w:val="20"/>
          <w:szCs w:val="20"/>
          <w:color w:val="auto"/>
        </w:rPr>
      </w:pPr>
      <w:r>
        <w:rPr>
          <w:rFonts w:ascii="Arial" w:cs="Arial" w:eastAsia="Arial" w:hAnsi="Arial"/>
          <w:sz w:val="18"/>
          <w:szCs w:val="18"/>
          <w:b w:val="1"/>
          <w:bCs w:val="1"/>
          <w:color w:val="auto"/>
        </w:rPr>
        <w:t>Exhibit 10.48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Performance Award Agreement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Bloomin’ Brands, Inc. 2020 Omnibus Incentive Compensation Plan</w:t>
      </w:r>
    </w:p>
    <w:p>
      <w:pPr>
        <w:spacing w:after="0" w:line="229" w:lineRule="exact"/>
        <w:rPr>
          <w:sz w:val="20"/>
          <w:szCs w:val="20"/>
          <w:color w:val="auto"/>
        </w:rPr>
      </w:pPr>
    </w:p>
    <w:p>
      <w:pPr>
        <w:jc w:val="both"/>
        <w:ind w:firstLine="250"/>
        <w:spacing w:after="0" w:line="260" w:lineRule="auto"/>
        <w:rPr>
          <w:sz w:val="20"/>
          <w:szCs w:val="20"/>
          <w:color w:val="auto"/>
        </w:rPr>
      </w:pPr>
      <w:r>
        <w:rPr>
          <w:rFonts w:ascii="Arial" w:cs="Arial" w:eastAsia="Arial" w:hAnsi="Arial"/>
          <w:sz w:val="21"/>
          <w:szCs w:val="21"/>
          <w:color w:val="auto"/>
        </w:rPr>
        <w:t>Bloomin’ Brands, Inc. (the “</w:t>
      </w:r>
      <w:r>
        <w:rPr>
          <w:rFonts w:ascii="Arial" w:cs="Arial" w:eastAsia="Arial" w:hAnsi="Arial"/>
          <w:sz w:val="21"/>
          <w:szCs w:val="21"/>
          <w:u w:val="single" w:color="auto"/>
          <w:color w:val="auto"/>
        </w:rPr>
        <w:t>Company</w:t>
      </w:r>
      <w:r>
        <w:rPr>
          <w:rFonts w:ascii="Arial" w:cs="Arial" w:eastAsia="Arial" w:hAnsi="Arial"/>
          <w:sz w:val="21"/>
          <w:szCs w:val="21"/>
          <w:color w:val="auto"/>
        </w:rPr>
        <w:t>”) hereby issues to the Participant an award (the “</w:t>
      </w:r>
      <w:r>
        <w:rPr>
          <w:rFonts w:ascii="Arial" w:cs="Arial" w:eastAsia="Arial" w:hAnsi="Arial"/>
          <w:sz w:val="21"/>
          <w:szCs w:val="21"/>
          <w:u w:val="single" w:color="auto"/>
          <w:color w:val="auto"/>
        </w:rPr>
        <w:t>Award</w:t>
      </w:r>
      <w:r>
        <w:rPr>
          <w:rFonts w:ascii="Arial" w:cs="Arial" w:eastAsia="Arial" w:hAnsi="Arial"/>
          <w:sz w:val="21"/>
          <w:szCs w:val="21"/>
          <w:color w:val="auto"/>
        </w:rPr>
        <w:t>”) of performance-based Share units (“</w:t>
      </w:r>
      <w:r>
        <w:rPr>
          <w:rFonts w:ascii="Arial" w:cs="Arial" w:eastAsia="Arial" w:hAnsi="Arial"/>
          <w:sz w:val="21"/>
          <w:szCs w:val="21"/>
          <w:u w:val="single" w:color="auto"/>
          <w:color w:val="auto"/>
        </w:rPr>
        <w:t>Performance Awards</w:t>
      </w:r>
      <w:r>
        <w:rPr>
          <w:rFonts w:ascii="Arial" w:cs="Arial" w:eastAsia="Arial" w:hAnsi="Arial"/>
          <w:sz w:val="21"/>
          <w:szCs w:val="21"/>
          <w:color w:val="auto"/>
        </w:rPr>
        <w:t>”). Each Performance Award represents an unfunded, unsecured promise of the Company to deliver to the Participant one Share, subject to the vesting and other restrictions, terms and conditions set forth in the Bloomin’ Brands, Inc. 2020 Omnibus Incentive Compensation Plan (the “</w:t>
      </w:r>
      <w:r>
        <w:rPr>
          <w:rFonts w:ascii="Arial" w:cs="Arial" w:eastAsia="Arial" w:hAnsi="Arial"/>
          <w:sz w:val="21"/>
          <w:szCs w:val="21"/>
          <w:u w:val="single" w:color="auto"/>
          <w:color w:val="auto"/>
        </w:rPr>
        <w:t>Plan</w:t>
      </w:r>
      <w:r>
        <w:rPr>
          <w:rFonts w:ascii="Arial" w:cs="Arial" w:eastAsia="Arial" w:hAnsi="Arial"/>
          <w:sz w:val="21"/>
          <w:szCs w:val="21"/>
          <w:color w:val="auto"/>
        </w:rPr>
        <w:t xml:space="preserve">”) and those set forth in this Agreement, including the Terms and Conditions of Performance Award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and the Performance-Based Vesting Terms and Conditions contained in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(collectively, the “</w:t>
      </w:r>
      <w:r>
        <w:rPr>
          <w:rFonts w:ascii="Arial" w:cs="Arial" w:eastAsia="Arial" w:hAnsi="Arial"/>
          <w:sz w:val="21"/>
          <w:szCs w:val="21"/>
          <w:u w:val="single" w:color="auto"/>
          <w:color w:val="auto"/>
        </w:rPr>
        <w:t>Agreement</w:t>
      </w:r>
      <w:r>
        <w:rPr>
          <w:rFonts w:ascii="Arial" w:cs="Arial" w:eastAsia="Arial" w:hAnsi="Arial"/>
          <w:sz w:val="21"/>
          <w:szCs w:val="21"/>
          <w:color w:val="auto"/>
        </w:rPr>
        <w:t>”). Any capitalized terms used in this Agreement and not defined herein shall have the meanings ascribed to such terms in the Plan.</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Performance Awards:</w:t>
      </w: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3300" w:type="dxa"/>
            <w:vAlign w:val="bottom"/>
            <w:gridSpan w:val="4"/>
          </w:tcPr>
          <w:p>
            <w:pPr>
              <w:spacing w:after="0"/>
              <w:rPr>
                <w:sz w:val="20"/>
                <w:szCs w:val="20"/>
                <w:color w:val="auto"/>
              </w:rPr>
            </w:pPr>
            <w:r>
              <w:rPr>
                <w:rFonts w:ascii="Arial" w:cs="Arial" w:eastAsia="Arial" w:hAnsi="Arial"/>
                <w:sz w:val="22"/>
                <w:szCs w:val="22"/>
                <w:color w:val="auto"/>
              </w:rPr>
              <w:t>Name/Participant:</w:t>
            </w:r>
          </w:p>
        </w:tc>
        <w:tc>
          <w:tcPr>
            <w:tcW w:w="3240" w:type="dxa"/>
            <w:vAlign w:val="bottom"/>
          </w:tcPr>
          <w:p>
            <w:pPr>
              <w:ind w:left="1440"/>
              <w:spacing w:after="0"/>
              <w:rPr>
                <w:sz w:val="20"/>
                <w:szCs w:val="20"/>
                <w:color w:val="auto"/>
              </w:rPr>
            </w:pPr>
            <w:r>
              <w:rPr>
                <w:rFonts w:ascii="Arial" w:cs="Arial" w:eastAsia="Arial" w:hAnsi="Arial"/>
                <w:sz w:val="22"/>
                <w:szCs w:val="22"/>
                <w:color w:val="auto"/>
              </w:rPr>
              <w:t>&lt;name&gt;</w:t>
            </w:r>
          </w:p>
        </w:tc>
      </w:tr>
      <w:tr>
        <w:trPr>
          <w:trHeight w:val="250"/>
        </w:trPr>
        <w:tc>
          <w:tcPr>
            <w:tcW w:w="1520" w:type="dxa"/>
            <w:vAlign w:val="bottom"/>
            <w:tcBorders>
              <w:top w:val="single" w:sz="8" w:color="auto"/>
            </w:tcBorders>
            <w:gridSpan w:val="2"/>
          </w:tcPr>
          <w:p>
            <w:pPr>
              <w:spacing w:after="0" w:line="250" w:lineRule="exact"/>
              <w:rPr>
                <w:sz w:val="20"/>
                <w:szCs w:val="20"/>
                <w:color w:val="auto"/>
              </w:rPr>
            </w:pPr>
            <w:r>
              <w:rPr>
                <w:rFonts w:ascii="Arial" w:cs="Arial" w:eastAsia="Arial" w:hAnsi="Arial"/>
                <w:sz w:val="22"/>
                <w:szCs w:val="22"/>
                <w:color w:val="auto"/>
              </w:rPr>
              <w:t>Type of Grant:</w:t>
            </w:r>
          </w:p>
        </w:tc>
        <w:tc>
          <w:tcPr>
            <w:tcW w:w="1780" w:type="dxa"/>
            <w:vAlign w:val="bottom"/>
            <w:gridSpan w:val="2"/>
          </w:tcPr>
          <w:p>
            <w:pPr>
              <w:spacing w:after="0"/>
              <w:rPr>
                <w:sz w:val="21"/>
                <w:szCs w:val="21"/>
                <w:color w:val="auto"/>
              </w:rPr>
            </w:pPr>
          </w:p>
        </w:tc>
        <w:tc>
          <w:tcPr>
            <w:tcW w:w="3240" w:type="dxa"/>
            <w:vAlign w:val="bottom"/>
          </w:tcPr>
          <w:p>
            <w:pPr>
              <w:ind w:left="1440"/>
              <w:spacing w:after="0" w:line="250" w:lineRule="exact"/>
              <w:rPr>
                <w:sz w:val="20"/>
                <w:szCs w:val="20"/>
                <w:color w:val="auto"/>
              </w:rPr>
            </w:pPr>
            <w:r>
              <w:rPr>
                <w:rFonts w:ascii="Arial" w:cs="Arial" w:eastAsia="Arial" w:hAnsi="Arial"/>
                <w:sz w:val="22"/>
                <w:szCs w:val="22"/>
                <w:color w:val="auto"/>
                <w:w w:val="86"/>
              </w:rPr>
              <w:t>Performance Awards</w:t>
            </w:r>
          </w:p>
        </w:tc>
      </w:tr>
      <w:tr>
        <w:trPr>
          <w:trHeight w:val="20"/>
        </w:trPr>
        <w:tc>
          <w:tcPr>
            <w:tcW w:w="120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50"/>
        </w:trPr>
        <w:tc>
          <w:tcPr>
            <w:tcW w:w="3300" w:type="dxa"/>
            <w:vAlign w:val="bottom"/>
            <w:gridSpan w:val="4"/>
          </w:tcPr>
          <w:p>
            <w:pPr>
              <w:spacing w:after="0" w:line="250" w:lineRule="exact"/>
              <w:rPr>
                <w:sz w:val="20"/>
                <w:szCs w:val="20"/>
                <w:color w:val="auto"/>
              </w:rPr>
            </w:pPr>
            <w:r>
              <w:rPr>
                <w:rFonts w:ascii="Arial" w:cs="Arial" w:eastAsia="Arial" w:hAnsi="Arial"/>
                <w:sz w:val="22"/>
                <w:szCs w:val="22"/>
                <w:color w:val="auto"/>
              </w:rPr>
              <w:t>Date of Grant:</w:t>
            </w:r>
          </w:p>
        </w:tc>
        <w:tc>
          <w:tcPr>
            <w:tcW w:w="3240" w:type="dxa"/>
            <w:vAlign w:val="bottom"/>
          </w:tcPr>
          <w:p>
            <w:pPr>
              <w:ind w:left="1440"/>
              <w:spacing w:after="0" w:line="250" w:lineRule="exact"/>
              <w:rPr>
                <w:sz w:val="20"/>
                <w:szCs w:val="20"/>
                <w:color w:val="auto"/>
              </w:rPr>
            </w:pPr>
            <w:r>
              <w:rPr>
                <w:rFonts w:ascii="Arial" w:cs="Arial" w:eastAsia="Arial" w:hAnsi="Arial"/>
                <w:sz w:val="22"/>
                <w:szCs w:val="22"/>
                <w:color w:val="auto"/>
              </w:rPr>
              <w:t>&lt;date&gt;</w:t>
            </w:r>
          </w:p>
        </w:tc>
      </w:tr>
      <w:tr>
        <w:trPr>
          <w:trHeight w:val="20"/>
        </w:trPr>
        <w:tc>
          <w:tcPr>
            <w:tcW w:w="120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50"/>
        </w:trPr>
        <w:tc>
          <w:tcPr>
            <w:tcW w:w="3300" w:type="dxa"/>
            <w:vAlign w:val="bottom"/>
            <w:gridSpan w:val="4"/>
          </w:tcPr>
          <w:p>
            <w:pPr>
              <w:spacing w:after="0" w:line="250" w:lineRule="exact"/>
              <w:rPr>
                <w:sz w:val="20"/>
                <w:szCs w:val="20"/>
                <w:color w:val="auto"/>
              </w:rPr>
            </w:pPr>
            <w:r>
              <w:rPr>
                <w:rFonts w:ascii="Arial" w:cs="Arial" w:eastAsia="Arial" w:hAnsi="Arial"/>
                <w:sz w:val="22"/>
                <w:szCs w:val="22"/>
                <w:color w:val="auto"/>
              </w:rPr>
              <w:t>Total Shares Granted:</w:t>
            </w:r>
          </w:p>
        </w:tc>
        <w:tc>
          <w:tcPr>
            <w:tcW w:w="3240" w:type="dxa"/>
            <w:vAlign w:val="bottom"/>
          </w:tcPr>
          <w:p>
            <w:pPr>
              <w:ind w:left="1440"/>
              <w:spacing w:after="0" w:line="250" w:lineRule="exact"/>
              <w:rPr>
                <w:sz w:val="20"/>
                <w:szCs w:val="20"/>
                <w:color w:val="auto"/>
              </w:rPr>
            </w:pPr>
            <w:r>
              <w:rPr>
                <w:rFonts w:ascii="Arial" w:cs="Arial" w:eastAsia="Arial" w:hAnsi="Arial"/>
                <w:sz w:val="22"/>
                <w:szCs w:val="22"/>
                <w:color w:val="auto"/>
              </w:rPr>
              <w:t>&lt;shares&gt;</w:t>
            </w:r>
          </w:p>
        </w:tc>
      </w:tr>
      <w:tr>
        <w:trPr>
          <w:trHeight w:val="20"/>
        </w:trPr>
        <w:tc>
          <w:tcPr>
            <w:tcW w:w="120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bl>
    <w:p>
      <w:pPr>
        <w:spacing w:after="0" w:line="357" w:lineRule="exact"/>
        <w:rPr>
          <w:sz w:val="20"/>
          <w:szCs w:val="20"/>
          <w:color w:val="auto"/>
        </w:rPr>
      </w:pPr>
    </w:p>
    <w:p>
      <w:pPr>
        <w:jc w:val="both"/>
        <w:ind w:right="20"/>
        <w:spacing w:after="0" w:line="271" w:lineRule="auto"/>
        <w:rPr>
          <w:sz w:val="20"/>
          <w:szCs w:val="20"/>
          <w:color w:val="auto"/>
        </w:rPr>
      </w:pPr>
      <w:r>
        <w:rPr>
          <w:rFonts w:ascii="Arial" w:cs="Arial" w:eastAsia="Arial" w:hAnsi="Arial"/>
          <w:sz w:val="21"/>
          <w:szCs w:val="21"/>
          <w:color w:val="auto"/>
        </w:rPr>
        <w:t xml:space="preserve">The Participant, by accepting this award online on www.netbenefits.com, acknowledges and agrees that the Performance Awards are granted under and governed by the terms, and subject to the conditions, of this Agreement, including the Terms and Conditions of Performance Award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Exhibit B</w:t>
      </w:r>
      <w:r>
        <w:rPr>
          <w:rFonts w:ascii="Arial" w:cs="Arial" w:eastAsia="Arial" w:hAnsi="Arial"/>
          <w:sz w:val="21"/>
          <w:szCs w:val="21"/>
          <w:color w:val="auto"/>
        </w:rPr>
        <w:t>, and the Plan.</w:t>
      </w:r>
    </w:p>
    <w:p>
      <w:pPr>
        <w:sectPr>
          <w:pgSz w:w="11900" w:h="16838" w:orient="portrait"/>
          <w:cols w:equalWidth="0" w:num="1">
            <w:col w:w="11240"/>
          </w:cols>
          <w:pgMar w:left="320" w:top="162"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Terms and Conditions of Performance Award</w:t>
      </w:r>
    </w:p>
    <w:p>
      <w:pPr>
        <w:spacing w:after="0" w:line="266" w:lineRule="exact"/>
        <w:rPr>
          <w:sz w:val="20"/>
          <w:szCs w:val="20"/>
          <w:color w:val="auto"/>
        </w:rPr>
      </w:pPr>
    </w:p>
    <w:p>
      <w:pPr>
        <w:jc w:val="both"/>
        <w:ind w:left="-20" w:firstLine="656"/>
        <w:spacing w:after="0" w:line="261" w:lineRule="auto"/>
        <w:tabs>
          <w:tab w:leader="none" w:pos="1276" w:val="left"/>
        </w:tabs>
        <w:numPr>
          <w:ilvl w:val="0"/>
          <w:numId w:val="85"/>
        </w:numPr>
        <w:rPr>
          <w:rFonts w:ascii="Arial" w:cs="Arial" w:eastAsia="Arial" w:hAnsi="Arial"/>
          <w:sz w:val="21"/>
          <w:szCs w:val="21"/>
          <w:color w:val="auto"/>
        </w:rPr>
      </w:pPr>
      <w:r>
        <w:rPr>
          <w:rFonts w:ascii="Arial" w:cs="Arial" w:eastAsia="Arial" w:hAnsi="Arial"/>
          <w:sz w:val="21"/>
          <w:szCs w:val="21"/>
          <w:u w:val="single" w:color="auto"/>
          <w:color w:val="auto"/>
        </w:rPr>
        <w:t>Condition to the Participant’s Rights Under this Agreement</w:t>
      </w:r>
      <w:r>
        <w:rPr>
          <w:rFonts w:ascii="Arial" w:cs="Arial" w:eastAsia="Arial" w:hAnsi="Arial"/>
          <w:sz w:val="21"/>
          <w:szCs w:val="21"/>
          <w:color w:val="auto"/>
        </w:rPr>
        <w:t>. This Agreement shall not become effective, and the Participant shall have no rights with respect to the Award or the Performance Awards, unless and until the Participant has fully executed this Agreement by accepting the Award online as described above. Notwithstanding the foregoing, if the Participant does not otherwise reject this Award in writing to the Compensation department within 90 days of the Date of Grant or such other manner as the Company may specify from time to time in its sole discretion, the Participant shall be deemed to have accepted the Award, and the terms and conditions hereof, as of the Date of Grant.</w:t>
      </w:r>
    </w:p>
    <w:p>
      <w:pPr>
        <w:spacing w:after="0" w:line="206" w:lineRule="exact"/>
        <w:rPr>
          <w:rFonts w:ascii="Arial" w:cs="Arial" w:eastAsia="Arial" w:hAnsi="Arial"/>
          <w:sz w:val="21"/>
          <w:szCs w:val="21"/>
          <w:color w:val="auto"/>
        </w:rPr>
      </w:pPr>
    </w:p>
    <w:p>
      <w:pPr>
        <w:ind w:left="1280" w:hanging="644"/>
        <w:spacing w:after="0"/>
        <w:tabs>
          <w:tab w:leader="none" w:pos="1280"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20" w:firstLine="1304"/>
        <w:spacing w:after="0" w:line="259" w:lineRule="auto"/>
        <w:tabs>
          <w:tab w:leader="none" w:pos="1921" w:val="left"/>
        </w:tabs>
        <w:numPr>
          <w:ilvl w:val="1"/>
          <w:numId w:val="85"/>
        </w:numPr>
        <w:rPr>
          <w:rFonts w:ascii="Arial" w:cs="Arial" w:eastAsia="Arial" w:hAnsi="Arial"/>
          <w:sz w:val="21"/>
          <w:szCs w:val="21"/>
          <w:color w:val="auto"/>
        </w:rPr>
      </w:pPr>
      <w:r>
        <w:rPr>
          <w:rFonts w:ascii="Arial" w:cs="Arial" w:eastAsia="Arial" w:hAnsi="Arial"/>
          <w:sz w:val="21"/>
          <w:szCs w:val="21"/>
          <w:color w:val="auto"/>
        </w:rPr>
        <w:t xml:space="preserve">Subject to the provisions of this Agreement, the Performance Awards awarded under this Agreement shall vest, subject to the Participant’s Continuous Service on the vesting date set forth in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(the “</w:t>
      </w:r>
      <w:r>
        <w:rPr>
          <w:rFonts w:ascii="Arial" w:cs="Arial" w:eastAsia="Arial" w:hAnsi="Arial"/>
          <w:sz w:val="21"/>
          <w:szCs w:val="21"/>
          <w:u w:val="single" w:color="auto"/>
          <w:color w:val="auto"/>
        </w:rPr>
        <w:t>Vesting Date</w:t>
      </w:r>
      <w:r>
        <w:rPr>
          <w:rFonts w:ascii="Arial" w:cs="Arial" w:eastAsia="Arial" w:hAnsi="Arial"/>
          <w:sz w:val="21"/>
          <w:szCs w:val="21"/>
          <w:color w:val="auto"/>
        </w:rPr>
        <w:t>”), when the Committee certifies (A) the extent to which the Company’s performance results have satisfied the performance criteria (“</w:t>
      </w:r>
      <w:r>
        <w:rPr>
          <w:rFonts w:ascii="Arial" w:cs="Arial" w:eastAsia="Arial" w:hAnsi="Arial"/>
          <w:sz w:val="21"/>
          <w:szCs w:val="21"/>
          <w:u w:val="single" w:color="auto"/>
          <w:color w:val="auto"/>
        </w:rPr>
        <w:t>Performance Goals</w:t>
      </w:r>
      <w:r>
        <w:rPr>
          <w:rFonts w:ascii="Arial" w:cs="Arial" w:eastAsia="Arial" w:hAnsi="Arial"/>
          <w:sz w:val="21"/>
          <w:szCs w:val="21"/>
          <w:color w:val="auto"/>
        </w:rPr>
        <w:t>”) over the period beginning on [_____] and ending on [_____] (the “</w:t>
      </w:r>
      <w:r>
        <w:rPr>
          <w:rFonts w:ascii="Arial" w:cs="Arial" w:eastAsia="Arial" w:hAnsi="Arial"/>
          <w:sz w:val="21"/>
          <w:szCs w:val="21"/>
          <w:u w:val="single" w:color="auto"/>
          <w:color w:val="auto"/>
        </w:rPr>
        <w:t>Performance Period</w:t>
      </w:r>
      <w:r>
        <w:rPr>
          <w:rFonts w:ascii="Arial" w:cs="Arial" w:eastAsia="Arial" w:hAnsi="Arial"/>
          <w:sz w:val="21"/>
          <w:szCs w:val="21"/>
          <w:color w:val="auto"/>
        </w:rPr>
        <w:t xml:space="preserve">”) and (B) the corresponding number of Performance Awards that have been earned and vested as a result of the achievement of such Performance Goals during such Performance Period (which number may range from zero percent to </w:t>
      </w:r>
      <w:r>
        <w:rPr>
          <w:rFonts w:ascii="Arial" w:cs="Arial" w:eastAsia="Arial" w:hAnsi="Arial"/>
          <w:sz w:val="21"/>
          <w:szCs w:val="21"/>
          <w:b w:val="1"/>
          <w:bCs w:val="1"/>
          <w:color w:val="auto"/>
        </w:rPr>
        <w:t>200%</w:t>
      </w:r>
      <w:r>
        <w:rPr>
          <w:rFonts w:ascii="Arial" w:cs="Arial" w:eastAsia="Arial" w:hAnsi="Arial"/>
          <w:sz w:val="21"/>
          <w:szCs w:val="21"/>
          <w:color w:val="auto"/>
        </w:rPr>
        <w:t xml:space="preserve"> percent of the Target Number of Performance Awards eligible for vesting based on performance during such Performance Period), all as set forth in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Any Performance Awards that are eligible to be earned based on performance during the Performance Period, but do not so vest, shall be forfeited.</w:t>
      </w:r>
    </w:p>
    <w:p>
      <w:pPr>
        <w:spacing w:after="0" w:line="206" w:lineRule="exact"/>
        <w:rPr>
          <w:rFonts w:ascii="Arial" w:cs="Arial" w:eastAsia="Arial" w:hAnsi="Arial"/>
          <w:sz w:val="21"/>
          <w:szCs w:val="21"/>
          <w:color w:val="auto"/>
        </w:rPr>
      </w:pPr>
    </w:p>
    <w:p>
      <w:pPr>
        <w:ind w:left="-20" w:right="20" w:firstLine="1304"/>
        <w:spacing w:after="0" w:line="343" w:lineRule="auto"/>
        <w:tabs>
          <w:tab w:leader="none" w:pos="1919" w:val="left"/>
        </w:tabs>
        <w:numPr>
          <w:ilvl w:val="1"/>
          <w:numId w:val="85"/>
        </w:numPr>
        <w:rPr>
          <w:rFonts w:ascii="Arial" w:cs="Arial" w:eastAsia="Arial" w:hAnsi="Arial"/>
          <w:sz w:val="19"/>
          <w:szCs w:val="19"/>
          <w:color w:val="auto"/>
        </w:rPr>
      </w:pPr>
      <w:r>
        <w:rPr>
          <w:rFonts w:ascii="Arial" w:cs="Arial" w:eastAsia="Arial" w:hAnsi="Arial"/>
          <w:sz w:val="19"/>
          <w:szCs w:val="19"/>
          <w:color w:val="auto"/>
        </w:rPr>
        <w:t>Prior to actual payment of any of the Performance Awards that are earned and vested, the Performance Awards will represent unfunded, unsecured obligations of the Company in accordance with Section 17.13 of the Plan.</w:t>
      </w:r>
    </w:p>
    <w:p>
      <w:pPr>
        <w:spacing w:after="0" w:line="131" w:lineRule="exact"/>
        <w:rPr>
          <w:rFonts w:ascii="Arial" w:cs="Arial" w:eastAsia="Arial" w:hAnsi="Arial"/>
          <w:sz w:val="19"/>
          <w:szCs w:val="19"/>
          <w:color w:val="auto"/>
        </w:rPr>
      </w:pPr>
    </w:p>
    <w:p>
      <w:pPr>
        <w:jc w:val="both"/>
        <w:ind w:left="-20" w:firstLine="1304"/>
        <w:spacing w:after="0" w:line="302" w:lineRule="auto"/>
        <w:tabs>
          <w:tab w:leader="none" w:pos="1921" w:val="left"/>
        </w:tabs>
        <w:numPr>
          <w:ilvl w:val="1"/>
          <w:numId w:val="85"/>
        </w:numPr>
        <w:rPr>
          <w:rFonts w:ascii="Arial" w:cs="Arial" w:eastAsia="Arial" w:hAnsi="Arial"/>
          <w:sz w:val="19"/>
          <w:szCs w:val="19"/>
          <w:color w:val="auto"/>
        </w:rPr>
      </w:pPr>
      <w:r>
        <w:rPr>
          <w:rFonts w:ascii="Arial" w:cs="Arial" w:eastAsia="Arial" w:hAnsi="Arial"/>
          <w:sz w:val="19"/>
          <w:szCs w:val="19"/>
          <w:color w:val="auto"/>
        </w:rPr>
        <w:t>The Committee certification described in paragraph (a) of this Section 2 shall occur as soon as practicable after the end of the Performance Period. The Committee may make adjustments to Performance Goals as described in Section 9 of the Plan as the Committee deems appropriate and equitable in a manner consistent with the requirements of Section 162(m) of the Code (for Awards intended to comply with the Performance-based Exception) and otherwise subject to Section 9 of the Plan.</w:t>
      </w:r>
    </w:p>
    <w:p>
      <w:pPr>
        <w:spacing w:after="0" w:line="169" w:lineRule="exact"/>
        <w:rPr>
          <w:rFonts w:ascii="Arial" w:cs="Arial" w:eastAsia="Arial" w:hAnsi="Arial"/>
          <w:sz w:val="19"/>
          <w:szCs w:val="19"/>
          <w:color w:val="auto"/>
        </w:rPr>
      </w:pPr>
    </w:p>
    <w:p>
      <w:pPr>
        <w:ind w:left="-20" w:firstLine="656"/>
        <w:spacing w:after="0" w:line="263" w:lineRule="auto"/>
        <w:tabs>
          <w:tab w:leader="none" w:pos="1276"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Termination of Continuous Service</w:t>
      </w:r>
      <w:r>
        <w:rPr>
          <w:rFonts w:ascii="Arial" w:cs="Arial" w:eastAsia="Arial" w:hAnsi="Arial"/>
          <w:sz w:val="22"/>
          <w:szCs w:val="22"/>
          <w:color w:val="auto"/>
        </w:rPr>
        <w:t>. Except to the extent provided otherwise in Section 4 hereof or unless the Committee determines otherwise:</w:t>
      </w:r>
    </w:p>
    <w:p>
      <w:pPr>
        <w:spacing w:after="0" w:line="201" w:lineRule="exact"/>
        <w:rPr>
          <w:rFonts w:ascii="Arial" w:cs="Arial" w:eastAsia="Arial" w:hAnsi="Arial"/>
          <w:sz w:val="22"/>
          <w:szCs w:val="22"/>
          <w:color w:val="auto"/>
        </w:rPr>
      </w:pPr>
    </w:p>
    <w:p>
      <w:pPr>
        <w:ind w:left="-20" w:firstLine="1304"/>
        <w:spacing w:after="0" w:line="263" w:lineRule="auto"/>
        <w:tabs>
          <w:tab w:leader="none" w:pos="1921" w:val="left"/>
        </w:tabs>
        <w:numPr>
          <w:ilvl w:val="1"/>
          <w:numId w:val="85"/>
        </w:numPr>
        <w:rPr>
          <w:rFonts w:ascii="Arial" w:cs="Arial" w:eastAsia="Arial" w:hAnsi="Arial"/>
          <w:sz w:val="22"/>
          <w:szCs w:val="22"/>
          <w:color w:val="auto"/>
        </w:rPr>
      </w:pPr>
      <w:r>
        <w:rPr>
          <w:rFonts w:ascii="Arial" w:cs="Arial" w:eastAsia="Arial" w:hAnsi="Arial"/>
          <w:sz w:val="22"/>
          <w:szCs w:val="22"/>
          <w:color w:val="auto"/>
        </w:rPr>
        <w:t>If Participant’s Continuous Service terminates other than as provided for in Sections 3(b) and 3(c) below, all Performance Awards that are unvested at the time of such termination will be forfeited.</w:t>
      </w:r>
    </w:p>
    <w:p>
      <w:pPr>
        <w:sectPr>
          <w:pgSz w:w="11900" w:h="16838" w:orient="portrait"/>
          <w:cols w:equalWidth="0" w:num="1">
            <w:col w:w="11220"/>
          </w:cols>
          <w:pgMar w:left="340" w:top="895" w:right="339" w:bottom="1440" w:gutter="0" w:footer="0" w:header="0"/>
        </w:sectPr>
      </w:pPr>
    </w:p>
    <w:bookmarkStart w:id="126" w:name="page127"/>
    <w:bookmarkEnd w:id="126"/>
    <w:p>
      <w:pPr>
        <w:jc w:val="both"/>
        <w:ind w:left="-8" w:right="20" w:firstLine="1304"/>
        <w:spacing w:after="0" w:line="271" w:lineRule="auto"/>
        <w:tabs>
          <w:tab w:leader="none" w:pos="1931" w:val="left"/>
        </w:tabs>
        <w:numPr>
          <w:ilvl w:val="2"/>
          <w:numId w:val="86"/>
        </w:numPr>
        <w:rPr>
          <w:rFonts w:ascii="Arial" w:cs="Arial" w:eastAsia="Arial" w:hAnsi="Arial"/>
          <w:sz w:val="21"/>
          <w:szCs w:val="21"/>
          <w:color w:val="auto"/>
        </w:rPr>
      </w:pPr>
      <w:r>
        <w:rPr>
          <w:rFonts w:ascii="Arial" w:cs="Arial" w:eastAsia="Arial" w:hAnsi="Arial"/>
          <w:sz w:val="21"/>
          <w:szCs w:val="21"/>
          <w:color w:val="auto"/>
        </w:rPr>
        <w:t>If Participant’s Continuous Service terminates due to death or Disability, then a pro rata portion (based on the portion of the Performance Period that passed prior to termination of Participant’s Continuous Service) of the Target Number of Performance Awards will immediately vest and become payable in Shares upon such termination.</w:t>
      </w:r>
    </w:p>
    <w:p>
      <w:pPr>
        <w:spacing w:after="0" w:line="194" w:lineRule="exact"/>
        <w:rPr>
          <w:rFonts w:ascii="Arial" w:cs="Arial" w:eastAsia="Arial" w:hAnsi="Arial"/>
          <w:sz w:val="21"/>
          <w:szCs w:val="21"/>
          <w:color w:val="auto"/>
        </w:rPr>
      </w:pPr>
    </w:p>
    <w:p>
      <w:pPr>
        <w:jc w:val="both"/>
        <w:ind w:left="-8" w:firstLine="1304"/>
        <w:spacing w:after="0" w:line="259" w:lineRule="auto"/>
        <w:tabs>
          <w:tab w:leader="none" w:pos="1933" w:val="left"/>
        </w:tabs>
        <w:numPr>
          <w:ilvl w:val="2"/>
          <w:numId w:val="86"/>
        </w:numPr>
        <w:rPr>
          <w:rFonts w:ascii="Arial" w:cs="Arial" w:eastAsia="Arial" w:hAnsi="Arial"/>
          <w:sz w:val="21"/>
          <w:szCs w:val="21"/>
          <w:color w:val="auto"/>
        </w:rPr>
      </w:pPr>
      <w:r>
        <w:rPr>
          <w:rFonts w:ascii="Arial" w:cs="Arial" w:eastAsia="Arial" w:hAnsi="Arial"/>
          <w:sz w:val="21"/>
          <w:szCs w:val="21"/>
          <w:color w:val="auto"/>
        </w:rPr>
        <w:t xml:space="preserve">Except as otherwise provided in this Agreement, if the Participant retires (i) on or after age sixty (60) with five (5) years of service with the Company or an Affiliate of the Company or (ii) on or after age fifty five (55) with ten (10) years of service with the Company or an Affiliate (“Retirement”), prior to the vesting or forfeiture of the Performance Awards pursuant to Section 2 hereof, then the number of Performance Awards that vest shall be determined as of the date of the Participant’s Retirement on a pro rata basis, determined based on the number of full months of employment completed from the Date of Grant to the date of the Participant’s Retirement divided by the number of full months of the original vesting period; provided that the Performance Awards earned shall be determined at the end of the Performance Period based on the actual performance levels achieved, as set forth in </w:t>
      </w:r>
      <w:r>
        <w:rPr>
          <w:rFonts w:ascii="Arial" w:cs="Arial" w:eastAsia="Arial" w:hAnsi="Arial"/>
          <w:sz w:val="21"/>
          <w:szCs w:val="21"/>
          <w:u w:val="single" w:color="auto"/>
          <w:color w:val="auto"/>
        </w:rPr>
        <w:t>Exhibit B</w:t>
      </w:r>
      <w:r>
        <w:rPr>
          <w:rFonts w:ascii="Arial" w:cs="Arial" w:eastAsia="Arial" w:hAnsi="Arial"/>
          <w:sz w:val="21"/>
          <w:szCs w:val="21"/>
          <w:color w:val="auto"/>
        </w:rPr>
        <w:t>.</w:t>
      </w:r>
    </w:p>
    <w:p>
      <w:pPr>
        <w:spacing w:after="0" w:line="210" w:lineRule="exact"/>
        <w:rPr>
          <w:rFonts w:ascii="Arial" w:cs="Arial" w:eastAsia="Arial" w:hAnsi="Arial"/>
          <w:sz w:val="21"/>
          <w:szCs w:val="21"/>
          <w:color w:val="auto"/>
        </w:rPr>
      </w:pPr>
    </w:p>
    <w:p>
      <w:pPr>
        <w:ind w:left="1292" w:hanging="644"/>
        <w:spacing w:after="0"/>
        <w:tabs>
          <w:tab w:leader="none" w:pos="1292" w:val="left"/>
        </w:tabs>
        <w:numPr>
          <w:ilvl w:val="1"/>
          <w:numId w:val="87"/>
        </w:numPr>
        <w:rPr>
          <w:rFonts w:ascii="Arial" w:cs="Arial" w:eastAsia="Arial" w:hAnsi="Arial"/>
          <w:sz w:val="22"/>
          <w:szCs w:val="22"/>
          <w:color w:val="auto"/>
        </w:rPr>
      </w:pPr>
      <w:r>
        <w:rPr>
          <w:rFonts w:ascii="Arial" w:cs="Arial" w:eastAsia="Arial" w:hAnsi="Arial"/>
          <w:sz w:val="22"/>
          <w:szCs w:val="22"/>
          <w:u w:val="single" w:color="auto"/>
          <w:color w:val="auto"/>
        </w:rPr>
        <w:t>Termination for Cause</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left="-8" w:firstLine="1304"/>
        <w:spacing w:after="0" w:line="253" w:lineRule="auto"/>
        <w:tabs>
          <w:tab w:leader="none" w:pos="1933" w:val="left"/>
        </w:tabs>
        <w:numPr>
          <w:ilvl w:val="2"/>
          <w:numId w:val="87"/>
        </w:numPr>
        <w:rPr>
          <w:rFonts w:ascii="Arial" w:cs="Arial" w:eastAsia="Arial" w:hAnsi="Arial"/>
          <w:sz w:val="22"/>
          <w:szCs w:val="22"/>
          <w:color w:val="auto"/>
        </w:rPr>
      </w:pPr>
      <w:r>
        <w:rPr>
          <w:rFonts w:ascii="Arial" w:cs="Arial" w:eastAsia="Arial" w:hAnsi="Arial"/>
          <w:sz w:val="22"/>
          <w:szCs w:val="22"/>
          <w:color w:val="auto"/>
        </w:rPr>
        <w:t>If the Participant’s Continuous Service is terminated by the Company for Cause (as defined below), then all Performance Awards, whether vested or unvested, shall be automatically and immediately forfeited for no consideration and cease to be exercisable.</w:t>
      </w:r>
    </w:p>
    <w:p>
      <w:pPr>
        <w:spacing w:after="0" w:line="212" w:lineRule="exact"/>
        <w:rPr>
          <w:rFonts w:ascii="Arial" w:cs="Arial" w:eastAsia="Arial" w:hAnsi="Arial"/>
          <w:sz w:val="22"/>
          <w:szCs w:val="22"/>
          <w:color w:val="auto"/>
        </w:rPr>
      </w:pPr>
    </w:p>
    <w:p>
      <w:pPr>
        <w:jc w:val="both"/>
        <w:ind w:left="-8" w:firstLine="1304"/>
        <w:spacing w:after="0" w:line="250" w:lineRule="auto"/>
        <w:tabs>
          <w:tab w:leader="none" w:pos="1931" w:val="left"/>
        </w:tabs>
        <w:numPr>
          <w:ilvl w:val="2"/>
          <w:numId w:val="87"/>
        </w:numPr>
        <w:rPr>
          <w:rFonts w:ascii="Arial" w:cs="Arial" w:eastAsia="Arial" w:hAnsi="Arial"/>
          <w:sz w:val="22"/>
          <w:szCs w:val="22"/>
          <w:color w:val="auto"/>
        </w:rPr>
      </w:pPr>
      <w:r>
        <w:rPr>
          <w:rFonts w:ascii="Arial" w:cs="Arial" w:eastAsia="Arial" w:hAnsi="Arial"/>
          <w:sz w:val="22"/>
          <w:szCs w:val="22"/>
          <w:color w:val="auto"/>
        </w:rPr>
        <w:t>For purposes of this Section 4, “Cause” shall have the same meaning ascribed to such term in any employment agreement or arrangement between the Company (or any Affiliate) and the Participant. If no such agreement or arrangement applies to the Participant or if any such agreement or arrangement that applies to the Participant does not define Cause, then “Cause” shall mean:</w:t>
      </w:r>
    </w:p>
    <w:p>
      <w:pPr>
        <w:spacing w:after="0" w:line="214" w:lineRule="exact"/>
        <w:rPr>
          <w:rFonts w:ascii="Arial" w:cs="Arial" w:eastAsia="Arial" w:hAnsi="Arial"/>
          <w:sz w:val="22"/>
          <w:szCs w:val="22"/>
          <w:color w:val="auto"/>
        </w:rPr>
      </w:pPr>
    </w:p>
    <w:p>
      <w:pPr>
        <w:jc w:val="both"/>
        <w:ind w:left="-8" w:firstLine="1952"/>
        <w:spacing w:after="0" w:line="284" w:lineRule="auto"/>
        <w:tabs>
          <w:tab w:leader="none" w:pos="2622" w:val="left"/>
        </w:tabs>
        <w:numPr>
          <w:ilvl w:val="3"/>
          <w:numId w:val="87"/>
        </w:numPr>
        <w:rPr>
          <w:rFonts w:ascii="Arial" w:cs="Arial" w:eastAsia="Arial" w:hAnsi="Arial"/>
          <w:sz w:val="19"/>
          <w:szCs w:val="19"/>
          <w:color w:val="auto"/>
        </w:rPr>
      </w:pPr>
      <w:r>
        <w:rPr>
          <w:rFonts w:ascii="Arial" w:cs="Arial" w:eastAsia="Arial" w:hAnsi="Arial"/>
          <w:sz w:val="19"/>
          <w:szCs w:val="19"/>
          <w:color w:val="auto"/>
        </w:rPr>
        <w:t>failure of the Participant to perform the duties required of the Participant pursuant to his or her employment agreement or otherwise applicable to the Participant in connection with his or her employment in a manner satisfactory to the Company, in its sole discretion; provided, however, for purposes of this subparagraph (i), Cause will not exist unless the Company first gives the Participant written notice (“Notice of Deficiency”). The Notice of Deficiency shall specify the deficiencies in the Participant’s performance of his or her duties. The Participant shall have a period of thirty (30) days, commencing on receipt of the Notice of Deficiency, in which to cure the deficiencies contained in the Notice of Deficiency. In the event the Participant does not cure the deficiencies to the satisfaction of the Company, in its sole discretion, within such thirty</w:t>
      </w:r>
    </w:p>
    <w:p>
      <w:pPr>
        <w:spacing w:after="0" w:line="3" w:lineRule="exact"/>
        <w:rPr>
          <w:rFonts w:ascii="Arial" w:cs="Arial" w:eastAsia="Arial" w:hAnsi="Arial"/>
          <w:sz w:val="19"/>
          <w:szCs w:val="19"/>
          <w:color w:val="auto"/>
        </w:rPr>
      </w:pPr>
    </w:p>
    <w:p>
      <w:pPr>
        <w:jc w:val="both"/>
        <w:ind w:left="-8" w:firstLine="8"/>
        <w:spacing w:after="0" w:line="245" w:lineRule="auto"/>
        <w:tabs>
          <w:tab w:leader="none" w:pos="419" w:val="left"/>
        </w:tabs>
        <w:numPr>
          <w:ilvl w:val="0"/>
          <w:numId w:val="88"/>
        </w:numPr>
        <w:rPr>
          <w:rFonts w:ascii="Arial" w:cs="Arial" w:eastAsia="Arial" w:hAnsi="Arial"/>
          <w:sz w:val="22"/>
          <w:szCs w:val="22"/>
          <w:color w:val="auto"/>
        </w:rPr>
      </w:pPr>
      <w:r>
        <w:rPr>
          <w:rFonts w:ascii="Arial" w:cs="Arial" w:eastAsia="Arial" w:hAnsi="Arial"/>
          <w:sz w:val="22"/>
          <w:szCs w:val="22"/>
          <w:color w:val="auto"/>
        </w:rPr>
        <w:t>day period (or if during such thirty (30) day period the Company determines that the Participant is not making reasonable, good faith efforts to cure the deficiencies to the satisfaction of the Company), then a termination by the Company as a result of such deficiencies will be for Cause;</w:t>
      </w:r>
    </w:p>
    <w:p>
      <w:pPr>
        <w:spacing w:after="0" w:line="219" w:lineRule="exact"/>
        <w:rPr>
          <w:rFonts w:ascii="Arial" w:cs="Arial" w:eastAsia="Arial" w:hAnsi="Arial"/>
          <w:sz w:val="22"/>
          <w:szCs w:val="22"/>
          <w:color w:val="auto"/>
        </w:rPr>
      </w:pPr>
    </w:p>
    <w:p>
      <w:pPr>
        <w:jc w:val="both"/>
        <w:ind w:left="-8" w:firstLine="1952"/>
        <w:spacing w:after="0" w:line="253" w:lineRule="auto"/>
        <w:tabs>
          <w:tab w:leader="none" w:pos="2536" w:val="left"/>
        </w:tabs>
        <w:numPr>
          <w:ilvl w:val="3"/>
          <w:numId w:val="88"/>
        </w:numPr>
        <w:rPr>
          <w:rFonts w:ascii="Arial" w:cs="Arial" w:eastAsia="Arial" w:hAnsi="Arial"/>
          <w:sz w:val="22"/>
          <w:szCs w:val="22"/>
          <w:color w:val="auto"/>
        </w:rPr>
      </w:pPr>
      <w:r>
        <w:rPr>
          <w:rFonts w:ascii="Arial" w:cs="Arial" w:eastAsia="Arial" w:hAnsi="Arial"/>
          <w:sz w:val="22"/>
          <w:szCs w:val="22"/>
          <w:color w:val="auto"/>
        </w:rPr>
        <w:t>any dishonesty by the Participant in the Participant’s dealings with the Company, the commission of fraud by the Participant, negligence in the performance of the duties of the Participant, insubordination, willful misconduct, or the conviction (or plea of guilty</w:t>
      </w:r>
    </w:p>
    <w:p>
      <w:pPr>
        <w:sectPr>
          <w:pgSz w:w="11900" w:h="16838" w:orient="portrait"/>
          <w:cols w:equalWidth="0" w:num="1">
            <w:col w:w="11232"/>
          </w:cols>
          <w:pgMar w:left="328" w:top="1144" w:right="339" w:bottom="1440" w:gutter="0" w:footer="0" w:header="0"/>
        </w:sectPr>
      </w:pPr>
    </w:p>
    <w:bookmarkStart w:id="127" w:name="page128"/>
    <w:bookmarkEnd w:id="127"/>
    <w:p>
      <w:pPr>
        <w:spacing w:after="0" w:line="263" w:lineRule="auto"/>
        <w:rPr>
          <w:sz w:val="20"/>
          <w:szCs w:val="20"/>
          <w:color w:val="auto"/>
        </w:rPr>
      </w:pPr>
      <w:r>
        <w:rPr>
          <w:rFonts w:ascii="Arial" w:cs="Arial" w:eastAsia="Arial" w:hAnsi="Arial"/>
          <w:sz w:val="22"/>
          <w:szCs w:val="22"/>
          <w:color w:val="auto"/>
        </w:rPr>
        <w:t>or nolo contendere) of the Participant of, or indictment or charge with respect to, any felony, or any other crime involving dishonesty or moral turpitude;</w:t>
      </w:r>
    </w:p>
    <w:p>
      <w:pPr>
        <w:spacing w:after="0" w:line="202" w:lineRule="exact"/>
        <w:rPr>
          <w:sz w:val="20"/>
          <w:szCs w:val="20"/>
          <w:color w:val="auto"/>
        </w:rPr>
      </w:pPr>
    </w:p>
    <w:p>
      <w:pPr>
        <w:ind w:right="20" w:firstLine="1952"/>
        <w:spacing w:after="0" w:line="263" w:lineRule="auto"/>
        <w:tabs>
          <w:tab w:leader="none" w:pos="2667" w:val="left"/>
        </w:tabs>
        <w:numPr>
          <w:ilvl w:val="1"/>
          <w:numId w:val="89"/>
        </w:numPr>
        <w:rPr>
          <w:rFonts w:ascii="Arial" w:cs="Arial" w:eastAsia="Arial" w:hAnsi="Arial"/>
          <w:sz w:val="22"/>
          <w:szCs w:val="22"/>
          <w:color w:val="auto"/>
        </w:rPr>
      </w:pPr>
      <w:r>
        <w:rPr>
          <w:rFonts w:ascii="Arial" w:cs="Arial" w:eastAsia="Arial" w:hAnsi="Arial"/>
          <w:sz w:val="22"/>
          <w:szCs w:val="22"/>
          <w:color w:val="auto"/>
        </w:rPr>
        <w:t>any violation of any non-competition, non-solicitation, non-disclosure or confidentiality covenant or similar restriction applicable to the Participant; or</w:t>
      </w:r>
    </w:p>
    <w:p>
      <w:pPr>
        <w:spacing w:after="0" w:line="201" w:lineRule="exact"/>
        <w:rPr>
          <w:rFonts w:ascii="Arial" w:cs="Arial" w:eastAsia="Arial" w:hAnsi="Arial"/>
          <w:sz w:val="22"/>
          <w:szCs w:val="22"/>
          <w:color w:val="auto"/>
        </w:rPr>
      </w:pPr>
    </w:p>
    <w:p>
      <w:pPr>
        <w:jc w:val="both"/>
        <w:ind w:firstLine="1952"/>
        <w:spacing w:after="0" w:line="253" w:lineRule="auto"/>
        <w:tabs>
          <w:tab w:leader="none" w:pos="2637" w:val="left"/>
        </w:tabs>
        <w:numPr>
          <w:ilvl w:val="1"/>
          <w:numId w:val="89"/>
        </w:numPr>
        <w:rPr>
          <w:rFonts w:ascii="Arial" w:cs="Arial" w:eastAsia="Arial" w:hAnsi="Arial"/>
          <w:sz w:val="22"/>
          <w:szCs w:val="22"/>
          <w:color w:val="auto"/>
        </w:rPr>
      </w:pPr>
      <w:r>
        <w:rPr>
          <w:rFonts w:ascii="Arial" w:cs="Arial" w:eastAsia="Arial" w:hAnsi="Arial"/>
          <w:sz w:val="22"/>
          <w:szCs w:val="22"/>
          <w:color w:val="auto"/>
        </w:rPr>
        <w:t>any violation of any current or future material published policy of the Company or its Affiliates (material published policies include, but are not limited to, the Company’s discrimination and harassment policy, management dating policy, responsible alcohol policy, insider trading policy and security policy).</w:t>
      </w:r>
    </w:p>
    <w:p>
      <w:pPr>
        <w:spacing w:after="0" w:line="212" w:lineRule="exact"/>
        <w:rPr>
          <w:rFonts w:ascii="Arial" w:cs="Arial" w:eastAsia="Arial" w:hAnsi="Arial"/>
          <w:sz w:val="22"/>
          <w:szCs w:val="22"/>
          <w:color w:val="auto"/>
        </w:rPr>
      </w:pPr>
    </w:p>
    <w:p>
      <w:pPr>
        <w:jc w:val="both"/>
        <w:ind w:firstLine="656"/>
        <w:spacing w:after="0" w:line="250" w:lineRule="auto"/>
        <w:tabs>
          <w:tab w:leader="none" w:pos="1296"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In the event of a Change in Control, the vesting of the Performance Awards may be accelerated pursuant to the Company’s Executive Change in Control Plan or pursuant to Section 12 of the Plan. In any such event, the treatment of the Performance Awards shall be governed by the applicable provisions of the Executive Change in Control Plan and Section 12 of the Plan.</w:t>
      </w:r>
    </w:p>
    <w:p>
      <w:pPr>
        <w:spacing w:after="0" w:line="214" w:lineRule="exact"/>
        <w:rPr>
          <w:rFonts w:ascii="Arial" w:cs="Arial" w:eastAsia="Arial" w:hAnsi="Arial"/>
          <w:sz w:val="22"/>
          <w:szCs w:val="22"/>
          <w:color w:val="auto"/>
        </w:rPr>
      </w:pPr>
    </w:p>
    <w:p>
      <w:pPr>
        <w:jc w:val="both"/>
        <w:ind w:firstLine="656"/>
        <w:spacing w:after="0" w:line="248" w:lineRule="auto"/>
        <w:tabs>
          <w:tab w:leader="none" w:pos="1296"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Settlement</w:t>
      </w:r>
      <w:r>
        <w:rPr>
          <w:rFonts w:ascii="Arial" w:cs="Arial" w:eastAsia="Arial" w:hAnsi="Arial"/>
          <w:sz w:val="22"/>
          <w:szCs w:val="22"/>
          <w:color w:val="auto"/>
        </w:rPr>
        <w:t>. The Company shall, as soon as practicable upon the satisfaction of the vesting conditions of the Performance Awards set forth in Section 2 of this Agreement, effect delivery of the Shares with respect to such vested Performance Awards to the Participant (or, in the event of the Participant’s death, to the Beneficiary). No Shares will be issued pursuant to this Award unless and until all legal requirements applicable to such issuance have been complied with to the satisfaction of the Committee.</w:t>
      </w:r>
    </w:p>
    <w:p>
      <w:pPr>
        <w:spacing w:after="0" w:line="218" w:lineRule="exact"/>
        <w:rPr>
          <w:rFonts w:ascii="Arial" w:cs="Arial" w:eastAsia="Arial" w:hAnsi="Arial"/>
          <w:sz w:val="22"/>
          <w:szCs w:val="22"/>
          <w:color w:val="auto"/>
        </w:rPr>
      </w:pPr>
    </w:p>
    <w:p>
      <w:pPr>
        <w:jc w:val="both"/>
        <w:ind w:firstLine="656"/>
        <w:spacing w:after="0" w:line="253" w:lineRule="auto"/>
        <w:tabs>
          <w:tab w:leader="none" w:pos="1296"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Performance Awards Non-Transferable</w:t>
      </w:r>
      <w:r>
        <w:rPr>
          <w:rFonts w:ascii="Arial" w:cs="Arial" w:eastAsia="Arial" w:hAnsi="Arial"/>
          <w:sz w:val="22"/>
          <w:szCs w:val="22"/>
          <w:color w:val="auto"/>
        </w:rPr>
        <w:t>. The Participant shall not directly or indirectly sell, transfer, pledge, assign or otherwise encumber Performance Awards or any interest in them, or make any commitment or agreement to do any of the foregoing, except to the extent permitted by Section 11.3 of the Plan.</w:t>
      </w:r>
    </w:p>
    <w:p>
      <w:pPr>
        <w:spacing w:after="0" w:line="212" w:lineRule="exact"/>
        <w:rPr>
          <w:rFonts w:ascii="Arial" w:cs="Arial" w:eastAsia="Arial" w:hAnsi="Arial"/>
          <w:sz w:val="22"/>
          <w:szCs w:val="22"/>
          <w:color w:val="auto"/>
        </w:rPr>
      </w:pPr>
    </w:p>
    <w:p>
      <w:pPr>
        <w:jc w:val="both"/>
        <w:ind w:firstLine="656"/>
        <w:spacing w:after="0" w:line="247" w:lineRule="auto"/>
        <w:tabs>
          <w:tab w:leader="none" w:pos="1296"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 This Agreement is intended to comply with Section 409A of the Code or an exemption thereunder and shall be construed and interpreted in a manner that is consistent with the requirements for avoiding additional taxes or penalties under Section 409A of the Code. Notwithstanding the foregoing, the Company makes no representations that the payments and benefits provided under this Agreement comply with Section 409A of the Code and in no event shall the Company be liable for all or any portion of any taxes, penalties, interest or other expenses that may be incurred by the Participant on account of non-compliance with Section 409A of the Code.</w:t>
      </w:r>
    </w:p>
    <w:p>
      <w:pPr>
        <w:spacing w:after="0" w:line="219" w:lineRule="exact"/>
        <w:rPr>
          <w:rFonts w:ascii="Arial" w:cs="Arial" w:eastAsia="Arial" w:hAnsi="Arial"/>
          <w:sz w:val="22"/>
          <w:szCs w:val="22"/>
          <w:color w:val="auto"/>
        </w:rPr>
      </w:pPr>
    </w:p>
    <w:p>
      <w:pPr>
        <w:jc w:val="both"/>
        <w:ind w:firstLine="656"/>
        <w:spacing w:after="0" w:line="247" w:lineRule="auto"/>
        <w:tabs>
          <w:tab w:leader="none" w:pos="1296"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Electronic Delivery and Acceptance</w:t>
      </w:r>
      <w:r>
        <w:rPr>
          <w:rFonts w:ascii="Arial" w:cs="Arial" w:eastAsia="Arial" w:hAnsi="Arial"/>
          <w:sz w:val="22"/>
          <w:szCs w:val="22"/>
          <w:color w:val="auto"/>
        </w:rPr>
        <w:t>. The Company may in its sole discretion, decide to deliver any documents related to the Performance Awards granted under the Plan and participation in the Plan, or future Performance Awards that may be granted under the Plan, by electronic means or to request the Participant’s consent to participate in the Plan by electronic means. The Participant hereby consents to receive such documents by electronic delivery and, if requested, to participate in the Plan through an on-line (and/or voice activated) system established and maintained by the Company or a third party designated by the Company</w:t>
      </w:r>
      <w:r>
        <w:rPr>
          <w:rFonts w:ascii="Arial" w:cs="Arial" w:eastAsia="Arial" w:hAnsi="Arial"/>
          <w:sz w:val="22"/>
          <w:szCs w:val="22"/>
          <w:b w:val="1"/>
          <w:bCs w:val="1"/>
          <w:color w:val="auto"/>
        </w:rPr>
        <w:t>.</w:t>
      </w:r>
    </w:p>
    <w:p>
      <w:pPr>
        <w:sectPr>
          <w:pgSz w:w="11900" w:h="16838" w:orient="portrait"/>
          <w:cols w:equalWidth="0" w:num="1">
            <w:col w:w="11240"/>
          </w:cols>
          <w:pgMar w:left="320" w:top="901" w:right="339" w:bottom="1440" w:gutter="0" w:footer="0" w:header="0"/>
        </w:sectPr>
      </w:pPr>
    </w:p>
    <w:bookmarkStart w:id="128" w:name="page129"/>
    <w:bookmarkEnd w:id="128"/>
    <w:p>
      <w:pPr>
        <w:ind w:left="644" w:hanging="644"/>
        <w:spacing w:after="0"/>
        <w:tabs>
          <w:tab w:leader="none" w:pos="644"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Data Privacy</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left="-656" w:firstLine="1304"/>
        <w:spacing w:after="0" w:line="312" w:lineRule="auto"/>
        <w:tabs>
          <w:tab w:leader="none" w:pos="1285" w:val="left"/>
        </w:tabs>
        <w:numPr>
          <w:ilvl w:val="1"/>
          <w:numId w:val="91"/>
        </w:numPr>
        <w:rPr>
          <w:rFonts w:ascii="Arial" w:cs="Arial" w:eastAsia="Arial" w:hAnsi="Arial"/>
          <w:sz w:val="19"/>
          <w:szCs w:val="19"/>
          <w:color w:val="auto"/>
        </w:rPr>
      </w:pPr>
      <w:r>
        <w:rPr>
          <w:rFonts w:ascii="Arial" w:cs="Arial" w:eastAsia="Arial" w:hAnsi="Arial"/>
          <w:sz w:val="19"/>
          <w:szCs w:val="19"/>
          <w:color w:val="auto"/>
        </w:rPr>
        <w:t>The Participant hereby explicitly and unambiguously consents to the collection, use and transfer, in electronic or other form, of his or her Personal Data as described in this document by and among, as applicable, the Company and its Affiliates for the purposes of implementing, administering and managing the Participant’s participation in the Plan.</w:t>
      </w:r>
    </w:p>
    <w:p>
      <w:pPr>
        <w:spacing w:after="0" w:line="160" w:lineRule="exact"/>
        <w:rPr>
          <w:rFonts w:ascii="Arial" w:cs="Arial" w:eastAsia="Arial" w:hAnsi="Arial"/>
          <w:sz w:val="19"/>
          <w:szCs w:val="19"/>
          <w:color w:val="auto"/>
        </w:rPr>
      </w:pPr>
    </w:p>
    <w:p>
      <w:pPr>
        <w:jc w:val="both"/>
        <w:ind w:left="-656" w:firstLine="1304"/>
        <w:spacing w:after="0" w:line="285" w:lineRule="auto"/>
        <w:tabs>
          <w:tab w:leader="none" w:pos="1283" w:val="left"/>
        </w:tabs>
        <w:numPr>
          <w:ilvl w:val="1"/>
          <w:numId w:val="91"/>
        </w:numPr>
        <w:rPr>
          <w:rFonts w:ascii="Arial" w:cs="Arial" w:eastAsia="Arial" w:hAnsi="Arial"/>
          <w:sz w:val="19"/>
          <w:szCs w:val="19"/>
          <w:color w:val="auto"/>
        </w:rPr>
      </w:pPr>
      <w:r>
        <w:rPr>
          <w:rFonts w:ascii="Arial" w:cs="Arial" w:eastAsia="Arial" w:hAnsi="Arial"/>
          <w:sz w:val="19"/>
          <w:szCs w:val="19"/>
          <w:color w:val="auto"/>
        </w:rPr>
        <w:t>The Participant understands that the Company and its Affiliates may process certain personal information about the Participant, including, but not limited to, his or her name, home address and telephone number, date of birth, social security number or other identification number, salary, nationality, job title, any shares of stock or directorships held in the Company, details of all options or any other entitlement to shares of stock awarded, canceled, exercised, vested, unvested or outstanding in the Participant’s favor, for the purposes of implementing, administering and managing the Plan (“</w:t>
      </w:r>
      <w:r>
        <w:rPr>
          <w:rFonts w:ascii="Arial" w:cs="Arial" w:eastAsia="Arial" w:hAnsi="Arial"/>
          <w:sz w:val="19"/>
          <w:szCs w:val="19"/>
          <w:u w:val="single" w:color="auto"/>
          <w:color w:val="auto"/>
        </w:rPr>
        <w:t>Personal Data</w:t>
      </w:r>
      <w:r>
        <w:rPr>
          <w:rFonts w:ascii="Arial" w:cs="Arial" w:eastAsia="Arial" w:hAnsi="Arial"/>
          <w:sz w:val="19"/>
          <w:szCs w:val="19"/>
          <w:color w:val="auto"/>
        </w:rPr>
        <w:t>”). The Participant understands that Personal Data may be transferred to any third parties assisting in the implementation, administration and management of the Plan, that these recipients may be located in the Participant’s country or elsewhere and that the recipients’ country may have different data privacy laws and protections than the Participant’s country. The Participant authorizes the recipients to receive, possess, use, retain and transfer the Personal Data, in electronic or other form, for the purposes of implementing, administering and managing his or her participation in the Plan, including any requisite transfer of such Personal Data as may be required to a broker or other third party with whom the Participant may elect to deposit any Shares acquired upon settlement of these Performance Awards. The Participant understands that the Company will retain the Personal Data only as long as is necessary to implement, administer and manage the Participant’s participation in the Plan. The Participant understands that he or she may, at any time, view Personal Data, request additional information about the storage and processing of Personal Data, require any necessary amendments to Personal Data or refuse or withdraw the consents herein, in any case without cost, by contacting in writing the Company’s human resources representative. The Participant understands, however, that refusing or withdrawing his or her consent may affect the Participant’s ability to participate in the Plan. Participants may obtain more information about how their Personal Data may be processed in conjunction with Plan participation by contacting the Company’s human resources representative.</w:t>
      </w:r>
    </w:p>
    <w:p>
      <w:pPr>
        <w:spacing w:after="0" w:line="200" w:lineRule="exact"/>
        <w:rPr>
          <w:rFonts w:ascii="Arial" w:cs="Arial" w:eastAsia="Arial" w:hAnsi="Arial"/>
          <w:sz w:val="19"/>
          <w:szCs w:val="19"/>
          <w:color w:val="auto"/>
        </w:rPr>
      </w:pPr>
    </w:p>
    <w:p>
      <w:pPr>
        <w:spacing w:after="0" w:line="246" w:lineRule="exact"/>
        <w:rPr>
          <w:rFonts w:ascii="Arial" w:cs="Arial" w:eastAsia="Arial" w:hAnsi="Arial"/>
          <w:sz w:val="19"/>
          <w:szCs w:val="19"/>
          <w:color w:val="auto"/>
        </w:rPr>
      </w:pPr>
    </w:p>
    <w:p>
      <w:pPr>
        <w:jc w:val="both"/>
        <w:ind w:left="-656" w:firstLine="656"/>
        <w:spacing w:after="0" w:line="246" w:lineRule="auto"/>
        <w:tabs>
          <w:tab w:leader="none" w:pos="632"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Government and Other Regulations</w:t>
      </w:r>
      <w:r>
        <w:rPr>
          <w:rFonts w:ascii="Arial" w:cs="Arial" w:eastAsia="Arial" w:hAnsi="Arial"/>
          <w:sz w:val="22"/>
          <w:szCs w:val="22"/>
          <w:color w:val="auto"/>
        </w:rPr>
        <w:t>. The grant of Performance Awards is subject to all laws, regulations and orders of any governmental authority which may be applicable thereto and, notwithstanding any of the provisions hereof, the Participant acknowledges that the Company will not be obligated to issue any Shares hereunder if the grant or vesting thereof or the issuance of such Shares, as the case may be, would constitute a violation by the Participant or the Company of any such law, regulation or order or any provision thereof. The Company shall not be obligated to take any affirmative action in order to cause the vesting of the Performance Awards or the issuance of Shares pursuant hereto to comply with any such law, regulation, order or provision.</w:t>
      </w:r>
    </w:p>
    <w:p>
      <w:pPr>
        <w:spacing w:after="0" w:line="223" w:lineRule="exact"/>
        <w:rPr>
          <w:rFonts w:ascii="Arial" w:cs="Arial" w:eastAsia="Arial" w:hAnsi="Arial"/>
          <w:sz w:val="22"/>
          <w:szCs w:val="22"/>
          <w:color w:val="auto"/>
        </w:rPr>
      </w:pPr>
    </w:p>
    <w:p>
      <w:pPr>
        <w:ind w:left="644" w:hanging="644"/>
        <w:spacing w:after="0"/>
        <w:tabs>
          <w:tab w:leader="none" w:pos="644"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Miscellaneous Provisions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656" w:firstLine="1304"/>
        <w:spacing w:after="0" w:line="263" w:lineRule="auto"/>
        <w:tabs>
          <w:tab w:leader="none" w:pos="1285" w:val="left"/>
        </w:tabs>
        <w:numPr>
          <w:ilvl w:val="1"/>
          <w:numId w:val="91"/>
        </w:numPr>
        <w:rPr>
          <w:rFonts w:ascii="Arial" w:cs="Arial" w:eastAsia="Arial" w:hAnsi="Arial"/>
          <w:sz w:val="22"/>
          <w:szCs w:val="22"/>
          <w:color w:val="auto"/>
        </w:rPr>
      </w:pPr>
      <w:r>
        <w:rPr>
          <w:rFonts w:ascii="Arial" w:cs="Arial" w:eastAsia="Arial" w:hAnsi="Arial"/>
          <w:sz w:val="22"/>
          <w:szCs w:val="22"/>
          <w:color w:val="auto"/>
        </w:rPr>
        <w:t>No Participant or Beneficiary shall have any rights as a stockholder with respect to Shares subject to an Award, including without limitation any right to vote or to receive</w:t>
      </w:r>
    </w:p>
    <w:p>
      <w:pPr>
        <w:sectPr>
          <w:pgSz w:w="11900" w:h="16838" w:orient="portrait"/>
          <w:cols w:equalWidth="0" w:num="1">
            <w:col w:w="10584"/>
          </w:cols>
          <w:pgMar w:left="976" w:top="1144" w:right="339" w:bottom="1440" w:gutter="0" w:footer="0" w:header="0"/>
        </w:sectPr>
      </w:pPr>
    </w:p>
    <w:bookmarkStart w:id="129" w:name="page130"/>
    <w:bookmarkEnd w:id="129"/>
    <w:p>
      <w:pPr>
        <w:jc w:val="both"/>
        <w:spacing w:after="0" w:line="250" w:lineRule="auto"/>
        <w:rPr>
          <w:sz w:val="20"/>
          <w:szCs w:val="20"/>
          <w:color w:val="auto"/>
        </w:rPr>
      </w:pPr>
      <w:r>
        <w:rPr>
          <w:rFonts w:ascii="Arial" w:cs="Arial" w:eastAsia="Arial" w:hAnsi="Arial"/>
          <w:sz w:val="22"/>
          <w:szCs w:val="22"/>
          <w:color w:val="auto"/>
        </w:rPr>
        <w:t>or accrue dividends (ordinary or extraordinary, whether in cash, securities or other property) or distributions or any equivalent thereof, until such Shares are delivered to the Participant or the Beneficiary, and no adjustment or accrual shall be made for dividends (ordinary or extraordinary, whether in cash, securities or other property) or distributions of other rights for which the record date is prior to the date such Shares are delivered.</w:t>
      </w:r>
    </w:p>
    <w:p>
      <w:pPr>
        <w:spacing w:after="0" w:line="215" w:lineRule="exact"/>
        <w:rPr>
          <w:sz w:val="20"/>
          <w:szCs w:val="20"/>
          <w:color w:val="auto"/>
        </w:rPr>
      </w:pPr>
    </w:p>
    <w:p>
      <w:pPr>
        <w:jc w:val="both"/>
        <w:ind w:firstLine="1304"/>
        <w:spacing w:after="0" w:line="292" w:lineRule="auto"/>
        <w:tabs>
          <w:tab w:leader="none" w:pos="1939" w:val="left"/>
        </w:tabs>
        <w:numPr>
          <w:ilvl w:val="0"/>
          <w:numId w:val="92"/>
        </w:numPr>
        <w:rPr>
          <w:rFonts w:ascii="Arial" w:cs="Arial" w:eastAsia="Arial" w:hAnsi="Arial"/>
          <w:sz w:val="19"/>
          <w:szCs w:val="19"/>
          <w:color w:val="auto"/>
        </w:rPr>
      </w:pPr>
      <w:r>
        <w:rPr>
          <w:rFonts w:ascii="Arial" w:cs="Arial" w:eastAsia="Arial" w:hAnsi="Arial"/>
          <w:sz w:val="19"/>
          <w:szCs w:val="19"/>
          <w:color w:val="auto"/>
        </w:rPr>
        <w:t>The Performance Awards are granted under and subject to the terms and conditions of the Plan, which is incorporated herein and made part hereof by this reference. In the event of a conflict between the terms of the Plan and this Agreement, the terms of the Plan, as interpreted by the Board or the Committee, shall govern. In the event of a conflict between the terms of the Plan and this Agreement, the terms of the Plan, as interpreted by the Board or the Committee, shall govern and all decisions under and interpretations of the Plan or this Agreement by the Committee or the Board shall be final, binding and conclusive upon the Participant and his heirs and legal representatives. The Participant hereby acknowledges receipt of a true copy of the Plan and that the Participant has read the Plan carefully and fully understands its content.</w:t>
      </w:r>
    </w:p>
    <w:p>
      <w:pPr>
        <w:spacing w:after="0" w:line="177" w:lineRule="exact"/>
        <w:rPr>
          <w:rFonts w:ascii="Arial" w:cs="Arial" w:eastAsia="Arial" w:hAnsi="Arial"/>
          <w:sz w:val="19"/>
          <w:szCs w:val="19"/>
          <w:color w:val="auto"/>
        </w:rPr>
      </w:pPr>
    </w:p>
    <w:p>
      <w:pPr>
        <w:jc w:val="both"/>
        <w:ind w:firstLine="1304"/>
        <w:spacing w:after="0" w:line="271" w:lineRule="auto"/>
        <w:tabs>
          <w:tab w:leader="none" w:pos="1941" w:val="left"/>
        </w:tabs>
        <w:numPr>
          <w:ilvl w:val="0"/>
          <w:numId w:val="92"/>
        </w:numPr>
        <w:rPr>
          <w:rFonts w:ascii="Arial" w:cs="Arial" w:eastAsia="Arial" w:hAnsi="Arial"/>
          <w:sz w:val="21"/>
          <w:szCs w:val="21"/>
          <w:color w:val="auto"/>
        </w:rPr>
      </w:pPr>
      <w:r>
        <w:rPr>
          <w:rFonts w:ascii="Arial" w:cs="Arial" w:eastAsia="Arial" w:hAnsi="Arial"/>
          <w:sz w:val="21"/>
          <w:szCs w:val="21"/>
          <w:color w:val="auto"/>
        </w:rPr>
        <w:t>This Agreement and the Plan constitute the entire contract between the parties hereto with regard to the subject matter hereof. This Agreement and the Plan supersede any other agreements, representations or understandings (whether oral or written and whether express or implied) which relate to the subject matter hereof.</w:t>
      </w:r>
    </w:p>
    <w:p>
      <w:pPr>
        <w:spacing w:after="0" w:line="194" w:lineRule="exact"/>
        <w:rPr>
          <w:rFonts w:ascii="Arial" w:cs="Arial" w:eastAsia="Arial" w:hAnsi="Arial"/>
          <w:sz w:val="21"/>
          <w:szCs w:val="21"/>
          <w:color w:val="auto"/>
        </w:rPr>
      </w:pPr>
    </w:p>
    <w:p>
      <w:pPr>
        <w:ind w:firstLine="1304"/>
        <w:spacing w:after="0" w:line="343" w:lineRule="auto"/>
        <w:tabs>
          <w:tab w:leader="none" w:pos="1939" w:val="left"/>
        </w:tabs>
        <w:numPr>
          <w:ilvl w:val="0"/>
          <w:numId w:val="92"/>
        </w:numPr>
        <w:rPr>
          <w:rFonts w:ascii="Arial" w:cs="Arial" w:eastAsia="Arial" w:hAnsi="Arial"/>
          <w:sz w:val="19"/>
          <w:szCs w:val="19"/>
          <w:color w:val="auto"/>
        </w:rPr>
      </w:pPr>
      <w:r>
        <w:rPr>
          <w:rFonts w:ascii="Arial" w:cs="Arial" w:eastAsia="Arial" w:hAnsi="Arial"/>
          <w:sz w:val="19"/>
          <w:szCs w:val="19"/>
          <w:color w:val="auto"/>
        </w:rPr>
        <w:t>If the Participant has received this Agreement or any other document related to the Plan translated into a language other than English and if the translated version is different than the English version, the English version will control.</w:t>
      </w:r>
    </w:p>
    <w:p>
      <w:pPr>
        <w:spacing w:after="0" w:line="131" w:lineRule="exact"/>
        <w:rPr>
          <w:rFonts w:ascii="Arial" w:cs="Arial" w:eastAsia="Arial" w:hAnsi="Arial"/>
          <w:sz w:val="19"/>
          <w:szCs w:val="19"/>
          <w:color w:val="auto"/>
        </w:rPr>
      </w:pPr>
    </w:p>
    <w:p>
      <w:pPr>
        <w:ind w:firstLine="1304"/>
        <w:spacing w:after="0" w:line="343" w:lineRule="auto"/>
        <w:tabs>
          <w:tab w:leader="none" w:pos="1941" w:val="left"/>
        </w:tabs>
        <w:numPr>
          <w:ilvl w:val="0"/>
          <w:numId w:val="92"/>
        </w:numPr>
        <w:rPr>
          <w:rFonts w:ascii="Arial" w:cs="Arial" w:eastAsia="Arial" w:hAnsi="Arial"/>
          <w:sz w:val="19"/>
          <w:szCs w:val="19"/>
          <w:color w:val="auto"/>
        </w:rPr>
      </w:pPr>
      <w:r>
        <w:rPr>
          <w:rFonts w:ascii="Arial" w:cs="Arial" w:eastAsia="Arial" w:hAnsi="Arial"/>
          <w:sz w:val="19"/>
          <w:szCs w:val="19"/>
          <w:color w:val="auto"/>
        </w:rPr>
        <w:t>The provisions of this Agreement are severable and if any one or more provisions are determined to be illegal or otherwise unenforceable, in whole or in part, the remaining provisions shall nevertheless be binding and enforceable.</w:t>
      </w:r>
    </w:p>
    <w:p>
      <w:pPr>
        <w:spacing w:after="0" w:line="131" w:lineRule="exact"/>
        <w:rPr>
          <w:rFonts w:ascii="Arial" w:cs="Arial" w:eastAsia="Arial" w:hAnsi="Arial"/>
          <w:sz w:val="19"/>
          <w:szCs w:val="19"/>
          <w:color w:val="auto"/>
        </w:rPr>
      </w:pPr>
    </w:p>
    <w:p>
      <w:pPr>
        <w:ind w:firstLine="1304"/>
        <w:spacing w:after="0" w:line="263" w:lineRule="auto"/>
        <w:tabs>
          <w:tab w:leader="none" w:pos="1944"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This Agreement may be executed or deemed executed in two or more counterparts, each of which shall be deemed an original, but all of which shall constitute one and the same instrument.</w:t>
      </w: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Company has caused this grant of Performance Awards to be executed, as of the Date of</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Grant.</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BLOOMIN’ BRANDS, INC.</w:t>
      </w:r>
    </w:p>
    <w:p>
      <w:pPr>
        <w:ind w:left="5820"/>
        <w:spacing w:after="0" w:line="238" w:lineRule="auto"/>
        <w:rPr>
          <w:sz w:val="20"/>
          <w:szCs w:val="20"/>
          <w:color w:val="auto"/>
        </w:rPr>
      </w:pPr>
      <w:r>
        <w:rPr>
          <w:rFonts w:ascii="Arial" w:cs="Arial" w:eastAsia="Arial" w:hAnsi="Arial"/>
          <w:sz w:val="22"/>
          <w:szCs w:val="22"/>
          <w:color w:val="auto"/>
        </w:rPr>
        <w:t>ELECTRONIC</w:t>
      </w:r>
    </w:p>
    <w:p>
      <w:pPr>
        <w:ind w:left="3900"/>
        <w:spacing w:after="0"/>
        <w:tabs>
          <w:tab w:leader="none" w:pos="4500" w:val="left"/>
        </w:tabs>
        <w:rPr>
          <w:sz w:val="20"/>
          <w:szCs w:val="20"/>
          <w:color w:val="auto"/>
        </w:rPr>
      </w:pPr>
      <w:r>
        <w:rPr>
          <w:rFonts w:ascii="Arial" w:cs="Arial" w:eastAsia="Arial" w:hAnsi="Arial"/>
          <w:sz w:val="22"/>
          <w:szCs w:val="22"/>
          <w:color w:val="auto"/>
        </w:rPr>
        <w:t>By:</w:t>
        <w:tab/>
        <w:t>SIGNATURE</w:t>
      </w:r>
    </w:p>
    <w:p>
      <w:pPr>
        <w:spacing w:after="0" w:line="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David Deno,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-157480</wp:posOffset>
            </wp:positionV>
            <wp:extent cx="22117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4">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2"/>
          <w:szCs w:val="22"/>
          <w:color w:val="auto"/>
        </w:rPr>
        <w:t>(or Kelly Lefferts, Chief Legal Officer)</w:t>
      </w:r>
    </w:p>
    <w:p>
      <w:pPr>
        <w:sectPr>
          <w:pgSz w:w="11900" w:h="16838" w:orient="portrait"/>
          <w:cols w:equalWidth="0" w:num="1">
            <w:col w:w="11240"/>
          </w:cols>
          <w:pgMar w:left="320" w:top="901" w:right="339" w:bottom="1440" w:gutter="0" w:footer="0" w:header="0"/>
        </w:sectPr>
      </w:pPr>
    </w:p>
    <w:bookmarkStart w:id="130" w:name="page131"/>
    <w:bookmarkEnd w:id="130"/>
    <w:p>
      <w:pPr>
        <w:jc w:val="center"/>
        <w:ind w:right="20"/>
        <w:spacing w:after="0"/>
        <w:rPr>
          <w:sz w:val="20"/>
          <w:szCs w:val="20"/>
          <w:color w:val="auto"/>
        </w:rPr>
      </w:pPr>
      <w:r>
        <w:rPr>
          <w:rFonts w:ascii="Arial" w:cs="Arial" w:eastAsia="Arial" w:hAnsi="Arial"/>
          <w:sz w:val="22"/>
          <w:szCs w:val="22"/>
          <w:b w:val="1"/>
          <w:bCs w:val="1"/>
          <w:color w:val="auto"/>
        </w:rPr>
        <w:t>Exhibit B</w:t>
      </w: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Performance-Based Vesting Terms and Conditions</w:t>
      </w:r>
    </w:p>
    <w:p>
      <w:pPr>
        <w:spacing w:after="0" w:line="374" w:lineRule="exact"/>
        <w:rPr>
          <w:sz w:val="20"/>
          <w:szCs w:val="20"/>
          <w:color w:val="auto"/>
        </w:rPr>
      </w:pPr>
    </w:p>
    <w:p>
      <w:pPr>
        <w:jc w:val="both"/>
        <w:ind w:right="20" w:firstLine="656"/>
        <w:spacing w:after="0" w:line="271" w:lineRule="auto"/>
        <w:tabs>
          <w:tab w:leader="none" w:pos="1296" w:val="left"/>
        </w:tabs>
        <w:numPr>
          <w:ilvl w:val="0"/>
          <w:numId w:val="93"/>
        </w:numPr>
        <w:rPr>
          <w:rFonts w:ascii="Arial" w:cs="Arial" w:eastAsia="Arial" w:hAnsi="Arial"/>
          <w:sz w:val="21"/>
          <w:szCs w:val="21"/>
          <w:color w:val="auto"/>
        </w:rPr>
      </w:pPr>
      <w:r>
        <w:rPr>
          <w:rFonts w:ascii="Arial" w:cs="Arial" w:eastAsia="Arial" w:hAnsi="Arial"/>
          <w:sz w:val="21"/>
          <w:szCs w:val="21"/>
          <w:u w:val="single" w:color="auto"/>
          <w:color w:val="auto"/>
        </w:rPr>
        <w:t>Vesting Schedule</w:t>
      </w:r>
      <w:r>
        <w:rPr>
          <w:rFonts w:ascii="Arial" w:cs="Arial" w:eastAsia="Arial" w:hAnsi="Arial"/>
          <w:sz w:val="21"/>
          <w:szCs w:val="21"/>
          <w:color w:val="auto"/>
        </w:rPr>
        <w:t>. Subject to the provisions of this Agreement, including, but not limited to, any provisions related to forfeiture, the number of Performance Awards earned based on the achievement of the Performance Goals set forth in this Exhibit B shall vest and become payable in Shares on the following Vesting Date:</w:t>
      </w:r>
    </w:p>
    <w:p>
      <w:pPr>
        <w:spacing w:after="0" w:line="194" w:lineRule="exact"/>
        <w:rPr>
          <w:sz w:val="20"/>
          <w:szCs w:val="20"/>
          <w:color w:val="auto"/>
        </w:rPr>
      </w:pPr>
    </w:p>
    <w:p>
      <w:pPr>
        <w:jc w:val="both"/>
        <w:ind w:left="660" w:right="20"/>
        <w:spacing w:after="0" w:line="265" w:lineRule="auto"/>
        <w:rPr>
          <w:sz w:val="20"/>
          <w:szCs w:val="20"/>
          <w:color w:val="auto"/>
        </w:rPr>
      </w:pPr>
      <w:r>
        <w:rPr>
          <w:rFonts w:ascii="Arial" w:cs="Arial" w:eastAsia="Arial" w:hAnsi="Arial"/>
          <w:sz w:val="21"/>
          <w:szCs w:val="21"/>
          <w:color w:val="auto"/>
        </w:rPr>
        <w:t>One-hundred percent (100%) shall vest on the third anniversary of the Date of Grant subject to certification by the Compensation Committee in writing: (i) that the Performance Goals and any other material terms of this Agreement were satisfied; and (ii) of the corresponding number of Performance Awards that have been earned and vested as a result of the achievement of such Performance Goals during the Performance Period.</w:t>
      </w:r>
    </w:p>
    <w:p>
      <w:pPr>
        <w:spacing w:after="0" w:line="202" w:lineRule="exact"/>
        <w:rPr>
          <w:sz w:val="20"/>
          <w:szCs w:val="20"/>
          <w:color w:val="auto"/>
        </w:rPr>
      </w:pPr>
    </w:p>
    <w:p>
      <w:pPr>
        <w:ind w:right="20"/>
        <w:spacing w:after="0" w:line="287" w:lineRule="auto"/>
        <w:rPr>
          <w:sz w:val="20"/>
          <w:szCs w:val="20"/>
          <w:color w:val="auto"/>
        </w:rPr>
      </w:pPr>
      <w:r>
        <w:rPr>
          <w:rFonts w:ascii="Arial" w:cs="Arial" w:eastAsia="Arial" w:hAnsi="Arial"/>
          <w:sz w:val="21"/>
          <w:szCs w:val="21"/>
          <w:color w:val="auto"/>
        </w:rPr>
        <w:t>No Performance Awards shall be payable in Shares prior to such Vesting Date, despite the Company having achieved, to any extent, the Performance Goals set forth in this Exhibit B or in a subsequent schedule added to this Agreement.</w:t>
      </w:r>
    </w:p>
    <w:p>
      <w:pPr>
        <w:spacing w:after="0" w:line="178" w:lineRule="exact"/>
        <w:rPr>
          <w:sz w:val="20"/>
          <w:szCs w:val="20"/>
          <w:color w:val="auto"/>
        </w:rPr>
      </w:pPr>
    </w:p>
    <w:p>
      <w:pPr>
        <w:jc w:val="both"/>
        <w:ind w:right="20" w:firstLine="656"/>
        <w:spacing w:after="0" w:line="302" w:lineRule="auto"/>
        <w:tabs>
          <w:tab w:leader="none" w:pos="1296"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Performance Goals</w:t>
      </w:r>
      <w:r>
        <w:rPr>
          <w:rFonts w:ascii="Arial" w:cs="Arial" w:eastAsia="Arial" w:hAnsi="Arial"/>
          <w:sz w:val="19"/>
          <w:szCs w:val="19"/>
          <w:color w:val="auto"/>
        </w:rPr>
        <w:t>. The Performance Goals set forth below are for the Performance Period of the three fiscal years ending on [_____] and apply to the total number of Performance Awards subject to this Agreement (the “</w:t>
      </w:r>
      <w:r>
        <w:rPr>
          <w:rFonts w:ascii="Arial" w:cs="Arial" w:eastAsia="Arial" w:hAnsi="Arial"/>
          <w:sz w:val="19"/>
          <w:szCs w:val="19"/>
          <w:u w:val="single" w:color="auto"/>
          <w:color w:val="auto"/>
        </w:rPr>
        <w:t>Target Number of</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Performance Awards</w:t>
      </w:r>
      <w:r>
        <w:rPr>
          <w:rFonts w:ascii="Arial" w:cs="Arial" w:eastAsia="Arial" w:hAnsi="Arial"/>
          <w:sz w:val="19"/>
          <w:szCs w:val="19"/>
          <w:color w:val="auto"/>
        </w:rPr>
        <w:t>”). The Target Number of Performance Awards earned will be adjusted up or down based upon the Performance Level achieved for the Performance Period in accordance with the following Performance Goals:</w:t>
      </w:r>
    </w:p>
    <w:p>
      <w:pPr>
        <w:spacing w:after="0" w:line="182" w:lineRule="exact"/>
        <w:rPr>
          <w:rFonts w:ascii="Arial" w:cs="Arial" w:eastAsia="Arial" w:hAnsi="Arial"/>
          <w:sz w:val="19"/>
          <w:szCs w:val="19"/>
          <w:color w:val="auto"/>
        </w:rPr>
      </w:pPr>
    </w:p>
    <w:p>
      <w:pPr>
        <w:ind w:left="1940" w:hanging="636"/>
        <w:spacing w:after="0"/>
        <w:tabs>
          <w:tab w:leader="none" w:pos="1940" w:val="left"/>
        </w:tabs>
        <w:numPr>
          <w:ilvl w:val="1"/>
          <w:numId w:val="94"/>
        </w:numPr>
        <w:rPr>
          <w:rFonts w:ascii="Arial" w:cs="Arial" w:eastAsia="Arial" w:hAnsi="Arial"/>
          <w:sz w:val="22"/>
          <w:szCs w:val="22"/>
          <w:color w:val="auto"/>
        </w:rPr>
      </w:pPr>
      <w:r>
        <w:rPr>
          <w:rFonts w:ascii="Arial" w:cs="Arial" w:eastAsia="Arial" w:hAnsi="Arial"/>
          <w:sz w:val="22"/>
          <w:szCs w:val="22"/>
          <w:color w:val="auto"/>
        </w:rPr>
        <w:t>Adjusted Diluted Earnings Per Share for Fiscal Year 2023.</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39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Performance Level</w:t>
            </w:r>
          </w:p>
        </w:tc>
        <w:tc>
          <w:tcPr>
            <w:tcW w:w="4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Bloomin’ Brands, Inc. Adjusted Diluted</w:t>
            </w:r>
          </w:p>
        </w:tc>
        <w:tc>
          <w:tcPr>
            <w:tcW w:w="3260" w:type="dxa"/>
            <w:vAlign w:val="bottom"/>
            <w:tcBorders>
              <w:top w:val="single" w:sz="8" w:color="auto"/>
              <w:right w:val="single" w:sz="8" w:color="auto"/>
            </w:tcBorders>
            <w:vMerge w:val="restart"/>
          </w:tcPr>
          <w:p>
            <w:pPr>
              <w:ind w:left="280"/>
              <w:spacing w:after="0"/>
              <w:rPr>
                <w:sz w:val="20"/>
                <w:szCs w:val="20"/>
                <w:color w:val="auto"/>
              </w:rPr>
            </w:pPr>
            <w:r>
              <w:rPr>
                <w:rFonts w:ascii="Arial" w:cs="Arial" w:eastAsia="Arial" w:hAnsi="Arial"/>
                <w:sz w:val="22"/>
                <w:szCs w:val="22"/>
                <w:color w:val="auto"/>
                <w:w w:val="96"/>
              </w:rPr>
              <w:t>Payout Adjustment Percentage</w:t>
            </w:r>
          </w:p>
        </w:tc>
        <w:tc>
          <w:tcPr>
            <w:tcW w:w="0" w:type="dxa"/>
            <w:vAlign w:val="bottom"/>
          </w:tcPr>
          <w:p>
            <w:pPr>
              <w:spacing w:after="0"/>
              <w:rPr>
                <w:sz w:val="1"/>
                <w:szCs w:val="1"/>
                <w:color w:val="auto"/>
              </w:rPr>
            </w:pPr>
          </w:p>
        </w:tc>
      </w:tr>
      <w:tr>
        <w:trPr>
          <w:trHeight w:val="139"/>
        </w:trPr>
        <w:tc>
          <w:tcPr>
            <w:tcW w:w="3960" w:type="dxa"/>
            <w:vAlign w:val="bottom"/>
            <w:tcBorders>
              <w:left w:val="single" w:sz="8" w:color="auto"/>
              <w:right w:val="single" w:sz="8" w:color="auto"/>
            </w:tcBorders>
            <w:vMerge w:val="continue"/>
          </w:tcPr>
          <w:p>
            <w:pPr>
              <w:spacing w:after="0"/>
              <w:rPr>
                <w:sz w:val="12"/>
                <w:szCs w:val="12"/>
                <w:color w:val="auto"/>
              </w:rPr>
            </w:pPr>
          </w:p>
        </w:tc>
        <w:tc>
          <w:tcPr>
            <w:tcW w:w="4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7"/>
              </w:rPr>
              <w:t>Earnings Per Share for Fiscal Year 2023</w:t>
            </w:r>
          </w:p>
        </w:tc>
        <w:tc>
          <w:tcPr>
            <w:tcW w:w="32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tcBorders>
              <w:left w:val="single" w:sz="8" w:color="auto"/>
              <w:bottom w:val="single" w:sz="8" w:color="auto"/>
              <w:right w:val="single" w:sz="8" w:color="auto"/>
            </w:tcBorders>
          </w:tcPr>
          <w:p>
            <w:pPr>
              <w:spacing w:after="0"/>
              <w:rPr>
                <w:sz w:val="12"/>
                <w:szCs w:val="12"/>
                <w:color w:val="auto"/>
              </w:rPr>
            </w:pPr>
          </w:p>
        </w:tc>
        <w:tc>
          <w:tcPr>
            <w:tcW w:w="4040" w:type="dxa"/>
            <w:vAlign w:val="bottom"/>
            <w:tcBorders>
              <w:bottom w:val="single" w:sz="8" w:color="auto"/>
              <w:right w:val="single" w:sz="8" w:color="auto"/>
            </w:tcBorders>
            <w:vMerge w:val="continue"/>
          </w:tcPr>
          <w:p>
            <w:pPr>
              <w:spacing w:after="0"/>
              <w:rPr>
                <w:sz w:val="12"/>
                <w:szCs w:val="12"/>
                <w:color w:val="auto"/>
              </w:rPr>
            </w:pPr>
          </w:p>
        </w:tc>
        <w:tc>
          <w:tcPr>
            <w:tcW w:w="3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Maximum</w:t>
            </w:r>
          </w:p>
        </w:tc>
        <w:tc>
          <w:tcPr>
            <w:tcW w:w="4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$[____]</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200%</w:t>
            </w:r>
          </w:p>
        </w:tc>
        <w:tc>
          <w:tcPr>
            <w:tcW w:w="0" w:type="dxa"/>
            <w:vAlign w:val="bottom"/>
          </w:tcPr>
          <w:p>
            <w:pPr>
              <w:spacing w:after="0"/>
              <w:rPr>
                <w:sz w:val="1"/>
                <w:szCs w:val="1"/>
                <w:color w:val="auto"/>
              </w:rPr>
            </w:pPr>
          </w:p>
        </w:tc>
      </w:tr>
      <w:tr>
        <w:trPr>
          <w:trHeight w:val="304"/>
        </w:trPr>
        <w:tc>
          <w:tcPr>
            <w:tcW w:w="3960" w:type="dxa"/>
            <w:vAlign w:val="bottom"/>
            <w:tcBorders>
              <w:left w:val="single" w:sz="8" w:color="auto"/>
              <w:bottom w:val="single" w:sz="8" w:color="auto"/>
              <w:right w:val="single" w:sz="8" w:color="auto"/>
            </w:tcBorders>
          </w:tcPr>
          <w:p>
            <w:pPr>
              <w:spacing w:after="0"/>
              <w:rPr>
                <w:sz w:val="24"/>
                <w:szCs w:val="24"/>
                <w:color w:val="auto"/>
              </w:rPr>
            </w:pPr>
          </w:p>
        </w:tc>
        <w:tc>
          <w:tcPr>
            <w:tcW w:w="4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$[____]</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150%</w:t>
            </w:r>
          </w:p>
        </w:tc>
        <w:tc>
          <w:tcPr>
            <w:tcW w:w="0" w:type="dxa"/>
            <w:vAlign w:val="bottom"/>
          </w:tcPr>
          <w:p>
            <w:pPr>
              <w:spacing w:after="0"/>
              <w:rPr>
                <w:sz w:val="1"/>
                <w:szCs w:val="1"/>
                <w:color w:val="auto"/>
              </w:rPr>
            </w:pPr>
          </w:p>
        </w:tc>
      </w:tr>
      <w:tr>
        <w:trPr>
          <w:trHeight w:val="304"/>
        </w:trPr>
        <w:tc>
          <w:tcPr>
            <w:tcW w:w="3960" w:type="dxa"/>
            <w:vAlign w:val="bottom"/>
            <w:tcBorders>
              <w:left w:val="single" w:sz="8" w:color="auto"/>
              <w:bottom w:val="single" w:sz="8" w:color="auto"/>
              <w:right w:val="single" w:sz="8" w:color="auto"/>
            </w:tcBorders>
          </w:tcPr>
          <w:p>
            <w:pPr>
              <w:spacing w:after="0"/>
              <w:rPr>
                <w:sz w:val="24"/>
                <w:szCs w:val="24"/>
                <w:color w:val="auto"/>
              </w:rPr>
            </w:pPr>
          </w:p>
        </w:tc>
        <w:tc>
          <w:tcPr>
            <w:tcW w:w="4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$[____]</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125%</w:t>
            </w:r>
          </w:p>
        </w:tc>
        <w:tc>
          <w:tcPr>
            <w:tcW w:w="0" w:type="dxa"/>
            <w:vAlign w:val="bottom"/>
          </w:tcPr>
          <w:p>
            <w:pPr>
              <w:spacing w:after="0"/>
              <w:rPr>
                <w:sz w:val="1"/>
                <w:szCs w:val="1"/>
                <w:color w:val="auto"/>
              </w:rPr>
            </w:pPr>
          </w:p>
        </w:tc>
      </w:tr>
      <w:tr>
        <w:trPr>
          <w:trHeight w:val="304"/>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Target</w:t>
            </w:r>
          </w:p>
        </w:tc>
        <w:tc>
          <w:tcPr>
            <w:tcW w:w="4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$[____]</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c>
          <w:tcPr>
            <w:tcW w:w="0" w:type="dxa"/>
            <w:vAlign w:val="bottom"/>
          </w:tcPr>
          <w:p>
            <w:pPr>
              <w:spacing w:after="0"/>
              <w:rPr>
                <w:sz w:val="1"/>
                <w:szCs w:val="1"/>
                <w:color w:val="auto"/>
              </w:rPr>
            </w:pPr>
          </w:p>
        </w:tc>
      </w:tr>
      <w:tr>
        <w:trPr>
          <w:trHeight w:val="304"/>
        </w:trPr>
        <w:tc>
          <w:tcPr>
            <w:tcW w:w="3960" w:type="dxa"/>
            <w:vAlign w:val="bottom"/>
            <w:tcBorders>
              <w:left w:val="single" w:sz="8" w:color="auto"/>
              <w:bottom w:val="single" w:sz="8" w:color="auto"/>
              <w:right w:val="single" w:sz="8" w:color="auto"/>
            </w:tcBorders>
          </w:tcPr>
          <w:p>
            <w:pPr>
              <w:spacing w:after="0"/>
              <w:rPr>
                <w:sz w:val="24"/>
                <w:szCs w:val="24"/>
                <w:color w:val="auto"/>
              </w:rPr>
            </w:pPr>
          </w:p>
        </w:tc>
        <w:tc>
          <w:tcPr>
            <w:tcW w:w="4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$[____]</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75%</w:t>
            </w:r>
          </w:p>
        </w:tc>
        <w:tc>
          <w:tcPr>
            <w:tcW w:w="0" w:type="dxa"/>
            <w:vAlign w:val="bottom"/>
          </w:tcPr>
          <w:p>
            <w:pPr>
              <w:spacing w:after="0"/>
              <w:rPr>
                <w:sz w:val="1"/>
                <w:szCs w:val="1"/>
                <w:color w:val="auto"/>
              </w:rPr>
            </w:pPr>
          </w:p>
        </w:tc>
      </w:tr>
      <w:tr>
        <w:trPr>
          <w:trHeight w:val="304"/>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Threshold</w:t>
            </w:r>
          </w:p>
        </w:tc>
        <w:tc>
          <w:tcPr>
            <w:tcW w:w="4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$[____]</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50%</w:t>
            </w:r>
          </w:p>
        </w:tc>
        <w:tc>
          <w:tcPr>
            <w:tcW w:w="0" w:type="dxa"/>
            <w:vAlign w:val="bottom"/>
          </w:tcPr>
          <w:p>
            <w:pPr>
              <w:spacing w:after="0"/>
              <w:rPr>
                <w:sz w:val="1"/>
                <w:szCs w:val="1"/>
                <w:color w:val="auto"/>
              </w:rPr>
            </w:pPr>
          </w:p>
        </w:tc>
      </w:tr>
      <w:tr>
        <w:trPr>
          <w:trHeight w:val="304"/>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Below Threshold</w:t>
            </w:r>
          </w:p>
        </w:tc>
        <w:tc>
          <w:tcPr>
            <w:tcW w:w="4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Below $[____]</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both"/>
        <w:ind w:left="660" w:right="40" w:hanging="328"/>
        <w:spacing w:after="0" w:line="253" w:lineRule="auto"/>
        <w:tabs>
          <w:tab w:leader="none" w:pos="655" w:val="left"/>
        </w:tabs>
        <w:numPr>
          <w:ilvl w:val="0"/>
          <w:numId w:val="95"/>
        </w:numPr>
        <w:rPr>
          <w:rFonts w:ascii="Arial" w:cs="Arial" w:eastAsia="Arial" w:hAnsi="Arial"/>
          <w:sz w:val="22"/>
          <w:szCs w:val="22"/>
          <w:color w:val="auto"/>
        </w:rPr>
      </w:pPr>
      <w:r>
        <w:rPr>
          <w:rFonts w:ascii="Arial" w:cs="Arial" w:eastAsia="Arial" w:hAnsi="Arial"/>
          <w:sz w:val="22"/>
          <w:szCs w:val="22"/>
          <w:color w:val="auto"/>
        </w:rPr>
        <w:t>To the extent the Company’s Adjusted Diluted Earnings Per Share for Fiscal Year 2023 falls between two applicable values, the applicable Payout Adjustment Percentage shall be interpolated on a straight-line basis (</w:t>
      </w:r>
      <w:r>
        <w:rPr>
          <w:rFonts w:ascii="Arial" w:cs="Arial" w:eastAsia="Arial" w:hAnsi="Arial"/>
          <w:sz w:val="22"/>
          <w:szCs w:val="22"/>
          <w:i w:val="1"/>
          <w:iCs w:val="1"/>
          <w:color w:val="auto"/>
        </w:rPr>
        <w:t>i.e.</w:t>
      </w:r>
      <w:r>
        <w:rPr>
          <w:rFonts w:ascii="Arial" w:cs="Arial" w:eastAsia="Arial" w:hAnsi="Arial"/>
          <w:sz w:val="22"/>
          <w:szCs w:val="22"/>
          <w:color w:val="auto"/>
        </w:rPr>
        <w:t xml:space="preserve"> linear interpolation).</w:t>
      </w:r>
    </w:p>
    <w:p>
      <w:pPr>
        <w:spacing w:after="0" w:line="212" w:lineRule="exact"/>
        <w:rPr>
          <w:rFonts w:ascii="Arial" w:cs="Arial" w:eastAsia="Arial" w:hAnsi="Arial"/>
          <w:sz w:val="22"/>
          <w:szCs w:val="22"/>
          <w:color w:val="auto"/>
        </w:rPr>
      </w:pPr>
    </w:p>
    <w:p>
      <w:pPr>
        <w:ind w:left="660" w:right="40" w:hanging="328"/>
        <w:spacing w:after="0" w:line="263" w:lineRule="auto"/>
        <w:tabs>
          <w:tab w:leader="none" w:pos="655" w:val="left"/>
        </w:tabs>
        <w:numPr>
          <w:ilvl w:val="0"/>
          <w:numId w:val="95"/>
        </w:numPr>
        <w:rPr>
          <w:rFonts w:ascii="Arial" w:cs="Arial" w:eastAsia="Arial" w:hAnsi="Arial"/>
          <w:sz w:val="22"/>
          <w:szCs w:val="22"/>
          <w:color w:val="auto"/>
        </w:rPr>
      </w:pPr>
      <w:r>
        <w:rPr>
          <w:rFonts w:ascii="Arial" w:cs="Arial" w:eastAsia="Arial" w:hAnsi="Arial"/>
          <w:sz w:val="22"/>
          <w:szCs w:val="22"/>
          <w:color w:val="auto"/>
        </w:rPr>
        <w:t>If the Company’s Adjusted Diluted Earnings Per Share for Fiscal Year 2023 is Below Threshold, none of the Performance Awards shall vest and there will be no payout.</w:t>
      </w:r>
    </w:p>
    <w:p>
      <w:pPr>
        <w:sectPr>
          <w:pgSz w:w="11900" w:h="16838" w:orient="portrait"/>
          <w:cols w:equalWidth="0" w:num="1">
            <w:col w:w="11260"/>
          </w:cols>
          <w:pgMar w:left="320" w:top="1017" w:right="319" w:bottom="1440" w:gutter="0" w:footer="0" w:header="0"/>
        </w:sectPr>
      </w:pPr>
    </w:p>
    <w:bookmarkStart w:id="131" w:name="page132"/>
    <w:bookmarkEnd w:id="131"/>
    <w:p>
      <w:pPr>
        <w:ind w:left="840" w:right="420" w:hanging="8"/>
        <w:spacing w:after="0" w:line="530" w:lineRule="auto"/>
        <w:tabs>
          <w:tab w:leader="none" w:pos="1476" w:val="left"/>
        </w:tabs>
        <w:numPr>
          <w:ilvl w:val="0"/>
          <w:numId w:val="96"/>
        </w:numPr>
        <w:rPr>
          <w:rFonts w:ascii="Arial" w:cs="Arial" w:eastAsia="Arial" w:hAnsi="Arial"/>
          <w:sz w:val="19"/>
          <w:szCs w:val="19"/>
          <w:color w:val="auto"/>
        </w:rPr>
      </w:pPr>
      <w:r>
        <w:rPr>
          <w:rFonts w:ascii="Arial" w:cs="Arial" w:eastAsia="Arial" w:hAnsi="Arial"/>
          <w:sz w:val="19"/>
          <w:szCs w:val="19"/>
          <w:color w:val="auto"/>
        </w:rPr>
        <w:t>Adjusted Diluted Earnings Per Share* (“Adjusted EPS”) for Fiscal Year 2023 is determined as: The Adjusted EPS of the Company as of the last day of the Company’s 2023 fiscal year.</w:t>
      </w:r>
    </w:p>
    <w:p>
      <w:pPr>
        <w:spacing w:after="0" w:line="1" w:lineRule="exact"/>
        <w:rPr>
          <w:sz w:val="20"/>
          <w:szCs w:val="20"/>
          <w:color w:val="auto"/>
        </w:rPr>
      </w:pPr>
    </w:p>
    <w:p>
      <w:pPr>
        <w:jc w:val="both"/>
        <w:ind w:left="840"/>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Adjusted EPS</w:t>
      </w:r>
      <w:r>
        <w:rPr>
          <w:rFonts w:ascii="Arial" w:cs="Arial" w:eastAsia="Arial" w:hAnsi="Arial"/>
          <w:sz w:val="21"/>
          <w:szCs w:val="21"/>
          <w:color w:val="auto"/>
        </w:rPr>
        <w:t>” means: Adjusted net income divided by diluted weighted-average shares. Diluted weighted-average shares include weighted-average shares outstanding plus the dilutive effect of common stock equivalents, including restricted stock, restricted stock units, performance stock units (performance awards) and stock options, of share-based compensation.</w:t>
      </w:r>
    </w:p>
    <w:p>
      <w:pPr>
        <w:spacing w:after="0" w:line="200" w:lineRule="exact"/>
        <w:rPr>
          <w:sz w:val="20"/>
          <w:szCs w:val="20"/>
          <w:color w:val="auto"/>
        </w:rPr>
      </w:pPr>
    </w:p>
    <w:p>
      <w:pPr>
        <w:jc w:val="both"/>
        <w:ind w:left="840"/>
        <w:spacing w:after="0" w:line="263" w:lineRule="auto"/>
        <w:rPr>
          <w:sz w:val="20"/>
          <w:szCs w:val="20"/>
          <w:color w:val="auto"/>
        </w:rPr>
      </w:pPr>
      <w:r>
        <w:rPr>
          <w:rFonts w:ascii="Arial" w:cs="Arial" w:eastAsia="Arial" w:hAnsi="Arial"/>
          <w:sz w:val="22"/>
          <w:szCs w:val="22"/>
          <w:color w:val="auto"/>
        </w:rPr>
        <w:t>The Committee may provide that one or more objectively determinable adjustments shall be made to the performance goals to reflect events including:</w:t>
      </w:r>
    </w:p>
    <w:p>
      <w:pPr>
        <w:spacing w:after="0" w:line="202" w:lineRule="exact"/>
        <w:rPr>
          <w:sz w:val="20"/>
          <w:szCs w:val="20"/>
          <w:color w:val="auto"/>
        </w:rPr>
      </w:pPr>
    </w:p>
    <w:p>
      <w:pPr>
        <w:ind w:left="1460" w:hanging="628"/>
        <w:spacing w:after="0"/>
        <w:tabs>
          <w:tab w:leader="none" w:pos="1460" w:val="left"/>
        </w:tabs>
        <w:numPr>
          <w:ilvl w:val="0"/>
          <w:numId w:val="97"/>
        </w:numPr>
        <w:rPr>
          <w:rFonts w:ascii="Arial" w:cs="Arial" w:eastAsia="Arial" w:hAnsi="Arial"/>
          <w:sz w:val="22"/>
          <w:szCs w:val="22"/>
          <w:color w:val="auto"/>
        </w:rPr>
      </w:pPr>
      <w:r>
        <w:rPr>
          <w:rFonts w:ascii="Arial" w:cs="Arial" w:eastAsia="Arial" w:hAnsi="Arial"/>
          <w:sz w:val="22"/>
          <w:szCs w:val="22"/>
          <w:color w:val="auto"/>
        </w:rPr>
        <w:t>asset impairment expenses or write-downs;</w:t>
      </w:r>
    </w:p>
    <w:p>
      <w:pPr>
        <w:spacing w:after="0" w:line="21" w:lineRule="exact"/>
        <w:rPr>
          <w:rFonts w:ascii="Arial" w:cs="Arial" w:eastAsia="Arial" w:hAnsi="Arial"/>
          <w:sz w:val="22"/>
          <w:szCs w:val="22"/>
          <w:color w:val="auto"/>
        </w:rPr>
      </w:pPr>
    </w:p>
    <w:p>
      <w:pPr>
        <w:ind w:left="1480" w:hanging="648"/>
        <w:spacing w:after="0"/>
        <w:tabs>
          <w:tab w:leader="none" w:pos="14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litigation, claims, judgments or settlements;</w:t>
      </w:r>
    </w:p>
    <w:p>
      <w:pPr>
        <w:spacing w:after="0" w:line="3" w:lineRule="exact"/>
        <w:rPr>
          <w:rFonts w:ascii="Arial" w:cs="Arial" w:eastAsia="Arial" w:hAnsi="Arial"/>
          <w:sz w:val="22"/>
          <w:szCs w:val="22"/>
          <w:color w:val="auto"/>
        </w:rPr>
      </w:pPr>
    </w:p>
    <w:p>
      <w:pPr>
        <w:ind w:left="1480" w:hanging="648"/>
        <w:spacing w:after="0"/>
        <w:tabs>
          <w:tab w:leader="none" w:pos="14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unusual, infrequently occurring, extraordinary or nonoperating items;</w:t>
      </w:r>
    </w:p>
    <w:p>
      <w:pPr>
        <w:spacing w:after="0" w:line="3" w:lineRule="exact"/>
        <w:rPr>
          <w:rFonts w:ascii="Arial" w:cs="Arial" w:eastAsia="Arial" w:hAnsi="Arial"/>
          <w:sz w:val="22"/>
          <w:szCs w:val="22"/>
          <w:color w:val="auto"/>
        </w:rPr>
      </w:pPr>
    </w:p>
    <w:p>
      <w:pPr>
        <w:ind w:left="1460" w:hanging="628"/>
        <w:spacing w:after="0"/>
        <w:tabs>
          <w:tab w:leader="none" w:pos="1460" w:val="left"/>
        </w:tabs>
        <w:numPr>
          <w:ilvl w:val="0"/>
          <w:numId w:val="97"/>
        </w:numPr>
        <w:rPr>
          <w:rFonts w:ascii="Arial" w:cs="Arial" w:eastAsia="Arial" w:hAnsi="Arial"/>
          <w:sz w:val="22"/>
          <w:szCs w:val="22"/>
          <w:color w:val="auto"/>
        </w:rPr>
      </w:pPr>
      <w:r>
        <w:rPr>
          <w:rFonts w:ascii="Arial" w:cs="Arial" w:eastAsia="Arial" w:hAnsi="Arial"/>
          <w:sz w:val="22"/>
          <w:szCs w:val="22"/>
          <w:color w:val="auto"/>
        </w:rPr>
        <w:t>restructurings;</w:t>
      </w:r>
    </w:p>
    <w:p>
      <w:pPr>
        <w:spacing w:after="0" w:line="17" w:lineRule="exact"/>
        <w:rPr>
          <w:rFonts w:ascii="Arial" w:cs="Arial" w:eastAsia="Arial" w:hAnsi="Arial"/>
          <w:sz w:val="22"/>
          <w:szCs w:val="22"/>
          <w:color w:val="auto"/>
        </w:rPr>
      </w:pPr>
    </w:p>
    <w:p>
      <w:pPr>
        <w:ind w:left="1480" w:hanging="648"/>
        <w:spacing w:after="0"/>
        <w:tabs>
          <w:tab w:leader="none" w:pos="14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acquisitions, divestures or discontinued operations;</w:t>
      </w:r>
    </w:p>
    <w:p>
      <w:pPr>
        <w:spacing w:after="0" w:line="17" w:lineRule="exact"/>
        <w:rPr>
          <w:rFonts w:ascii="Arial" w:cs="Arial" w:eastAsia="Arial" w:hAnsi="Arial"/>
          <w:sz w:val="22"/>
          <w:szCs w:val="22"/>
          <w:color w:val="auto"/>
        </w:rPr>
      </w:pPr>
    </w:p>
    <w:p>
      <w:pPr>
        <w:ind w:left="1460" w:hanging="628"/>
        <w:spacing w:after="0"/>
        <w:tabs>
          <w:tab w:leader="none" w:pos="1460" w:val="left"/>
        </w:tabs>
        <w:numPr>
          <w:ilvl w:val="0"/>
          <w:numId w:val="97"/>
        </w:numPr>
        <w:rPr>
          <w:rFonts w:ascii="Arial" w:cs="Arial" w:eastAsia="Arial" w:hAnsi="Arial"/>
          <w:sz w:val="22"/>
          <w:szCs w:val="22"/>
          <w:color w:val="auto"/>
        </w:rPr>
      </w:pPr>
      <w:r>
        <w:rPr>
          <w:rFonts w:ascii="Arial" w:cs="Arial" w:eastAsia="Arial" w:hAnsi="Arial"/>
          <w:sz w:val="22"/>
          <w:szCs w:val="22"/>
          <w:color w:val="auto"/>
        </w:rPr>
        <w:t>transaction-related expenses;</w:t>
      </w:r>
    </w:p>
    <w:p>
      <w:pPr>
        <w:spacing w:after="0" w:line="3" w:lineRule="exact"/>
        <w:rPr>
          <w:rFonts w:ascii="Arial" w:cs="Arial" w:eastAsia="Arial" w:hAnsi="Arial"/>
          <w:sz w:val="22"/>
          <w:szCs w:val="22"/>
          <w:color w:val="auto"/>
        </w:rPr>
      </w:pPr>
    </w:p>
    <w:p>
      <w:pPr>
        <w:ind w:left="1480" w:hanging="648"/>
        <w:spacing w:after="0"/>
        <w:tabs>
          <w:tab w:leader="none" w:pos="14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stock dividends, splits, combinations or exchanges of stock; and</w:t>
      </w:r>
    </w:p>
    <w:p>
      <w:pPr>
        <w:spacing w:after="0" w:line="3" w:lineRule="exact"/>
        <w:rPr>
          <w:rFonts w:ascii="Arial" w:cs="Arial" w:eastAsia="Arial" w:hAnsi="Arial"/>
          <w:sz w:val="22"/>
          <w:szCs w:val="22"/>
          <w:color w:val="auto"/>
        </w:rPr>
      </w:pPr>
    </w:p>
    <w:p>
      <w:pPr>
        <w:ind w:left="1480" w:right="20" w:hanging="648"/>
        <w:spacing w:after="0" w:line="246" w:lineRule="auto"/>
        <w:tabs>
          <w:tab w:leader="none" w:pos="14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effect of changes in tax laws, accounting principles or other laws or provisions affecting reported results.</w:t>
      </w:r>
    </w:p>
    <w:p>
      <w:pPr>
        <w:spacing w:after="0" w:line="219" w:lineRule="exact"/>
        <w:rPr>
          <w:sz w:val="20"/>
          <w:szCs w:val="20"/>
          <w:color w:val="auto"/>
        </w:rPr>
      </w:pPr>
    </w:p>
    <w:p>
      <w:pPr>
        <w:ind w:left="840"/>
        <w:spacing w:after="0" w:line="263" w:lineRule="auto"/>
        <w:rPr>
          <w:sz w:val="20"/>
          <w:szCs w:val="20"/>
          <w:color w:val="auto"/>
        </w:rPr>
      </w:pPr>
      <w:r>
        <w:rPr>
          <w:rFonts w:ascii="Arial" w:cs="Arial" w:eastAsia="Arial" w:hAnsi="Arial"/>
          <w:sz w:val="22"/>
          <w:szCs w:val="22"/>
          <w:i w:val="1"/>
          <w:iCs w:val="1"/>
          <w:color w:val="auto"/>
        </w:rPr>
        <w:t xml:space="preserve">* </w:t>
      </w:r>
      <w:r>
        <w:rPr>
          <w:rFonts w:ascii="Arial" w:cs="Arial" w:eastAsia="Arial" w:hAnsi="Arial"/>
          <w:sz w:val="22"/>
          <w:szCs w:val="22"/>
          <w:color w:val="auto"/>
        </w:rPr>
        <w:t>Based on adjustments above, it is possible that Adjusted EPS as it relates to the Performance Goals may</w:t>
      </w:r>
      <w:r>
        <w:rPr>
          <w:rFonts w:ascii="Arial" w:cs="Arial" w:eastAsia="Arial" w:hAnsi="Arial"/>
          <w:sz w:val="22"/>
          <w:szCs w:val="22"/>
          <w:i w:val="1"/>
          <w:iCs w:val="1"/>
          <w:color w:val="auto"/>
        </w:rPr>
        <w:t xml:space="preserve"> </w:t>
      </w:r>
      <w:r>
        <w:rPr>
          <w:rFonts w:ascii="Arial" w:cs="Arial" w:eastAsia="Arial" w:hAnsi="Arial"/>
          <w:sz w:val="22"/>
          <w:szCs w:val="22"/>
          <w:color w:val="auto"/>
        </w:rPr>
        <w:t>differ from Adjusted EPS as reported externally.</w:t>
      </w:r>
    </w:p>
    <w:p>
      <w:pPr>
        <w:spacing w:after="0" w:line="215" w:lineRule="exact"/>
        <w:rPr>
          <w:sz w:val="20"/>
          <w:szCs w:val="20"/>
          <w:color w:val="auto"/>
        </w:rPr>
      </w:pPr>
    </w:p>
    <w:p>
      <w:pPr>
        <w:ind w:left="820" w:hanging="636"/>
        <w:spacing w:after="0"/>
        <w:tabs>
          <w:tab w:leader="none" w:pos="820" w:val="left"/>
        </w:tabs>
        <w:numPr>
          <w:ilvl w:val="0"/>
          <w:numId w:val="98"/>
        </w:numPr>
        <w:rPr>
          <w:rFonts w:ascii="Arial" w:cs="Arial" w:eastAsia="Arial" w:hAnsi="Arial"/>
          <w:sz w:val="22"/>
          <w:szCs w:val="22"/>
          <w:color w:val="auto"/>
        </w:rPr>
      </w:pPr>
      <w:r>
        <w:rPr>
          <w:rFonts w:ascii="Arial" w:cs="Arial" w:eastAsia="Arial" w:hAnsi="Arial"/>
          <w:sz w:val="22"/>
          <w:szCs w:val="22"/>
          <w:color w:val="auto"/>
        </w:rPr>
        <w:t>Relative Total Stockholder Return Percentile.</w:t>
      </w:r>
    </w:p>
    <w:p>
      <w:pPr>
        <w:spacing w:after="0" w:line="260" w:lineRule="exact"/>
        <w:rPr>
          <w:sz w:val="20"/>
          <w:szCs w:val="20"/>
          <w:color w:val="auto"/>
        </w:rPr>
      </w:pPr>
    </w:p>
    <w:p>
      <w:pPr>
        <w:jc w:val="both"/>
        <w:ind w:left="840" w:hanging="8"/>
        <w:spacing w:after="0" w:line="312" w:lineRule="auto"/>
        <w:tabs>
          <w:tab w:leader="none" w:pos="1476"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number of Performance Awards determined based on Section 2(a), above, will be multiplied by seventy-five percent (75%) to one-hundred and twenty-five percent (125%) based on the Company’s Relative Total Stockholder Return Percentile relative to the Comparison Group, as follows:</w:t>
      </w:r>
    </w:p>
    <w:p>
      <w:pPr>
        <w:spacing w:after="0" w:line="175" w:lineRule="exact"/>
        <w:rPr>
          <w:sz w:val="20"/>
          <w:szCs w:val="20"/>
          <w:color w:val="auto"/>
        </w:rPr>
      </w:pPr>
    </w:p>
    <w:tbl>
      <w:tblPr>
        <w:tblLayout w:type="fixed"/>
        <w:tblInd w:w="1230" w:type="dxa"/>
        <w:tblCellMar>
          <w:top w:w="0" w:type="dxa"/>
          <w:left w:w="0" w:type="dxa"/>
          <w:bottom w:w="0" w:type="dxa"/>
          <w:right w:w="0" w:type="dxa"/>
        </w:tblCellMar>
      </w:tblPr>
      <w:tr>
        <w:trPr>
          <w:trHeight w:val="289"/>
        </w:trPr>
        <w:tc>
          <w:tcPr>
            <w:tcW w:w="3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Bloomin’ Brands, Inc. Relative Total</w:t>
            </w:r>
          </w:p>
        </w:tc>
        <w:tc>
          <w:tcPr>
            <w:tcW w:w="3080" w:type="dxa"/>
            <w:vAlign w:val="bottom"/>
            <w:tcBorders>
              <w:top w:val="single" w:sz="8" w:color="auto"/>
              <w:right w:val="single" w:sz="8" w:color="auto"/>
            </w:tcBorders>
            <w:vMerge w:val="restart"/>
          </w:tcPr>
          <w:p>
            <w:pPr>
              <w:ind w:left="600"/>
              <w:spacing w:after="0"/>
              <w:rPr>
                <w:sz w:val="20"/>
                <w:szCs w:val="20"/>
                <w:color w:val="auto"/>
              </w:rPr>
            </w:pPr>
            <w:r>
              <w:rPr>
                <w:rFonts w:ascii="Arial" w:cs="Arial" w:eastAsia="Arial" w:hAnsi="Arial"/>
                <w:sz w:val="22"/>
                <w:szCs w:val="22"/>
                <w:color w:val="auto"/>
              </w:rPr>
              <w:t>TSR Award Modifier</w:t>
            </w:r>
          </w:p>
        </w:tc>
        <w:tc>
          <w:tcPr>
            <w:tcW w:w="0" w:type="dxa"/>
            <w:vAlign w:val="bottom"/>
          </w:tcPr>
          <w:p>
            <w:pPr>
              <w:spacing w:after="0"/>
              <w:rPr>
                <w:sz w:val="1"/>
                <w:szCs w:val="1"/>
                <w:color w:val="auto"/>
              </w:rPr>
            </w:pPr>
          </w:p>
        </w:tc>
      </w:tr>
      <w:tr>
        <w:trPr>
          <w:trHeight w:val="139"/>
        </w:trPr>
        <w:tc>
          <w:tcPr>
            <w:tcW w:w="35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Stockholder Return Percentile</w:t>
            </w:r>
          </w:p>
        </w:tc>
        <w:tc>
          <w:tcPr>
            <w:tcW w:w="30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3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[____]</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125%</w:t>
            </w:r>
          </w:p>
        </w:tc>
        <w:tc>
          <w:tcPr>
            <w:tcW w:w="0" w:type="dxa"/>
            <w:vAlign w:val="bottom"/>
          </w:tcPr>
          <w:p>
            <w:pPr>
              <w:spacing w:after="0"/>
              <w:rPr>
                <w:sz w:val="1"/>
                <w:szCs w:val="1"/>
                <w:color w:val="auto"/>
              </w:rPr>
            </w:pPr>
          </w:p>
        </w:tc>
      </w:tr>
      <w:tr>
        <w:trPr>
          <w:trHeight w:val="304"/>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[____]</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c>
          <w:tcPr>
            <w:tcW w:w="0" w:type="dxa"/>
            <w:vAlign w:val="bottom"/>
          </w:tcPr>
          <w:p>
            <w:pPr>
              <w:spacing w:after="0"/>
              <w:rPr>
                <w:sz w:val="1"/>
                <w:szCs w:val="1"/>
                <w:color w:val="auto"/>
              </w:rPr>
            </w:pPr>
          </w:p>
        </w:tc>
      </w:tr>
      <w:tr>
        <w:trPr>
          <w:trHeight w:val="304"/>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[____]</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75%</w:t>
            </w:r>
          </w:p>
        </w:tc>
        <w:tc>
          <w:tcPr>
            <w:tcW w:w="0" w:type="dxa"/>
            <w:vAlign w:val="bottom"/>
          </w:tcPr>
          <w:p>
            <w:pPr>
              <w:spacing w:after="0"/>
              <w:rPr>
                <w:sz w:val="1"/>
                <w:szCs w:val="1"/>
                <w:color w:val="auto"/>
              </w:rPr>
            </w:pPr>
          </w:p>
        </w:tc>
      </w:tr>
    </w:tbl>
    <w:p>
      <w:pPr>
        <w:sectPr>
          <w:pgSz w:w="11900" w:h="16838" w:orient="portrait"/>
          <w:cols w:equalWidth="0" w:num="1">
            <w:col w:w="10120"/>
          </w:cols>
          <w:pgMar w:left="1440" w:top="901" w:right="339" w:bottom="1440" w:gutter="0" w:footer="0" w:header="0"/>
        </w:sectPr>
      </w:pPr>
    </w:p>
    <w:bookmarkStart w:id="132" w:name="page133"/>
    <w:bookmarkEnd w:id="132"/>
    <w:p>
      <w:pPr>
        <w:ind w:left="1480" w:hanging="648"/>
        <w:spacing w:after="0"/>
        <w:tabs>
          <w:tab w:leader="none" w:pos="1480"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Additional Definitions</w:t>
      </w:r>
      <w:r>
        <w:rPr>
          <w:rFonts w:ascii="Arial" w:cs="Arial" w:eastAsia="Arial" w:hAnsi="Arial"/>
          <w:sz w:val="22"/>
          <w:szCs w:val="22"/>
          <w:color w:val="auto"/>
        </w:rPr>
        <w:t>.</w:t>
      </w:r>
    </w:p>
    <w:p>
      <w:pPr>
        <w:spacing w:after="0" w:line="241" w:lineRule="exact"/>
        <w:rPr>
          <w:sz w:val="20"/>
          <w:szCs w:val="20"/>
          <w:color w:val="auto"/>
        </w:rPr>
      </w:pPr>
    </w:p>
    <w:p>
      <w:pPr>
        <w:jc w:val="both"/>
        <w:ind w:left="84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Comparison Group</w:t>
      </w:r>
      <w:r>
        <w:rPr>
          <w:rFonts w:ascii="Arial" w:cs="Arial" w:eastAsia="Arial" w:hAnsi="Arial"/>
          <w:sz w:val="22"/>
          <w:szCs w:val="22"/>
          <w:color w:val="auto"/>
        </w:rPr>
        <w:t>” means the companies listed on Appendix 1 to this Exhibit B which are publicly traded as of the first trading day of the Performance Period, as may be adjusted from time to time pursuant to this Agreement.</w:t>
      </w:r>
    </w:p>
    <w:p>
      <w:pPr>
        <w:spacing w:after="0" w:line="203" w:lineRule="exact"/>
        <w:rPr>
          <w:sz w:val="20"/>
          <w:szCs w:val="20"/>
          <w:color w:val="auto"/>
        </w:rPr>
      </w:pPr>
    </w:p>
    <w:p>
      <w:pPr>
        <w:jc w:val="both"/>
        <w:ind w:left="840"/>
        <w:spacing w:after="0" w:line="315" w:lineRule="auto"/>
        <w:rPr>
          <w:sz w:val="20"/>
          <w:szCs w:val="20"/>
          <w:color w:val="auto"/>
        </w:rPr>
      </w:pPr>
      <w:r>
        <w:rPr>
          <w:rFonts w:ascii="Arial" w:cs="Arial" w:eastAsia="Arial" w:hAnsi="Arial"/>
          <w:sz w:val="19"/>
          <w:szCs w:val="19"/>
          <w:b w:val="1"/>
          <w:bCs w:val="1"/>
          <w:color w:val="auto"/>
        </w:rPr>
        <w:t>“Beginning Stock Price</w:t>
      </w:r>
      <w:r>
        <w:rPr>
          <w:rFonts w:ascii="Arial" w:cs="Arial" w:eastAsia="Arial" w:hAnsi="Arial"/>
          <w:sz w:val="19"/>
          <w:szCs w:val="19"/>
          <w:color w:val="auto"/>
        </w:rPr>
        <w:t>” means the average of the closing market prices of such company’s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stock on the principal exchange on which such stock is traded for the twenty (20) consecutive trading days ending with the last trading day before the beginning of the Performance Period.</w:t>
      </w:r>
    </w:p>
    <w:p>
      <w:pPr>
        <w:spacing w:after="0" w:line="152" w:lineRule="exact"/>
        <w:rPr>
          <w:sz w:val="20"/>
          <w:szCs w:val="20"/>
          <w:color w:val="auto"/>
        </w:rPr>
      </w:pPr>
    </w:p>
    <w:p>
      <w:pPr>
        <w:jc w:val="both"/>
        <w:ind w:left="84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Ending Stock Price</w:t>
      </w:r>
      <w:r>
        <w:rPr>
          <w:rFonts w:ascii="Arial" w:cs="Arial" w:eastAsia="Arial" w:hAnsi="Arial"/>
          <w:sz w:val="22"/>
          <w:szCs w:val="22"/>
          <w:color w:val="auto"/>
        </w:rPr>
        <w:t>” means the average of the closing market prices of such company’s common stock on the principal exchange on which such stock is traded for the twenty (20) consecutive trading days ending with the last trading day of the Performance Period.</w:t>
      </w:r>
    </w:p>
    <w:p>
      <w:pPr>
        <w:spacing w:after="0" w:line="203" w:lineRule="exact"/>
        <w:rPr>
          <w:sz w:val="20"/>
          <w:szCs w:val="20"/>
          <w:color w:val="auto"/>
        </w:rPr>
      </w:pPr>
    </w:p>
    <w:p>
      <w:pPr>
        <w:jc w:val="both"/>
        <w:ind w:left="840"/>
        <w:spacing w:after="0" w:line="262" w:lineRule="auto"/>
        <w:rPr>
          <w:sz w:val="20"/>
          <w:szCs w:val="20"/>
          <w:color w:val="auto"/>
        </w:rPr>
      </w:pPr>
      <w:r>
        <w:rPr>
          <w:rFonts w:ascii="Arial" w:cs="Arial" w:eastAsia="Arial" w:hAnsi="Arial"/>
          <w:sz w:val="21"/>
          <w:szCs w:val="21"/>
          <w:b w:val="1"/>
          <w:bCs w:val="1"/>
          <w:color w:val="auto"/>
        </w:rPr>
        <w:t xml:space="preserve">“Total Stockholder Return” or “TSR” </w:t>
      </w:r>
      <w:r>
        <w:rPr>
          <w:rFonts w:ascii="Arial" w:cs="Arial" w:eastAsia="Arial" w:hAnsi="Arial"/>
          <w:sz w:val="21"/>
          <w:szCs w:val="21"/>
          <w:color w:val="auto"/>
        </w:rPr>
        <w:t>for the Company and each other company in the Comparison</w:t>
      </w:r>
      <w:r>
        <w:rPr>
          <w:rFonts w:ascii="Arial" w:cs="Arial" w:eastAsia="Arial" w:hAnsi="Arial"/>
          <w:sz w:val="21"/>
          <w:szCs w:val="21"/>
          <w:b w:val="1"/>
          <w:bCs w:val="1"/>
          <w:color w:val="auto"/>
        </w:rPr>
        <w:t xml:space="preserve"> </w:t>
      </w:r>
      <w:r>
        <w:rPr>
          <w:rFonts w:ascii="Arial" w:cs="Arial" w:eastAsia="Arial" w:hAnsi="Arial"/>
          <w:sz w:val="21"/>
          <w:szCs w:val="21"/>
          <w:color w:val="auto"/>
        </w:rPr>
        <w:t>Group means, with respect to the Performance Period, the increase in such company’s stock price from the Beginning Stock Price to the Ending Stock Price, plus dividends paid during the Performance Period and assuming such dividends have been reinvested as of the ex-dividend date. A company’s TSR may be adjusted for changes in such company’s capital structure, including in the case of events such as a stock split, reverse stock split, recapitalization or similar events.</w:t>
      </w:r>
    </w:p>
    <w:p>
      <w:pPr>
        <w:spacing w:after="0" w:line="206" w:lineRule="exact"/>
        <w:rPr>
          <w:sz w:val="20"/>
          <w:szCs w:val="20"/>
          <w:color w:val="auto"/>
        </w:rPr>
      </w:pPr>
    </w:p>
    <w:p>
      <w:pPr>
        <w:jc w:val="both"/>
        <w:ind w:left="840" w:hanging="8"/>
        <w:spacing w:after="0" w:line="250" w:lineRule="auto"/>
        <w:tabs>
          <w:tab w:leader="none" w:pos="1488"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Calculation of Percentile Performance</w:t>
      </w:r>
      <w:r>
        <w:rPr>
          <w:rFonts w:ascii="Arial" w:cs="Arial" w:eastAsia="Arial" w:hAnsi="Arial"/>
          <w:sz w:val="22"/>
          <w:szCs w:val="22"/>
          <w:color w:val="auto"/>
        </w:rPr>
        <w:t>. Following the calculation of the TSR for the Performance Period for the Company and each of the other companies in the Comparison Group, the Company and each of the companies in the Comparison Group will be ranked, in order of maximum to minimum, according to their respective TSR for the Performance Period.</w:t>
      </w:r>
    </w:p>
    <w:p>
      <w:pPr>
        <w:spacing w:after="0" w:line="215" w:lineRule="exact"/>
        <w:rPr>
          <w:sz w:val="20"/>
          <w:szCs w:val="20"/>
          <w:color w:val="auto"/>
        </w:rPr>
      </w:pPr>
    </w:p>
    <w:p>
      <w:pPr>
        <w:ind w:left="840"/>
        <w:spacing w:after="0"/>
        <w:rPr>
          <w:sz w:val="20"/>
          <w:szCs w:val="20"/>
          <w:color w:val="auto"/>
        </w:rPr>
      </w:pPr>
      <w:r>
        <w:rPr>
          <w:rFonts w:ascii="Arial" w:cs="Arial" w:eastAsia="Arial" w:hAnsi="Arial"/>
          <w:sz w:val="19"/>
          <w:szCs w:val="19"/>
          <w:color w:val="auto"/>
        </w:rPr>
        <w:t>After this ranking, the percentile performance of the Company as compared to the other companies in the</w:t>
      </w:r>
    </w:p>
    <w:p>
      <w:pPr>
        <w:spacing w:after="0" w:line="56" w:lineRule="exact"/>
        <w:rPr>
          <w:sz w:val="20"/>
          <w:szCs w:val="20"/>
          <w:color w:val="auto"/>
        </w:rPr>
      </w:pPr>
    </w:p>
    <w:p>
      <w:pPr>
        <w:ind w:left="840"/>
        <w:spacing w:after="0"/>
        <w:rPr>
          <w:sz w:val="20"/>
          <w:szCs w:val="20"/>
          <w:color w:val="auto"/>
        </w:rPr>
      </w:pPr>
      <w:r>
        <w:rPr>
          <w:rFonts w:ascii="Arial" w:cs="Arial" w:eastAsia="Arial" w:hAnsi="Arial"/>
          <w:sz w:val="22"/>
          <w:szCs w:val="22"/>
          <w:color w:val="auto"/>
        </w:rPr>
        <w:t>Comparison Group shall be determined by the following formula:</w:t>
      </w:r>
    </w:p>
    <w:p>
      <w:pPr>
        <w:spacing w:after="0" w:line="248" w:lineRule="exact"/>
        <w:rPr>
          <w:sz w:val="20"/>
          <w:szCs w:val="20"/>
          <w:color w:val="auto"/>
        </w:rPr>
      </w:pPr>
    </w:p>
    <w:p>
      <w:pPr>
        <w:ind w:left="3660"/>
        <w:spacing w:after="0"/>
        <w:tabs>
          <w:tab w:leader="none" w:pos="4500" w:val="left"/>
        </w:tabs>
        <w:rPr>
          <w:sz w:val="20"/>
          <w:szCs w:val="20"/>
          <w:color w:val="auto"/>
        </w:rPr>
      </w:pPr>
      <w:r>
        <w:rPr>
          <w:rFonts w:ascii="Arial" w:cs="Arial" w:eastAsia="Arial" w:hAnsi="Arial"/>
          <w:sz w:val="22"/>
          <w:szCs w:val="22"/>
          <w:i w:val="1"/>
          <w:iCs w:val="1"/>
          <w:color w:val="auto"/>
        </w:rPr>
        <w:t>P</w:t>
      </w:r>
      <w:r>
        <w:rPr>
          <w:rFonts w:ascii="Arial" w:cs="Arial" w:eastAsia="Arial" w:hAnsi="Arial"/>
          <w:sz w:val="22"/>
          <w:szCs w:val="22"/>
          <w:color w:val="auto"/>
        </w:rPr>
        <w:t>=1-</w:t>
      </w:r>
      <w:r>
        <w:rPr>
          <w:sz w:val="20"/>
          <w:szCs w:val="20"/>
          <w:color w:val="auto"/>
        </w:rPr>
        <w:tab/>
      </w:r>
      <w:r>
        <w:rPr>
          <w:rFonts w:ascii="Arial" w:cs="Arial" w:eastAsia="Arial" w:hAnsi="Arial"/>
          <w:sz w:val="33"/>
          <w:szCs w:val="33"/>
          <w:color w:val="auto"/>
        </w:rPr>
        <w:t xml:space="preserve">( </w:t>
      </w:r>
      <w:r>
        <w:rPr>
          <w:rFonts w:ascii="Arial" w:cs="Arial" w:eastAsia="Arial" w:hAnsi="Arial"/>
          <w:sz w:val="28"/>
          <w:szCs w:val="28"/>
          <w:i w:val="1"/>
          <w:iCs w:val="1"/>
          <w:color w:val="auto"/>
          <w:vertAlign w:val="superscript"/>
        </w:rPr>
        <w:t>R</w:t>
      </w:r>
      <w:r>
        <w:rPr>
          <w:rFonts w:ascii="Arial" w:cs="Arial" w:eastAsia="Arial" w:hAnsi="Arial"/>
          <w:sz w:val="28"/>
          <w:szCs w:val="28"/>
          <w:i w:val="1"/>
          <w:iCs w:val="1"/>
          <w:color w:val="auto"/>
          <w:vertAlign w:val="subscript"/>
        </w:rPr>
        <w:t>N</w:t>
      </w:r>
      <w:r>
        <w:rPr>
          <w:rFonts w:ascii="Arial" w:cs="Arial" w:eastAsia="Arial" w:hAnsi="Arial"/>
          <w:sz w:val="28"/>
          <w:szCs w:val="28"/>
          <w:color w:val="auto"/>
          <w:vertAlign w:val="superscript"/>
        </w:rPr>
        <w:t>-</w:t>
      </w:r>
      <w:r>
        <w:rPr>
          <w:rFonts w:ascii="Arial" w:cs="Arial" w:eastAsia="Arial" w:hAnsi="Arial"/>
          <w:sz w:val="28"/>
          <w:szCs w:val="28"/>
          <w:color w:val="auto"/>
          <w:vertAlign w:val="subscript"/>
        </w:rPr>
        <w:t>-</w:t>
      </w:r>
      <w:r>
        <w:rPr>
          <w:rFonts w:ascii="Arial" w:cs="Arial" w:eastAsia="Arial" w:hAnsi="Arial"/>
          <w:sz w:val="28"/>
          <w:szCs w:val="28"/>
          <w:color w:val="auto"/>
          <w:vertAlign w:val="superscript"/>
        </w:rPr>
        <w:t>1</w:t>
      </w:r>
      <w:r>
        <w:rPr>
          <w:rFonts w:ascii="Arial" w:cs="Arial" w:eastAsia="Arial" w:hAnsi="Arial"/>
          <w:sz w:val="28"/>
          <w:szCs w:val="28"/>
          <w:color w:val="auto"/>
          <w:vertAlign w:val="subscript"/>
        </w:rPr>
        <w:t>1</w:t>
      </w:r>
      <w:r>
        <w:rPr>
          <w:rFonts w:ascii="Arial" w:cs="Arial" w:eastAsia="Arial" w:hAnsi="Arial"/>
          <w:sz w:val="33"/>
          <w:szCs w:val="33"/>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-59055</wp:posOffset>
            </wp:positionV>
            <wp:extent cx="4032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5">
                      <a:extLst>
                        <a:ext uri="{28A0092B-C50C-407E-A947-70E740481C1C}"/>
                      </a:extLst>
                    </a:blip>
                    <a:srcRect/>
                    <a:stretch>
                      <a:fillRect/>
                    </a:stretch>
                  </pic:blipFill>
                  <pic:spPr bwMode="auto">
                    <a:xfrm>
                      <a:off x="0" y="0"/>
                      <a:ext cx="403225"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840"/>
        <w:spacing w:after="0" w:line="263" w:lineRule="auto"/>
        <w:rPr>
          <w:sz w:val="20"/>
          <w:szCs w:val="20"/>
          <w:color w:val="auto"/>
        </w:rPr>
      </w:pPr>
      <w:r>
        <w:rPr>
          <w:rFonts w:ascii="Arial" w:cs="Arial" w:eastAsia="Arial" w:hAnsi="Arial"/>
          <w:sz w:val="22"/>
          <w:szCs w:val="22"/>
          <w:color w:val="auto"/>
        </w:rPr>
        <w:t>“P” represents the Company’s Relative Total Stockholder Return Percentile which will be rounded, if necessary, to the nearest hundredth.</w:t>
      </w:r>
    </w:p>
    <w:p>
      <w:pPr>
        <w:spacing w:after="0" w:line="202" w:lineRule="exact"/>
        <w:rPr>
          <w:sz w:val="20"/>
          <w:szCs w:val="20"/>
          <w:color w:val="auto"/>
        </w:rPr>
      </w:pPr>
    </w:p>
    <w:p>
      <w:pPr>
        <w:ind w:left="840"/>
        <w:spacing w:after="0"/>
        <w:rPr>
          <w:sz w:val="20"/>
          <w:szCs w:val="20"/>
          <w:color w:val="auto"/>
        </w:rPr>
      </w:pPr>
      <w:r>
        <w:rPr>
          <w:rFonts w:ascii="Arial" w:cs="Arial" w:eastAsia="Arial" w:hAnsi="Arial"/>
          <w:sz w:val="22"/>
          <w:szCs w:val="22"/>
          <w:color w:val="auto"/>
        </w:rPr>
        <w:t>“N” represents the total number of companies in the Comparison Group.</w:t>
      </w:r>
    </w:p>
    <w:p>
      <w:pPr>
        <w:spacing w:after="0" w:line="247" w:lineRule="exact"/>
        <w:rPr>
          <w:sz w:val="20"/>
          <w:szCs w:val="20"/>
          <w:color w:val="auto"/>
        </w:rPr>
      </w:pPr>
    </w:p>
    <w:p>
      <w:pPr>
        <w:ind w:left="840"/>
        <w:spacing w:after="0"/>
        <w:rPr>
          <w:sz w:val="20"/>
          <w:szCs w:val="20"/>
          <w:color w:val="auto"/>
        </w:rPr>
      </w:pPr>
      <w:r>
        <w:rPr>
          <w:rFonts w:ascii="Arial" w:cs="Arial" w:eastAsia="Arial" w:hAnsi="Arial"/>
          <w:sz w:val="22"/>
          <w:szCs w:val="22"/>
          <w:color w:val="auto"/>
        </w:rPr>
        <w:t>“R” represents the Company’s ranking versus the other companies in the Comparison Group.</w:t>
      </w:r>
    </w:p>
    <w:p>
      <w:pPr>
        <w:sectPr>
          <w:pgSz w:w="11900" w:h="16838" w:orient="portrait"/>
          <w:cols w:equalWidth="0" w:num="1">
            <w:col w:w="10100"/>
          </w:cols>
          <w:pgMar w:left="1440" w:top="1252" w:right="359" w:bottom="1440" w:gutter="0" w:footer="0" w:header="0"/>
        </w:sectPr>
      </w:pPr>
    </w:p>
    <w:bookmarkStart w:id="133" w:name="page134"/>
    <w:bookmarkEnd w:id="133"/>
    <w:p>
      <w:pPr>
        <w:ind w:left="1960"/>
        <w:spacing w:after="0" w:line="232" w:lineRule="auto"/>
        <w:rPr>
          <w:sz w:val="20"/>
          <w:szCs w:val="20"/>
          <w:color w:val="auto"/>
        </w:rPr>
      </w:pPr>
      <w:r>
        <w:rPr>
          <w:rFonts w:ascii="Arial" w:cs="Arial" w:eastAsia="Arial" w:hAnsi="Arial"/>
          <w:sz w:val="22"/>
          <w:szCs w:val="22"/>
          <w:i w:val="1"/>
          <w:iCs w:val="1"/>
          <w:color w:val="auto"/>
        </w:rPr>
        <w:t>Example</w:t>
      </w:r>
      <w:r>
        <w:rPr>
          <w:rFonts w:ascii="Arial" w:cs="Arial" w:eastAsia="Arial" w:hAnsi="Arial"/>
          <w:sz w:val="22"/>
          <w:szCs w:val="22"/>
          <w:color w:val="auto"/>
        </w:rPr>
        <w:t>: If the Company ranked 10</w:t>
      </w:r>
      <w:r>
        <w:rPr>
          <w:rFonts w:ascii="Arial" w:cs="Arial" w:eastAsia="Arial" w:hAnsi="Arial"/>
          <w:sz w:val="28"/>
          <w:szCs w:val="28"/>
          <w:color w:val="auto"/>
          <w:vertAlign w:val="superscript"/>
        </w:rPr>
        <w:t>th</w:t>
      </w:r>
      <w:r>
        <w:rPr>
          <w:rFonts w:ascii="Arial" w:cs="Arial" w:eastAsia="Arial" w:hAnsi="Arial"/>
          <w:sz w:val="22"/>
          <w:szCs w:val="22"/>
          <w:i w:val="1"/>
          <w:iCs w:val="1"/>
          <w:color w:val="auto"/>
        </w:rPr>
        <w:t xml:space="preserve"> </w:t>
      </w:r>
      <w:r>
        <w:rPr>
          <w:rFonts w:ascii="Arial" w:cs="Arial" w:eastAsia="Arial" w:hAnsi="Arial"/>
          <w:sz w:val="22"/>
          <w:szCs w:val="22"/>
          <w:color w:val="auto"/>
        </w:rPr>
        <w:t>out of 31 companies, the Company’s Relative Total Stockholder</w:t>
      </w:r>
      <w:r>
        <w:rPr>
          <w:rFonts w:ascii="Arial" w:cs="Arial" w:eastAsia="Arial" w:hAnsi="Arial"/>
          <w:sz w:val="22"/>
          <w:szCs w:val="22"/>
          <w:i w:val="1"/>
          <w:iCs w:val="1"/>
          <w:color w:val="auto"/>
        </w:rPr>
        <w:t xml:space="preserve"> </w:t>
      </w:r>
      <w:r>
        <w:rPr>
          <w:rFonts w:ascii="Arial" w:cs="Arial" w:eastAsia="Arial" w:hAnsi="Arial"/>
          <w:sz w:val="22"/>
          <w:szCs w:val="22"/>
          <w:color w:val="auto"/>
        </w:rPr>
        <w:t>Return Percentile would be in the 70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p>
      <w:pPr>
        <w:spacing w:after="0" w:line="183" w:lineRule="exact"/>
        <w:rPr>
          <w:sz w:val="20"/>
          <w:szCs w:val="20"/>
          <w:color w:val="auto"/>
        </w:rPr>
      </w:pPr>
    </w:p>
    <w:tbl>
      <w:tblPr>
        <w:tblLayout w:type="fixed"/>
        <w:tblInd w:w="3100" w:type="dxa"/>
        <w:tblCellMar>
          <w:top w:w="0" w:type="dxa"/>
          <w:left w:w="0" w:type="dxa"/>
          <w:bottom w:w="0" w:type="dxa"/>
          <w:right w:w="0" w:type="dxa"/>
        </w:tblCellMar>
      </w:tblPr>
      <w:tr>
        <w:trPr>
          <w:trHeight w:val="259"/>
        </w:trPr>
        <w:tc>
          <w:tcPr>
            <w:tcW w:w="1580" w:type="dxa"/>
            <w:vAlign w:val="bottom"/>
            <w:vMerge w:val="restart"/>
          </w:tcPr>
          <w:p>
            <w:pPr>
              <w:jc w:val="right"/>
              <w:ind w:right="252"/>
              <w:spacing w:after="0"/>
              <w:rPr>
                <w:sz w:val="20"/>
                <w:szCs w:val="20"/>
                <w:color w:val="auto"/>
              </w:rPr>
            </w:pPr>
            <w:r>
              <w:rPr>
                <w:rFonts w:ascii="Arial" w:cs="Arial" w:eastAsia="Arial" w:hAnsi="Arial"/>
                <w:sz w:val="22"/>
                <w:szCs w:val="22"/>
                <w:color w:val="auto"/>
              </w:rPr>
              <w:t>The</w:t>
            </w:r>
          </w:p>
        </w:tc>
        <w:tc>
          <w:tcPr>
            <w:tcW w:w="1160" w:type="dxa"/>
            <w:vAlign w:val="bottom"/>
            <w:vMerge w:val="restart"/>
          </w:tcPr>
          <w:p>
            <w:pPr>
              <w:jc w:val="right"/>
              <w:ind w:right="232"/>
              <w:spacing w:after="0"/>
              <w:rPr>
                <w:sz w:val="20"/>
                <w:szCs w:val="20"/>
                <w:color w:val="auto"/>
              </w:rPr>
            </w:pPr>
            <w:r>
              <w:rPr>
                <w:rFonts w:ascii="Arial" w:cs="Arial" w:eastAsia="Arial" w:hAnsi="Arial"/>
                <w:sz w:val="22"/>
                <w:szCs w:val="22"/>
                <w:color w:val="auto"/>
              </w:rPr>
              <w:t>0.70</w:t>
            </w:r>
          </w:p>
        </w:tc>
        <w:tc>
          <w:tcPr>
            <w:tcW w:w="540" w:type="dxa"/>
            <w:vAlign w:val="bottom"/>
          </w:tcPr>
          <w:p>
            <w:pPr>
              <w:spacing w:after="0"/>
              <w:rPr>
                <w:sz w:val="22"/>
                <w:szCs w:val="22"/>
                <w:color w:val="auto"/>
              </w:rPr>
            </w:pPr>
          </w:p>
        </w:tc>
        <w:tc>
          <w:tcPr>
            <w:tcW w:w="640" w:type="dxa"/>
            <w:vAlign w:val="bottom"/>
            <w:vMerge w:val="restart"/>
          </w:tcPr>
          <w:p>
            <w:pPr>
              <w:jc w:val="right"/>
              <w:spacing w:after="0"/>
              <w:rPr>
                <w:sz w:val="20"/>
                <w:szCs w:val="20"/>
                <w:color w:val="auto"/>
              </w:rPr>
            </w:pPr>
            <w:r>
              <w:rPr>
                <w:rFonts w:ascii="Arial" w:cs="Arial" w:eastAsia="Arial" w:hAnsi="Arial"/>
                <w:sz w:val="22"/>
                <w:szCs w:val="22"/>
                <w:color w:val="auto"/>
              </w:rPr>
              <w:t>- 1</w:t>
            </w:r>
          </w:p>
        </w:tc>
        <w:tc>
          <w:tcPr>
            <w:tcW w:w="300" w:type="dxa"/>
            <w:vAlign w:val="bottom"/>
          </w:tcPr>
          <w:p>
            <w:pPr>
              <w:jc w:val="right"/>
              <w:spacing w:after="0"/>
              <w:rPr>
                <w:sz w:val="20"/>
                <w:szCs w:val="20"/>
                <w:color w:val="auto"/>
              </w:rPr>
            </w:pPr>
            <w:r>
              <w:rPr>
                <w:rFonts w:ascii="Arial" w:cs="Arial" w:eastAsia="Arial" w:hAnsi="Arial"/>
                <w:sz w:val="22"/>
                <w:szCs w:val="22"/>
                <w:color w:val="auto"/>
                <w:w w:val="97"/>
              </w:rPr>
              <w:t>10</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158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540" w:type="dxa"/>
            <w:vAlign w:val="bottom"/>
            <w:vMerge w:val="restart"/>
          </w:tcPr>
          <w:p>
            <w:pPr>
              <w:jc w:val="right"/>
              <w:spacing w:after="0" w:line="220" w:lineRule="exact"/>
              <w:rPr>
                <w:sz w:val="20"/>
                <w:szCs w:val="20"/>
                <w:color w:val="auto"/>
              </w:rPr>
            </w:pPr>
            <w:r>
              <w:rPr>
                <w:rFonts w:ascii="Arial" w:cs="Arial" w:eastAsia="Arial" w:hAnsi="Arial"/>
                <w:sz w:val="25"/>
                <w:szCs w:val="25"/>
                <w:color w:val="auto"/>
              </w:rPr>
              <w:t>(</w:t>
            </w:r>
          </w:p>
        </w:tc>
        <w:tc>
          <w:tcPr>
            <w:tcW w:w="6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vMerge w:val="restart"/>
          </w:tcPr>
          <w:p>
            <w:pPr>
              <w:jc w:val="right"/>
              <w:spacing w:after="0" w:line="220" w:lineRule="exact"/>
              <w:rPr>
                <w:sz w:val="20"/>
                <w:szCs w:val="20"/>
                <w:color w:val="auto"/>
              </w:rPr>
            </w:pPr>
            <w:r>
              <w:rPr>
                <w:rFonts w:ascii="Arial" w:cs="Arial" w:eastAsia="Arial" w:hAnsi="Arial"/>
                <w:sz w:val="25"/>
                <w:szCs w:val="25"/>
                <w:color w:val="auto"/>
              </w:rPr>
              <w:t>)</w:t>
            </w:r>
          </w:p>
        </w:tc>
        <w:tc>
          <w:tcPr>
            <w:tcW w:w="0" w:type="dxa"/>
            <w:vAlign w:val="bottom"/>
          </w:tcPr>
          <w:p>
            <w:pPr>
              <w:spacing w:after="0"/>
              <w:rPr>
                <w:sz w:val="1"/>
                <w:szCs w:val="1"/>
                <w:color w:val="auto"/>
              </w:rPr>
            </w:pPr>
          </w:p>
        </w:tc>
      </w:tr>
      <w:tr>
        <w:trPr>
          <w:trHeight w:val="35"/>
        </w:trPr>
        <w:tc>
          <w:tcPr>
            <w:tcW w:w="1580" w:type="dxa"/>
            <w:vAlign w:val="bottom"/>
            <w:vMerge w:val="restart"/>
          </w:tcPr>
          <w:p>
            <w:pPr>
              <w:jc w:val="right"/>
              <w:ind w:right="252"/>
              <w:spacing w:after="0"/>
              <w:rPr>
                <w:sz w:val="20"/>
                <w:szCs w:val="20"/>
                <w:color w:val="auto"/>
              </w:rPr>
            </w:pPr>
            <w:r>
              <w:rPr>
                <w:rFonts w:ascii="Arial" w:cs="Arial" w:eastAsia="Arial" w:hAnsi="Arial"/>
                <w:sz w:val="22"/>
                <w:szCs w:val="22"/>
                <w:color w:val="auto"/>
                <w:w w:val="90"/>
              </w:rPr>
              <w:t>calculation is:</w:t>
            </w:r>
          </w:p>
        </w:tc>
        <w:tc>
          <w:tcPr>
            <w:tcW w:w="1160" w:type="dxa"/>
            <w:vAlign w:val="bottom"/>
            <w:vMerge w:val="restart"/>
          </w:tcPr>
          <w:p>
            <w:pPr>
              <w:jc w:val="right"/>
              <w:ind w:right="232"/>
              <w:spacing w:after="0"/>
              <w:rPr>
                <w:sz w:val="20"/>
                <w:szCs w:val="20"/>
                <w:color w:val="auto"/>
              </w:rPr>
            </w:pPr>
            <w:r>
              <w:rPr>
                <w:rFonts w:ascii="Arial" w:cs="Arial" w:eastAsia="Arial" w:hAnsi="Arial"/>
                <w:sz w:val="22"/>
                <w:szCs w:val="22"/>
                <w:color w:val="auto"/>
              </w:rPr>
              <w:t>= 1 -</w:t>
            </w:r>
          </w:p>
        </w:tc>
        <w:tc>
          <w:tcPr>
            <w:tcW w:w="540" w:type="dxa"/>
            <w:vAlign w:val="bottom"/>
            <w:vMerge w:val="continue"/>
          </w:tcPr>
          <w:p>
            <w:pPr>
              <w:spacing w:after="0"/>
              <w:rPr>
                <w:sz w:val="3"/>
                <w:szCs w:val="3"/>
                <w:color w:val="auto"/>
              </w:rPr>
            </w:pPr>
          </w:p>
        </w:tc>
        <w:tc>
          <w:tcPr>
            <w:tcW w:w="640" w:type="dxa"/>
            <w:vAlign w:val="bottom"/>
            <w:tcBorders>
              <w:bottom w:val="single" w:sz="8" w:color="auto"/>
            </w:tcBorders>
          </w:tcPr>
          <w:p>
            <w:pPr>
              <w:jc w:val="right"/>
              <w:spacing w:after="0" w:line="35" w:lineRule="exact"/>
              <w:rPr>
                <w:sz w:val="20"/>
                <w:szCs w:val="20"/>
                <w:color w:val="auto"/>
              </w:rPr>
            </w:pPr>
            <w:r>
              <w:rPr>
                <w:rFonts w:ascii="Arial" w:cs="Arial" w:eastAsia="Arial" w:hAnsi="Arial"/>
                <w:sz w:val="4"/>
                <w:szCs w:val="4"/>
                <w:color w:val="auto"/>
              </w:rPr>
              <w:t>- 1</w:t>
            </w:r>
          </w:p>
        </w:tc>
        <w:tc>
          <w:tcPr>
            <w:tcW w:w="300" w:type="dxa"/>
            <w:vAlign w:val="bottom"/>
            <w:tcBorders>
              <w:bottom w:val="single" w:sz="8" w:color="auto"/>
            </w:tcBorders>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158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22"/>
                <w:szCs w:val="22"/>
                <w:color w:val="auto"/>
                <w:w w:val="97"/>
              </w:rPr>
              <w:t>31</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1300" w:hanging="644"/>
        <w:spacing w:after="0"/>
        <w:tabs>
          <w:tab w:leader="none" w:pos="1300"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Sample Calculations (for illustrative purposes only)</w:t>
      </w:r>
      <w:r>
        <w:rPr>
          <w:rFonts w:ascii="Arial" w:cs="Arial" w:eastAsia="Arial" w:hAnsi="Arial"/>
          <w:sz w:val="22"/>
          <w:szCs w:val="22"/>
          <w:color w:val="auto"/>
        </w:rPr>
        <w:t>.</w:t>
      </w:r>
    </w:p>
    <w:p>
      <w:pPr>
        <w:spacing w:after="0" w:line="261" w:lineRule="exact"/>
        <w:rPr>
          <w:sz w:val="20"/>
          <w:szCs w:val="20"/>
          <w:color w:val="auto"/>
        </w:rPr>
      </w:pPr>
    </w:p>
    <w:tbl>
      <w:tblPr>
        <w:tblLayout w:type="fixed"/>
        <w:tblInd w:w="1530" w:type="dxa"/>
        <w:tblCellMar>
          <w:top w:w="0" w:type="dxa"/>
          <w:left w:w="0" w:type="dxa"/>
          <w:bottom w:w="0" w:type="dxa"/>
          <w:right w:w="0" w:type="dxa"/>
        </w:tblCellMar>
      </w:tblPr>
      <w:tr>
        <w:trPr>
          <w:trHeight w:val="297"/>
        </w:trPr>
        <w:tc>
          <w:tcPr>
            <w:tcW w:w="20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Illustrative Scenario</w:t>
            </w:r>
          </w:p>
        </w:tc>
        <w:tc>
          <w:tcPr>
            <w:tcW w:w="206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22"/>
                <w:szCs w:val="22"/>
                <w:b w:val="1"/>
                <w:bCs w:val="1"/>
                <w:color w:val="auto"/>
              </w:rPr>
              <w:t>EPS Payout</w:t>
            </w:r>
          </w:p>
        </w:tc>
        <w:tc>
          <w:tcPr>
            <w:tcW w:w="206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22"/>
                <w:szCs w:val="22"/>
                <w:b w:val="1"/>
                <w:bCs w:val="1"/>
                <w:color w:val="auto"/>
              </w:rPr>
              <w:t>TSR Modifier</w:t>
            </w:r>
          </w:p>
        </w:tc>
        <w:tc>
          <w:tcPr>
            <w:tcW w:w="2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Total Payout</w:t>
            </w:r>
          </w:p>
        </w:tc>
      </w:tr>
      <w:tr>
        <w:trPr>
          <w:trHeight w:val="144"/>
        </w:trPr>
        <w:tc>
          <w:tcPr>
            <w:tcW w:w="2060" w:type="dxa"/>
            <w:vAlign w:val="bottom"/>
            <w:tcBorders>
              <w:left w:val="single" w:sz="8" w:color="auto"/>
              <w:bottom w:val="single" w:sz="8" w:color="auto"/>
              <w:right w:val="single" w:sz="8" w:color="auto"/>
            </w:tcBorders>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(EPS Payout * TSR Modifier)</w:t>
            </w:r>
          </w:p>
        </w:tc>
      </w:tr>
      <w:tr>
        <w:trPr>
          <w:trHeight w:val="295"/>
        </w:trPr>
        <w:tc>
          <w:tcPr>
            <w:tcW w:w="2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Maximum</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200%</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125%</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200%</w:t>
            </w:r>
          </w:p>
        </w:tc>
      </w:tr>
      <w:tr>
        <w:trPr>
          <w:trHeight w:val="175"/>
        </w:trPr>
        <w:tc>
          <w:tcPr>
            <w:tcW w:w="2060" w:type="dxa"/>
            <w:vAlign w:val="bottom"/>
            <w:tcBorders>
              <w:left w:val="single" w:sz="8" w:color="auto"/>
              <w:bottom w:val="single" w:sz="8" w:color="auto"/>
              <w:right w:val="single" w:sz="8" w:color="auto"/>
            </w:tcBorders>
          </w:tcPr>
          <w:p>
            <w:pPr>
              <w:spacing w:after="0"/>
              <w:rPr>
                <w:sz w:val="15"/>
                <w:szCs w:val="15"/>
                <w:color w:val="auto"/>
              </w:rPr>
            </w:pPr>
          </w:p>
        </w:tc>
        <w:tc>
          <w:tcPr>
            <w:tcW w:w="2060" w:type="dxa"/>
            <w:vAlign w:val="bottom"/>
            <w:tcBorders>
              <w:bottom w:val="single" w:sz="8" w:color="auto"/>
              <w:right w:val="single" w:sz="8" w:color="auto"/>
            </w:tcBorders>
          </w:tcPr>
          <w:p>
            <w:pPr>
              <w:spacing w:after="0"/>
              <w:rPr>
                <w:sz w:val="15"/>
                <w:szCs w:val="15"/>
                <w:color w:val="auto"/>
              </w:rPr>
            </w:pPr>
          </w:p>
        </w:tc>
        <w:tc>
          <w:tcPr>
            <w:tcW w:w="2060" w:type="dxa"/>
            <w:vAlign w:val="bottom"/>
            <w:tcBorders>
              <w:bottom w:val="single" w:sz="8" w:color="auto"/>
              <w:right w:val="single" w:sz="8" w:color="auto"/>
            </w:tcBorders>
          </w:tcPr>
          <w:p>
            <w:pPr>
              <w:spacing w:after="0"/>
              <w:rPr>
                <w:sz w:val="15"/>
                <w:szCs w:val="15"/>
                <w:color w:val="auto"/>
              </w:rPr>
            </w:pP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(Payout cap of 200%)</w:t>
            </w:r>
          </w:p>
        </w:tc>
      </w:tr>
      <w:tr>
        <w:trPr>
          <w:trHeight w:val="26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Target</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r>
      <w:tr>
        <w:trPr>
          <w:trHeight w:val="26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Threshold</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50%</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75%</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37.5%</w:t>
            </w:r>
          </w:p>
        </w:tc>
      </w:tr>
      <w:tr>
        <w:trPr>
          <w:trHeight w:val="264"/>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6"/>
              </w:rPr>
              <w:t>Minimum</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0%</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75%</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0%</w:t>
            </w:r>
          </w:p>
        </w:tc>
      </w:tr>
    </w:tbl>
    <w:p>
      <w:pPr>
        <w:spacing w:after="0" w:line="200" w:lineRule="exact"/>
        <w:rPr>
          <w:sz w:val="20"/>
          <w:szCs w:val="20"/>
          <w:color w:val="auto"/>
        </w:rPr>
      </w:pPr>
    </w:p>
    <w:p>
      <w:pPr>
        <w:spacing w:after="0" w:line="224" w:lineRule="exact"/>
        <w:rPr>
          <w:sz w:val="20"/>
          <w:szCs w:val="20"/>
          <w:color w:val="auto"/>
        </w:rPr>
      </w:pPr>
    </w:p>
    <w:p>
      <w:pPr>
        <w:ind w:firstLine="656"/>
        <w:spacing w:after="0" w:line="343" w:lineRule="auto"/>
        <w:tabs>
          <w:tab w:leader="none" w:pos="1296"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Limitations on Performance Awards; Adjustments</w:t>
      </w:r>
      <w:r>
        <w:rPr>
          <w:rFonts w:ascii="Arial" w:cs="Arial" w:eastAsia="Arial" w:hAnsi="Arial"/>
          <w:sz w:val="19"/>
          <w:szCs w:val="19"/>
          <w:color w:val="auto"/>
        </w:rPr>
        <w:t>. The maximum number of Performance Awards that may be earned under this Agreement shall not exceed two hundred percent (200%) of the Target Number of Performance Awards.</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Notwithstanding anything to the contrary contained herein, pursuant to Section 9 of the Plan, the Committee shall have the sole discretion to adjust Performance Awards either on a formula or discretionary basis, or any combination thereof, as the Committee determines.</w:t>
      </w:r>
    </w:p>
    <w:p>
      <w:pPr>
        <w:spacing w:after="0" w:line="212" w:lineRule="exact"/>
        <w:rPr>
          <w:sz w:val="20"/>
          <w:szCs w:val="20"/>
          <w:color w:val="auto"/>
        </w:rPr>
      </w:pPr>
    </w:p>
    <w:p>
      <w:pPr>
        <w:jc w:val="both"/>
        <w:ind w:firstLine="656"/>
        <w:spacing w:after="0" w:line="253" w:lineRule="auto"/>
        <w:tabs>
          <w:tab w:leader="none" w:pos="1296"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Comparison Group</w:t>
      </w:r>
      <w:r>
        <w:rPr>
          <w:rFonts w:ascii="Arial" w:cs="Arial" w:eastAsia="Arial" w:hAnsi="Arial"/>
          <w:sz w:val="22"/>
          <w:szCs w:val="22"/>
          <w:color w:val="auto"/>
        </w:rPr>
        <w:t>. For companies that are in the Comparison Group as of the first day of the Company’s 2021 fiscal year but do not remain publicly traded through the last day of the Company’s 2023 fiscal year, such companies will be treated as follows:</w:t>
      </w:r>
    </w:p>
    <w:p>
      <w:pPr>
        <w:spacing w:after="0" w:line="212" w:lineRule="exact"/>
        <w:rPr>
          <w:rFonts w:ascii="Arial" w:cs="Arial" w:eastAsia="Arial" w:hAnsi="Arial"/>
          <w:sz w:val="22"/>
          <w:szCs w:val="22"/>
          <w:color w:val="auto"/>
        </w:rPr>
      </w:pPr>
    </w:p>
    <w:p>
      <w:pPr>
        <w:jc w:val="both"/>
        <w:ind w:left="1300" w:firstLine="4"/>
        <w:spacing w:after="0" w:line="253" w:lineRule="auto"/>
        <w:tabs>
          <w:tab w:leader="none" w:pos="1945" w:val="left"/>
        </w:tabs>
        <w:numPr>
          <w:ilvl w:val="1"/>
          <w:numId w:val="104"/>
        </w:numPr>
        <w:rPr>
          <w:rFonts w:ascii="Arial" w:cs="Arial" w:eastAsia="Arial" w:hAnsi="Arial"/>
          <w:sz w:val="22"/>
          <w:szCs w:val="22"/>
          <w:color w:val="auto"/>
        </w:rPr>
      </w:pPr>
      <w:r>
        <w:rPr>
          <w:rFonts w:ascii="Arial" w:cs="Arial" w:eastAsia="Arial" w:hAnsi="Arial"/>
          <w:sz w:val="22"/>
          <w:szCs w:val="22"/>
          <w:color w:val="auto"/>
        </w:rPr>
        <w:t>Acquisition – For a company that is acquired or has substantially disposed of its assets during the Performance Period, it shall be removed entirely from the Comparison Group and thus not considered for measurement purposes.</w:t>
      </w:r>
    </w:p>
    <w:p>
      <w:pPr>
        <w:spacing w:after="0" w:line="212" w:lineRule="exact"/>
        <w:rPr>
          <w:rFonts w:ascii="Arial" w:cs="Arial" w:eastAsia="Arial" w:hAnsi="Arial"/>
          <w:sz w:val="22"/>
          <w:szCs w:val="22"/>
          <w:color w:val="auto"/>
        </w:rPr>
      </w:pPr>
    </w:p>
    <w:p>
      <w:pPr>
        <w:ind w:left="1940" w:hanging="636"/>
        <w:spacing w:after="0"/>
        <w:tabs>
          <w:tab w:leader="none" w:pos="1940" w:val="left"/>
        </w:tabs>
        <w:numPr>
          <w:ilvl w:val="1"/>
          <w:numId w:val="104"/>
        </w:numPr>
        <w:rPr>
          <w:rFonts w:ascii="Arial" w:cs="Arial" w:eastAsia="Arial" w:hAnsi="Arial"/>
          <w:sz w:val="22"/>
          <w:szCs w:val="22"/>
          <w:color w:val="auto"/>
        </w:rPr>
      </w:pPr>
      <w:r>
        <w:rPr>
          <w:rFonts w:ascii="Arial" w:cs="Arial" w:eastAsia="Arial" w:hAnsi="Arial"/>
          <w:sz w:val="22"/>
          <w:szCs w:val="22"/>
          <w:color w:val="auto"/>
        </w:rPr>
        <w:t>Merger – For a company that is impacted by merger activity during the Performance Period:</w:t>
      </w:r>
    </w:p>
    <w:p>
      <w:pPr>
        <w:spacing w:after="0" w:line="246" w:lineRule="exact"/>
        <w:rPr>
          <w:rFonts w:ascii="Arial" w:cs="Arial" w:eastAsia="Arial" w:hAnsi="Arial"/>
          <w:sz w:val="22"/>
          <w:szCs w:val="22"/>
          <w:color w:val="auto"/>
        </w:rPr>
      </w:pPr>
    </w:p>
    <w:p>
      <w:pPr>
        <w:jc w:val="both"/>
        <w:ind w:left="2600" w:hanging="648"/>
        <w:spacing w:after="0" w:line="253" w:lineRule="auto"/>
        <w:tabs>
          <w:tab w:leader="none" w:pos="2588" w:val="left"/>
        </w:tabs>
        <w:numPr>
          <w:ilvl w:val="2"/>
          <w:numId w:val="104"/>
        </w:numPr>
        <w:rPr>
          <w:rFonts w:ascii="Arial" w:cs="Arial" w:eastAsia="Arial" w:hAnsi="Arial"/>
          <w:sz w:val="22"/>
          <w:szCs w:val="22"/>
          <w:color w:val="auto"/>
        </w:rPr>
      </w:pPr>
      <w:r>
        <w:rPr>
          <w:rFonts w:ascii="Arial" w:cs="Arial" w:eastAsia="Arial" w:hAnsi="Arial"/>
          <w:sz w:val="22"/>
          <w:szCs w:val="22"/>
          <w:color w:val="auto"/>
        </w:rPr>
        <w:t>Such company shall be removed from the Comparison Group (and thus not considered for measurement purposes) if it is not the surviving company following a merger with either a non-Comparison Group company or another Comparison Group company; or</w:t>
      </w:r>
    </w:p>
    <w:p>
      <w:pPr>
        <w:spacing w:after="0" w:line="212" w:lineRule="exact"/>
        <w:rPr>
          <w:rFonts w:ascii="Arial" w:cs="Arial" w:eastAsia="Arial" w:hAnsi="Arial"/>
          <w:sz w:val="22"/>
          <w:szCs w:val="22"/>
          <w:color w:val="auto"/>
        </w:rPr>
      </w:pPr>
    </w:p>
    <w:p>
      <w:pPr>
        <w:ind w:left="2600" w:hanging="648"/>
        <w:spacing w:after="0" w:line="263" w:lineRule="auto"/>
        <w:tabs>
          <w:tab w:leader="none" w:pos="2594" w:val="left"/>
        </w:tabs>
        <w:numPr>
          <w:ilvl w:val="2"/>
          <w:numId w:val="104"/>
        </w:numPr>
        <w:rPr>
          <w:rFonts w:ascii="Arial" w:cs="Arial" w:eastAsia="Arial" w:hAnsi="Arial"/>
          <w:sz w:val="22"/>
          <w:szCs w:val="22"/>
          <w:color w:val="auto"/>
        </w:rPr>
      </w:pPr>
      <w:r>
        <w:rPr>
          <w:rFonts w:ascii="Arial" w:cs="Arial" w:eastAsia="Arial" w:hAnsi="Arial"/>
          <w:sz w:val="22"/>
          <w:szCs w:val="22"/>
          <w:color w:val="auto"/>
        </w:rPr>
        <w:t>Such company shall be included in the Comparison Group if it is the surviving company following a merger with another Comparison Group company.</w:t>
      </w:r>
    </w:p>
    <w:p>
      <w:pPr>
        <w:sectPr>
          <w:pgSz w:w="11900" w:h="16838" w:orient="portrait"/>
          <w:cols w:equalWidth="0" w:num="1">
            <w:col w:w="11240"/>
          </w:cols>
          <w:pgMar w:left="320" w:top="893" w:right="339" w:bottom="1440" w:gutter="0" w:footer="0" w:header="0"/>
        </w:sectPr>
      </w:pPr>
    </w:p>
    <w:bookmarkStart w:id="134" w:name="page135"/>
    <w:bookmarkEnd w:id="134"/>
    <w:p>
      <w:pPr>
        <w:jc w:val="both"/>
        <w:ind w:left="180" w:firstLine="4"/>
        <w:spacing w:after="0" w:line="250" w:lineRule="auto"/>
        <w:tabs>
          <w:tab w:leader="none" w:pos="825" w:val="left"/>
        </w:tabs>
        <w:numPr>
          <w:ilvl w:val="0"/>
          <w:numId w:val="105"/>
        </w:numPr>
        <w:rPr>
          <w:rFonts w:ascii="Arial" w:cs="Arial" w:eastAsia="Arial" w:hAnsi="Arial"/>
          <w:sz w:val="22"/>
          <w:szCs w:val="22"/>
          <w:color w:val="auto"/>
        </w:rPr>
      </w:pPr>
      <w:r>
        <w:rPr>
          <w:rFonts w:ascii="Arial" w:cs="Arial" w:eastAsia="Arial" w:hAnsi="Arial"/>
          <w:sz w:val="22"/>
          <w:szCs w:val="22"/>
          <w:color w:val="auto"/>
        </w:rPr>
        <w:t>Spin-Off – For a company that is spun-off during the Performance Period, such company shall be removed from the Comparison Group (and thus not considered for measurement purposes); however, the parent company of such spin-off shall be included for measurement purposes if such parent company remains at least 50% of its pre-spin-off size as measured by revenues.</w:t>
      </w:r>
    </w:p>
    <w:p>
      <w:pPr>
        <w:spacing w:after="0" w:line="214" w:lineRule="exact"/>
        <w:rPr>
          <w:rFonts w:ascii="Arial" w:cs="Arial" w:eastAsia="Arial" w:hAnsi="Arial"/>
          <w:sz w:val="22"/>
          <w:szCs w:val="22"/>
          <w:color w:val="auto"/>
        </w:rPr>
      </w:pPr>
    </w:p>
    <w:p>
      <w:pPr>
        <w:ind w:left="820" w:hanging="636"/>
        <w:spacing w:after="0"/>
        <w:tabs>
          <w:tab w:leader="none" w:pos="82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In the event any company in the Comparison Group: (i) files for bankruptcy, reorganization, or liquidation;</w:t>
      </w:r>
    </w:p>
    <w:p>
      <w:pPr>
        <w:spacing w:after="0" w:line="55" w:lineRule="exact"/>
        <w:rPr>
          <w:rFonts w:ascii="Arial" w:cs="Arial" w:eastAsia="Arial" w:hAnsi="Arial"/>
          <w:sz w:val="19"/>
          <w:szCs w:val="19"/>
          <w:color w:val="auto"/>
        </w:rPr>
      </w:pPr>
    </w:p>
    <w:p>
      <w:pPr>
        <w:jc w:val="both"/>
        <w:ind w:left="180" w:firstLine="4"/>
        <w:spacing w:after="0" w:line="244" w:lineRule="auto"/>
        <w:tabs>
          <w:tab w:leader="none" w:pos="506" w:val="left"/>
        </w:tabs>
        <w:numPr>
          <w:ilvl w:val="0"/>
          <w:numId w:val="106"/>
        </w:numPr>
        <w:rPr>
          <w:rFonts w:ascii="Arial" w:cs="Arial" w:eastAsia="Arial" w:hAnsi="Arial"/>
          <w:sz w:val="22"/>
          <w:szCs w:val="22"/>
          <w:color w:val="auto"/>
        </w:rPr>
      </w:pPr>
      <w:r>
        <w:rPr>
          <w:rFonts w:ascii="Arial" w:cs="Arial" w:eastAsia="Arial" w:hAnsi="Arial"/>
          <w:sz w:val="22"/>
          <w:szCs w:val="22"/>
          <w:color w:val="auto"/>
        </w:rPr>
        <w:t>is the subject of an involuntary bankruptcy proceeding that is not dismissed within 30 days; (iii) is the subject of a stockholder approved plan of liquidation or dissolution; or (iv) ceases to conduct substantial business operations, such company shall be placed at the bottom of the Comparison Group with a negative TSR of negative one hundred percent (-100%).</w:t>
      </w:r>
    </w:p>
    <w:p>
      <w:pPr>
        <w:sectPr>
          <w:pgSz w:w="11900" w:h="16838" w:orient="portrait"/>
          <w:cols w:equalWidth="0" w:num="1">
            <w:col w:w="10120"/>
          </w:cols>
          <w:pgMar w:left="1440" w:top="1144" w:right="339" w:bottom="1440" w:gutter="0" w:footer="0" w:header="0"/>
        </w:sectPr>
      </w:pPr>
    </w:p>
    <w:bookmarkStart w:id="135" w:name="page136"/>
    <w:bookmarkEnd w:id="135"/>
    <w:tbl>
      <w:tblPr>
        <w:tblLayout w:type="fixed"/>
        <w:tblInd w:w="1810" w:type="dxa"/>
        <w:tblCellMar>
          <w:top w:w="0" w:type="dxa"/>
          <w:left w:w="0" w:type="dxa"/>
          <w:bottom w:w="0" w:type="dxa"/>
          <w:right w:w="0" w:type="dxa"/>
        </w:tblCellMar>
      </w:tblPr>
      <w:tr>
        <w:trPr>
          <w:trHeight w:val="257"/>
        </w:trPr>
        <w:tc>
          <w:tcPr>
            <w:tcW w:w="1060" w:type="dxa"/>
            <w:vAlign w:val="bottom"/>
          </w:tcPr>
          <w:p>
            <w:pPr>
              <w:spacing w:after="0"/>
              <w:rPr>
                <w:sz w:val="22"/>
                <w:szCs w:val="22"/>
                <w:color w:val="auto"/>
              </w:rPr>
            </w:pPr>
          </w:p>
        </w:tc>
        <w:tc>
          <w:tcPr>
            <w:tcW w:w="4400" w:type="dxa"/>
            <w:vAlign w:val="bottom"/>
          </w:tcPr>
          <w:p>
            <w:pPr>
              <w:ind w:left="1120"/>
              <w:spacing w:after="0"/>
              <w:rPr>
                <w:sz w:val="20"/>
                <w:szCs w:val="20"/>
                <w:color w:val="auto"/>
              </w:rPr>
            </w:pPr>
            <w:r>
              <w:rPr>
                <w:rFonts w:ascii="Arial" w:cs="Arial" w:eastAsia="Arial" w:hAnsi="Arial"/>
                <w:sz w:val="22"/>
                <w:szCs w:val="22"/>
                <w:b w:val="1"/>
                <w:bCs w:val="1"/>
                <w:color w:val="auto"/>
              </w:rPr>
              <w:t>Appendix 1</w:t>
            </w:r>
          </w:p>
        </w:tc>
      </w:tr>
      <w:tr>
        <w:trPr>
          <w:trHeight w:val="280"/>
        </w:trPr>
        <w:tc>
          <w:tcPr>
            <w:tcW w:w="1060" w:type="dxa"/>
            <w:vAlign w:val="bottom"/>
          </w:tcPr>
          <w:p>
            <w:pPr>
              <w:spacing w:after="0"/>
              <w:rPr>
                <w:sz w:val="24"/>
                <w:szCs w:val="24"/>
                <w:color w:val="auto"/>
              </w:rPr>
            </w:pPr>
          </w:p>
        </w:tc>
        <w:tc>
          <w:tcPr>
            <w:tcW w:w="4400" w:type="dxa"/>
            <w:vAlign w:val="bottom"/>
          </w:tcPr>
          <w:p>
            <w:pPr>
              <w:ind w:left="740"/>
              <w:spacing w:after="0"/>
              <w:rPr>
                <w:sz w:val="20"/>
                <w:szCs w:val="20"/>
                <w:color w:val="auto"/>
              </w:rPr>
            </w:pPr>
            <w:r>
              <w:rPr>
                <w:rFonts w:ascii="Arial" w:cs="Arial" w:eastAsia="Arial" w:hAnsi="Arial"/>
                <w:sz w:val="22"/>
                <w:szCs w:val="22"/>
                <w:b w:val="1"/>
                <w:bCs w:val="1"/>
                <w:color w:val="auto"/>
              </w:rPr>
              <w:t>Comparison Group</w:t>
            </w:r>
          </w:p>
        </w:tc>
      </w:tr>
      <w:tr>
        <w:trPr>
          <w:trHeight w:val="260"/>
        </w:trPr>
        <w:tc>
          <w:tcPr>
            <w:tcW w:w="1060" w:type="dxa"/>
            <w:vAlign w:val="bottom"/>
          </w:tcPr>
          <w:p>
            <w:pPr>
              <w:spacing w:after="0"/>
              <w:rPr>
                <w:sz w:val="22"/>
                <w:szCs w:val="22"/>
                <w:color w:val="auto"/>
              </w:rPr>
            </w:pPr>
          </w:p>
        </w:tc>
        <w:tc>
          <w:tcPr>
            <w:tcW w:w="4400" w:type="dxa"/>
            <w:vAlign w:val="bottom"/>
          </w:tcPr>
          <w:p>
            <w:pPr>
              <w:spacing w:after="0"/>
              <w:rPr>
                <w:sz w:val="22"/>
                <w:szCs w:val="22"/>
                <w:color w:val="auto"/>
              </w:rPr>
            </w:pPr>
          </w:p>
        </w:tc>
      </w:tr>
      <w:tr>
        <w:trPr>
          <w:trHeight w:val="291"/>
        </w:trPr>
        <w:tc>
          <w:tcPr>
            <w:tcW w:w="1060" w:type="dxa"/>
            <w:vAlign w:val="bottom"/>
            <w:tcBorders>
              <w:left w:val="single" w:sz="8" w:color="44546A"/>
              <w:bottom w:val="single" w:sz="8" w:color="44546A"/>
              <w:right w:val="single" w:sz="8" w:color="BFBFBF"/>
            </w:tcBorders>
            <w:shd w:val="clear" w:color="auto" w:fill="44546A"/>
          </w:tcPr>
          <w:p>
            <w:pPr>
              <w:jc w:val="center"/>
              <w:spacing w:after="0"/>
              <w:rPr>
                <w:sz w:val="20"/>
                <w:szCs w:val="20"/>
                <w:color w:val="auto"/>
              </w:rPr>
            </w:pPr>
            <w:r>
              <w:rPr>
                <w:rFonts w:ascii="Arial" w:cs="Arial" w:eastAsia="Arial" w:hAnsi="Arial"/>
                <w:sz w:val="20"/>
                <w:szCs w:val="20"/>
                <w:b w:val="1"/>
                <w:bCs w:val="1"/>
                <w:color w:val="FFFFFF"/>
                <w:w w:val="98"/>
              </w:rPr>
              <w:t>Ticker</w:t>
            </w:r>
          </w:p>
        </w:tc>
        <w:tc>
          <w:tcPr>
            <w:tcW w:w="4400" w:type="dxa"/>
            <w:vAlign w:val="bottom"/>
            <w:tcBorders>
              <w:bottom w:val="single" w:sz="8" w:color="44546A"/>
              <w:right w:val="single" w:sz="8" w:color="BFBFBF"/>
            </w:tcBorders>
            <w:shd w:val="clear" w:color="auto" w:fill="44546A"/>
          </w:tcPr>
          <w:p>
            <w:pPr>
              <w:ind w:left="220"/>
              <w:spacing w:after="0"/>
              <w:rPr>
                <w:sz w:val="20"/>
                <w:szCs w:val="20"/>
                <w:color w:val="auto"/>
              </w:rPr>
            </w:pPr>
            <w:r>
              <w:rPr>
                <w:rFonts w:ascii="Arial" w:cs="Arial" w:eastAsia="Arial" w:hAnsi="Arial"/>
                <w:sz w:val="20"/>
                <w:szCs w:val="20"/>
                <w:b w:val="1"/>
                <w:bCs w:val="1"/>
                <w:color w:val="FFFFFF"/>
              </w:rPr>
              <w:t>Company</w:t>
            </w:r>
          </w:p>
        </w:tc>
      </w:tr>
      <w:tr>
        <w:trPr>
          <w:trHeight w:val="261"/>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rPr>
              <w:t>BJRI</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BJ's Restaurants, Inc.</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w w:val="92"/>
              </w:rPr>
              <w:t>EAT</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Brinker International, Inc.</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w w:val="98"/>
              </w:rPr>
              <w:t>CMG</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Chipotle Mexican Grill, Inc.</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w w:val="98"/>
              </w:rPr>
              <w:t>CHUY</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Chuy's Holdings, Inc.</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w w:val="97"/>
              </w:rPr>
              <w:t>CBRL</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Cracker Barrel Old Country Store, Inc.</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w w:val="98"/>
              </w:rPr>
              <w:t>DRI</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Darden Restaurants, Inc.</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w w:val="93"/>
              </w:rPr>
              <w:t>PLAY</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Dave &amp; Buster's Entertainment, Inc.</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w w:val="98"/>
              </w:rPr>
              <w:t>DIN</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Dine Brands Global, Inc.</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w w:val="99"/>
              </w:rPr>
              <w:t>DPZ</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Domino's Pizza, Inc.</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w w:val="98"/>
              </w:rPr>
              <w:t>LOCO</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El Pollo Loco Holdings, Inc.</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rPr>
              <w:t>FRGI</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Fiesta Restaurant Group, Inc.</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w w:val="97"/>
              </w:rPr>
              <w:t>JACK</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Jack in the Box Inc.</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w w:val="96"/>
              </w:rPr>
              <w:t>MCD</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McDonald's Corporation</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w w:val="97"/>
              </w:rPr>
              <w:t>PZZA</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Papa John's International, Inc.</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w w:val="96"/>
              </w:rPr>
              <w:t>RRGB</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Red Robin Gourmet Burgers, Inc.</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rPr>
              <w:t>RUTH</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Ruth's Hospitality Group, Inc.</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w w:val="99"/>
              </w:rPr>
              <w:t>SHAK</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Shake Shack Inc.</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w w:val="99"/>
              </w:rPr>
              <w:t>SBUX</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Starbucks Corporation</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w w:val="99"/>
              </w:rPr>
              <w:t>TXRH</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Texas Roadhouse, Inc.</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w w:val="99"/>
              </w:rPr>
              <w:t>CAKE</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The Cheesecake Factory Incorporated</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w w:val="98"/>
              </w:rPr>
              <w:t>WEN</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The Wendy's Company</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w w:val="99"/>
              </w:rPr>
              <w:t>WING</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Wingstop Inc.</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w w:val="98"/>
              </w:rPr>
              <w:t>YUM</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Yum! Brands, Inc.</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bl>
    <w:p>
      <w:pPr>
        <w:sectPr>
          <w:pgSz w:w="11900" w:h="16838" w:orient="portrait"/>
          <w:cols w:equalWidth="0" w:num="1">
            <w:col w:w="9019"/>
          </w:cols>
          <w:pgMar w:left="1440" w:top="895" w:right="1440" w:bottom="1440" w:gutter="0" w:footer="0" w:header="0"/>
        </w:sectPr>
      </w:pPr>
    </w:p>
    <w:bookmarkStart w:id="136" w:name="page137"/>
    <w:bookmarkEnd w:id="136"/>
    <w:p>
      <w:pPr>
        <w:ind w:left="9780"/>
        <w:spacing w:after="0"/>
        <w:rPr>
          <w:sz w:val="20"/>
          <w:szCs w:val="20"/>
          <w:color w:val="auto"/>
        </w:rPr>
      </w:pPr>
      <w:r>
        <w:rPr>
          <w:rFonts w:ascii="Arial" w:cs="Arial" w:eastAsia="Arial" w:hAnsi="Arial"/>
          <w:sz w:val="18"/>
          <w:szCs w:val="18"/>
          <w:b w:val="1"/>
          <w:bCs w:val="1"/>
          <w:color w:val="auto"/>
        </w:rPr>
        <w:t>Exhibit 10.49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Performance Award Agreement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Bloomin’ Brands, Inc. 2020 Omnibus Incentive Compensation Plan</w:t>
      </w:r>
    </w:p>
    <w:p>
      <w:pPr>
        <w:spacing w:after="0" w:line="229" w:lineRule="exact"/>
        <w:rPr>
          <w:sz w:val="20"/>
          <w:szCs w:val="20"/>
          <w:color w:val="auto"/>
        </w:rPr>
      </w:pPr>
    </w:p>
    <w:p>
      <w:pPr>
        <w:jc w:val="both"/>
        <w:ind w:firstLine="250"/>
        <w:spacing w:after="0" w:line="260" w:lineRule="auto"/>
        <w:rPr>
          <w:sz w:val="20"/>
          <w:szCs w:val="20"/>
          <w:color w:val="auto"/>
        </w:rPr>
      </w:pPr>
      <w:r>
        <w:rPr>
          <w:rFonts w:ascii="Arial" w:cs="Arial" w:eastAsia="Arial" w:hAnsi="Arial"/>
          <w:sz w:val="21"/>
          <w:szCs w:val="21"/>
          <w:color w:val="auto"/>
        </w:rPr>
        <w:t>Bloomin’ Brands, Inc. (the “</w:t>
      </w:r>
      <w:r>
        <w:rPr>
          <w:rFonts w:ascii="Arial" w:cs="Arial" w:eastAsia="Arial" w:hAnsi="Arial"/>
          <w:sz w:val="21"/>
          <w:szCs w:val="21"/>
          <w:u w:val="single" w:color="auto"/>
          <w:color w:val="auto"/>
        </w:rPr>
        <w:t>Company</w:t>
      </w:r>
      <w:r>
        <w:rPr>
          <w:rFonts w:ascii="Arial" w:cs="Arial" w:eastAsia="Arial" w:hAnsi="Arial"/>
          <w:sz w:val="21"/>
          <w:szCs w:val="21"/>
          <w:color w:val="auto"/>
        </w:rPr>
        <w:t>”) hereby issues to the Participant an award (the “</w:t>
      </w:r>
      <w:r>
        <w:rPr>
          <w:rFonts w:ascii="Arial" w:cs="Arial" w:eastAsia="Arial" w:hAnsi="Arial"/>
          <w:sz w:val="21"/>
          <w:szCs w:val="21"/>
          <w:u w:val="single" w:color="auto"/>
          <w:color w:val="auto"/>
        </w:rPr>
        <w:t>Award</w:t>
      </w:r>
      <w:r>
        <w:rPr>
          <w:rFonts w:ascii="Arial" w:cs="Arial" w:eastAsia="Arial" w:hAnsi="Arial"/>
          <w:sz w:val="21"/>
          <w:szCs w:val="21"/>
          <w:color w:val="auto"/>
        </w:rPr>
        <w:t>”) of performance-based Share units (“</w:t>
      </w:r>
      <w:r>
        <w:rPr>
          <w:rFonts w:ascii="Arial" w:cs="Arial" w:eastAsia="Arial" w:hAnsi="Arial"/>
          <w:sz w:val="21"/>
          <w:szCs w:val="21"/>
          <w:u w:val="single" w:color="auto"/>
          <w:color w:val="auto"/>
        </w:rPr>
        <w:t>Performance Awards</w:t>
      </w:r>
      <w:r>
        <w:rPr>
          <w:rFonts w:ascii="Arial" w:cs="Arial" w:eastAsia="Arial" w:hAnsi="Arial"/>
          <w:sz w:val="21"/>
          <w:szCs w:val="21"/>
          <w:color w:val="auto"/>
        </w:rPr>
        <w:t>”). Each Performance Award represents an unfunded, unsecured promise of the Company to deliver to the Participant one Share, subject to the vesting and other restrictions, terms and conditions set forth in the Bloomin’ Brands, Inc. 2020 Omnibus Incentive Compensation Plan (the “</w:t>
      </w:r>
      <w:r>
        <w:rPr>
          <w:rFonts w:ascii="Arial" w:cs="Arial" w:eastAsia="Arial" w:hAnsi="Arial"/>
          <w:sz w:val="21"/>
          <w:szCs w:val="21"/>
          <w:u w:val="single" w:color="auto"/>
          <w:color w:val="auto"/>
        </w:rPr>
        <w:t>Plan</w:t>
      </w:r>
      <w:r>
        <w:rPr>
          <w:rFonts w:ascii="Arial" w:cs="Arial" w:eastAsia="Arial" w:hAnsi="Arial"/>
          <w:sz w:val="21"/>
          <w:szCs w:val="21"/>
          <w:color w:val="auto"/>
        </w:rPr>
        <w:t xml:space="preserve">”) and those set forth in this Agreement, including the Terms and Conditions of Performance Award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and the Performance-Based Vesting Terms and Conditions contained in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(collectively, the “</w:t>
      </w:r>
      <w:r>
        <w:rPr>
          <w:rFonts w:ascii="Arial" w:cs="Arial" w:eastAsia="Arial" w:hAnsi="Arial"/>
          <w:sz w:val="21"/>
          <w:szCs w:val="21"/>
          <w:u w:val="single" w:color="auto"/>
          <w:color w:val="auto"/>
        </w:rPr>
        <w:t>Agreement</w:t>
      </w:r>
      <w:r>
        <w:rPr>
          <w:rFonts w:ascii="Arial" w:cs="Arial" w:eastAsia="Arial" w:hAnsi="Arial"/>
          <w:sz w:val="21"/>
          <w:szCs w:val="21"/>
          <w:color w:val="auto"/>
        </w:rPr>
        <w:t>”). Any capitalized terms used in this Agreement and not defined herein shall have the meanings ascribed to such terms in the Plan.</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Performance Awards:</w:t>
      </w: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3300" w:type="dxa"/>
            <w:vAlign w:val="bottom"/>
            <w:gridSpan w:val="4"/>
          </w:tcPr>
          <w:p>
            <w:pPr>
              <w:spacing w:after="0"/>
              <w:rPr>
                <w:sz w:val="20"/>
                <w:szCs w:val="20"/>
                <w:color w:val="auto"/>
              </w:rPr>
            </w:pPr>
            <w:r>
              <w:rPr>
                <w:rFonts w:ascii="Arial" w:cs="Arial" w:eastAsia="Arial" w:hAnsi="Arial"/>
                <w:sz w:val="22"/>
                <w:szCs w:val="22"/>
                <w:color w:val="auto"/>
              </w:rPr>
              <w:t>Name/Participant:</w:t>
            </w:r>
          </w:p>
        </w:tc>
        <w:tc>
          <w:tcPr>
            <w:tcW w:w="3240" w:type="dxa"/>
            <w:vAlign w:val="bottom"/>
          </w:tcPr>
          <w:p>
            <w:pPr>
              <w:ind w:left="1440"/>
              <w:spacing w:after="0"/>
              <w:rPr>
                <w:sz w:val="20"/>
                <w:szCs w:val="20"/>
                <w:color w:val="auto"/>
              </w:rPr>
            </w:pPr>
            <w:r>
              <w:rPr>
                <w:rFonts w:ascii="Arial" w:cs="Arial" w:eastAsia="Arial" w:hAnsi="Arial"/>
                <w:sz w:val="22"/>
                <w:szCs w:val="22"/>
                <w:color w:val="auto"/>
              </w:rPr>
              <w:t>&lt;name&gt;</w:t>
            </w:r>
          </w:p>
        </w:tc>
      </w:tr>
      <w:tr>
        <w:trPr>
          <w:trHeight w:val="250"/>
        </w:trPr>
        <w:tc>
          <w:tcPr>
            <w:tcW w:w="1520" w:type="dxa"/>
            <w:vAlign w:val="bottom"/>
            <w:tcBorders>
              <w:top w:val="single" w:sz="8" w:color="auto"/>
            </w:tcBorders>
            <w:gridSpan w:val="2"/>
          </w:tcPr>
          <w:p>
            <w:pPr>
              <w:spacing w:after="0" w:line="250" w:lineRule="exact"/>
              <w:rPr>
                <w:sz w:val="20"/>
                <w:szCs w:val="20"/>
                <w:color w:val="auto"/>
              </w:rPr>
            </w:pPr>
            <w:r>
              <w:rPr>
                <w:rFonts w:ascii="Arial" w:cs="Arial" w:eastAsia="Arial" w:hAnsi="Arial"/>
                <w:sz w:val="22"/>
                <w:szCs w:val="22"/>
                <w:color w:val="auto"/>
              </w:rPr>
              <w:t>Type of Grant:</w:t>
            </w:r>
          </w:p>
        </w:tc>
        <w:tc>
          <w:tcPr>
            <w:tcW w:w="1780" w:type="dxa"/>
            <w:vAlign w:val="bottom"/>
            <w:gridSpan w:val="2"/>
          </w:tcPr>
          <w:p>
            <w:pPr>
              <w:spacing w:after="0"/>
              <w:rPr>
                <w:sz w:val="21"/>
                <w:szCs w:val="21"/>
                <w:color w:val="auto"/>
              </w:rPr>
            </w:pPr>
          </w:p>
        </w:tc>
        <w:tc>
          <w:tcPr>
            <w:tcW w:w="3240" w:type="dxa"/>
            <w:vAlign w:val="bottom"/>
          </w:tcPr>
          <w:p>
            <w:pPr>
              <w:ind w:left="1440"/>
              <w:spacing w:after="0" w:line="250" w:lineRule="exact"/>
              <w:rPr>
                <w:sz w:val="20"/>
                <w:szCs w:val="20"/>
                <w:color w:val="auto"/>
              </w:rPr>
            </w:pPr>
            <w:r>
              <w:rPr>
                <w:rFonts w:ascii="Arial" w:cs="Arial" w:eastAsia="Arial" w:hAnsi="Arial"/>
                <w:sz w:val="22"/>
                <w:szCs w:val="22"/>
                <w:color w:val="auto"/>
                <w:w w:val="86"/>
              </w:rPr>
              <w:t>Performance Awards</w:t>
            </w:r>
          </w:p>
        </w:tc>
      </w:tr>
      <w:tr>
        <w:trPr>
          <w:trHeight w:val="20"/>
        </w:trPr>
        <w:tc>
          <w:tcPr>
            <w:tcW w:w="120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50"/>
        </w:trPr>
        <w:tc>
          <w:tcPr>
            <w:tcW w:w="3300" w:type="dxa"/>
            <w:vAlign w:val="bottom"/>
            <w:gridSpan w:val="4"/>
          </w:tcPr>
          <w:p>
            <w:pPr>
              <w:spacing w:after="0" w:line="250" w:lineRule="exact"/>
              <w:rPr>
                <w:sz w:val="20"/>
                <w:szCs w:val="20"/>
                <w:color w:val="auto"/>
              </w:rPr>
            </w:pPr>
            <w:r>
              <w:rPr>
                <w:rFonts w:ascii="Arial" w:cs="Arial" w:eastAsia="Arial" w:hAnsi="Arial"/>
                <w:sz w:val="22"/>
                <w:szCs w:val="22"/>
                <w:color w:val="auto"/>
              </w:rPr>
              <w:t>Date of Grant:</w:t>
            </w:r>
          </w:p>
        </w:tc>
        <w:tc>
          <w:tcPr>
            <w:tcW w:w="3240" w:type="dxa"/>
            <w:vAlign w:val="bottom"/>
          </w:tcPr>
          <w:p>
            <w:pPr>
              <w:ind w:left="1440"/>
              <w:spacing w:after="0" w:line="250" w:lineRule="exact"/>
              <w:rPr>
                <w:sz w:val="20"/>
                <w:szCs w:val="20"/>
                <w:color w:val="auto"/>
              </w:rPr>
            </w:pPr>
            <w:r>
              <w:rPr>
                <w:rFonts w:ascii="Arial" w:cs="Arial" w:eastAsia="Arial" w:hAnsi="Arial"/>
                <w:sz w:val="22"/>
                <w:szCs w:val="22"/>
                <w:color w:val="auto"/>
              </w:rPr>
              <w:t>&lt;date&gt;</w:t>
            </w:r>
          </w:p>
        </w:tc>
      </w:tr>
      <w:tr>
        <w:trPr>
          <w:trHeight w:val="20"/>
        </w:trPr>
        <w:tc>
          <w:tcPr>
            <w:tcW w:w="120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50"/>
        </w:trPr>
        <w:tc>
          <w:tcPr>
            <w:tcW w:w="3300" w:type="dxa"/>
            <w:vAlign w:val="bottom"/>
            <w:gridSpan w:val="4"/>
          </w:tcPr>
          <w:p>
            <w:pPr>
              <w:spacing w:after="0" w:line="250" w:lineRule="exact"/>
              <w:rPr>
                <w:sz w:val="20"/>
                <w:szCs w:val="20"/>
                <w:color w:val="auto"/>
              </w:rPr>
            </w:pPr>
            <w:r>
              <w:rPr>
                <w:rFonts w:ascii="Arial" w:cs="Arial" w:eastAsia="Arial" w:hAnsi="Arial"/>
                <w:sz w:val="22"/>
                <w:szCs w:val="22"/>
                <w:color w:val="auto"/>
              </w:rPr>
              <w:t>Total Shares Granted:</w:t>
            </w:r>
          </w:p>
        </w:tc>
        <w:tc>
          <w:tcPr>
            <w:tcW w:w="3240" w:type="dxa"/>
            <w:vAlign w:val="bottom"/>
          </w:tcPr>
          <w:p>
            <w:pPr>
              <w:ind w:left="1440"/>
              <w:spacing w:after="0" w:line="250" w:lineRule="exact"/>
              <w:rPr>
                <w:sz w:val="20"/>
                <w:szCs w:val="20"/>
                <w:color w:val="auto"/>
              </w:rPr>
            </w:pPr>
            <w:r>
              <w:rPr>
                <w:rFonts w:ascii="Arial" w:cs="Arial" w:eastAsia="Arial" w:hAnsi="Arial"/>
                <w:sz w:val="22"/>
                <w:szCs w:val="22"/>
                <w:color w:val="auto"/>
              </w:rPr>
              <w:t>&lt;shares&gt;</w:t>
            </w:r>
          </w:p>
        </w:tc>
      </w:tr>
      <w:tr>
        <w:trPr>
          <w:trHeight w:val="20"/>
        </w:trPr>
        <w:tc>
          <w:tcPr>
            <w:tcW w:w="120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bl>
    <w:p>
      <w:pPr>
        <w:spacing w:after="0" w:line="357" w:lineRule="exact"/>
        <w:rPr>
          <w:sz w:val="20"/>
          <w:szCs w:val="20"/>
          <w:color w:val="auto"/>
        </w:rPr>
      </w:pPr>
    </w:p>
    <w:p>
      <w:pPr>
        <w:jc w:val="both"/>
        <w:ind w:right="20"/>
        <w:spacing w:after="0" w:line="271" w:lineRule="auto"/>
        <w:rPr>
          <w:sz w:val="20"/>
          <w:szCs w:val="20"/>
          <w:color w:val="auto"/>
        </w:rPr>
      </w:pPr>
      <w:r>
        <w:rPr>
          <w:rFonts w:ascii="Arial" w:cs="Arial" w:eastAsia="Arial" w:hAnsi="Arial"/>
          <w:sz w:val="21"/>
          <w:szCs w:val="21"/>
          <w:color w:val="auto"/>
        </w:rPr>
        <w:t xml:space="preserve">The Participant, by accepting this award online on www.netbenefits.com, acknowledges and agrees that the Performance Awards are granted under and governed by the terms, and subject to the conditions, of this Agreement, including the Terms and Conditions of Performance Award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Exhibit B</w:t>
      </w:r>
      <w:r>
        <w:rPr>
          <w:rFonts w:ascii="Arial" w:cs="Arial" w:eastAsia="Arial" w:hAnsi="Arial"/>
          <w:sz w:val="21"/>
          <w:szCs w:val="21"/>
          <w:color w:val="auto"/>
        </w:rPr>
        <w:t>, and the Plan.</w:t>
      </w:r>
    </w:p>
    <w:p>
      <w:pPr>
        <w:sectPr>
          <w:pgSz w:w="11900" w:h="16838" w:orient="portrait"/>
          <w:cols w:equalWidth="0" w:num="1">
            <w:col w:w="11240"/>
          </w:cols>
          <w:pgMar w:left="320" w:top="162"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Terms and Conditions of Performance Award</w:t>
      </w:r>
    </w:p>
    <w:p>
      <w:pPr>
        <w:spacing w:after="0" w:line="266" w:lineRule="exact"/>
        <w:rPr>
          <w:sz w:val="20"/>
          <w:szCs w:val="20"/>
          <w:color w:val="auto"/>
        </w:rPr>
      </w:pPr>
    </w:p>
    <w:p>
      <w:pPr>
        <w:jc w:val="both"/>
        <w:ind w:left="-20" w:firstLine="656"/>
        <w:spacing w:after="0" w:line="261" w:lineRule="auto"/>
        <w:tabs>
          <w:tab w:leader="none" w:pos="1276" w:val="left"/>
        </w:tabs>
        <w:numPr>
          <w:ilvl w:val="0"/>
          <w:numId w:val="107"/>
        </w:numPr>
        <w:rPr>
          <w:rFonts w:ascii="Arial" w:cs="Arial" w:eastAsia="Arial" w:hAnsi="Arial"/>
          <w:sz w:val="21"/>
          <w:szCs w:val="21"/>
          <w:color w:val="auto"/>
        </w:rPr>
      </w:pPr>
      <w:r>
        <w:rPr>
          <w:rFonts w:ascii="Arial" w:cs="Arial" w:eastAsia="Arial" w:hAnsi="Arial"/>
          <w:sz w:val="21"/>
          <w:szCs w:val="21"/>
          <w:u w:val="single" w:color="auto"/>
          <w:color w:val="auto"/>
        </w:rPr>
        <w:t>Condition to the Participant’s Rights Under this Agreement</w:t>
      </w:r>
      <w:r>
        <w:rPr>
          <w:rFonts w:ascii="Arial" w:cs="Arial" w:eastAsia="Arial" w:hAnsi="Arial"/>
          <w:sz w:val="21"/>
          <w:szCs w:val="21"/>
          <w:color w:val="auto"/>
        </w:rPr>
        <w:t>. This Agreement shall not become effective, and the Participant shall have no rights with respect to the Award or the Performance Awards, unless and until the Participant has fully executed this Agreement by accepting the Award online as described above. Notwithstanding the foregoing, if the Participant does not otherwise reject this Award in writing to the Compensation department within 90 days of the Date of Grant or such other manner as the Company may specify from time to time in its sole discretion, the Participant shall be deemed to have accepted the Award, and the terms and conditions hereof, as of the Date of Grant.</w:t>
      </w:r>
    </w:p>
    <w:p>
      <w:pPr>
        <w:spacing w:after="0" w:line="206" w:lineRule="exact"/>
        <w:rPr>
          <w:rFonts w:ascii="Arial" w:cs="Arial" w:eastAsia="Arial" w:hAnsi="Arial"/>
          <w:sz w:val="21"/>
          <w:szCs w:val="21"/>
          <w:color w:val="auto"/>
        </w:rPr>
      </w:pPr>
    </w:p>
    <w:p>
      <w:pPr>
        <w:ind w:left="1280" w:hanging="644"/>
        <w:spacing w:after="0"/>
        <w:tabs>
          <w:tab w:leader="none" w:pos="1280"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20" w:firstLine="1304"/>
        <w:spacing w:after="0" w:line="259" w:lineRule="auto"/>
        <w:tabs>
          <w:tab w:leader="none" w:pos="1921" w:val="left"/>
        </w:tabs>
        <w:numPr>
          <w:ilvl w:val="1"/>
          <w:numId w:val="107"/>
        </w:numPr>
        <w:rPr>
          <w:rFonts w:ascii="Arial" w:cs="Arial" w:eastAsia="Arial" w:hAnsi="Arial"/>
          <w:sz w:val="21"/>
          <w:szCs w:val="21"/>
          <w:color w:val="auto"/>
        </w:rPr>
      </w:pPr>
      <w:r>
        <w:rPr>
          <w:rFonts w:ascii="Arial" w:cs="Arial" w:eastAsia="Arial" w:hAnsi="Arial"/>
          <w:sz w:val="21"/>
          <w:szCs w:val="21"/>
          <w:color w:val="auto"/>
        </w:rPr>
        <w:t xml:space="preserve">Subject to the provisions of this Agreement, the Performance Awards awarded under this Agreement shall vest, subject to the Participant’s Continuous Service on the vesting date set forth in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(the “</w:t>
      </w:r>
      <w:r>
        <w:rPr>
          <w:rFonts w:ascii="Arial" w:cs="Arial" w:eastAsia="Arial" w:hAnsi="Arial"/>
          <w:sz w:val="21"/>
          <w:szCs w:val="21"/>
          <w:u w:val="single" w:color="auto"/>
          <w:color w:val="auto"/>
        </w:rPr>
        <w:t>Vesting Date</w:t>
      </w:r>
      <w:r>
        <w:rPr>
          <w:rFonts w:ascii="Arial" w:cs="Arial" w:eastAsia="Arial" w:hAnsi="Arial"/>
          <w:sz w:val="21"/>
          <w:szCs w:val="21"/>
          <w:color w:val="auto"/>
        </w:rPr>
        <w:t>”), when the Committee certifies (A) the extent to which the Company’s performance results have satisfied the performance criteria (“</w:t>
      </w:r>
      <w:r>
        <w:rPr>
          <w:rFonts w:ascii="Arial" w:cs="Arial" w:eastAsia="Arial" w:hAnsi="Arial"/>
          <w:sz w:val="21"/>
          <w:szCs w:val="21"/>
          <w:u w:val="single" w:color="auto"/>
          <w:color w:val="auto"/>
        </w:rPr>
        <w:t>Performance Goals</w:t>
      </w:r>
      <w:r>
        <w:rPr>
          <w:rFonts w:ascii="Arial" w:cs="Arial" w:eastAsia="Arial" w:hAnsi="Arial"/>
          <w:sz w:val="21"/>
          <w:szCs w:val="21"/>
          <w:color w:val="auto"/>
        </w:rPr>
        <w:t>”) over the period beginning on [_____] and ending on [_____] (the “</w:t>
      </w:r>
      <w:r>
        <w:rPr>
          <w:rFonts w:ascii="Arial" w:cs="Arial" w:eastAsia="Arial" w:hAnsi="Arial"/>
          <w:sz w:val="21"/>
          <w:szCs w:val="21"/>
          <w:u w:val="single" w:color="auto"/>
          <w:color w:val="auto"/>
        </w:rPr>
        <w:t>Performance Period</w:t>
      </w:r>
      <w:r>
        <w:rPr>
          <w:rFonts w:ascii="Arial" w:cs="Arial" w:eastAsia="Arial" w:hAnsi="Arial"/>
          <w:sz w:val="21"/>
          <w:szCs w:val="21"/>
          <w:color w:val="auto"/>
        </w:rPr>
        <w:t xml:space="preserve">”) and (B) the corresponding number of Performance Awards that have been earned and vested as a result of the achievement of such Performance Goals during such Performance Period (which number may range from zero percent to </w:t>
      </w:r>
      <w:r>
        <w:rPr>
          <w:rFonts w:ascii="Arial" w:cs="Arial" w:eastAsia="Arial" w:hAnsi="Arial"/>
          <w:sz w:val="21"/>
          <w:szCs w:val="21"/>
          <w:b w:val="1"/>
          <w:bCs w:val="1"/>
          <w:color w:val="auto"/>
        </w:rPr>
        <w:t>200%</w:t>
      </w:r>
      <w:r>
        <w:rPr>
          <w:rFonts w:ascii="Arial" w:cs="Arial" w:eastAsia="Arial" w:hAnsi="Arial"/>
          <w:sz w:val="21"/>
          <w:szCs w:val="21"/>
          <w:color w:val="auto"/>
        </w:rPr>
        <w:t xml:space="preserve"> percent of the Target Number of Performance Awards eligible for vesting based on performance during such Performance Period), all as set forth in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Any Performance Awards that are eligible to be earned based on performance during the Performance Period, but do not so vest, shall be forfeited.</w:t>
      </w:r>
    </w:p>
    <w:p>
      <w:pPr>
        <w:spacing w:after="0" w:line="206" w:lineRule="exact"/>
        <w:rPr>
          <w:rFonts w:ascii="Arial" w:cs="Arial" w:eastAsia="Arial" w:hAnsi="Arial"/>
          <w:sz w:val="21"/>
          <w:szCs w:val="21"/>
          <w:color w:val="auto"/>
        </w:rPr>
      </w:pPr>
    </w:p>
    <w:p>
      <w:pPr>
        <w:ind w:left="-20" w:right="20" w:firstLine="1304"/>
        <w:spacing w:after="0" w:line="343" w:lineRule="auto"/>
        <w:tabs>
          <w:tab w:leader="none" w:pos="1919" w:val="left"/>
        </w:tabs>
        <w:numPr>
          <w:ilvl w:val="1"/>
          <w:numId w:val="107"/>
        </w:numPr>
        <w:rPr>
          <w:rFonts w:ascii="Arial" w:cs="Arial" w:eastAsia="Arial" w:hAnsi="Arial"/>
          <w:sz w:val="19"/>
          <w:szCs w:val="19"/>
          <w:color w:val="auto"/>
        </w:rPr>
      </w:pPr>
      <w:r>
        <w:rPr>
          <w:rFonts w:ascii="Arial" w:cs="Arial" w:eastAsia="Arial" w:hAnsi="Arial"/>
          <w:sz w:val="19"/>
          <w:szCs w:val="19"/>
          <w:color w:val="auto"/>
        </w:rPr>
        <w:t>Prior to actual payment of any of the Performance Awards that are earned and vested, the Performance Awards will represent unfunded, unsecured obligations of the Company in accordance with Section 17.13 of the Plan.</w:t>
      </w:r>
    </w:p>
    <w:p>
      <w:pPr>
        <w:spacing w:after="0" w:line="131" w:lineRule="exact"/>
        <w:rPr>
          <w:rFonts w:ascii="Arial" w:cs="Arial" w:eastAsia="Arial" w:hAnsi="Arial"/>
          <w:sz w:val="19"/>
          <w:szCs w:val="19"/>
          <w:color w:val="auto"/>
        </w:rPr>
      </w:pPr>
    </w:p>
    <w:p>
      <w:pPr>
        <w:jc w:val="both"/>
        <w:ind w:left="-20" w:firstLine="1304"/>
        <w:spacing w:after="0" w:line="302" w:lineRule="auto"/>
        <w:tabs>
          <w:tab w:leader="none" w:pos="1921" w:val="left"/>
        </w:tabs>
        <w:numPr>
          <w:ilvl w:val="1"/>
          <w:numId w:val="107"/>
        </w:numPr>
        <w:rPr>
          <w:rFonts w:ascii="Arial" w:cs="Arial" w:eastAsia="Arial" w:hAnsi="Arial"/>
          <w:sz w:val="19"/>
          <w:szCs w:val="19"/>
          <w:color w:val="auto"/>
        </w:rPr>
      </w:pPr>
      <w:r>
        <w:rPr>
          <w:rFonts w:ascii="Arial" w:cs="Arial" w:eastAsia="Arial" w:hAnsi="Arial"/>
          <w:sz w:val="19"/>
          <w:szCs w:val="19"/>
          <w:color w:val="auto"/>
        </w:rPr>
        <w:t>The Committee certification described in paragraph (a) of this Section 2 shall occur as soon as practicable after the end of the Performance Period. The Committee may make adjustments to Performance Goals as described in Section 9 of the Plan as the Committee deems appropriate and equitable in a manner consistent with the requirements of Section 162(m) of the Code (for Awards intended to comply with the Performance-based Exception) and otherwise subject to Section 9 of the Plan.</w:t>
      </w:r>
    </w:p>
    <w:p>
      <w:pPr>
        <w:spacing w:after="0" w:line="169" w:lineRule="exact"/>
        <w:rPr>
          <w:rFonts w:ascii="Arial" w:cs="Arial" w:eastAsia="Arial" w:hAnsi="Arial"/>
          <w:sz w:val="19"/>
          <w:szCs w:val="19"/>
          <w:color w:val="auto"/>
        </w:rPr>
      </w:pPr>
    </w:p>
    <w:p>
      <w:pPr>
        <w:ind w:left="-20" w:firstLine="656"/>
        <w:spacing w:after="0" w:line="263" w:lineRule="auto"/>
        <w:tabs>
          <w:tab w:leader="none" w:pos="1276"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Termination of Continuous Service</w:t>
      </w:r>
      <w:r>
        <w:rPr>
          <w:rFonts w:ascii="Arial" w:cs="Arial" w:eastAsia="Arial" w:hAnsi="Arial"/>
          <w:sz w:val="22"/>
          <w:szCs w:val="22"/>
          <w:color w:val="auto"/>
        </w:rPr>
        <w:t>. Except to the extent provided otherwise in Section 4 hereof or unless the Committee determines otherwise:</w:t>
      </w:r>
    </w:p>
    <w:p>
      <w:pPr>
        <w:spacing w:after="0" w:line="201" w:lineRule="exact"/>
        <w:rPr>
          <w:rFonts w:ascii="Arial" w:cs="Arial" w:eastAsia="Arial" w:hAnsi="Arial"/>
          <w:sz w:val="22"/>
          <w:szCs w:val="22"/>
          <w:color w:val="auto"/>
        </w:rPr>
      </w:pPr>
    </w:p>
    <w:p>
      <w:pPr>
        <w:ind w:left="-20" w:firstLine="1304"/>
        <w:spacing w:after="0" w:line="263" w:lineRule="auto"/>
        <w:tabs>
          <w:tab w:leader="none" w:pos="1921" w:val="left"/>
        </w:tabs>
        <w:numPr>
          <w:ilvl w:val="1"/>
          <w:numId w:val="107"/>
        </w:numPr>
        <w:rPr>
          <w:rFonts w:ascii="Arial" w:cs="Arial" w:eastAsia="Arial" w:hAnsi="Arial"/>
          <w:sz w:val="22"/>
          <w:szCs w:val="22"/>
          <w:color w:val="auto"/>
        </w:rPr>
      </w:pPr>
      <w:r>
        <w:rPr>
          <w:rFonts w:ascii="Arial" w:cs="Arial" w:eastAsia="Arial" w:hAnsi="Arial"/>
          <w:sz w:val="22"/>
          <w:szCs w:val="22"/>
          <w:color w:val="auto"/>
        </w:rPr>
        <w:t>If Participant’s Continuous Service terminates other than as provided for in Sections 3(b) and 3(c) below, all Performance Awards that are unvested at the time of such termination will be forfeited.</w:t>
      </w:r>
    </w:p>
    <w:p>
      <w:pPr>
        <w:sectPr>
          <w:pgSz w:w="11900" w:h="16838" w:orient="portrait"/>
          <w:cols w:equalWidth="0" w:num="1">
            <w:col w:w="11220"/>
          </w:cols>
          <w:pgMar w:left="340" w:top="895" w:right="339" w:bottom="1440" w:gutter="0" w:footer="0" w:header="0"/>
        </w:sectPr>
      </w:pPr>
    </w:p>
    <w:bookmarkStart w:id="138" w:name="page139"/>
    <w:bookmarkEnd w:id="138"/>
    <w:p>
      <w:pPr>
        <w:jc w:val="both"/>
        <w:ind w:left="-8" w:right="20" w:firstLine="1304"/>
        <w:spacing w:after="0" w:line="271" w:lineRule="auto"/>
        <w:tabs>
          <w:tab w:leader="none" w:pos="1931" w:val="left"/>
        </w:tabs>
        <w:numPr>
          <w:ilvl w:val="2"/>
          <w:numId w:val="108"/>
        </w:numPr>
        <w:rPr>
          <w:rFonts w:ascii="Arial" w:cs="Arial" w:eastAsia="Arial" w:hAnsi="Arial"/>
          <w:sz w:val="21"/>
          <w:szCs w:val="21"/>
          <w:color w:val="auto"/>
        </w:rPr>
      </w:pPr>
      <w:r>
        <w:rPr>
          <w:rFonts w:ascii="Arial" w:cs="Arial" w:eastAsia="Arial" w:hAnsi="Arial"/>
          <w:sz w:val="21"/>
          <w:szCs w:val="21"/>
          <w:color w:val="auto"/>
        </w:rPr>
        <w:t>If Participant’s Continuous Service terminates due to death or Disability, then a pro rata portion (based on the portion of the Performance Period that passed prior to termination of Participant’s Continuous Service) of the Target Number of Performance Awards will immediately vest and become payable in Shares upon such termination.</w:t>
      </w:r>
    </w:p>
    <w:p>
      <w:pPr>
        <w:spacing w:after="0" w:line="194" w:lineRule="exact"/>
        <w:rPr>
          <w:rFonts w:ascii="Arial" w:cs="Arial" w:eastAsia="Arial" w:hAnsi="Arial"/>
          <w:sz w:val="21"/>
          <w:szCs w:val="21"/>
          <w:color w:val="auto"/>
        </w:rPr>
      </w:pPr>
    </w:p>
    <w:p>
      <w:pPr>
        <w:jc w:val="both"/>
        <w:ind w:left="-8" w:firstLine="1304"/>
        <w:spacing w:after="0" w:line="294" w:lineRule="auto"/>
        <w:tabs>
          <w:tab w:leader="none" w:pos="1933" w:val="left"/>
        </w:tabs>
        <w:numPr>
          <w:ilvl w:val="2"/>
          <w:numId w:val="108"/>
        </w:numPr>
        <w:rPr>
          <w:rFonts w:ascii="Arial" w:cs="Arial" w:eastAsia="Arial" w:hAnsi="Arial"/>
          <w:sz w:val="19"/>
          <w:szCs w:val="19"/>
          <w:color w:val="auto"/>
        </w:rPr>
      </w:pPr>
      <w:r>
        <w:rPr>
          <w:rFonts w:ascii="Arial" w:cs="Arial" w:eastAsia="Arial" w:hAnsi="Arial"/>
          <w:sz w:val="19"/>
          <w:szCs w:val="19"/>
          <w:color w:val="auto"/>
        </w:rPr>
        <w:t xml:space="preserve">Except as otherwise provided in this Agreement, if the Participant retires on or after age sixty (60) (“Retirement”), prior to the vesting or forfeiture of the Performance Awards pursuant to Section 2 hereof, then the number of Performance Awards that vest shall be determined as of the date of the Participant’s Retirement on a pro rata basis, determined based on the number of full months of employment completed from the Date of Grant to the date of the Participant’s Retirement divided by the number of full months of the original vesting period; provided that the Performance Awards earned shall be determined at the end of the Performance Period based on the actual performance levels achieved, as set forth in </w:t>
      </w:r>
      <w:r>
        <w:rPr>
          <w:rFonts w:ascii="Arial" w:cs="Arial" w:eastAsia="Arial" w:hAnsi="Arial"/>
          <w:sz w:val="19"/>
          <w:szCs w:val="19"/>
          <w:u w:val="single" w:color="auto"/>
          <w:color w:val="auto"/>
        </w:rPr>
        <w:t>Exhibit B</w:t>
      </w:r>
      <w:r>
        <w:rPr>
          <w:rFonts w:ascii="Arial" w:cs="Arial" w:eastAsia="Arial" w:hAnsi="Arial"/>
          <w:sz w:val="19"/>
          <w:szCs w:val="19"/>
          <w:color w:val="auto"/>
        </w:rPr>
        <w:t>.</w:t>
      </w:r>
    </w:p>
    <w:p>
      <w:pPr>
        <w:spacing w:after="0" w:line="176" w:lineRule="exact"/>
        <w:rPr>
          <w:rFonts w:ascii="Arial" w:cs="Arial" w:eastAsia="Arial" w:hAnsi="Arial"/>
          <w:sz w:val="19"/>
          <w:szCs w:val="19"/>
          <w:color w:val="auto"/>
        </w:rPr>
      </w:pPr>
    </w:p>
    <w:p>
      <w:pPr>
        <w:ind w:left="1292" w:hanging="644"/>
        <w:spacing w:after="0"/>
        <w:tabs>
          <w:tab w:leader="none" w:pos="1292" w:val="left"/>
        </w:tabs>
        <w:numPr>
          <w:ilvl w:val="1"/>
          <w:numId w:val="109"/>
        </w:numPr>
        <w:rPr>
          <w:rFonts w:ascii="Arial" w:cs="Arial" w:eastAsia="Arial" w:hAnsi="Arial"/>
          <w:sz w:val="22"/>
          <w:szCs w:val="22"/>
          <w:color w:val="auto"/>
        </w:rPr>
      </w:pPr>
      <w:r>
        <w:rPr>
          <w:rFonts w:ascii="Arial" w:cs="Arial" w:eastAsia="Arial" w:hAnsi="Arial"/>
          <w:sz w:val="22"/>
          <w:szCs w:val="22"/>
          <w:u w:val="single" w:color="auto"/>
          <w:color w:val="auto"/>
        </w:rPr>
        <w:t>Termination for Cause</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left="-8" w:firstLine="1304"/>
        <w:spacing w:after="0" w:line="253" w:lineRule="auto"/>
        <w:tabs>
          <w:tab w:leader="none" w:pos="1933" w:val="left"/>
        </w:tabs>
        <w:numPr>
          <w:ilvl w:val="2"/>
          <w:numId w:val="109"/>
        </w:numPr>
        <w:rPr>
          <w:rFonts w:ascii="Arial" w:cs="Arial" w:eastAsia="Arial" w:hAnsi="Arial"/>
          <w:sz w:val="22"/>
          <w:szCs w:val="22"/>
          <w:color w:val="auto"/>
        </w:rPr>
      </w:pPr>
      <w:r>
        <w:rPr>
          <w:rFonts w:ascii="Arial" w:cs="Arial" w:eastAsia="Arial" w:hAnsi="Arial"/>
          <w:sz w:val="22"/>
          <w:szCs w:val="22"/>
          <w:color w:val="auto"/>
        </w:rPr>
        <w:t>If the Participant’s Continuous Service is terminated by the Company for Cause (as defined below), then all Performance Awards, whether vested or unvested, shall be automatically and immediately forfeited for no consideration and cease to be exercisable.</w:t>
      </w:r>
    </w:p>
    <w:p>
      <w:pPr>
        <w:spacing w:after="0" w:line="212" w:lineRule="exact"/>
        <w:rPr>
          <w:rFonts w:ascii="Arial" w:cs="Arial" w:eastAsia="Arial" w:hAnsi="Arial"/>
          <w:sz w:val="22"/>
          <w:szCs w:val="22"/>
          <w:color w:val="auto"/>
        </w:rPr>
      </w:pPr>
    </w:p>
    <w:p>
      <w:pPr>
        <w:jc w:val="both"/>
        <w:ind w:left="-8" w:firstLine="1304"/>
        <w:spacing w:after="0" w:line="250" w:lineRule="auto"/>
        <w:tabs>
          <w:tab w:leader="none" w:pos="1931" w:val="left"/>
        </w:tabs>
        <w:numPr>
          <w:ilvl w:val="2"/>
          <w:numId w:val="109"/>
        </w:numPr>
        <w:rPr>
          <w:rFonts w:ascii="Arial" w:cs="Arial" w:eastAsia="Arial" w:hAnsi="Arial"/>
          <w:sz w:val="22"/>
          <w:szCs w:val="22"/>
          <w:color w:val="auto"/>
        </w:rPr>
      </w:pPr>
      <w:r>
        <w:rPr>
          <w:rFonts w:ascii="Arial" w:cs="Arial" w:eastAsia="Arial" w:hAnsi="Arial"/>
          <w:sz w:val="22"/>
          <w:szCs w:val="22"/>
          <w:color w:val="auto"/>
        </w:rPr>
        <w:t>For purposes of this Section 4, “Cause” shall have the same meaning ascribed to such term in any employment agreement or arrangement between the Company (or any Affiliate) and the Participant. If no such agreement or arrangement applies to the Participant or if any such agreement or arrangement that applies to the Participant does not define Cause, then “Cause” shall mean:</w:t>
      </w:r>
    </w:p>
    <w:p>
      <w:pPr>
        <w:spacing w:after="0" w:line="214" w:lineRule="exact"/>
        <w:rPr>
          <w:rFonts w:ascii="Arial" w:cs="Arial" w:eastAsia="Arial" w:hAnsi="Arial"/>
          <w:sz w:val="22"/>
          <w:szCs w:val="22"/>
          <w:color w:val="auto"/>
        </w:rPr>
      </w:pPr>
    </w:p>
    <w:p>
      <w:pPr>
        <w:jc w:val="both"/>
        <w:ind w:left="-8" w:firstLine="1952"/>
        <w:spacing w:after="0" w:line="284" w:lineRule="auto"/>
        <w:tabs>
          <w:tab w:leader="none" w:pos="2622" w:val="left"/>
        </w:tabs>
        <w:numPr>
          <w:ilvl w:val="3"/>
          <w:numId w:val="109"/>
        </w:numPr>
        <w:rPr>
          <w:rFonts w:ascii="Arial" w:cs="Arial" w:eastAsia="Arial" w:hAnsi="Arial"/>
          <w:sz w:val="19"/>
          <w:szCs w:val="19"/>
          <w:color w:val="auto"/>
        </w:rPr>
      </w:pPr>
      <w:r>
        <w:rPr>
          <w:rFonts w:ascii="Arial" w:cs="Arial" w:eastAsia="Arial" w:hAnsi="Arial"/>
          <w:sz w:val="19"/>
          <w:szCs w:val="19"/>
          <w:color w:val="auto"/>
        </w:rPr>
        <w:t>failure of the Participant to perform the duties required of the Participant pursuant to his or her employment agreement or otherwise applicable to the Participant in connection with his or her employment in a manner satisfactory to the Company, in its sole discretion; provided, however, for purposes of this subparagraph (i), Cause will not exist unless the Company first gives the Participant written notice (“Notice of Deficiency”). The Notice of Deficiency shall specify the deficiencies in the Participant’s performance of his or her duties. The Participant shall have a period of thirty (30) days, commencing on receipt of the Notice of Deficiency, in which to cure the deficiencies contained in the Notice of Deficiency. In the event the Participant does not cure the deficiencies to the satisfaction of the Company, in its sole discretion, within such thirty</w:t>
      </w:r>
    </w:p>
    <w:p>
      <w:pPr>
        <w:spacing w:after="0" w:line="3" w:lineRule="exact"/>
        <w:rPr>
          <w:rFonts w:ascii="Arial" w:cs="Arial" w:eastAsia="Arial" w:hAnsi="Arial"/>
          <w:sz w:val="19"/>
          <w:szCs w:val="19"/>
          <w:color w:val="auto"/>
        </w:rPr>
      </w:pPr>
    </w:p>
    <w:p>
      <w:pPr>
        <w:jc w:val="both"/>
        <w:ind w:left="-8" w:firstLine="8"/>
        <w:spacing w:after="0" w:line="245" w:lineRule="auto"/>
        <w:tabs>
          <w:tab w:leader="none" w:pos="419" w:val="left"/>
        </w:tabs>
        <w:numPr>
          <w:ilvl w:val="0"/>
          <w:numId w:val="110"/>
        </w:numPr>
        <w:rPr>
          <w:rFonts w:ascii="Arial" w:cs="Arial" w:eastAsia="Arial" w:hAnsi="Arial"/>
          <w:sz w:val="22"/>
          <w:szCs w:val="22"/>
          <w:color w:val="auto"/>
        </w:rPr>
      </w:pPr>
      <w:r>
        <w:rPr>
          <w:rFonts w:ascii="Arial" w:cs="Arial" w:eastAsia="Arial" w:hAnsi="Arial"/>
          <w:sz w:val="22"/>
          <w:szCs w:val="22"/>
          <w:color w:val="auto"/>
        </w:rPr>
        <w:t>day period (or if during such thirty (30) day period the Company determines that the Participant is not making reasonable, good faith efforts to cure the deficiencies to the satisfaction of the Company), then a termination by the Company as a result of such deficiencies will be for Cause;</w:t>
      </w:r>
    </w:p>
    <w:p>
      <w:pPr>
        <w:spacing w:after="0" w:line="219" w:lineRule="exact"/>
        <w:rPr>
          <w:rFonts w:ascii="Arial" w:cs="Arial" w:eastAsia="Arial" w:hAnsi="Arial"/>
          <w:sz w:val="22"/>
          <w:szCs w:val="22"/>
          <w:color w:val="auto"/>
        </w:rPr>
      </w:pPr>
    </w:p>
    <w:p>
      <w:pPr>
        <w:jc w:val="both"/>
        <w:ind w:left="-8" w:firstLine="1952"/>
        <w:spacing w:after="0" w:line="250" w:lineRule="auto"/>
        <w:tabs>
          <w:tab w:leader="none" w:pos="2536" w:val="left"/>
        </w:tabs>
        <w:numPr>
          <w:ilvl w:val="3"/>
          <w:numId w:val="110"/>
        </w:numPr>
        <w:rPr>
          <w:rFonts w:ascii="Arial" w:cs="Arial" w:eastAsia="Arial" w:hAnsi="Arial"/>
          <w:sz w:val="22"/>
          <w:szCs w:val="22"/>
          <w:color w:val="auto"/>
        </w:rPr>
      </w:pPr>
      <w:r>
        <w:rPr>
          <w:rFonts w:ascii="Arial" w:cs="Arial" w:eastAsia="Arial" w:hAnsi="Arial"/>
          <w:sz w:val="22"/>
          <w:szCs w:val="22"/>
          <w:color w:val="auto"/>
        </w:rPr>
        <w:t>any dishonesty by the Participant in the Participant’s dealings with the Company, the commission of fraud by the Participant, negligence in the performance of the duties of the Participant, insubordination, willful misconduct, or the conviction (or plea of guilty or nolo contendere) of the Participant of, or indictment or charge with respect to, any felony, or any other crime involving dishonesty or moral turpitude;</w:t>
      </w:r>
    </w:p>
    <w:p>
      <w:pPr>
        <w:sectPr>
          <w:pgSz w:w="11900" w:h="16838" w:orient="portrait"/>
          <w:cols w:equalWidth="0" w:num="1">
            <w:col w:w="11232"/>
          </w:cols>
          <w:pgMar w:left="328" w:top="1144" w:right="339" w:bottom="1440" w:gutter="0" w:footer="0" w:header="0"/>
        </w:sectPr>
      </w:pPr>
    </w:p>
    <w:bookmarkStart w:id="139" w:name="page140"/>
    <w:bookmarkEnd w:id="139"/>
    <w:p>
      <w:pPr>
        <w:ind w:left="-656" w:right="20" w:firstLine="1952"/>
        <w:spacing w:after="0" w:line="263" w:lineRule="auto"/>
        <w:tabs>
          <w:tab w:leader="none" w:pos="2011" w:val="left"/>
        </w:tabs>
        <w:numPr>
          <w:ilvl w:val="2"/>
          <w:numId w:val="111"/>
        </w:numPr>
        <w:rPr>
          <w:rFonts w:ascii="Arial" w:cs="Arial" w:eastAsia="Arial" w:hAnsi="Arial"/>
          <w:sz w:val="22"/>
          <w:szCs w:val="22"/>
          <w:color w:val="auto"/>
        </w:rPr>
      </w:pPr>
      <w:r>
        <w:rPr>
          <w:rFonts w:ascii="Arial" w:cs="Arial" w:eastAsia="Arial" w:hAnsi="Arial"/>
          <w:sz w:val="22"/>
          <w:szCs w:val="22"/>
          <w:color w:val="auto"/>
        </w:rPr>
        <w:t>any violation of any non-competition, non-solicitation, non-disclosure or confidentiality covenant or similar restriction applicable to the Participant; or</w:t>
      </w:r>
    </w:p>
    <w:p>
      <w:pPr>
        <w:spacing w:after="0" w:line="201" w:lineRule="exact"/>
        <w:rPr>
          <w:rFonts w:ascii="Arial" w:cs="Arial" w:eastAsia="Arial" w:hAnsi="Arial"/>
          <w:sz w:val="22"/>
          <w:szCs w:val="22"/>
          <w:color w:val="auto"/>
        </w:rPr>
      </w:pPr>
    </w:p>
    <w:p>
      <w:pPr>
        <w:jc w:val="both"/>
        <w:ind w:left="-656" w:firstLine="1952"/>
        <w:spacing w:after="0" w:line="253" w:lineRule="auto"/>
        <w:tabs>
          <w:tab w:leader="none" w:pos="1981" w:val="left"/>
        </w:tabs>
        <w:numPr>
          <w:ilvl w:val="2"/>
          <w:numId w:val="111"/>
        </w:numPr>
        <w:rPr>
          <w:rFonts w:ascii="Arial" w:cs="Arial" w:eastAsia="Arial" w:hAnsi="Arial"/>
          <w:sz w:val="22"/>
          <w:szCs w:val="22"/>
          <w:color w:val="auto"/>
        </w:rPr>
      </w:pPr>
      <w:r>
        <w:rPr>
          <w:rFonts w:ascii="Arial" w:cs="Arial" w:eastAsia="Arial" w:hAnsi="Arial"/>
          <w:sz w:val="22"/>
          <w:szCs w:val="22"/>
          <w:color w:val="auto"/>
        </w:rPr>
        <w:t>any violation of any current or future material published policy of the Company or its Affiliates (material published policies include, but are not limited to, the Company’s discrimination and harassment policy, management dating policy, responsible alcohol policy, insider trading policy and security policy).</w:t>
      </w:r>
    </w:p>
    <w:p>
      <w:pPr>
        <w:spacing w:after="0" w:line="212" w:lineRule="exact"/>
        <w:rPr>
          <w:rFonts w:ascii="Arial" w:cs="Arial" w:eastAsia="Arial" w:hAnsi="Arial"/>
          <w:sz w:val="22"/>
          <w:szCs w:val="22"/>
          <w:color w:val="auto"/>
        </w:rPr>
      </w:pPr>
    </w:p>
    <w:p>
      <w:pPr>
        <w:jc w:val="both"/>
        <w:ind w:left="-656" w:firstLine="656"/>
        <w:spacing w:after="0" w:line="250" w:lineRule="auto"/>
        <w:tabs>
          <w:tab w:leader="none" w:pos="640"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In the event of a Change in Control, the vesting of the Performance Awards may be accelerated pursuant to the Company’s Executive Change in Control Plan or pursuant to Section 12 of the Plan. In any such event, the treatment of the Performance Awards shall be governed by the applicable provisions of the Executive Change in Control Plan and Section 12 of the Plan.</w:t>
      </w:r>
    </w:p>
    <w:p>
      <w:pPr>
        <w:spacing w:after="0" w:line="214" w:lineRule="exact"/>
        <w:rPr>
          <w:rFonts w:ascii="Arial" w:cs="Arial" w:eastAsia="Arial" w:hAnsi="Arial"/>
          <w:sz w:val="22"/>
          <w:szCs w:val="22"/>
          <w:color w:val="auto"/>
        </w:rPr>
      </w:pPr>
    </w:p>
    <w:p>
      <w:pPr>
        <w:jc w:val="both"/>
        <w:ind w:left="-656" w:firstLine="656"/>
        <w:spacing w:after="0" w:line="248" w:lineRule="auto"/>
        <w:tabs>
          <w:tab w:leader="none" w:pos="640"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Settlement</w:t>
      </w:r>
      <w:r>
        <w:rPr>
          <w:rFonts w:ascii="Arial" w:cs="Arial" w:eastAsia="Arial" w:hAnsi="Arial"/>
          <w:sz w:val="22"/>
          <w:szCs w:val="22"/>
          <w:color w:val="auto"/>
        </w:rPr>
        <w:t>. The Company shall, as soon as practicable upon the satisfaction of the vesting conditions of the Performance Awards set forth in Section 2 of this Agreement, effect delivery of the Shares with respect to such vested Performance Awards to the Participant (or, in the event of the Participant’s death, to the Beneficiary). No Shares will be issued pursuant to this Award unless and until all legal requirements applicable to such issuance have been complied with to the satisfaction of the Committee.</w:t>
      </w:r>
    </w:p>
    <w:p>
      <w:pPr>
        <w:spacing w:after="0" w:line="218" w:lineRule="exact"/>
        <w:rPr>
          <w:rFonts w:ascii="Arial" w:cs="Arial" w:eastAsia="Arial" w:hAnsi="Arial"/>
          <w:sz w:val="22"/>
          <w:szCs w:val="22"/>
          <w:color w:val="auto"/>
        </w:rPr>
      </w:pPr>
    </w:p>
    <w:p>
      <w:pPr>
        <w:jc w:val="both"/>
        <w:ind w:left="-656" w:firstLine="656"/>
        <w:spacing w:after="0" w:line="253" w:lineRule="auto"/>
        <w:tabs>
          <w:tab w:leader="none" w:pos="640"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Performance Awards Non-Transferable</w:t>
      </w:r>
      <w:r>
        <w:rPr>
          <w:rFonts w:ascii="Arial" w:cs="Arial" w:eastAsia="Arial" w:hAnsi="Arial"/>
          <w:sz w:val="22"/>
          <w:szCs w:val="22"/>
          <w:color w:val="auto"/>
        </w:rPr>
        <w:t>. The Participant shall not directly or indirectly sell, transfer, pledge, assign or otherwise encumber Performance Awards or any interest in them, or make any commitment or agreement to do any of the foregoing, except to the extent permitted by Section 11.3 of the Plan.</w:t>
      </w:r>
    </w:p>
    <w:p>
      <w:pPr>
        <w:spacing w:after="0" w:line="212" w:lineRule="exact"/>
        <w:rPr>
          <w:rFonts w:ascii="Arial" w:cs="Arial" w:eastAsia="Arial" w:hAnsi="Arial"/>
          <w:sz w:val="22"/>
          <w:szCs w:val="22"/>
          <w:color w:val="auto"/>
        </w:rPr>
      </w:pPr>
    </w:p>
    <w:p>
      <w:pPr>
        <w:jc w:val="both"/>
        <w:ind w:left="-656" w:firstLine="656"/>
        <w:spacing w:after="0" w:line="247" w:lineRule="auto"/>
        <w:tabs>
          <w:tab w:leader="none" w:pos="640"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 This Agreement is intended to comply with Section 409A of the Code or an exemption thereunder and shall be construed and interpreted in a manner that is consistent with the requirements for avoiding additional taxes or penalties under Section 409A of the Code. Notwithstanding the foregoing, the Company makes no representations that the payments and benefits provided under this Agreement comply with Section 409A of the Code and in no event shall the Company be liable for all or any portion of any taxes, penalties, interest or other expenses that may be incurred by the Participant on account of non-compliance with Section 409A of the Code.</w:t>
      </w:r>
    </w:p>
    <w:p>
      <w:pPr>
        <w:spacing w:after="0" w:line="219" w:lineRule="exact"/>
        <w:rPr>
          <w:rFonts w:ascii="Arial" w:cs="Arial" w:eastAsia="Arial" w:hAnsi="Arial"/>
          <w:sz w:val="22"/>
          <w:szCs w:val="22"/>
          <w:color w:val="auto"/>
        </w:rPr>
      </w:pPr>
    </w:p>
    <w:p>
      <w:pPr>
        <w:jc w:val="both"/>
        <w:ind w:left="-656" w:firstLine="656"/>
        <w:spacing w:after="0" w:line="247" w:lineRule="auto"/>
        <w:tabs>
          <w:tab w:leader="none" w:pos="640"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Electronic Delivery and Acceptance</w:t>
      </w:r>
      <w:r>
        <w:rPr>
          <w:rFonts w:ascii="Arial" w:cs="Arial" w:eastAsia="Arial" w:hAnsi="Arial"/>
          <w:sz w:val="22"/>
          <w:szCs w:val="22"/>
          <w:color w:val="auto"/>
        </w:rPr>
        <w:t>. The Company may in its sole discretion, decide to deliver any documents related to the Performance Awards granted under the Plan and participation in the Plan, or future Performance Awards that may be granted under the Plan, by electronic means or to request the Participant’s consent to participate in the Plan by electronic means. The Participant hereby consents to receive such documents by electronic delivery and, if requested, to participate in the Plan through an on-line (and/or voice activated) system established and maintained by the Company or a third party designated by the Company</w:t>
      </w:r>
      <w:r>
        <w:rPr>
          <w:rFonts w:ascii="Arial" w:cs="Arial" w:eastAsia="Arial" w:hAnsi="Arial"/>
          <w:sz w:val="22"/>
          <w:szCs w:val="22"/>
          <w:b w:val="1"/>
          <w:bCs w:val="1"/>
          <w:color w:val="auto"/>
        </w:rPr>
        <w:t>.</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Data Privacy</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656" w:firstLine="1304"/>
        <w:spacing w:after="0" w:line="263" w:lineRule="auto"/>
        <w:tabs>
          <w:tab w:leader="none" w:pos="1285" w:val="left"/>
        </w:tabs>
        <w:numPr>
          <w:ilvl w:val="1"/>
          <w:numId w:val="112"/>
        </w:numPr>
        <w:rPr>
          <w:rFonts w:ascii="Arial" w:cs="Arial" w:eastAsia="Arial" w:hAnsi="Arial"/>
          <w:sz w:val="22"/>
          <w:szCs w:val="22"/>
          <w:color w:val="auto"/>
        </w:rPr>
      </w:pPr>
      <w:r>
        <w:rPr>
          <w:rFonts w:ascii="Arial" w:cs="Arial" w:eastAsia="Arial" w:hAnsi="Arial"/>
          <w:sz w:val="22"/>
          <w:szCs w:val="22"/>
          <w:color w:val="auto"/>
        </w:rPr>
        <w:t>The Participant hereby explicitly and unambiguously consents to the collection, use and transfer, in electronic or other form, of his or her Personal Data as described in</w:t>
      </w:r>
    </w:p>
    <w:p>
      <w:pPr>
        <w:sectPr>
          <w:pgSz w:w="11900" w:h="16838" w:orient="portrait"/>
          <w:cols w:equalWidth="0" w:num="1">
            <w:col w:w="10584"/>
          </w:cols>
          <w:pgMar w:left="976" w:top="1144" w:right="339" w:bottom="1440" w:gutter="0" w:footer="0" w:header="0"/>
        </w:sectPr>
      </w:pPr>
    </w:p>
    <w:bookmarkStart w:id="140" w:name="page141"/>
    <w:bookmarkEnd w:id="140"/>
    <w:p>
      <w:pPr>
        <w:spacing w:after="0" w:line="263" w:lineRule="auto"/>
        <w:rPr>
          <w:sz w:val="20"/>
          <w:szCs w:val="20"/>
          <w:color w:val="auto"/>
        </w:rPr>
      </w:pPr>
      <w:r>
        <w:rPr>
          <w:rFonts w:ascii="Arial" w:cs="Arial" w:eastAsia="Arial" w:hAnsi="Arial"/>
          <w:sz w:val="22"/>
          <w:szCs w:val="22"/>
          <w:color w:val="auto"/>
        </w:rPr>
        <w:t>this document by and among, as applicable, the Company and its Affiliates for the purposes of implementing, administering and managing the Participant’s participation in the Plan.</w:t>
      </w:r>
    </w:p>
    <w:p>
      <w:pPr>
        <w:spacing w:after="0" w:line="202" w:lineRule="exact"/>
        <w:rPr>
          <w:sz w:val="20"/>
          <w:szCs w:val="20"/>
          <w:color w:val="auto"/>
        </w:rPr>
      </w:pPr>
    </w:p>
    <w:p>
      <w:pPr>
        <w:jc w:val="both"/>
        <w:ind w:firstLine="1304"/>
        <w:spacing w:after="0" w:line="285" w:lineRule="auto"/>
        <w:tabs>
          <w:tab w:leader="none" w:pos="1939" w:val="left"/>
        </w:tabs>
        <w:numPr>
          <w:ilvl w:val="1"/>
          <w:numId w:val="113"/>
        </w:numPr>
        <w:rPr>
          <w:rFonts w:ascii="Arial" w:cs="Arial" w:eastAsia="Arial" w:hAnsi="Arial"/>
          <w:sz w:val="19"/>
          <w:szCs w:val="19"/>
          <w:color w:val="auto"/>
        </w:rPr>
      </w:pPr>
      <w:r>
        <w:rPr>
          <w:rFonts w:ascii="Arial" w:cs="Arial" w:eastAsia="Arial" w:hAnsi="Arial"/>
          <w:sz w:val="19"/>
          <w:szCs w:val="19"/>
          <w:color w:val="auto"/>
        </w:rPr>
        <w:t>The Participant understands that the Company and its Affiliates may process certain personal information about the Participant, including, but not limited to, his or her name, home address and telephone number, date of birth, social security number or other identification number, salary, nationality, job title, any shares of stock or directorships held in the Company, details of all options or any other entitlement to shares of stock awarded, canceled, exercised, vested, unvested or outstanding in the Participant’s favor, for the purposes of implementing, administering and managing the Plan (“</w:t>
      </w:r>
      <w:r>
        <w:rPr>
          <w:rFonts w:ascii="Arial" w:cs="Arial" w:eastAsia="Arial" w:hAnsi="Arial"/>
          <w:sz w:val="19"/>
          <w:szCs w:val="19"/>
          <w:u w:val="single" w:color="auto"/>
          <w:color w:val="auto"/>
        </w:rPr>
        <w:t>Personal Data</w:t>
      </w:r>
      <w:r>
        <w:rPr>
          <w:rFonts w:ascii="Arial" w:cs="Arial" w:eastAsia="Arial" w:hAnsi="Arial"/>
          <w:sz w:val="19"/>
          <w:szCs w:val="19"/>
          <w:color w:val="auto"/>
        </w:rPr>
        <w:t>”). The Participant understands that Personal Data may be transferred to any third parties assisting in the implementation, administration and management of the Plan, that these recipients may be located in the Participant’s country or elsewhere and that the recipients’ country may have different data privacy laws and protections than the Participant’s country. The Participant authorizes the recipients to receive, possess, use, retain and transfer the Personal Data, in electronic or other form, for the purposes of implementing, administering and managing his or her participation in the Plan, including any requisite transfer of such Personal Data as may be required to a broker or other third party with whom the Participant may elect to deposit any Shares acquired upon settlement of these Performance Awards. The Participant understands that the Company will retain the Personal Data only as long as is necessary to implement, administer and manage the Participant’s participation in the Plan. The Participant understands that he or she may, at any time, view Personal Data, request additional information about the storage and processing of Personal Data, require any necessary amendments to Personal Data or refuse or withdraw the consents herein, in any case without cost, by contacting in writing the Company’s human resources representative. The Participant understands, however, that refusing or withdrawing his or her consent may affect the Participant’s ability to participate in the Plan. Participants may obtain more information about how their Personal Data may be processed in conjunction with Plan participation by contacting the Company’s human resources representative.</w:t>
      </w:r>
    </w:p>
    <w:p>
      <w:pPr>
        <w:spacing w:after="0" w:line="200" w:lineRule="exact"/>
        <w:rPr>
          <w:rFonts w:ascii="Arial" w:cs="Arial" w:eastAsia="Arial" w:hAnsi="Arial"/>
          <w:sz w:val="19"/>
          <w:szCs w:val="19"/>
          <w:color w:val="auto"/>
        </w:rPr>
      </w:pPr>
    </w:p>
    <w:p>
      <w:pPr>
        <w:spacing w:after="0" w:line="246" w:lineRule="exact"/>
        <w:rPr>
          <w:rFonts w:ascii="Arial" w:cs="Arial" w:eastAsia="Arial" w:hAnsi="Arial"/>
          <w:sz w:val="19"/>
          <w:szCs w:val="19"/>
          <w:color w:val="auto"/>
        </w:rPr>
      </w:pPr>
    </w:p>
    <w:p>
      <w:pPr>
        <w:jc w:val="both"/>
        <w:ind w:firstLine="656"/>
        <w:spacing w:after="0" w:line="246" w:lineRule="auto"/>
        <w:tabs>
          <w:tab w:leader="none" w:pos="1288"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Government and Other Regulations</w:t>
      </w:r>
      <w:r>
        <w:rPr>
          <w:rFonts w:ascii="Arial" w:cs="Arial" w:eastAsia="Arial" w:hAnsi="Arial"/>
          <w:sz w:val="22"/>
          <w:szCs w:val="22"/>
          <w:color w:val="auto"/>
        </w:rPr>
        <w:t>. The grant of Performance Awards is subject to all laws, regulations and orders of any governmental authority which may be applicable thereto and, notwithstanding any of the provisions hereof, the Participant acknowledges that the Company will not be obligated to issue any Shares hereunder if the grant or vesting thereof or the issuance of such Shares, as the case may be, would constitute a violation by the Participant or the Company of any such law, regulation or order or any provision thereof. The Company shall not be obligated to take any affirmative action in order to cause the vesting of the Performance Awards or the issuance of Shares pursuant hereto to comply with any such law, regulation, order or provision.</w:t>
      </w:r>
    </w:p>
    <w:p>
      <w:pPr>
        <w:spacing w:after="0" w:line="223" w:lineRule="exact"/>
        <w:rPr>
          <w:rFonts w:ascii="Arial" w:cs="Arial" w:eastAsia="Arial" w:hAnsi="Arial"/>
          <w:sz w:val="22"/>
          <w:szCs w:val="22"/>
          <w:color w:val="auto"/>
        </w:rPr>
      </w:pPr>
    </w:p>
    <w:p>
      <w:pPr>
        <w:ind w:left="1300" w:hanging="644"/>
        <w:spacing w:after="0"/>
        <w:tabs>
          <w:tab w:leader="none" w:pos="1300"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Miscellaneous Provisions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firstLine="1304"/>
        <w:spacing w:after="0" w:line="265" w:lineRule="auto"/>
        <w:tabs>
          <w:tab w:leader="none" w:pos="1941" w:val="left"/>
        </w:tabs>
        <w:numPr>
          <w:ilvl w:val="1"/>
          <w:numId w:val="114"/>
        </w:numPr>
        <w:rPr>
          <w:rFonts w:ascii="Arial" w:cs="Arial" w:eastAsia="Arial" w:hAnsi="Arial"/>
          <w:sz w:val="21"/>
          <w:szCs w:val="21"/>
          <w:color w:val="auto"/>
        </w:rPr>
      </w:pPr>
      <w:r>
        <w:rPr>
          <w:rFonts w:ascii="Arial" w:cs="Arial" w:eastAsia="Arial" w:hAnsi="Arial"/>
          <w:sz w:val="21"/>
          <w:szCs w:val="21"/>
          <w:color w:val="auto"/>
        </w:rPr>
        <w:t>No Participant or Beneficiary shall have any rights as a stockholder with respect to Shares subject to an Award, including without limitation any right to vote or to receive or accrue dividends (ordinary or extraordinary, whether in cash, securities or other property) or distributions or any equivalent thereof, until such Shares are delivered to the Participant or the Beneficiary, and no adjustment or accrual shall be made for dividends (ordinary or extraordinary,</w:t>
      </w:r>
    </w:p>
    <w:p>
      <w:pPr>
        <w:sectPr>
          <w:pgSz w:w="11900" w:h="16838" w:orient="portrait"/>
          <w:cols w:equalWidth="0" w:num="1">
            <w:col w:w="11240"/>
          </w:cols>
          <w:pgMar w:left="320" w:top="901" w:right="339" w:bottom="1440" w:gutter="0" w:footer="0" w:header="0"/>
        </w:sectPr>
      </w:pPr>
    </w:p>
    <w:bookmarkStart w:id="141" w:name="page142"/>
    <w:bookmarkEnd w:id="141"/>
    <w:p>
      <w:pPr>
        <w:ind w:right="20"/>
        <w:spacing w:after="0" w:line="263" w:lineRule="auto"/>
        <w:rPr>
          <w:sz w:val="20"/>
          <w:szCs w:val="20"/>
          <w:color w:val="auto"/>
        </w:rPr>
      </w:pPr>
      <w:r>
        <w:rPr>
          <w:rFonts w:ascii="Arial" w:cs="Arial" w:eastAsia="Arial" w:hAnsi="Arial"/>
          <w:sz w:val="22"/>
          <w:szCs w:val="22"/>
          <w:color w:val="auto"/>
        </w:rPr>
        <w:t>whether in cash, securities or other property) or distributions of other rights for which the record date is prior to the date such Shares are delivered.</w:t>
      </w:r>
    </w:p>
    <w:p>
      <w:pPr>
        <w:spacing w:after="0" w:line="202" w:lineRule="exact"/>
        <w:rPr>
          <w:sz w:val="20"/>
          <w:szCs w:val="20"/>
          <w:color w:val="auto"/>
        </w:rPr>
      </w:pPr>
    </w:p>
    <w:p>
      <w:pPr>
        <w:jc w:val="both"/>
        <w:ind w:firstLine="1304"/>
        <w:spacing w:after="0" w:line="292" w:lineRule="auto"/>
        <w:tabs>
          <w:tab w:leader="none" w:pos="1939"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The Performance Awards are granted under and subject to the terms and conditions of the Plan, which is incorporated herein and made part hereof by this reference. In the event of a conflict between the terms of the Plan and this Agreement, the terms of the Plan, as interpreted by the Board or the Committee, shall govern. In the event of a conflict between the terms of the Plan and this Agreement, the terms of the Plan, as interpreted by the Board or the Committee, shall govern and all decisions under and interpretations of the Plan or this Agreement by the Committee or the Board shall be final, binding and conclusive upon the Participant and his heirs and legal representatives. The Participant hereby acknowledges receipt of a true copy of the Plan and that the Participant has read the Plan carefully and fully understands its content.</w:t>
      </w:r>
    </w:p>
    <w:p>
      <w:pPr>
        <w:spacing w:after="0" w:line="177" w:lineRule="exact"/>
        <w:rPr>
          <w:rFonts w:ascii="Arial" w:cs="Arial" w:eastAsia="Arial" w:hAnsi="Arial"/>
          <w:sz w:val="19"/>
          <w:szCs w:val="19"/>
          <w:color w:val="auto"/>
        </w:rPr>
      </w:pPr>
    </w:p>
    <w:p>
      <w:pPr>
        <w:jc w:val="both"/>
        <w:ind w:firstLine="1304"/>
        <w:spacing w:after="0" w:line="271" w:lineRule="auto"/>
        <w:tabs>
          <w:tab w:leader="none" w:pos="1941" w:val="left"/>
        </w:tabs>
        <w:numPr>
          <w:ilvl w:val="0"/>
          <w:numId w:val="115"/>
        </w:numPr>
        <w:rPr>
          <w:rFonts w:ascii="Arial" w:cs="Arial" w:eastAsia="Arial" w:hAnsi="Arial"/>
          <w:sz w:val="21"/>
          <w:szCs w:val="21"/>
          <w:color w:val="auto"/>
        </w:rPr>
      </w:pPr>
      <w:r>
        <w:rPr>
          <w:rFonts w:ascii="Arial" w:cs="Arial" w:eastAsia="Arial" w:hAnsi="Arial"/>
          <w:sz w:val="21"/>
          <w:szCs w:val="21"/>
          <w:color w:val="auto"/>
        </w:rPr>
        <w:t>This Agreement and the Plan constitute the entire contract between the parties hereto with regard to the subject matter hereof. This Agreement and the Plan supersede any other agreements, representations or understandings (whether oral or written and whether express or implied) which relate to the subject matter hereof.</w:t>
      </w:r>
    </w:p>
    <w:p>
      <w:pPr>
        <w:spacing w:after="0" w:line="194" w:lineRule="exact"/>
        <w:rPr>
          <w:rFonts w:ascii="Arial" w:cs="Arial" w:eastAsia="Arial" w:hAnsi="Arial"/>
          <w:sz w:val="21"/>
          <w:szCs w:val="21"/>
          <w:color w:val="auto"/>
        </w:rPr>
      </w:pPr>
    </w:p>
    <w:p>
      <w:pPr>
        <w:ind w:firstLine="1304"/>
        <w:spacing w:after="0" w:line="343" w:lineRule="auto"/>
        <w:tabs>
          <w:tab w:leader="none" w:pos="1939" w:val="left"/>
        </w:tabs>
        <w:numPr>
          <w:ilvl w:val="0"/>
          <w:numId w:val="115"/>
        </w:numPr>
        <w:rPr>
          <w:rFonts w:ascii="Arial" w:cs="Arial" w:eastAsia="Arial" w:hAnsi="Arial"/>
          <w:sz w:val="19"/>
          <w:szCs w:val="19"/>
          <w:color w:val="auto"/>
        </w:rPr>
      </w:pPr>
      <w:r>
        <w:rPr>
          <w:rFonts w:ascii="Arial" w:cs="Arial" w:eastAsia="Arial" w:hAnsi="Arial"/>
          <w:sz w:val="19"/>
          <w:szCs w:val="19"/>
          <w:color w:val="auto"/>
        </w:rPr>
        <w:t>If the Participant has received this Agreement or any other document related to the Plan translated into a language other than English and if the translated version is different than the English version, the English version will control.</w:t>
      </w:r>
    </w:p>
    <w:p>
      <w:pPr>
        <w:spacing w:after="0" w:line="131" w:lineRule="exact"/>
        <w:rPr>
          <w:rFonts w:ascii="Arial" w:cs="Arial" w:eastAsia="Arial" w:hAnsi="Arial"/>
          <w:sz w:val="19"/>
          <w:szCs w:val="19"/>
          <w:color w:val="auto"/>
        </w:rPr>
      </w:pPr>
    </w:p>
    <w:p>
      <w:pPr>
        <w:ind w:firstLine="1304"/>
        <w:spacing w:after="0" w:line="343" w:lineRule="auto"/>
        <w:tabs>
          <w:tab w:leader="none" w:pos="1941"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The provisions of this Agreement are severable and if any one or more provisions are determined to be illegal or otherwise unenforceable, in whole or in part, the remaining provisions shall nevertheless be binding and enforceable.</w:t>
      </w:r>
    </w:p>
    <w:p>
      <w:pPr>
        <w:spacing w:after="0" w:line="131" w:lineRule="exact"/>
        <w:rPr>
          <w:rFonts w:ascii="Arial" w:cs="Arial" w:eastAsia="Arial" w:hAnsi="Arial"/>
          <w:sz w:val="19"/>
          <w:szCs w:val="19"/>
          <w:color w:val="auto"/>
        </w:rPr>
      </w:pPr>
    </w:p>
    <w:p>
      <w:pPr>
        <w:ind w:firstLine="1304"/>
        <w:spacing w:after="0" w:line="263" w:lineRule="auto"/>
        <w:tabs>
          <w:tab w:leader="none" w:pos="1944"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This Agreement may be executed or deemed executed in two or more counterparts, each of which shall be deemed an original, but all of which shall constitute one and the same instrument.</w:t>
      </w: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Company has caused this grant of Performance Awards to be executed, as of the Date of</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Grant.</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BLOOMIN’ BRANDS, INC.</w:t>
      </w:r>
    </w:p>
    <w:p>
      <w:pPr>
        <w:ind w:left="5820"/>
        <w:spacing w:after="0" w:line="238" w:lineRule="auto"/>
        <w:rPr>
          <w:sz w:val="20"/>
          <w:szCs w:val="20"/>
          <w:color w:val="auto"/>
        </w:rPr>
      </w:pPr>
      <w:r>
        <w:rPr>
          <w:rFonts w:ascii="Arial" w:cs="Arial" w:eastAsia="Arial" w:hAnsi="Arial"/>
          <w:sz w:val="22"/>
          <w:szCs w:val="22"/>
          <w:color w:val="auto"/>
        </w:rPr>
        <w:t>ELECTRONIC</w:t>
      </w:r>
    </w:p>
    <w:p>
      <w:pPr>
        <w:ind w:left="3900"/>
        <w:spacing w:after="0"/>
        <w:tabs>
          <w:tab w:leader="none" w:pos="4500" w:val="left"/>
        </w:tabs>
        <w:rPr>
          <w:sz w:val="20"/>
          <w:szCs w:val="20"/>
          <w:color w:val="auto"/>
        </w:rPr>
      </w:pPr>
      <w:r>
        <w:rPr>
          <w:rFonts w:ascii="Arial" w:cs="Arial" w:eastAsia="Arial" w:hAnsi="Arial"/>
          <w:sz w:val="22"/>
          <w:szCs w:val="22"/>
          <w:color w:val="auto"/>
        </w:rPr>
        <w:t>By:</w:t>
        <w:tab/>
        <w:t>SIGNATURE</w:t>
      </w:r>
    </w:p>
    <w:p>
      <w:pPr>
        <w:spacing w:after="0" w:line="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David Deno,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-157480</wp:posOffset>
            </wp:positionV>
            <wp:extent cx="221170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6">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2"/>
          <w:szCs w:val="22"/>
          <w:color w:val="auto"/>
        </w:rPr>
        <w:t>(or Kelly Lefferts, Chief Legal Officer)</w:t>
      </w:r>
    </w:p>
    <w:p>
      <w:pPr>
        <w:sectPr>
          <w:pgSz w:w="11900" w:h="16838" w:orient="portrait"/>
          <w:cols w:equalWidth="0" w:num="1">
            <w:col w:w="11240"/>
          </w:cols>
          <w:pgMar w:left="320" w:top="901" w:right="3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22"/>
          <w:szCs w:val="22"/>
          <w:b w:val="1"/>
          <w:bCs w:val="1"/>
          <w:color w:val="auto"/>
        </w:rPr>
        <w:t>Exhibit B</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Performance-Based Vesting Terms and Conditions</w:t>
      </w:r>
    </w:p>
    <w:p>
      <w:pPr>
        <w:spacing w:after="0" w:line="374" w:lineRule="exact"/>
        <w:rPr>
          <w:sz w:val="20"/>
          <w:szCs w:val="20"/>
          <w:color w:val="auto"/>
        </w:rPr>
      </w:pPr>
    </w:p>
    <w:p>
      <w:pPr>
        <w:jc w:val="both"/>
        <w:ind w:firstLine="656"/>
        <w:spacing w:after="0" w:line="271" w:lineRule="auto"/>
        <w:tabs>
          <w:tab w:leader="none" w:pos="1296" w:val="left"/>
        </w:tabs>
        <w:numPr>
          <w:ilvl w:val="0"/>
          <w:numId w:val="116"/>
        </w:numPr>
        <w:rPr>
          <w:rFonts w:ascii="Arial" w:cs="Arial" w:eastAsia="Arial" w:hAnsi="Arial"/>
          <w:sz w:val="21"/>
          <w:szCs w:val="21"/>
          <w:color w:val="auto"/>
        </w:rPr>
      </w:pPr>
      <w:r>
        <w:rPr>
          <w:rFonts w:ascii="Arial" w:cs="Arial" w:eastAsia="Arial" w:hAnsi="Arial"/>
          <w:sz w:val="21"/>
          <w:szCs w:val="21"/>
          <w:u w:val="single" w:color="auto"/>
          <w:color w:val="auto"/>
        </w:rPr>
        <w:t>Vesting Schedule</w:t>
      </w:r>
      <w:r>
        <w:rPr>
          <w:rFonts w:ascii="Arial" w:cs="Arial" w:eastAsia="Arial" w:hAnsi="Arial"/>
          <w:sz w:val="21"/>
          <w:szCs w:val="21"/>
          <w:color w:val="auto"/>
        </w:rPr>
        <w:t>. Subject to the provisions of this Agreement, including, but not limited to, any provisions related to forfeiture, the number of Performance Awards earned based on the achievement of the Performance Goals set forth in this Exhibit B shall vest and become payable in Shares on the following Vesting Date:</w:t>
      </w:r>
    </w:p>
    <w:p>
      <w:pPr>
        <w:spacing w:after="0" w:line="194" w:lineRule="exact"/>
        <w:rPr>
          <w:sz w:val="20"/>
          <w:szCs w:val="20"/>
          <w:color w:val="auto"/>
        </w:rPr>
      </w:pPr>
    </w:p>
    <w:p>
      <w:pPr>
        <w:jc w:val="both"/>
        <w:ind w:left="660"/>
        <w:spacing w:after="0" w:line="265" w:lineRule="auto"/>
        <w:rPr>
          <w:sz w:val="20"/>
          <w:szCs w:val="20"/>
          <w:color w:val="auto"/>
        </w:rPr>
      </w:pPr>
      <w:r>
        <w:rPr>
          <w:rFonts w:ascii="Arial" w:cs="Arial" w:eastAsia="Arial" w:hAnsi="Arial"/>
          <w:sz w:val="21"/>
          <w:szCs w:val="21"/>
          <w:color w:val="auto"/>
        </w:rPr>
        <w:t>One-hundred percent (100%) shall vest on the third anniversary of the Date of Grant subject to certification by the Compensation Committee in writing: (i) that the Performance Goals and any other material terms of this Agreement were satisfied; and (ii) of the corresponding number of Performance Awards that have been earned and vested as a result of the achievement of such Performance Goals during the Performance Period.</w:t>
      </w:r>
    </w:p>
    <w:p>
      <w:pPr>
        <w:spacing w:after="0" w:line="202"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No Performance Awards shall be payable in Shares prior to such Vesting Date, despite the Company having achieved, to any extent, the Performance Goals set forth in this Exhibit B or in a subsequent schedule added to this Agreement.</w:t>
      </w:r>
    </w:p>
    <w:p>
      <w:pPr>
        <w:spacing w:after="0" w:line="178" w:lineRule="exact"/>
        <w:rPr>
          <w:sz w:val="20"/>
          <w:szCs w:val="20"/>
          <w:color w:val="auto"/>
        </w:rPr>
      </w:pPr>
    </w:p>
    <w:p>
      <w:pPr>
        <w:jc w:val="both"/>
        <w:ind w:firstLine="656"/>
        <w:spacing w:after="0" w:line="302" w:lineRule="auto"/>
        <w:tabs>
          <w:tab w:leader="none" w:pos="1296"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Performance Goals</w:t>
      </w:r>
      <w:r>
        <w:rPr>
          <w:rFonts w:ascii="Arial" w:cs="Arial" w:eastAsia="Arial" w:hAnsi="Arial"/>
          <w:sz w:val="19"/>
          <w:szCs w:val="19"/>
          <w:color w:val="auto"/>
        </w:rPr>
        <w:t>. The Performance Goals set forth below are for the Performance Period of the three fiscal years ending on [_____] and apply to the total number of Performance Awards subject to this Agreement (the “</w:t>
      </w:r>
      <w:r>
        <w:rPr>
          <w:rFonts w:ascii="Arial" w:cs="Arial" w:eastAsia="Arial" w:hAnsi="Arial"/>
          <w:sz w:val="19"/>
          <w:szCs w:val="19"/>
          <w:u w:val="single" w:color="auto"/>
          <w:color w:val="auto"/>
        </w:rPr>
        <w:t>Target Number of</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Performance Awards</w:t>
      </w:r>
      <w:r>
        <w:rPr>
          <w:rFonts w:ascii="Arial" w:cs="Arial" w:eastAsia="Arial" w:hAnsi="Arial"/>
          <w:sz w:val="19"/>
          <w:szCs w:val="19"/>
          <w:color w:val="auto"/>
        </w:rPr>
        <w:t>”). The Target Number of Performance Awards earned will be adjusted up or down based upon the Performance Level achieved for the Performance Period in accordance with the following Performance Goals:</w:t>
      </w:r>
    </w:p>
    <w:p>
      <w:pPr>
        <w:spacing w:after="0" w:line="182" w:lineRule="exact"/>
        <w:rPr>
          <w:rFonts w:ascii="Arial" w:cs="Arial" w:eastAsia="Arial" w:hAnsi="Arial"/>
          <w:sz w:val="19"/>
          <w:szCs w:val="19"/>
          <w:color w:val="auto"/>
        </w:rPr>
      </w:pPr>
    </w:p>
    <w:p>
      <w:pPr>
        <w:ind w:left="1940" w:hanging="636"/>
        <w:spacing w:after="0"/>
        <w:tabs>
          <w:tab w:leader="none" w:pos="1940" w:val="left"/>
        </w:tabs>
        <w:numPr>
          <w:ilvl w:val="1"/>
          <w:numId w:val="117"/>
        </w:numPr>
        <w:rPr>
          <w:rFonts w:ascii="Arial" w:cs="Arial" w:eastAsia="Arial" w:hAnsi="Arial"/>
          <w:sz w:val="22"/>
          <w:szCs w:val="22"/>
          <w:color w:val="auto"/>
        </w:rPr>
      </w:pPr>
      <w:r>
        <w:rPr>
          <w:rFonts w:ascii="Arial" w:cs="Arial" w:eastAsia="Arial" w:hAnsi="Arial"/>
          <w:sz w:val="22"/>
          <w:szCs w:val="22"/>
          <w:color w:val="auto"/>
        </w:rPr>
        <w:t>Adjusted Diluted Earnings Per Share for Fiscal Year 2023.</w:t>
      </w:r>
    </w:p>
    <w:p>
      <w:pPr>
        <w:spacing w:after="0" w:line="207" w:lineRule="exact"/>
        <w:rPr>
          <w:sz w:val="20"/>
          <w:szCs w:val="20"/>
          <w:color w:val="auto"/>
        </w:rPr>
      </w:pPr>
    </w:p>
    <w:tbl>
      <w:tblPr>
        <w:tblLayout w:type="fixed"/>
        <w:tblInd w:w="630" w:type="dxa"/>
        <w:tblCellMar>
          <w:top w:w="0" w:type="dxa"/>
          <w:left w:w="0" w:type="dxa"/>
          <w:bottom w:w="0" w:type="dxa"/>
          <w:right w:w="0" w:type="dxa"/>
        </w:tblCellMar>
      </w:tblPr>
      <w:tr>
        <w:trPr>
          <w:trHeight w:val="289"/>
        </w:trPr>
        <w:tc>
          <w:tcPr>
            <w:tcW w:w="34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Performance Level</w:t>
            </w:r>
          </w:p>
        </w:tc>
        <w:tc>
          <w:tcPr>
            <w:tcW w:w="3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Bloomin’ Brands, Inc. Adjusted</w:t>
            </w:r>
          </w:p>
        </w:tc>
        <w:tc>
          <w:tcPr>
            <w:tcW w:w="30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460" w:type="dxa"/>
            <w:vAlign w:val="bottom"/>
            <w:tcBorders>
              <w:left w:val="single" w:sz="8" w:color="auto"/>
              <w:right w:val="single" w:sz="8" w:color="auto"/>
            </w:tcBorders>
            <w:vMerge w:val="continue"/>
          </w:tcPr>
          <w:p>
            <w:pPr>
              <w:spacing w:after="0"/>
              <w:rPr>
                <w:sz w:val="22"/>
                <w:szCs w:val="22"/>
                <w:color w:val="auto"/>
              </w:rPr>
            </w:pPr>
          </w:p>
        </w:tc>
        <w:tc>
          <w:tcPr>
            <w:tcW w:w="35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Diluted Earnings Per Share for Fiscal</w:t>
            </w:r>
          </w:p>
        </w:tc>
        <w:tc>
          <w:tcPr>
            <w:tcW w:w="3080" w:type="dxa"/>
            <w:vAlign w:val="bottom"/>
            <w:tcBorders>
              <w:right w:val="single" w:sz="8" w:color="auto"/>
            </w:tcBorders>
          </w:tcPr>
          <w:p>
            <w:pPr>
              <w:ind w:left="200"/>
              <w:spacing w:after="0"/>
              <w:rPr>
                <w:sz w:val="20"/>
                <w:szCs w:val="20"/>
                <w:color w:val="auto"/>
              </w:rPr>
            </w:pPr>
            <w:r>
              <w:rPr>
                <w:rFonts w:ascii="Arial" w:cs="Arial" w:eastAsia="Arial" w:hAnsi="Arial"/>
                <w:sz w:val="22"/>
                <w:szCs w:val="22"/>
                <w:color w:val="auto"/>
                <w:w w:val="93"/>
              </w:rPr>
              <w:t>Payout Adjustment Percentage</w:t>
            </w:r>
          </w:p>
        </w:tc>
        <w:tc>
          <w:tcPr>
            <w:tcW w:w="0" w:type="dxa"/>
            <w:vAlign w:val="bottom"/>
          </w:tcPr>
          <w:p>
            <w:pPr>
              <w:spacing w:after="0"/>
              <w:rPr>
                <w:sz w:val="1"/>
                <w:szCs w:val="1"/>
                <w:color w:val="auto"/>
              </w:rPr>
            </w:pPr>
          </w:p>
        </w:tc>
      </w:tr>
      <w:tr>
        <w:trPr>
          <w:trHeight w:val="285"/>
        </w:trPr>
        <w:tc>
          <w:tcPr>
            <w:tcW w:w="3460" w:type="dxa"/>
            <w:vAlign w:val="bottom"/>
            <w:tcBorders>
              <w:left w:val="single" w:sz="8" w:color="auto"/>
              <w:bottom w:val="single" w:sz="8" w:color="auto"/>
              <w:right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Year 2023</w:t>
            </w: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Maximum</w:t>
            </w:r>
          </w:p>
        </w:tc>
        <w:tc>
          <w:tcPr>
            <w:tcW w:w="3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$[____]</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200%</w:t>
            </w:r>
          </w:p>
        </w:tc>
        <w:tc>
          <w:tcPr>
            <w:tcW w:w="0" w:type="dxa"/>
            <w:vAlign w:val="bottom"/>
          </w:tcPr>
          <w:p>
            <w:pPr>
              <w:spacing w:after="0"/>
              <w:rPr>
                <w:sz w:val="1"/>
                <w:szCs w:val="1"/>
                <w:color w:val="auto"/>
              </w:rPr>
            </w:pPr>
          </w:p>
        </w:tc>
      </w:tr>
      <w:tr>
        <w:trPr>
          <w:trHeight w:val="304"/>
        </w:trPr>
        <w:tc>
          <w:tcPr>
            <w:tcW w:w="3460" w:type="dxa"/>
            <w:vAlign w:val="bottom"/>
            <w:tcBorders>
              <w:left w:val="single" w:sz="8" w:color="auto"/>
              <w:bottom w:val="single" w:sz="8" w:color="auto"/>
              <w:right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$[____]</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150%</w:t>
            </w:r>
          </w:p>
        </w:tc>
        <w:tc>
          <w:tcPr>
            <w:tcW w:w="0" w:type="dxa"/>
            <w:vAlign w:val="bottom"/>
          </w:tcPr>
          <w:p>
            <w:pPr>
              <w:spacing w:after="0"/>
              <w:rPr>
                <w:sz w:val="1"/>
                <w:szCs w:val="1"/>
                <w:color w:val="auto"/>
              </w:rPr>
            </w:pPr>
          </w:p>
        </w:tc>
      </w:tr>
      <w:tr>
        <w:trPr>
          <w:trHeight w:val="304"/>
        </w:trPr>
        <w:tc>
          <w:tcPr>
            <w:tcW w:w="3460" w:type="dxa"/>
            <w:vAlign w:val="bottom"/>
            <w:tcBorders>
              <w:left w:val="single" w:sz="8" w:color="auto"/>
              <w:bottom w:val="single" w:sz="8" w:color="auto"/>
              <w:right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$[____]</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125%</w:t>
            </w:r>
          </w:p>
        </w:tc>
        <w:tc>
          <w:tcPr>
            <w:tcW w:w="0" w:type="dxa"/>
            <w:vAlign w:val="bottom"/>
          </w:tcPr>
          <w:p>
            <w:pPr>
              <w:spacing w:after="0"/>
              <w:rPr>
                <w:sz w:val="1"/>
                <w:szCs w:val="1"/>
                <w:color w:val="auto"/>
              </w:rPr>
            </w:pPr>
          </w:p>
        </w:tc>
      </w:tr>
      <w:tr>
        <w:trPr>
          <w:trHeight w:val="304"/>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Target</w:t>
            </w:r>
          </w:p>
        </w:tc>
        <w:tc>
          <w:tcPr>
            <w:tcW w:w="3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$[____]</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c>
          <w:tcPr>
            <w:tcW w:w="0" w:type="dxa"/>
            <w:vAlign w:val="bottom"/>
          </w:tcPr>
          <w:p>
            <w:pPr>
              <w:spacing w:after="0"/>
              <w:rPr>
                <w:sz w:val="1"/>
                <w:szCs w:val="1"/>
                <w:color w:val="auto"/>
              </w:rPr>
            </w:pPr>
          </w:p>
        </w:tc>
      </w:tr>
      <w:tr>
        <w:trPr>
          <w:trHeight w:val="304"/>
        </w:trPr>
        <w:tc>
          <w:tcPr>
            <w:tcW w:w="3460" w:type="dxa"/>
            <w:vAlign w:val="bottom"/>
            <w:tcBorders>
              <w:left w:val="single" w:sz="8" w:color="auto"/>
              <w:bottom w:val="single" w:sz="8" w:color="auto"/>
              <w:right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$[____]</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75%</w:t>
            </w:r>
          </w:p>
        </w:tc>
        <w:tc>
          <w:tcPr>
            <w:tcW w:w="0" w:type="dxa"/>
            <w:vAlign w:val="bottom"/>
          </w:tcPr>
          <w:p>
            <w:pPr>
              <w:spacing w:after="0"/>
              <w:rPr>
                <w:sz w:val="1"/>
                <w:szCs w:val="1"/>
                <w:color w:val="auto"/>
              </w:rPr>
            </w:pPr>
          </w:p>
        </w:tc>
      </w:tr>
      <w:tr>
        <w:trPr>
          <w:trHeight w:val="304"/>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Threshold</w:t>
            </w:r>
          </w:p>
        </w:tc>
        <w:tc>
          <w:tcPr>
            <w:tcW w:w="3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$[____]</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50%</w:t>
            </w:r>
          </w:p>
        </w:tc>
        <w:tc>
          <w:tcPr>
            <w:tcW w:w="0" w:type="dxa"/>
            <w:vAlign w:val="bottom"/>
          </w:tcPr>
          <w:p>
            <w:pPr>
              <w:spacing w:after="0"/>
              <w:rPr>
                <w:sz w:val="1"/>
                <w:szCs w:val="1"/>
                <w:color w:val="auto"/>
              </w:rPr>
            </w:pPr>
          </w:p>
        </w:tc>
      </w:tr>
      <w:tr>
        <w:trPr>
          <w:trHeight w:val="304"/>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Below Threshold</w:t>
            </w:r>
          </w:p>
        </w:tc>
        <w:tc>
          <w:tcPr>
            <w:tcW w:w="3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Below $[____]</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both"/>
        <w:ind w:left="660" w:right="20" w:hanging="328"/>
        <w:spacing w:after="0" w:line="253" w:lineRule="auto"/>
        <w:tabs>
          <w:tab w:leader="none" w:pos="655"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To the extent the Company’s Adjusted Diluted Earnings Per Share for Fiscal Year 2023 falls between two applicable values, the applicable Payout Adjustment Percentage shall be interpolated on a straight-line basis (</w:t>
      </w:r>
      <w:r>
        <w:rPr>
          <w:rFonts w:ascii="Arial" w:cs="Arial" w:eastAsia="Arial" w:hAnsi="Arial"/>
          <w:sz w:val="22"/>
          <w:szCs w:val="22"/>
          <w:i w:val="1"/>
          <w:iCs w:val="1"/>
          <w:color w:val="auto"/>
        </w:rPr>
        <w:t>i.e.</w:t>
      </w:r>
      <w:r>
        <w:rPr>
          <w:rFonts w:ascii="Arial" w:cs="Arial" w:eastAsia="Arial" w:hAnsi="Arial"/>
          <w:sz w:val="22"/>
          <w:szCs w:val="22"/>
          <w:color w:val="auto"/>
        </w:rPr>
        <w:t xml:space="preserve"> linear interpolation).</w:t>
      </w:r>
    </w:p>
    <w:p>
      <w:pPr>
        <w:spacing w:after="0" w:line="212" w:lineRule="exact"/>
        <w:rPr>
          <w:rFonts w:ascii="Arial" w:cs="Arial" w:eastAsia="Arial" w:hAnsi="Arial"/>
          <w:sz w:val="22"/>
          <w:szCs w:val="22"/>
          <w:color w:val="auto"/>
        </w:rPr>
      </w:pPr>
    </w:p>
    <w:p>
      <w:pPr>
        <w:ind w:left="660" w:right="20" w:hanging="328"/>
        <w:spacing w:after="0" w:line="263" w:lineRule="auto"/>
        <w:tabs>
          <w:tab w:leader="none" w:pos="655" w:val="left"/>
        </w:tabs>
        <w:numPr>
          <w:ilvl w:val="0"/>
          <w:numId w:val="118"/>
        </w:numPr>
        <w:rPr>
          <w:rFonts w:ascii="Arial" w:cs="Arial" w:eastAsia="Arial" w:hAnsi="Arial"/>
          <w:sz w:val="22"/>
          <w:szCs w:val="22"/>
          <w:color w:val="auto"/>
        </w:rPr>
      </w:pPr>
      <w:r>
        <w:rPr>
          <w:rFonts w:ascii="Arial" w:cs="Arial" w:eastAsia="Arial" w:hAnsi="Arial"/>
          <w:sz w:val="22"/>
          <w:szCs w:val="22"/>
          <w:color w:val="auto"/>
        </w:rPr>
        <w:t>If the Company’s Adjusted Diluted Earnings Per Share for Fiscal Year 2023 is Below Threshold, none of the Performance Awards shall vest and there will be no payout.</w:t>
      </w:r>
    </w:p>
    <w:p>
      <w:pPr>
        <w:sectPr>
          <w:pgSz w:w="11900" w:h="16838" w:orient="portrait"/>
          <w:cols w:equalWidth="0" w:num="1">
            <w:col w:w="11240"/>
          </w:cols>
          <w:pgMar w:left="320" w:top="1016" w:right="339" w:bottom="1440" w:gutter="0" w:footer="0" w:header="0"/>
        </w:sectPr>
      </w:pPr>
    </w:p>
    <w:bookmarkStart w:id="143" w:name="page144"/>
    <w:bookmarkEnd w:id="143"/>
    <w:p>
      <w:pPr>
        <w:ind w:left="840" w:right="420" w:hanging="8"/>
        <w:spacing w:after="0" w:line="530" w:lineRule="auto"/>
        <w:tabs>
          <w:tab w:leader="none" w:pos="1476" w:val="left"/>
        </w:tabs>
        <w:numPr>
          <w:ilvl w:val="0"/>
          <w:numId w:val="119"/>
        </w:numPr>
        <w:rPr>
          <w:rFonts w:ascii="Arial" w:cs="Arial" w:eastAsia="Arial" w:hAnsi="Arial"/>
          <w:sz w:val="19"/>
          <w:szCs w:val="19"/>
          <w:color w:val="auto"/>
        </w:rPr>
      </w:pPr>
      <w:r>
        <w:rPr>
          <w:rFonts w:ascii="Arial" w:cs="Arial" w:eastAsia="Arial" w:hAnsi="Arial"/>
          <w:sz w:val="19"/>
          <w:szCs w:val="19"/>
          <w:color w:val="auto"/>
        </w:rPr>
        <w:t>Adjusted Diluted Earnings Per Share* (“Adjusted EPS”) for Fiscal Year 2023 is determined as: The Adjusted EPS of the Company as of the last day of the Company’s 2023 fiscal year.</w:t>
      </w:r>
    </w:p>
    <w:p>
      <w:pPr>
        <w:spacing w:after="0" w:line="1" w:lineRule="exact"/>
        <w:rPr>
          <w:sz w:val="20"/>
          <w:szCs w:val="20"/>
          <w:color w:val="auto"/>
        </w:rPr>
      </w:pPr>
    </w:p>
    <w:p>
      <w:pPr>
        <w:jc w:val="both"/>
        <w:ind w:left="840"/>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Adjusted EPS</w:t>
      </w:r>
      <w:r>
        <w:rPr>
          <w:rFonts w:ascii="Arial" w:cs="Arial" w:eastAsia="Arial" w:hAnsi="Arial"/>
          <w:sz w:val="21"/>
          <w:szCs w:val="21"/>
          <w:color w:val="auto"/>
        </w:rPr>
        <w:t>” means: Adjusted net income divided by diluted weighted-average shares. Diluted weighted-average shares include weighted-average shares outstanding plus the dilutive effect of common stock equivalents, including restricted stock, restricted stock units, performance stock units (performance awards) and stock options, of share-based compensation.</w:t>
      </w:r>
    </w:p>
    <w:p>
      <w:pPr>
        <w:spacing w:after="0" w:line="200" w:lineRule="exact"/>
        <w:rPr>
          <w:sz w:val="20"/>
          <w:szCs w:val="20"/>
          <w:color w:val="auto"/>
        </w:rPr>
      </w:pPr>
    </w:p>
    <w:p>
      <w:pPr>
        <w:jc w:val="both"/>
        <w:ind w:left="840"/>
        <w:spacing w:after="0" w:line="263" w:lineRule="auto"/>
        <w:rPr>
          <w:sz w:val="20"/>
          <w:szCs w:val="20"/>
          <w:color w:val="auto"/>
        </w:rPr>
      </w:pPr>
      <w:r>
        <w:rPr>
          <w:rFonts w:ascii="Arial" w:cs="Arial" w:eastAsia="Arial" w:hAnsi="Arial"/>
          <w:sz w:val="22"/>
          <w:szCs w:val="22"/>
          <w:color w:val="auto"/>
        </w:rPr>
        <w:t>The Committee may provide that one or more objectively determinable adjustments shall be made to the performance goals to reflect events including:</w:t>
      </w:r>
    </w:p>
    <w:p>
      <w:pPr>
        <w:spacing w:after="0" w:line="202" w:lineRule="exact"/>
        <w:rPr>
          <w:sz w:val="20"/>
          <w:szCs w:val="20"/>
          <w:color w:val="auto"/>
        </w:rPr>
      </w:pPr>
    </w:p>
    <w:p>
      <w:pPr>
        <w:ind w:left="1460" w:hanging="628"/>
        <w:spacing w:after="0"/>
        <w:tabs>
          <w:tab w:leader="none" w:pos="146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asset impairment expenses or write-downs;</w:t>
      </w:r>
    </w:p>
    <w:p>
      <w:pPr>
        <w:spacing w:after="0" w:line="21" w:lineRule="exact"/>
        <w:rPr>
          <w:rFonts w:ascii="Arial" w:cs="Arial" w:eastAsia="Arial" w:hAnsi="Arial"/>
          <w:sz w:val="22"/>
          <w:szCs w:val="22"/>
          <w:color w:val="auto"/>
        </w:rPr>
      </w:pPr>
    </w:p>
    <w:p>
      <w:pPr>
        <w:ind w:left="1480" w:hanging="648"/>
        <w:spacing w:after="0"/>
        <w:tabs>
          <w:tab w:leader="none" w:pos="148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litigation, claims, judgments or settlements;</w:t>
      </w:r>
    </w:p>
    <w:p>
      <w:pPr>
        <w:spacing w:after="0" w:line="3" w:lineRule="exact"/>
        <w:rPr>
          <w:rFonts w:ascii="Arial" w:cs="Arial" w:eastAsia="Arial" w:hAnsi="Arial"/>
          <w:sz w:val="22"/>
          <w:szCs w:val="22"/>
          <w:color w:val="auto"/>
        </w:rPr>
      </w:pPr>
    </w:p>
    <w:p>
      <w:pPr>
        <w:ind w:left="1480" w:hanging="648"/>
        <w:spacing w:after="0"/>
        <w:tabs>
          <w:tab w:leader="none" w:pos="148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unusual, infrequently occurring, extraordinary or nonoperating items;</w:t>
      </w:r>
    </w:p>
    <w:p>
      <w:pPr>
        <w:spacing w:after="0" w:line="3" w:lineRule="exact"/>
        <w:rPr>
          <w:rFonts w:ascii="Arial" w:cs="Arial" w:eastAsia="Arial" w:hAnsi="Arial"/>
          <w:sz w:val="22"/>
          <w:szCs w:val="22"/>
          <w:color w:val="auto"/>
        </w:rPr>
      </w:pPr>
    </w:p>
    <w:p>
      <w:pPr>
        <w:ind w:left="1460" w:hanging="628"/>
        <w:spacing w:after="0"/>
        <w:tabs>
          <w:tab w:leader="none" w:pos="146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restructurings;</w:t>
      </w:r>
    </w:p>
    <w:p>
      <w:pPr>
        <w:spacing w:after="0" w:line="17" w:lineRule="exact"/>
        <w:rPr>
          <w:rFonts w:ascii="Arial" w:cs="Arial" w:eastAsia="Arial" w:hAnsi="Arial"/>
          <w:sz w:val="22"/>
          <w:szCs w:val="22"/>
          <w:color w:val="auto"/>
        </w:rPr>
      </w:pPr>
    </w:p>
    <w:p>
      <w:pPr>
        <w:ind w:left="1480" w:hanging="648"/>
        <w:spacing w:after="0"/>
        <w:tabs>
          <w:tab w:leader="none" w:pos="148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acquisitions, divestures or discontinued operations;</w:t>
      </w:r>
    </w:p>
    <w:p>
      <w:pPr>
        <w:spacing w:after="0" w:line="17" w:lineRule="exact"/>
        <w:rPr>
          <w:rFonts w:ascii="Arial" w:cs="Arial" w:eastAsia="Arial" w:hAnsi="Arial"/>
          <w:sz w:val="22"/>
          <w:szCs w:val="22"/>
          <w:color w:val="auto"/>
        </w:rPr>
      </w:pPr>
    </w:p>
    <w:p>
      <w:pPr>
        <w:ind w:left="1460" w:hanging="628"/>
        <w:spacing w:after="0"/>
        <w:tabs>
          <w:tab w:leader="none" w:pos="146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transaction-related expenses;</w:t>
      </w:r>
    </w:p>
    <w:p>
      <w:pPr>
        <w:spacing w:after="0" w:line="3" w:lineRule="exact"/>
        <w:rPr>
          <w:rFonts w:ascii="Arial" w:cs="Arial" w:eastAsia="Arial" w:hAnsi="Arial"/>
          <w:sz w:val="22"/>
          <w:szCs w:val="22"/>
          <w:color w:val="auto"/>
        </w:rPr>
      </w:pPr>
    </w:p>
    <w:p>
      <w:pPr>
        <w:ind w:left="1480" w:hanging="648"/>
        <w:spacing w:after="0"/>
        <w:tabs>
          <w:tab w:leader="none" w:pos="148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stock dividends, splits, combinations or exchanges of stock; and</w:t>
      </w:r>
    </w:p>
    <w:p>
      <w:pPr>
        <w:spacing w:after="0" w:line="3" w:lineRule="exact"/>
        <w:rPr>
          <w:rFonts w:ascii="Arial" w:cs="Arial" w:eastAsia="Arial" w:hAnsi="Arial"/>
          <w:sz w:val="22"/>
          <w:szCs w:val="22"/>
          <w:color w:val="auto"/>
        </w:rPr>
      </w:pPr>
    </w:p>
    <w:p>
      <w:pPr>
        <w:ind w:left="1480" w:right="20" w:hanging="648"/>
        <w:spacing w:after="0" w:line="246" w:lineRule="auto"/>
        <w:tabs>
          <w:tab w:leader="none" w:pos="148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effect of changes in tax laws, accounting principles or other laws or provisions affecting reported results.</w:t>
      </w:r>
    </w:p>
    <w:p>
      <w:pPr>
        <w:spacing w:after="0" w:line="219" w:lineRule="exact"/>
        <w:rPr>
          <w:sz w:val="20"/>
          <w:szCs w:val="20"/>
          <w:color w:val="auto"/>
        </w:rPr>
      </w:pPr>
    </w:p>
    <w:p>
      <w:pPr>
        <w:ind w:left="840"/>
        <w:spacing w:after="0" w:line="263" w:lineRule="auto"/>
        <w:rPr>
          <w:sz w:val="20"/>
          <w:szCs w:val="20"/>
          <w:color w:val="auto"/>
        </w:rPr>
      </w:pPr>
      <w:r>
        <w:rPr>
          <w:rFonts w:ascii="Arial" w:cs="Arial" w:eastAsia="Arial" w:hAnsi="Arial"/>
          <w:sz w:val="22"/>
          <w:szCs w:val="22"/>
          <w:i w:val="1"/>
          <w:iCs w:val="1"/>
          <w:color w:val="auto"/>
        </w:rPr>
        <w:t xml:space="preserve">* </w:t>
      </w:r>
      <w:r>
        <w:rPr>
          <w:rFonts w:ascii="Arial" w:cs="Arial" w:eastAsia="Arial" w:hAnsi="Arial"/>
          <w:sz w:val="22"/>
          <w:szCs w:val="22"/>
          <w:color w:val="auto"/>
        </w:rPr>
        <w:t>Based on adjustments above, it is possible that Adjusted EPS as it relates to the Performance Goals may</w:t>
      </w:r>
      <w:r>
        <w:rPr>
          <w:rFonts w:ascii="Arial" w:cs="Arial" w:eastAsia="Arial" w:hAnsi="Arial"/>
          <w:sz w:val="22"/>
          <w:szCs w:val="22"/>
          <w:i w:val="1"/>
          <w:iCs w:val="1"/>
          <w:color w:val="auto"/>
        </w:rPr>
        <w:t xml:space="preserve"> </w:t>
      </w:r>
      <w:r>
        <w:rPr>
          <w:rFonts w:ascii="Arial" w:cs="Arial" w:eastAsia="Arial" w:hAnsi="Arial"/>
          <w:sz w:val="22"/>
          <w:szCs w:val="22"/>
          <w:color w:val="auto"/>
        </w:rPr>
        <w:t>differ from Adjusted EPS as reported externally.</w:t>
      </w:r>
    </w:p>
    <w:p>
      <w:pPr>
        <w:spacing w:after="0" w:line="215" w:lineRule="exact"/>
        <w:rPr>
          <w:sz w:val="20"/>
          <w:szCs w:val="20"/>
          <w:color w:val="auto"/>
        </w:rPr>
      </w:pPr>
    </w:p>
    <w:p>
      <w:pPr>
        <w:ind w:left="820" w:hanging="636"/>
        <w:spacing w:after="0"/>
        <w:tabs>
          <w:tab w:leader="none" w:pos="82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Relative Total Stockholder Return Percentile.</w:t>
      </w:r>
    </w:p>
    <w:p>
      <w:pPr>
        <w:spacing w:after="0" w:line="260" w:lineRule="exact"/>
        <w:rPr>
          <w:sz w:val="20"/>
          <w:szCs w:val="20"/>
          <w:color w:val="auto"/>
        </w:rPr>
      </w:pPr>
    </w:p>
    <w:p>
      <w:pPr>
        <w:jc w:val="both"/>
        <w:ind w:left="840" w:hanging="8"/>
        <w:spacing w:after="0" w:line="312" w:lineRule="auto"/>
        <w:tabs>
          <w:tab w:leader="none" w:pos="1476" w:val="left"/>
        </w:tabs>
        <w:numPr>
          <w:ilvl w:val="0"/>
          <w:numId w:val="122"/>
        </w:numPr>
        <w:rPr>
          <w:rFonts w:ascii="Arial" w:cs="Arial" w:eastAsia="Arial" w:hAnsi="Arial"/>
          <w:sz w:val="19"/>
          <w:szCs w:val="19"/>
          <w:color w:val="auto"/>
        </w:rPr>
      </w:pPr>
      <w:r>
        <w:rPr>
          <w:rFonts w:ascii="Arial" w:cs="Arial" w:eastAsia="Arial" w:hAnsi="Arial"/>
          <w:sz w:val="19"/>
          <w:szCs w:val="19"/>
          <w:color w:val="auto"/>
        </w:rPr>
        <w:t>The number of Performance Awards determined based on Section 2(a), above, will be multiplied by seventy-five percent (75%) to one-hundred and twenty-five percent (125%) based on the Company’s Relative Total Stockholder Return Percentile relative to the Comparison Group, as follows:</w:t>
      </w:r>
    </w:p>
    <w:p>
      <w:pPr>
        <w:spacing w:after="0" w:line="175" w:lineRule="exact"/>
        <w:rPr>
          <w:sz w:val="20"/>
          <w:szCs w:val="20"/>
          <w:color w:val="auto"/>
        </w:rPr>
      </w:pPr>
    </w:p>
    <w:tbl>
      <w:tblPr>
        <w:tblLayout w:type="fixed"/>
        <w:tblInd w:w="1230" w:type="dxa"/>
        <w:tblCellMar>
          <w:top w:w="0" w:type="dxa"/>
          <w:left w:w="0" w:type="dxa"/>
          <w:bottom w:w="0" w:type="dxa"/>
          <w:right w:w="0" w:type="dxa"/>
        </w:tblCellMar>
      </w:tblPr>
      <w:tr>
        <w:trPr>
          <w:trHeight w:val="289"/>
        </w:trPr>
        <w:tc>
          <w:tcPr>
            <w:tcW w:w="3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Bloomin’ Brands, Inc. Relative Total</w:t>
            </w:r>
          </w:p>
        </w:tc>
        <w:tc>
          <w:tcPr>
            <w:tcW w:w="3080" w:type="dxa"/>
            <w:vAlign w:val="bottom"/>
            <w:tcBorders>
              <w:top w:val="single" w:sz="8" w:color="auto"/>
              <w:right w:val="single" w:sz="8" w:color="auto"/>
            </w:tcBorders>
            <w:vMerge w:val="restart"/>
          </w:tcPr>
          <w:p>
            <w:pPr>
              <w:ind w:left="600"/>
              <w:spacing w:after="0"/>
              <w:rPr>
                <w:sz w:val="20"/>
                <w:szCs w:val="20"/>
                <w:color w:val="auto"/>
              </w:rPr>
            </w:pPr>
            <w:r>
              <w:rPr>
                <w:rFonts w:ascii="Arial" w:cs="Arial" w:eastAsia="Arial" w:hAnsi="Arial"/>
                <w:sz w:val="22"/>
                <w:szCs w:val="22"/>
                <w:color w:val="auto"/>
              </w:rPr>
              <w:t>TSR Award Modifier</w:t>
            </w:r>
          </w:p>
        </w:tc>
        <w:tc>
          <w:tcPr>
            <w:tcW w:w="0" w:type="dxa"/>
            <w:vAlign w:val="bottom"/>
          </w:tcPr>
          <w:p>
            <w:pPr>
              <w:spacing w:after="0"/>
              <w:rPr>
                <w:sz w:val="1"/>
                <w:szCs w:val="1"/>
                <w:color w:val="auto"/>
              </w:rPr>
            </w:pPr>
          </w:p>
        </w:tc>
      </w:tr>
      <w:tr>
        <w:trPr>
          <w:trHeight w:val="139"/>
        </w:trPr>
        <w:tc>
          <w:tcPr>
            <w:tcW w:w="35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Stockholder Return Percentile</w:t>
            </w:r>
          </w:p>
        </w:tc>
        <w:tc>
          <w:tcPr>
            <w:tcW w:w="30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3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[____]</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125%</w:t>
            </w:r>
          </w:p>
        </w:tc>
        <w:tc>
          <w:tcPr>
            <w:tcW w:w="0" w:type="dxa"/>
            <w:vAlign w:val="bottom"/>
          </w:tcPr>
          <w:p>
            <w:pPr>
              <w:spacing w:after="0"/>
              <w:rPr>
                <w:sz w:val="1"/>
                <w:szCs w:val="1"/>
                <w:color w:val="auto"/>
              </w:rPr>
            </w:pPr>
          </w:p>
        </w:tc>
      </w:tr>
      <w:tr>
        <w:trPr>
          <w:trHeight w:val="304"/>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[____]</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c>
          <w:tcPr>
            <w:tcW w:w="0" w:type="dxa"/>
            <w:vAlign w:val="bottom"/>
          </w:tcPr>
          <w:p>
            <w:pPr>
              <w:spacing w:after="0"/>
              <w:rPr>
                <w:sz w:val="1"/>
                <w:szCs w:val="1"/>
                <w:color w:val="auto"/>
              </w:rPr>
            </w:pPr>
          </w:p>
        </w:tc>
      </w:tr>
      <w:tr>
        <w:trPr>
          <w:trHeight w:val="304"/>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[____]</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75%</w:t>
            </w:r>
          </w:p>
        </w:tc>
        <w:tc>
          <w:tcPr>
            <w:tcW w:w="0" w:type="dxa"/>
            <w:vAlign w:val="bottom"/>
          </w:tcPr>
          <w:p>
            <w:pPr>
              <w:spacing w:after="0"/>
              <w:rPr>
                <w:sz w:val="1"/>
                <w:szCs w:val="1"/>
                <w:color w:val="auto"/>
              </w:rPr>
            </w:pPr>
          </w:p>
        </w:tc>
      </w:tr>
    </w:tbl>
    <w:p>
      <w:pPr>
        <w:sectPr>
          <w:pgSz w:w="11900" w:h="16838" w:orient="portrait"/>
          <w:cols w:equalWidth="0" w:num="1">
            <w:col w:w="10120"/>
          </w:cols>
          <w:pgMar w:left="1440" w:top="901" w:right="339" w:bottom="1440" w:gutter="0" w:footer="0" w:header="0"/>
        </w:sectPr>
      </w:pPr>
    </w:p>
    <w:bookmarkStart w:id="144" w:name="page145"/>
    <w:bookmarkEnd w:id="144"/>
    <w:p>
      <w:pPr>
        <w:ind w:left="1480" w:hanging="648"/>
        <w:spacing w:after="0"/>
        <w:tabs>
          <w:tab w:leader="none" w:pos="1480"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Additional Definitions</w:t>
      </w:r>
      <w:r>
        <w:rPr>
          <w:rFonts w:ascii="Arial" w:cs="Arial" w:eastAsia="Arial" w:hAnsi="Arial"/>
          <w:sz w:val="22"/>
          <w:szCs w:val="22"/>
          <w:color w:val="auto"/>
        </w:rPr>
        <w:t>.</w:t>
      </w:r>
    </w:p>
    <w:p>
      <w:pPr>
        <w:spacing w:after="0" w:line="241" w:lineRule="exact"/>
        <w:rPr>
          <w:sz w:val="20"/>
          <w:szCs w:val="20"/>
          <w:color w:val="auto"/>
        </w:rPr>
      </w:pPr>
    </w:p>
    <w:p>
      <w:pPr>
        <w:jc w:val="both"/>
        <w:ind w:left="84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Comparison Group</w:t>
      </w:r>
      <w:r>
        <w:rPr>
          <w:rFonts w:ascii="Arial" w:cs="Arial" w:eastAsia="Arial" w:hAnsi="Arial"/>
          <w:sz w:val="22"/>
          <w:szCs w:val="22"/>
          <w:color w:val="auto"/>
        </w:rPr>
        <w:t>” means the companies listed on Appendix 1 to this Exhibit B which are publicly traded as of the first trading day of the Performance Period, as may be adjusted from time to time pursuant to this Agreement.</w:t>
      </w:r>
    </w:p>
    <w:p>
      <w:pPr>
        <w:spacing w:after="0" w:line="203" w:lineRule="exact"/>
        <w:rPr>
          <w:sz w:val="20"/>
          <w:szCs w:val="20"/>
          <w:color w:val="auto"/>
        </w:rPr>
      </w:pPr>
    </w:p>
    <w:p>
      <w:pPr>
        <w:jc w:val="both"/>
        <w:ind w:left="840"/>
        <w:spacing w:after="0" w:line="315" w:lineRule="auto"/>
        <w:rPr>
          <w:sz w:val="20"/>
          <w:szCs w:val="20"/>
          <w:color w:val="auto"/>
        </w:rPr>
      </w:pPr>
      <w:r>
        <w:rPr>
          <w:rFonts w:ascii="Arial" w:cs="Arial" w:eastAsia="Arial" w:hAnsi="Arial"/>
          <w:sz w:val="19"/>
          <w:szCs w:val="19"/>
          <w:b w:val="1"/>
          <w:bCs w:val="1"/>
          <w:color w:val="auto"/>
        </w:rPr>
        <w:t>“Beginning Stock Price</w:t>
      </w:r>
      <w:r>
        <w:rPr>
          <w:rFonts w:ascii="Arial" w:cs="Arial" w:eastAsia="Arial" w:hAnsi="Arial"/>
          <w:sz w:val="19"/>
          <w:szCs w:val="19"/>
          <w:color w:val="auto"/>
        </w:rPr>
        <w:t>” means the average of the closing market prices of such company’s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stock on the principal exchange on which such stock is traded for the twenty (20) consecutive trading days ending with the last trading day before the beginning of the Performance Period.</w:t>
      </w:r>
    </w:p>
    <w:p>
      <w:pPr>
        <w:spacing w:after="0" w:line="152" w:lineRule="exact"/>
        <w:rPr>
          <w:sz w:val="20"/>
          <w:szCs w:val="20"/>
          <w:color w:val="auto"/>
        </w:rPr>
      </w:pPr>
    </w:p>
    <w:p>
      <w:pPr>
        <w:jc w:val="both"/>
        <w:ind w:left="84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Ending Stock Price</w:t>
      </w:r>
      <w:r>
        <w:rPr>
          <w:rFonts w:ascii="Arial" w:cs="Arial" w:eastAsia="Arial" w:hAnsi="Arial"/>
          <w:sz w:val="22"/>
          <w:szCs w:val="22"/>
          <w:color w:val="auto"/>
        </w:rPr>
        <w:t>” means the average of the closing market prices of such company’s common stock on the principal exchange on which such stock is traded for the twenty (20) consecutive trading days ending with the last trading day of the Performance Period.</w:t>
      </w:r>
    </w:p>
    <w:p>
      <w:pPr>
        <w:spacing w:after="0" w:line="203" w:lineRule="exact"/>
        <w:rPr>
          <w:sz w:val="20"/>
          <w:szCs w:val="20"/>
          <w:color w:val="auto"/>
        </w:rPr>
      </w:pPr>
    </w:p>
    <w:p>
      <w:pPr>
        <w:jc w:val="both"/>
        <w:ind w:left="840"/>
        <w:spacing w:after="0" w:line="262" w:lineRule="auto"/>
        <w:rPr>
          <w:sz w:val="20"/>
          <w:szCs w:val="20"/>
          <w:color w:val="auto"/>
        </w:rPr>
      </w:pPr>
      <w:r>
        <w:rPr>
          <w:rFonts w:ascii="Arial" w:cs="Arial" w:eastAsia="Arial" w:hAnsi="Arial"/>
          <w:sz w:val="21"/>
          <w:szCs w:val="21"/>
          <w:b w:val="1"/>
          <w:bCs w:val="1"/>
          <w:color w:val="auto"/>
        </w:rPr>
        <w:t xml:space="preserve">“Total Stockholder Return” or “TSR” </w:t>
      </w:r>
      <w:r>
        <w:rPr>
          <w:rFonts w:ascii="Arial" w:cs="Arial" w:eastAsia="Arial" w:hAnsi="Arial"/>
          <w:sz w:val="21"/>
          <w:szCs w:val="21"/>
          <w:color w:val="auto"/>
        </w:rPr>
        <w:t>for the Company and each other company in the Comparison</w:t>
      </w:r>
      <w:r>
        <w:rPr>
          <w:rFonts w:ascii="Arial" w:cs="Arial" w:eastAsia="Arial" w:hAnsi="Arial"/>
          <w:sz w:val="21"/>
          <w:szCs w:val="21"/>
          <w:b w:val="1"/>
          <w:bCs w:val="1"/>
          <w:color w:val="auto"/>
        </w:rPr>
        <w:t xml:space="preserve"> </w:t>
      </w:r>
      <w:r>
        <w:rPr>
          <w:rFonts w:ascii="Arial" w:cs="Arial" w:eastAsia="Arial" w:hAnsi="Arial"/>
          <w:sz w:val="21"/>
          <w:szCs w:val="21"/>
          <w:color w:val="auto"/>
        </w:rPr>
        <w:t>Group means, with respect to the Performance Period, the increase in such company’s stock price from the Beginning Stock Price to the Ending Stock Price, plus dividends paid during the Performance Period and assuming such dividends have been reinvested as of the ex-dividend date. A company’s TSR may be adjusted for changes in such company’s capital structure, including in the case of events such as a stock split, reverse stock split, recapitalization or similar events.</w:t>
      </w:r>
    </w:p>
    <w:p>
      <w:pPr>
        <w:spacing w:after="0" w:line="206" w:lineRule="exact"/>
        <w:rPr>
          <w:sz w:val="20"/>
          <w:szCs w:val="20"/>
          <w:color w:val="auto"/>
        </w:rPr>
      </w:pPr>
    </w:p>
    <w:p>
      <w:pPr>
        <w:jc w:val="both"/>
        <w:ind w:left="840" w:hanging="8"/>
        <w:spacing w:after="0" w:line="250" w:lineRule="auto"/>
        <w:tabs>
          <w:tab w:leader="none" w:pos="1488"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Calculation of Percentile Performance</w:t>
      </w:r>
      <w:r>
        <w:rPr>
          <w:rFonts w:ascii="Arial" w:cs="Arial" w:eastAsia="Arial" w:hAnsi="Arial"/>
          <w:sz w:val="22"/>
          <w:szCs w:val="22"/>
          <w:color w:val="auto"/>
        </w:rPr>
        <w:t>. Following the calculation of the TSR for the Performance Period for the Company and each of the other companies in the Comparison Group, the Company and each of the companies in the Comparison Group will be ranked, in order of maximum to minimum, according to their respective TSR for the Performance Period.</w:t>
      </w:r>
    </w:p>
    <w:p>
      <w:pPr>
        <w:spacing w:after="0" w:line="215" w:lineRule="exact"/>
        <w:rPr>
          <w:sz w:val="20"/>
          <w:szCs w:val="20"/>
          <w:color w:val="auto"/>
        </w:rPr>
      </w:pPr>
    </w:p>
    <w:p>
      <w:pPr>
        <w:ind w:left="840"/>
        <w:spacing w:after="0"/>
        <w:rPr>
          <w:sz w:val="20"/>
          <w:szCs w:val="20"/>
          <w:color w:val="auto"/>
        </w:rPr>
      </w:pPr>
      <w:r>
        <w:rPr>
          <w:rFonts w:ascii="Arial" w:cs="Arial" w:eastAsia="Arial" w:hAnsi="Arial"/>
          <w:sz w:val="19"/>
          <w:szCs w:val="19"/>
          <w:color w:val="auto"/>
        </w:rPr>
        <w:t>After this ranking, the percentile performance of the Company as compared to the other companies in the</w:t>
      </w:r>
    </w:p>
    <w:p>
      <w:pPr>
        <w:spacing w:after="0" w:line="56" w:lineRule="exact"/>
        <w:rPr>
          <w:sz w:val="20"/>
          <w:szCs w:val="20"/>
          <w:color w:val="auto"/>
        </w:rPr>
      </w:pPr>
    </w:p>
    <w:p>
      <w:pPr>
        <w:ind w:left="840"/>
        <w:spacing w:after="0"/>
        <w:rPr>
          <w:sz w:val="20"/>
          <w:szCs w:val="20"/>
          <w:color w:val="auto"/>
        </w:rPr>
      </w:pPr>
      <w:r>
        <w:rPr>
          <w:rFonts w:ascii="Arial" w:cs="Arial" w:eastAsia="Arial" w:hAnsi="Arial"/>
          <w:sz w:val="22"/>
          <w:szCs w:val="22"/>
          <w:color w:val="auto"/>
        </w:rPr>
        <w:t>Comparison Group shall be determined by the following formula:</w:t>
      </w:r>
    </w:p>
    <w:p>
      <w:pPr>
        <w:spacing w:after="0" w:line="248" w:lineRule="exact"/>
        <w:rPr>
          <w:sz w:val="20"/>
          <w:szCs w:val="20"/>
          <w:color w:val="auto"/>
        </w:rPr>
      </w:pPr>
    </w:p>
    <w:p>
      <w:pPr>
        <w:ind w:left="3660"/>
        <w:spacing w:after="0"/>
        <w:tabs>
          <w:tab w:leader="none" w:pos="4500" w:val="left"/>
        </w:tabs>
        <w:rPr>
          <w:sz w:val="20"/>
          <w:szCs w:val="20"/>
          <w:color w:val="auto"/>
        </w:rPr>
      </w:pPr>
      <w:r>
        <w:rPr>
          <w:rFonts w:ascii="Arial" w:cs="Arial" w:eastAsia="Arial" w:hAnsi="Arial"/>
          <w:sz w:val="22"/>
          <w:szCs w:val="22"/>
          <w:i w:val="1"/>
          <w:iCs w:val="1"/>
          <w:color w:val="auto"/>
        </w:rPr>
        <w:t>P</w:t>
      </w:r>
      <w:r>
        <w:rPr>
          <w:rFonts w:ascii="Arial" w:cs="Arial" w:eastAsia="Arial" w:hAnsi="Arial"/>
          <w:sz w:val="22"/>
          <w:szCs w:val="22"/>
          <w:color w:val="auto"/>
        </w:rPr>
        <w:t>=1-</w:t>
      </w:r>
      <w:r>
        <w:rPr>
          <w:sz w:val="20"/>
          <w:szCs w:val="20"/>
          <w:color w:val="auto"/>
        </w:rPr>
        <w:tab/>
      </w:r>
      <w:r>
        <w:rPr>
          <w:rFonts w:ascii="Arial" w:cs="Arial" w:eastAsia="Arial" w:hAnsi="Arial"/>
          <w:sz w:val="33"/>
          <w:szCs w:val="33"/>
          <w:color w:val="auto"/>
        </w:rPr>
        <w:t xml:space="preserve">( </w:t>
      </w:r>
      <w:r>
        <w:rPr>
          <w:rFonts w:ascii="Arial" w:cs="Arial" w:eastAsia="Arial" w:hAnsi="Arial"/>
          <w:sz w:val="28"/>
          <w:szCs w:val="28"/>
          <w:i w:val="1"/>
          <w:iCs w:val="1"/>
          <w:color w:val="auto"/>
          <w:vertAlign w:val="superscript"/>
        </w:rPr>
        <w:t>R</w:t>
      </w:r>
      <w:r>
        <w:rPr>
          <w:rFonts w:ascii="Arial" w:cs="Arial" w:eastAsia="Arial" w:hAnsi="Arial"/>
          <w:sz w:val="28"/>
          <w:szCs w:val="28"/>
          <w:i w:val="1"/>
          <w:iCs w:val="1"/>
          <w:color w:val="auto"/>
          <w:vertAlign w:val="subscript"/>
        </w:rPr>
        <w:t>N</w:t>
      </w:r>
      <w:r>
        <w:rPr>
          <w:rFonts w:ascii="Arial" w:cs="Arial" w:eastAsia="Arial" w:hAnsi="Arial"/>
          <w:sz w:val="28"/>
          <w:szCs w:val="28"/>
          <w:color w:val="auto"/>
          <w:vertAlign w:val="superscript"/>
        </w:rPr>
        <w:t>-</w:t>
      </w:r>
      <w:r>
        <w:rPr>
          <w:rFonts w:ascii="Arial" w:cs="Arial" w:eastAsia="Arial" w:hAnsi="Arial"/>
          <w:sz w:val="28"/>
          <w:szCs w:val="28"/>
          <w:color w:val="auto"/>
          <w:vertAlign w:val="subscript"/>
        </w:rPr>
        <w:t>-</w:t>
      </w:r>
      <w:r>
        <w:rPr>
          <w:rFonts w:ascii="Arial" w:cs="Arial" w:eastAsia="Arial" w:hAnsi="Arial"/>
          <w:sz w:val="28"/>
          <w:szCs w:val="28"/>
          <w:color w:val="auto"/>
          <w:vertAlign w:val="superscript"/>
        </w:rPr>
        <w:t>1</w:t>
      </w:r>
      <w:r>
        <w:rPr>
          <w:rFonts w:ascii="Arial" w:cs="Arial" w:eastAsia="Arial" w:hAnsi="Arial"/>
          <w:sz w:val="28"/>
          <w:szCs w:val="28"/>
          <w:color w:val="auto"/>
          <w:vertAlign w:val="subscript"/>
        </w:rPr>
        <w:t>1</w:t>
      </w:r>
      <w:r>
        <w:rPr>
          <w:rFonts w:ascii="Arial" w:cs="Arial" w:eastAsia="Arial" w:hAnsi="Arial"/>
          <w:sz w:val="33"/>
          <w:szCs w:val="33"/>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-59055</wp:posOffset>
            </wp:positionV>
            <wp:extent cx="4032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7">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840"/>
        <w:spacing w:after="0" w:line="263" w:lineRule="auto"/>
        <w:rPr>
          <w:sz w:val="20"/>
          <w:szCs w:val="20"/>
          <w:color w:val="auto"/>
        </w:rPr>
      </w:pPr>
      <w:r>
        <w:rPr>
          <w:rFonts w:ascii="Arial" w:cs="Arial" w:eastAsia="Arial" w:hAnsi="Arial"/>
          <w:sz w:val="22"/>
          <w:szCs w:val="22"/>
          <w:color w:val="auto"/>
        </w:rPr>
        <w:t>“P” represents the Company’s Relative Total Stockholder Return Percentile which will be rounded, if necessary, to the nearest hundredth.</w:t>
      </w:r>
    </w:p>
    <w:p>
      <w:pPr>
        <w:spacing w:after="0" w:line="202" w:lineRule="exact"/>
        <w:rPr>
          <w:sz w:val="20"/>
          <w:szCs w:val="20"/>
          <w:color w:val="auto"/>
        </w:rPr>
      </w:pPr>
    </w:p>
    <w:p>
      <w:pPr>
        <w:ind w:left="840"/>
        <w:spacing w:after="0"/>
        <w:rPr>
          <w:sz w:val="20"/>
          <w:szCs w:val="20"/>
          <w:color w:val="auto"/>
        </w:rPr>
      </w:pPr>
      <w:r>
        <w:rPr>
          <w:rFonts w:ascii="Arial" w:cs="Arial" w:eastAsia="Arial" w:hAnsi="Arial"/>
          <w:sz w:val="22"/>
          <w:szCs w:val="22"/>
          <w:color w:val="auto"/>
        </w:rPr>
        <w:t>“N” represents the total number of companies in the Comparison Group.</w:t>
      </w:r>
    </w:p>
    <w:p>
      <w:pPr>
        <w:spacing w:after="0" w:line="247" w:lineRule="exact"/>
        <w:rPr>
          <w:sz w:val="20"/>
          <w:szCs w:val="20"/>
          <w:color w:val="auto"/>
        </w:rPr>
      </w:pPr>
    </w:p>
    <w:p>
      <w:pPr>
        <w:ind w:left="840"/>
        <w:spacing w:after="0"/>
        <w:rPr>
          <w:sz w:val="20"/>
          <w:szCs w:val="20"/>
          <w:color w:val="auto"/>
        </w:rPr>
      </w:pPr>
      <w:r>
        <w:rPr>
          <w:rFonts w:ascii="Arial" w:cs="Arial" w:eastAsia="Arial" w:hAnsi="Arial"/>
          <w:sz w:val="22"/>
          <w:szCs w:val="22"/>
          <w:color w:val="auto"/>
        </w:rPr>
        <w:t>“R” represents the Company’s ranking versus the other companies in the Comparison Group.</w:t>
      </w:r>
    </w:p>
    <w:p>
      <w:pPr>
        <w:sectPr>
          <w:pgSz w:w="11900" w:h="16838" w:orient="portrait"/>
          <w:cols w:equalWidth="0" w:num="1">
            <w:col w:w="10100"/>
          </w:cols>
          <w:pgMar w:left="1440" w:top="1252" w:right="359" w:bottom="1440" w:gutter="0" w:footer="0" w:header="0"/>
        </w:sectPr>
      </w:pPr>
    </w:p>
    <w:bookmarkStart w:id="145" w:name="page146"/>
    <w:bookmarkEnd w:id="145"/>
    <w:p>
      <w:pPr>
        <w:ind w:left="1960"/>
        <w:spacing w:after="0" w:line="232" w:lineRule="auto"/>
        <w:rPr>
          <w:sz w:val="20"/>
          <w:szCs w:val="20"/>
          <w:color w:val="auto"/>
        </w:rPr>
      </w:pPr>
      <w:r>
        <w:rPr>
          <w:rFonts w:ascii="Arial" w:cs="Arial" w:eastAsia="Arial" w:hAnsi="Arial"/>
          <w:sz w:val="22"/>
          <w:szCs w:val="22"/>
          <w:i w:val="1"/>
          <w:iCs w:val="1"/>
          <w:color w:val="auto"/>
        </w:rPr>
        <w:t>Example</w:t>
      </w:r>
      <w:r>
        <w:rPr>
          <w:rFonts w:ascii="Arial" w:cs="Arial" w:eastAsia="Arial" w:hAnsi="Arial"/>
          <w:sz w:val="22"/>
          <w:szCs w:val="22"/>
          <w:color w:val="auto"/>
        </w:rPr>
        <w:t>: If the Company ranked 10</w:t>
      </w:r>
      <w:r>
        <w:rPr>
          <w:rFonts w:ascii="Arial" w:cs="Arial" w:eastAsia="Arial" w:hAnsi="Arial"/>
          <w:sz w:val="28"/>
          <w:szCs w:val="28"/>
          <w:color w:val="auto"/>
          <w:vertAlign w:val="superscript"/>
        </w:rPr>
        <w:t>th</w:t>
      </w:r>
      <w:r>
        <w:rPr>
          <w:rFonts w:ascii="Arial" w:cs="Arial" w:eastAsia="Arial" w:hAnsi="Arial"/>
          <w:sz w:val="22"/>
          <w:szCs w:val="22"/>
          <w:i w:val="1"/>
          <w:iCs w:val="1"/>
          <w:color w:val="auto"/>
        </w:rPr>
        <w:t xml:space="preserve"> </w:t>
      </w:r>
      <w:r>
        <w:rPr>
          <w:rFonts w:ascii="Arial" w:cs="Arial" w:eastAsia="Arial" w:hAnsi="Arial"/>
          <w:sz w:val="22"/>
          <w:szCs w:val="22"/>
          <w:color w:val="auto"/>
        </w:rPr>
        <w:t>out of 31 companies, the Company’s Relative Total Stockholder</w:t>
      </w:r>
      <w:r>
        <w:rPr>
          <w:rFonts w:ascii="Arial" w:cs="Arial" w:eastAsia="Arial" w:hAnsi="Arial"/>
          <w:sz w:val="22"/>
          <w:szCs w:val="22"/>
          <w:i w:val="1"/>
          <w:iCs w:val="1"/>
          <w:color w:val="auto"/>
        </w:rPr>
        <w:t xml:space="preserve"> </w:t>
      </w:r>
      <w:r>
        <w:rPr>
          <w:rFonts w:ascii="Arial" w:cs="Arial" w:eastAsia="Arial" w:hAnsi="Arial"/>
          <w:sz w:val="22"/>
          <w:szCs w:val="22"/>
          <w:color w:val="auto"/>
        </w:rPr>
        <w:t>Return Percentile would be in the 70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p>
      <w:pPr>
        <w:spacing w:after="0" w:line="183" w:lineRule="exact"/>
        <w:rPr>
          <w:sz w:val="20"/>
          <w:szCs w:val="20"/>
          <w:color w:val="auto"/>
        </w:rPr>
      </w:pPr>
    </w:p>
    <w:tbl>
      <w:tblPr>
        <w:tblLayout w:type="fixed"/>
        <w:tblInd w:w="3100" w:type="dxa"/>
        <w:tblCellMar>
          <w:top w:w="0" w:type="dxa"/>
          <w:left w:w="0" w:type="dxa"/>
          <w:bottom w:w="0" w:type="dxa"/>
          <w:right w:w="0" w:type="dxa"/>
        </w:tblCellMar>
      </w:tblPr>
      <w:tr>
        <w:trPr>
          <w:trHeight w:val="259"/>
        </w:trPr>
        <w:tc>
          <w:tcPr>
            <w:tcW w:w="1580" w:type="dxa"/>
            <w:vAlign w:val="bottom"/>
            <w:vMerge w:val="restart"/>
          </w:tcPr>
          <w:p>
            <w:pPr>
              <w:jc w:val="right"/>
              <w:ind w:right="252"/>
              <w:spacing w:after="0"/>
              <w:rPr>
                <w:sz w:val="20"/>
                <w:szCs w:val="20"/>
                <w:color w:val="auto"/>
              </w:rPr>
            </w:pPr>
            <w:r>
              <w:rPr>
                <w:rFonts w:ascii="Arial" w:cs="Arial" w:eastAsia="Arial" w:hAnsi="Arial"/>
                <w:sz w:val="22"/>
                <w:szCs w:val="22"/>
                <w:color w:val="auto"/>
              </w:rPr>
              <w:t>The</w:t>
            </w:r>
          </w:p>
        </w:tc>
        <w:tc>
          <w:tcPr>
            <w:tcW w:w="1160" w:type="dxa"/>
            <w:vAlign w:val="bottom"/>
            <w:vMerge w:val="restart"/>
          </w:tcPr>
          <w:p>
            <w:pPr>
              <w:jc w:val="right"/>
              <w:ind w:right="232"/>
              <w:spacing w:after="0"/>
              <w:rPr>
                <w:sz w:val="20"/>
                <w:szCs w:val="20"/>
                <w:color w:val="auto"/>
              </w:rPr>
            </w:pPr>
            <w:r>
              <w:rPr>
                <w:rFonts w:ascii="Arial" w:cs="Arial" w:eastAsia="Arial" w:hAnsi="Arial"/>
                <w:sz w:val="22"/>
                <w:szCs w:val="22"/>
                <w:color w:val="auto"/>
              </w:rPr>
              <w:t>0.70</w:t>
            </w:r>
          </w:p>
        </w:tc>
        <w:tc>
          <w:tcPr>
            <w:tcW w:w="540" w:type="dxa"/>
            <w:vAlign w:val="bottom"/>
          </w:tcPr>
          <w:p>
            <w:pPr>
              <w:spacing w:after="0"/>
              <w:rPr>
                <w:sz w:val="22"/>
                <w:szCs w:val="22"/>
                <w:color w:val="auto"/>
              </w:rPr>
            </w:pPr>
          </w:p>
        </w:tc>
        <w:tc>
          <w:tcPr>
            <w:tcW w:w="640" w:type="dxa"/>
            <w:vAlign w:val="bottom"/>
            <w:vMerge w:val="restart"/>
          </w:tcPr>
          <w:p>
            <w:pPr>
              <w:jc w:val="right"/>
              <w:spacing w:after="0"/>
              <w:rPr>
                <w:sz w:val="20"/>
                <w:szCs w:val="20"/>
                <w:color w:val="auto"/>
              </w:rPr>
            </w:pPr>
            <w:r>
              <w:rPr>
                <w:rFonts w:ascii="Arial" w:cs="Arial" w:eastAsia="Arial" w:hAnsi="Arial"/>
                <w:sz w:val="22"/>
                <w:szCs w:val="22"/>
                <w:color w:val="auto"/>
              </w:rPr>
              <w:t>- 1</w:t>
            </w:r>
          </w:p>
        </w:tc>
        <w:tc>
          <w:tcPr>
            <w:tcW w:w="300" w:type="dxa"/>
            <w:vAlign w:val="bottom"/>
          </w:tcPr>
          <w:p>
            <w:pPr>
              <w:jc w:val="right"/>
              <w:spacing w:after="0"/>
              <w:rPr>
                <w:sz w:val="20"/>
                <w:szCs w:val="20"/>
                <w:color w:val="auto"/>
              </w:rPr>
            </w:pPr>
            <w:r>
              <w:rPr>
                <w:rFonts w:ascii="Arial" w:cs="Arial" w:eastAsia="Arial" w:hAnsi="Arial"/>
                <w:sz w:val="22"/>
                <w:szCs w:val="22"/>
                <w:color w:val="auto"/>
                <w:w w:val="97"/>
              </w:rPr>
              <w:t>10</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158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540" w:type="dxa"/>
            <w:vAlign w:val="bottom"/>
            <w:vMerge w:val="restart"/>
          </w:tcPr>
          <w:p>
            <w:pPr>
              <w:jc w:val="right"/>
              <w:spacing w:after="0" w:line="220" w:lineRule="exact"/>
              <w:rPr>
                <w:sz w:val="20"/>
                <w:szCs w:val="20"/>
                <w:color w:val="auto"/>
              </w:rPr>
            </w:pPr>
            <w:r>
              <w:rPr>
                <w:rFonts w:ascii="Arial" w:cs="Arial" w:eastAsia="Arial" w:hAnsi="Arial"/>
                <w:sz w:val="25"/>
                <w:szCs w:val="25"/>
                <w:color w:val="auto"/>
              </w:rPr>
              <w:t>(</w:t>
            </w:r>
          </w:p>
        </w:tc>
        <w:tc>
          <w:tcPr>
            <w:tcW w:w="6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vMerge w:val="restart"/>
          </w:tcPr>
          <w:p>
            <w:pPr>
              <w:jc w:val="right"/>
              <w:spacing w:after="0" w:line="220" w:lineRule="exact"/>
              <w:rPr>
                <w:sz w:val="20"/>
                <w:szCs w:val="20"/>
                <w:color w:val="auto"/>
              </w:rPr>
            </w:pPr>
            <w:r>
              <w:rPr>
                <w:rFonts w:ascii="Arial" w:cs="Arial" w:eastAsia="Arial" w:hAnsi="Arial"/>
                <w:sz w:val="25"/>
                <w:szCs w:val="25"/>
                <w:color w:val="auto"/>
              </w:rPr>
              <w:t>)</w:t>
            </w:r>
          </w:p>
        </w:tc>
        <w:tc>
          <w:tcPr>
            <w:tcW w:w="0" w:type="dxa"/>
            <w:vAlign w:val="bottom"/>
          </w:tcPr>
          <w:p>
            <w:pPr>
              <w:spacing w:after="0"/>
              <w:rPr>
                <w:sz w:val="1"/>
                <w:szCs w:val="1"/>
                <w:color w:val="auto"/>
              </w:rPr>
            </w:pPr>
          </w:p>
        </w:tc>
      </w:tr>
      <w:tr>
        <w:trPr>
          <w:trHeight w:val="35"/>
        </w:trPr>
        <w:tc>
          <w:tcPr>
            <w:tcW w:w="1580" w:type="dxa"/>
            <w:vAlign w:val="bottom"/>
            <w:vMerge w:val="restart"/>
          </w:tcPr>
          <w:p>
            <w:pPr>
              <w:jc w:val="right"/>
              <w:ind w:right="252"/>
              <w:spacing w:after="0"/>
              <w:rPr>
                <w:sz w:val="20"/>
                <w:szCs w:val="20"/>
                <w:color w:val="auto"/>
              </w:rPr>
            </w:pPr>
            <w:r>
              <w:rPr>
                <w:rFonts w:ascii="Arial" w:cs="Arial" w:eastAsia="Arial" w:hAnsi="Arial"/>
                <w:sz w:val="22"/>
                <w:szCs w:val="22"/>
                <w:color w:val="auto"/>
                <w:w w:val="90"/>
              </w:rPr>
              <w:t>calculation is:</w:t>
            </w:r>
          </w:p>
        </w:tc>
        <w:tc>
          <w:tcPr>
            <w:tcW w:w="1160" w:type="dxa"/>
            <w:vAlign w:val="bottom"/>
            <w:vMerge w:val="restart"/>
          </w:tcPr>
          <w:p>
            <w:pPr>
              <w:jc w:val="right"/>
              <w:ind w:right="232"/>
              <w:spacing w:after="0"/>
              <w:rPr>
                <w:sz w:val="20"/>
                <w:szCs w:val="20"/>
                <w:color w:val="auto"/>
              </w:rPr>
            </w:pPr>
            <w:r>
              <w:rPr>
                <w:rFonts w:ascii="Arial" w:cs="Arial" w:eastAsia="Arial" w:hAnsi="Arial"/>
                <w:sz w:val="22"/>
                <w:szCs w:val="22"/>
                <w:color w:val="auto"/>
              </w:rPr>
              <w:t>= 1 -</w:t>
            </w:r>
          </w:p>
        </w:tc>
        <w:tc>
          <w:tcPr>
            <w:tcW w:w="540" w:type="dxa"/>
            <w:vAlign w:val="bottom"/>
            <w:vMerge w:val="continue"/>
          </w:tcPr>
          <w:p>
            <w:pPr>
              <w:spacing w:after="0"/>
              <w:rPr>
                <w:sz w:val="3"/>
                <w:szCs w:val="3"/>
                <w:color w:val="auto"/>
              </w:rPr>
            </w:pPr>
          </w:p>
        </w:tc>
        <w:tc>
          <w:tcPr>
            <w:tcW w:w="640" w:type="dxa"/>
            <w:vAlign w:val="bottom"/>
            <w:tcBorders>
              <w:bottom w:val="single" w:sz="8" w:color="auto"/>
            </w:tcBorders>
          </w:tcPr>
          <w:p>
            <w:pPr>
              <w:jc w:val="right"/>
              <w:spacing w:after="0" w:line="35" w:lineRule="exact"/>
              <w:rPr>
                <w:sz w:val="20"/>
                <w:szCs w:val="20"/>
                <w:color w:val="auto"/>
              </w:rPr>
            </w:pPr>
            <w:r>
              <w:rPr>
                <w:rFonts w:ascii="Arial" w:cs="Arial" w:eastAsia="Arial" w:hAnsi="Arial"/>
                <w:sz w:val="4"/>
                <w:szCs w:val="4"/>
                <w:color w:val="auto"/>
              </w:rPr>
              <w:t>- 1</w:t>
            </w:r>
          </w:p>
        </w:tc>
        <w:tc>
          <w:tcPr>
            <w:tcW w:w="300" w:type="dxa"/>
            <w:vAlign w:val="bottom"/>
            <w:tcBorders>
              <w:bottom w:val="single" w:sz="8" w:color="auto"/>
            </w:tcBorders>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158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22"/>
                <w:szCs w:val="22"/>
                <w:color w:val="auto"/>
                <w:w w:val="97"/>
              </w:rPr>
              <w:t>31</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300" w:hanging="644"/>
        <w:spacing w:after="0"/>
        <w:tabs>
          <w:tab w:leader="none" w:pos="1300"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Sample Calculations (for illustrative purposes only)</w:t>
      </w:r>
      <w:r>
        <w:rPr>
          <w:rFonts w:ascii="Arial" w:cs="Arial" w:eastAsia="Arial" w:hAnsi="Arial"/>
          <w:sz w:val="22"/>
          <w:szCs w:val="22"/>
          <w:color w:val="auto"/>
        </w:rPr>
        <w:t>.</w:t>
      </w:r>
    </w:p>
    <w:p>
      <w:pPr>
        <w:spacing w:after="0" w:line="261" w:lineRule="exact"/>
        <w:rPr>
          <w:sz w:val="20"/>
          <w:szCs w:val="20"/>
          <w:color w:val="auto"/>
        </w:rPr>
      </w:pPr>
    </w:p>
    <w:tbl>
      <w:tblPr>
        <w:tblLayout w:type="fixed"/>
        <w:tblInd w:w="1530" w:type="dxa"/>
        <w:tblCellMar>
          <w:top w:w="0" w:type="dxa"/>
          <w:left w:w="0" w:type="dxa"/>
          <w:bottom w:w="0" w:type="dxa"/>
          <w:right w:w="0" w:type="dxa"/>
        </w:tblCellMar>
      </w:tblPr>
      <w:tr>
        <w:trPr>
          <w:trHeight w:val="297"/>
        </w:trPr>
        <w:tc>
          <w:tcPr>
            <w:tcW w:w="20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Illustrative Scenario</w:t>
            </w:r>
          </w:p>
        </w:tc>
        <w:tc>
          <w:tcPr>
            <w:tcW w:w="206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22"/>
                <w:szCs w:val="22"/>
                <w:b w:val="1"/>
                <w:bCs w:val="1"/>
                <w:color w:val="auto"/>
              </w:rPr>
              <w:t>EPS Payout</w:t>
            </w:r>
          </w:p>
        </w:tc>
        <w:tc>
          <w:tcPr>
            <w:tcW w:w="206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22"/>
                <w:szCs w:val="22"/>
                <w:b w:val="1"/>
                <w:bCs w:val="1"/>
                <w:color w:val="auto"/>
              </w:rPr>
              <w:t>TSR Modifier</w:t>
            </w:r>
          </w:p>
        </w:tc>
        <w:tc>
          <w:tcPr>
            <w:tcW w:w="2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Total Payout</w:t>
            </w:r>
          </w:p>
        </w:tc>
      </w:tr>
      <w:tr>
        <w:trPr>
          <w:trHeight w:val="144"/>
        </w:trPr>
        <w:tc>
          <w:tcPr>
            <w:tcW w:w="2060" w:type="dxa"/>
            <w:vAlign w:val="bottom"/>
            <w:tcBorders>
              <w:left w:val="single" w:sz="8" w:color="auto"/>
              <w:bottom w:val="single" w:sz="8" w:color="auto"/>
              <w:right w:val="single" w:sz="8" w:color="auto"/>
            </w:tcBorders>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(EPS Payout * TSR Modifier)</w:t>
            </w:r>
          </w:p>
        </w:tc>
      </w:tr>
      <w:tr>
        <w:trPr>
          <w:trHeight w:val="295"/>
        </w:trPr>
        <w:tc>
          <w:tcPr>
            <w:tcW w:w="2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Maximum</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200%</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125%</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200%</w:t>
            </w:r>
          </w:p>
        </w:tc>
      </w:tr>
      <w:tr>
        <w:trPr>
          <w:trHeight w:val="175"/>
        </w:trPr>
        <w:tc>
          <w:tcPr>
            <w:tcW w:w="2060" w:type="dxa"/>
            <w:vAlign w:val="bottom"/>
            <w:tcBorders>
              <w:left w:val="single" w:sz="8" w:color="auto"/>
              <w:bottom w:val="single" w:sz="8" w:color="auto"/>
              <w:right w:val="single" w:sz="8" w:color="auto"/>
            </w:tcBorders>
          </w:tcPr>
          <w:p>
            <w:pPr>
              <w:spacing w:after="0"/>
              <w:rPr>
                <w:sz w:val="15"/>
                <w:szCs w:val="15"/>
                <w:color w:val="auto"/>
              </w:rPr>
            </w:pPr>
          </w:p>
        </w:tc>
        <w:tc>
          <w:tcPr>
            <w:tcW w:w="2060" w:type="dxa"/>
            <w:vAlign w:val="bottom"/>
            <w:tcBorders>
              <w:bottom w:val="single" w:sz="8" w:color="auto"/>
              <w:right w:val="single" w:sz="8" w:color="auto"/>
            </w:tcBorders>
          </w:tcPr>
          <w:p>
            <w:pPr>
              <w:spacing w:after="0"/>
              <w:rPr>
                <w:sz w:val="15"/>
                <w:szCs w:val="15"/>
                <w:color w:val="auto"/>
              </w:rPr>
            </w:pPr>
          </w:p>
        </w:tc>
        <w:tc>
          <w:tcPr>
            <w:tcW w:w="2060" w:type="dxa"/>
            <w:vAlign w:val="bottom"/>
            <w:tcBorders>
              <w:bottom w:val="single" w:sz="8" w:color="auto"/>
              <w:right w:val="single" w:sz="8" w:color="auto"/>
            </w:tcBorders>
          </w:tcPr>
          <w:p>
            <w:pPr>
              <w:spacing w:after="0"/>
              <w:rPr>
                <w:sz w:val="15"/>
                <w:szCs w:val="15"/>
                <w:color w:val="auto"/>
              </w:rPr>
            </w:pP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(Payout cap of 200%)</w:t>
            </w:r>
          </w:p>
        </w:tc>
      </w:tr>
      <w:tr>
        <w:trPr>
          <w:trHeight w:val="26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Target</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r>
      <w:tr>
        <w:trPr>
          <w:trHeight w:val="26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Threshold</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50%</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75%</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37.5%</w:t>
            </w:r>
          </w:p>
        </w:tc>
      </w:tr>
      <w:tr>
        <w:trPr>
          <w:trHeight w:val="264"/>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6"/>
              </w:rPr>
              <w:t>Minimum</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0%</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75%</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0%</w:t>
            </w:r>
          </w:p>
        </w:tc>
      </w:tr>
    </w:tbl>
    <w:p>
      <w:pPr>
        <w:spacing w:after="0" w:line="200" w:lineRule="exact"/>
        <w:rPr>
          <w:sz w:val="20"/>
          <w:szCs w:val="20"/>
          <w:color w:val="auto"/>
        </w:rPr>
      </w:pPr>
    </w:p>
    <w:p>
      <w:pPr>
        <w:spacing w:after="0" w:line="224" w:lineRule="exact"/>
        <w:rPr>
          <w:sz w:val="20"/>
          <w:szCs w:val="20"/>
          <w:color w:val="auto"/>
        </w:rPr>
      </w:pPr>
    </w:p>
    <w:p>
      <w:pPr>
        <w:ind w:firstLine="656"/>
        <w:spacing w:after="0" w:line="343" w:lineRule="auto"/>
        <w:tabs>
          <w:tab w:leader="none" w:pos="1296"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Limitations on Performance Awards; Adjustments</w:t>
      </w:r>
      <w:r>
        <w:rPr>
          <w:rFonts w:ascii="Arial" w:cs="Arial" w:eastAsia="Arial" w:hAnsi="Arial"/>
          <w:sz w:val="19"/>
          <w:szCs w:val="19"/>
          <w:color w:val="auto"/>
        </w:rPr>
        <w:t>. The maximum number of Performance Awards that may be earned under this Agreement shall not exceed two hundred percent (200%) of the Target Number of Performance Awards.</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Notwithstanding anything to the contrary contained herein, pursuant to Section 9 of the Plan, the Committee shall have the sole discretion to adjust Performance Awards either on a formula or discretionary basis, or any combination thereof, as the Committee determines.</w:t>
      </w:r>
    </w:p>
    <w:p>
      <w:pPr>
        <w:spacing w:after="0" w:line="212" w:lineRule="exact"/>
        <w:rPr>
          <w:sz w:val="20"/>
          <w:szCs w:val="20"/>
          <w:color w:val="auto"/>
        </w:rPr>
      </w:pPr>
    </w:p>
    <w:p>
      <w:pPr>
        <w:jc w:val="both"/>
        <w:ind w:firstLine="656"/>
        <w:spacing w:after="0" w:line="253" w:lineRule="auto"/>
        <w:tabs>
          <w:tab w:leader="none" w:pos="1296"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Comparison Group</w:t>
      </w:r>
      <w:r>
        <w:rPr>
          <w:rFonts w:ascii="Arial" w:cs="Arial" w:eastAsia="Arial" w:hAnsi="Arial"/>
          <w:sz w:val="22"/>
          <w:szCs w:val="22"/>
          <w:color w:val="auto"/>
        </w:rPr>
        <w:t>. For companies that are in the Comparison Group as of the first day of the Company’s 2021 fiscal year but do not remain publicly traded through the last day of the Company’s 2023 fiscal year, such companies will be treated as follows:</w:t>
      </w:r>
    </w:p>
    <w:p>
      <w:pPr>
        <w:spacing w:after="0" w:line="212" w:lineRule="exact"/>
        <w:rPr>
          <w:rFonts w:ascii="Arial" w:cs="Arial" w:eastAsia="Arial" w:hAnsi="Arial"/>
          <w:sz w:val="22"/>
          <w:szCs w:val="22"/>
          <w:color w:val="auto"/>
        </w:rPr>
      </w:pPr>
    </w:p>
    <w:p>
      <w:pPr>
        <w:jc w:val="both"/>
        <w:ind w:left="1300" w:firstLine="4"/>
        <w:spacing w:after="0" w:line="253" w:lineRule="auto"/>
        <w:tabs>
          <w:tab w:leader="none" w:pos="1945" w:val="left"/>
        </w:tabs>
        <w:numPr>
          <w:ilvl w:val="1"/>
          <w:numId w:val="127"/>
        </w:numPr>
        <w:rPr>
          <w:rFonts w:ascii="Arial" w:cs="Arial" w:eastAsia="Arial" w:hAnsi="Arial"/>
          <w:sz w:val="22"/>
          <w:szCs w:val="22"/>
          <w:color w:val="auto"/>
        </w:rPr>
      </w:pPr>
      <w:r>
        <w:rPr>
          <w:rFonts w:ascii="Arial" w:cs="Arial" w:eastAsia="Arial" w:hAnsi="Arial"/>
          <w:sz w:val="22"/>
          <w:szCs w:val="22"/>
          <w:color w:val="auto"/>
        </w:rPr>
        <w:t>Acquisition – For a company that is acquired or has substantially disposed of its assets during the Performance Period, it shall be removed entirely from the Comparison Group and thus not considered for measurement purposes.</w:t>
      </w:r>
    </w:p>
    <w:p>
      <w:pPr>
        <w:spacing w:after="0" w:line="212" w:lineRule="exact"/>
        <w:rPr>
          <w:rFonts w:ascii="Arial" w:cs="Arial" w:eastAsia="Arial" w:hAnsi="Arial"/>
          <w:sz w:val="22"/>
          <w:szCs w:val="22"/>
          <w:color w:val="auto"/>
        </w:rPr>
      </w:pPr>
    </w:p>
    <w:p>
      <w:pPr>
        <w:ind w:left="1940" w:hanging="636"/>
        <w:spacing w:after="0"/>
        <w:tabs>
          <w:tab w:leader="none" w:pos="1940" w:val="left"/>
        </w:tabs>
        <w:numPr>
          <w:ilvl w:val="1"/>
          <w:numId w:val="127"/>
        </w:numPr>
        <w:rPr>
          <w:rFonts w:ascii="Arial" w:cs="Arial" w:eastAsia="Arial" w:hAnsi="Arial"/>
          <w:sz w:val="22"/>
          <w:szCs w:val="22"/>
          <w:color w:val="auto"/>
        </w:rPr>
      </w:pPr>
      <w:r>
        <w:rPr>
          <w:rFonts w:ascii="Arial" w:cs="Arial" w:eastAsia="Arial" w:hAnsi="Arial"/>
          <w:sz w:val="22"/>
          <w:szCs w:val="22"/>
          <w:color w:val="auto"/>
        </w:rPr>
        <w:t>Merger – For a company that is impacted by merger activity during the Performance Period:</w:t>
      </w:r>
    </w:p>
    <w:p>
      <w:pPr>
        <w:spacing w:after="0" w:line="246" w:lineRule="exact"/>
        <w:rPr>
          <w:rFonts w:ascii="Arial" w:cs="Arial" w:eastAsia="Arial" w:hAnsi="Arial"/>
          <w:sz w:val="22"/>
          <w:szCs w:val="22"/>
          <w:color w:val="auto"/>
        </w:rPr>
      </w:pPr>
    </w:p>
    <w:p>
      <w:pPr>
        <w:jc w:val="both"/>
        <w:ind w:left="2600" w:hanging="648"/>
        <w:spacing w:after="0" w:line="253" w:lineRule="auto"/>
        <w:tabs>
          <w:tab w:leader="none" w:pos="2588" w:val="left"/>
        </w:tabs>
        <w:numPr>
          <w:ilvl w:val="2"/>
          <w:numId w:val="127"/>
        </w:numPr>
        <w:rPr>
          <w:rFonts w:ascii="Arial" w:cs="Arial" w:eastAsia="Arial" w:hAnsi="Arial"/>
          <w:sz w:val="22"/>
          <w:szCs w:val="22"/>
          <w:color w:val="auto"/>
        </w:rPr>
      </w:pPr>
      <w:r>
        <w:rPr>
          <w:rFonts w:ascii="Arial" w:cs="Arial" w:eastAsia="Arial" w:hAnsi="Arial"/>
          <w:sz w:val="22"/>
          <w:szCs w:val="22"/>
          <w:color w:val="auto"/>
        </w:rPr>
        <w:t>Such company shall be removed from the Comparison Group (and thus not considered for measurement purposes) if it is not the surviving company following a merger with either a non-Comparison Group company or another Comparison Group company; or</w:t>
      </w:r>
    </w:p>
    <w:p>
      <w:pPr>
        <w:spacing w:after="0" w:line="212" w:lineRule="exact"/>
        <w:rPr>
          <w:rFonts w:ascii="Arial" w:cs="Arial" w:eastAsia="Arial" w:hAnsi="Arial"/>
          <w:sz w:val="22"/>
          <w:szCs w:val="22"/>
          <w:color w:val="auto"/>
        </w:rPr>
      </w:pPr>
    </w:p>
    <w:p>
      <w:pPr>
        <w:ind w:left="2600" w:hanging="648"/>
        <w:spacing w:after="0" w:line="263" w:lineRule="auto"/>
        <w:tabs>
          <w:tab w:leader="none" w:pos="2594" w:val="left"/>
        </w:tabs>
        <w:numPr>
          <w:ilvl w:val="2"/>
          <w:numId w:val="127"/>
        </w:numPr>
        <w:rPr>
          <w:rFonts w:ascii="Arial" w:cs="Arial" w:eastAsia="Arial" w:hAnsi="Arial"/>
          <w:sz w:val="22"/>
          <w:szCs w:val="22"/>
          <w:color w:val="auto"/>
        </w:rPr>
      </w:pPr>
      <w:r>
        <w:rPr>
          <w:rFonts w:ascii="Arial" w:cs="Arial" w:eastAsia="Arial" w:hAnsi="Arial"/>
          <w:sz w:val="22"/>
          <w:szCs w:val="22"/>
          <w:color w:val="auto"/>
        </w:rPr>
        <w:t>Such company shall be included in the Comparison Group if it is the surviving company following a merger with another Comparison Group company.</w:t>
      </w:r>
    </w:p>
    <w:p>
      <w:pPr>
        <w:sectPr>
          <w:pgSz w:w="11900" w:h="16838" w:orient="portrait"/>
          <w:cols w:equalWidth="0" w:num="1">
            <w:col w:w="11240"/>
          </w:cols>
          <w:pgMar w:left="320" w:top="893" w:right="339" w:bottom="1440" w:gutter="0" w:footer="0" w:header="0"/>
        </w:sectPr>
      </w:pPr>
    </w:p>
    <w:bookmarkStart w:id="146" w:name="page147"/>
    <w:bookmarkEnd w:id="146"/>
    <w:p>
      <w:pPr>
        <w:jc w:val="both"/>
        <w:ind w:left="180" w:firstLine="4"/>
        <w:spacing w:after="0" w:line="250" w:lineRule="auto"/>
        <w:tabs>
          <w:tab w:leader="none" w:pos="825" w:val="left"/>
        </w:tabs>
        <w:numPr>
          <w:ilvl w:val="0"/>
          <w:numId w:val="128"/>
        </w:numPr>
        <w:rPr>
          <w:rFonts w:ascii="Arial" w:cs="Arial" w:eastAsia="Arial" w:hAnsi="Arial"/>
          <w:sz w:val="22"/>
          <w:szCs w:val="22"/>
          <w:color w:val="auto"/>
        </w:rPr>
      </w:pPr>
      <w:r>
        <w:rPr>
          <w:rFonts w:ascii="Arial" w:cs="Arial" w:eastAsia="Arial" w:hAnsi="Arial"/>
          <w:sz w:val="22"/>
          <w:szCs w:val="22"/>
          <w:color w:val="auto"/>
        </w:rPr>
        <w:t>Spin-Off – For a company that is spun-off during the Performance Period, such company shall be removed from the Comparison Group (and thus not considered for measurement purposes); however, the parent company of such spin-off shall be included for measurement purposes if such parent company remains at least 50% of its pre-spin-off size as measured by revenues.</w:t>
      </w:r>
    </w:p>
    <w:p>
      <w:pPr>
        <w:spacing w:after="0" w:line="214" w:lineRule="exact"/>
        <w:rPr>
          <w:rFonts w:ascii="Arial" w:cs="Arial" w:eastAsia="Arial" w:hAnsi="Arial"/>
          <w:sz w:val="22"/>
          <w:szCs w:val="22"/>
          <w:color w:val="auto"/>
        </w:rPr>
      </w:pPr>
    </w:p>
    <w:p>
      <w:pPr>
        <w:ind w:left="820" w:hanging="636"/>
        <w:spacing w:after="0"/>
        <w:tabs>
          <w:tab w:leader="none" w:pos="82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In the event any company in the Comparison Group: (i) files for bankruptcy, reorganization, or liquidation;</w:t>
      </w:r>
    </w:p>
    <w:p>
      <w:pPr>
        <w:spacing w:after="0" w:line="55" w:lineRule="exact"/>
        <w:rPr>
          <w:rFonts w:ascii="Arial" w:cs="Arial" w:eastAsia="Arial" w:hAnsi="Arial"/>
          <w:sz w:val="19"/>
          <w:szCs w:val="19"/>
          <w:color w:val="auto"/>
        </w:rPr>
      </w:pPr>
    </w:p>
    <w:p>
      <w:pPr>
        <w:jc w:val="both"/>
        <w:ind w:left="180" w:firstLine="4"/>
        <w:spacing w:after="0" w:line="244" w:lineRule="auto"/>
        <w:tabs>
          <w:tab w:leader="none" w:pos="506" w:val="left"/>
        </w:tabs>
        <w:numPr>
          <w:ilvl w:val="0"/>
          <w:numId w:val="129"/>
        </w:numPr>
        <w:rPr>
          <w:rFonts w:ascii="Arial" w:cs="Arial" w:eastAsia="Arial" w:hAnsi="Arial"/>
          <w:sz w:val="22"/>
          <w:szCs w:val="22"/>
          <w:color w:val="auto"/>
        </w:rPr>
      </w:pPr>
      <w:r>
        <w:rPr>
          <w:rFonts w:ascii="Arial" w:cs="Arial" w:eastAsia="Arial" w:hAnsi="Arial"/>
          <w:sz w:val="22"/>
          <w:szCs w:val="22"/>
          <w:color w:val="auto"/>
        </w:rPr>
        <w:t>is the subject of an involuntary bankruptcy proceeding that is not dismissed within 30 days; (iii) is the subject of a stockholder approved plan of liquidation or dissolution; or (iv) ceases to conduct substantial business operations, such company shall be placed at the bottom of the Comparison Group with a negative TSR of negative one hundred percent (-100%).</w:t>
      </w:r>
    </w:p>
    <w:p>
      <w:pPr>
        <w:sectPr>
          <w:pgSz w:w="11900" w:h="16838" w:orient="portrait"/>
          <w:cols w:equalWidth="0" w:num="1">
            <w:col w:w="10120"/>
          </w:cols>
          <w:pgMar w:left="1440" w:top="1144" w:right="339" w:bottom="1440" w:gutter="0" w:footer="0" w:header="0"/>
        </w:sectPr>
      </w:pPr>
    </w:p>
    <w:bookmarkStart w:id="147" w:name="page148"/>
    <w:bookmarkEnd w:id="147"/>
    <w:tbl>
      <w:tblPr>
        <w:tblLayout w:type="fixed"/>
        <w:tblInd w:w="1810" w:type="dxa"/>
        <w:tblCellMar>
          <w:top w:w="0" w:type="dxa"/>
          <w:left w:w="0" w:type="dxa"/>
          <w:bottom w:w="0" w:type="dxa"/>
          <w:right w:w="0" w:type="dxa"/>
        </w:tblCellMar>
      </w:tblPr>
      <w:tr>
        <w:trPr>
          <w:trHeight w:val="257"/>
        </w:trPr>
        <w:tc>
          <w:tcPr>
            <w:tcW w:w="1060" w:type="dxa"/>
            <w:vAlign w:val="bottom"/>
          </w:tcPr>
          <w:p>
            <w:pPr>
              <w:spacing w:after="0"/>
              <w:rPr>
                <w:sz w:val="22"/>
                <w:szCs w:val="22"/>
                <w:color w:val="auto"/>
              </w:rPr>
            </w:pPr>
          </w:p>
        </w:tc>
        <w:tc>
          <w:tcPr>
            <w:tcW w:w="4400" w:type="dxa"/>
            <w:vAlign w:val="bottom"/>
          </w:tcPr>
          <w:p>
            <w:pPr>
              <w:ind w:left="1120"/>
              <w:spacing w:after="0"/>
              <w:rPr>
                <w:sz w:val="20"/>
                <w:szCs w:val="20"/>
                <w:color w:val="auto"/>
              </w:rPr>
            </w:pPr>
            <w:r>
              <w:rPr>
                <w:rFonts w:ascii="Arial" w:cs="Arial" w:eastAsia="Arial" w:hAnsi="Arial"/>
                <w:sz w:val="22"/>
                <w:szCs w:val="22"/>
                <w:b w:val="1"/>
                <w:bCs w:val="1"/>
                <w:color w:val="auto"/>
              </w:rPr>
              <w:t>Appendix 1</w:t>
            </w:r>
          </w:p>
        </w:tc>
      </w:tr>
      <w:tr>
        <w:trPr>
          <w:trHeight w:val="280"/>
        </w:trPr>
        <w:tc>
          <w:tcPr>
            <w:tcW w:w="1060" w:type="dxa"/>
            <w:vAlign w:val="bottom"/>
          </w:tcPr>
          <w:p>
            <w:pPr>
              <w:spacing w:after="0"/>
              <w:rPr>
                <w:sz w:val="24"/>
                <w:szCs w:val="24"/>
                <w:color w:val="auto"/>
              </w:rPr>
            </w:pPr>
          </w:p>
        </w:tc>
        <w:tc>
          <w:tcPr>
            <w:tcW w:w="4400" w:type="dxa"/>
            <w:vAlign w:val="bottom"/>
          </w:tcPr>
          <w:p>
            <w:pPr>
              <w:ind w:left="740"/>
              <w:spacing w:after="0"/>
              <w:rPr>
                <w:sz w:val="20"/>
                <w:szCs w:val="20"/>
                <w:color w:val="auto"/>
              </w:rPr>
            </w:pPr>
            <w:r>
              <w:rPr>
                <w:rFonts w:ascii="Arial" w:cs="Arial" w:eastAsia="Arial" w:hAnsi="Arial"/>
                <w:sz w:val="22"/>
                <w:szCs w:val="22"/>
                <w:b w:val="1"/>
                <w:bCs w:val="1"/>
                <w:color w:val="auto"/>
              </w:rPr>
              <w:t>Comparison Group</w:t>
            </w:r>
          </w:p>
        </w:tc>
      </w:tr>
      <w:tr>
        <w:trPr>
          <w:trHeight w:val="260"/>
        </w:trPr>
        <w:tc>
          <w:tcPr>
            <w:tcW w:w="1060" w:type="dxa"/>
            <w:vAlign w:val="bottom"/>
          </w:tcPr>
          <w:p>
            <w:pPr>
              <w:spacing w:after="0"/>
              <w:rPr>
                <w:sz w:val="22"/>
                <w:szCs w:val="22"/>
                <w:color w:val="auto"/>
              </w:rPr>
            </w:pPr>
          </w:p>
        </w:tc>
        <w:tc>
          <w:tcPr>
            <w:tcW w:w="4400" w:type="dxa"/>
            <w:vAlign w:val="bottom"/>
          </w:tcPr>
          <w:p>
            <w:pPr>
              <w:spacing w:after="0"/>
              <w:rPr>
                <w:sz w:val="22"/>
                <w:szCs w:val="22"/>
                <w:color w:val="auto"/>
              </w:rPr>
            </w:pPr>
          </w:p>
        </w:tc>
      </w:tr>
      <w:tr>
        <w:trPr>
          <w:trHeight w:val="291"/>
        </w:trPr>
        <w:tc>
          <w:tcPr>
            <w:tcW w:w="1060" w:type="dxa"/>
            <w:vAlign w:val="bottom"/>
            <w:tcBorders>
              <w:left w:val="single" w:sz="8" w:color="44546A"/>
              <w:bottom w:val="single" w:sz="8" w:color="44546A"/>
              <w:right w:val="single" w:sz="8" w:color="BFBFBF"/>
            </w:tcBorders>
            <w:shd w:val="clear" w:color="auto" w:fill="44546A"/>
          </w:tcPr>
          <w:p>
            <w:pPr>
              <w:jc w:val="center"/>
              <w:spacing w:after="0"/>
              <w:rPr>
                <w:sz w:val="20"/>
                <w:szCs w:val="20"/>
                <w:color w:val="auto"/>
              </w:rPr>
            </w:pPr>
            <w:r>
              <w:rPr>
                <w:rFonts w:ascii="Arial" w:cs="Arial" w:eastAsia="Arial" w:hAnsi="Arial"/>
                <w:sz w:val="20"/>
                <w:szCs w:val="20"/>
                <w:b w:val="1"/>
                <w:bCs w:val="1"/>
                <w:color w:val="FFFFFF"/>
                <w:w w:val="98"/>
              </w:rPr>
              <w:t>Ticker</w:t>
            </w:r>
          </w:p>
        </w:tc>
        <w:tc>
          <w:tcPr>
            <w:tcW w:w="4400" w:type="dxa"/>
            <w:vAlign w:val="bottom"/>
            <w:tcBorders>
              <w:bottom w:val="single" w:sz="8" w:color="44546A"/>
              <w:right w:val="single" w:sz="8" w:color="BFBFBF"/>
            </w:tcBorders>
            <w:shd w:val="clear" w:color="auto" w:fill="44546A"/>
          </w:tcPr>
          <w:p>
            <w:pPr>
              <w:ind w:left="220"/>
              <w:spacing w:after="0"/>
              <w:rPr>
                <w:sz w:val="20"/>
                <w:szCs w:val="20"/>
                <w:color w:val="auto"/>
              </w:rPr>
            </w:pPr>
            <w:r>
              <w:rPr>
                <w:rFonts w:ascii="Arial" w:cs="Arial" w:eastAsia="Arial" w:hAnsi="Arial"/>
                <w:sz w:val="20"/>
                <w:szCs w:val="20"/>
                <w:b w:val="1"/>
                <w:bCs w:val="1"/>
                <w:color w:val="FFFFFF"/>
              </w:rPr>
              <w:t>Company</w:t>
            </w:r>
          </w:p>
        </w:tc>
      </w:tr>
      <w:tr>
        <w:trPr>
          <w:trHeight w:val="261"/>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rPr>
              <w:t>BJRI</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BJ's Restaurants, Inc.</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w w:val="92"/>
              </w:rPr>
              <w:t>EAT</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Brinker International, Inc.</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w w:val="98"/>
              </w:rPr>
              <w:t>CMG</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Chipotle Mexican Grill, Inc.</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w w:val="98"/>
              </w:rPr>
              <w:t>CHUY</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Chuy's Holdings, Inc.</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w w:val="97"/>
              </w:rPr>
              <w:t>CBRL</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Cracker Barrel Old Country Store, Inc.</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w w:val="98"/>
              </w:rPr>
              <w:t>DRI</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Darden Restaurants, Inc.</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w w:val="93"/>
              </w:rPr>
              <w:t>PLAY</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Dave &amp; Buster's Entertainment, Inc.</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w w:val="98"/>
              </w:rPr>
              <w:t>DIN</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Dine Brands Global, Inc.</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w w:val="99"/>
              </w:rPr>
              <w:t>DPZ</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Domino's Pizza, Inc.</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w w:val="98"/>
              </w:rPr>
              <w:t>LOCO</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El Pollo Loco Holdings, Inc.</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rPr>
              <w:t>FRGI</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Fiesta Restaurant Group, Inc.</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w w:val="97"/>
              </w:rPr>
              <w:t>JACK</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Jack in the Box Inc.</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w w:val="96"/>
              </w:rPr>
              <w:t>MCD</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McDonald's Corporation</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w w:val="97"/>
              </w:rPr>
              <w:t>PZZA</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Papa John's International, Inc.</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w w:val="96"/>
              </w:rPr>
              <w:t>RRGB</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Red Robin Gourmet Burgers, Inc.</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rPr>
              <w:t>RUTH</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Ruth's Hospitality Group, Inc.</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w w:val="99"/>
              </w:rPr>
              <w:t>SHAK</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Shake Shack Inc.</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w w:val="99"/>
              </w:rPr>
              <w:t>SBUX</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Starbucks Corporation</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w w:val="99"/>
              </w:rPr>
              <w:t>TXRH</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Texas Roadhouse, Inc.</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w w:val="99"/>
              </w:rPr>
              <w:t>CAKE</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The Cheesecake Factory Incorporated</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w w:val="98"/>
              </w:rPr>
              <w:t>WEN</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The Wendy's Company</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w w:val="99"/>
              </w:rPr>
              <w:t>WING</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Wingstop Inc.</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r>
        <w:trPr>
          <w:trHeight w:val="254"/>
        </w:trPr>
        <w:tc>
          <w:tcPr>
            <w:tcW w:w="10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w w:val="98"/>
              </w:rPr>
              <w:t>YUM</w:t>
            </w:r>
          </w:p>
        </w:tc>
        <w:tc>
          <w:tcPr>
            <w:tcW w:w="4400" w:type="dxa"/>
            <w:vAlign w:val="bottom"/>
            <w:tcBorders>
              <w:right w:val="single" w:sz="8" w:color="BFBFBF"/>
            </w:tcBorders>
          </w:tcPr>
          <w:p>
            <w:pPr>
              <w:ind w:left="200"/>
              <w:spacing w:after="0"/>
              <w:rPr>
                <w:sz w:val="20"/>
                <w:szCs w:val="20"/>
                <w:color w:val="auto"/>
              </w:rPr>
            </w:pPr>
            <w:r>
              <w:rPr>
                <w:rFonts w:ascii="Arial" w:cs="Arial" w:eastAsia="Arial" w:hAnsi="Arial"/>
                <w:sz w:val="20"/>
                <w:szCs w:val="20"/>
                <w:color w:val="auto"/>
              </w:rPr>
              <w:t>Yum! Brands, Inc.</w:t>
            </w:r>
          </w:p>
        </w:tc>
      </w:tr>
      <w:tr>
        <w:trPr>
          <w:trHeight w:val="23"/>
        </w:trPr>
        <w:tc>
          <w:tcPr>
            <w:tcW w:w="1060" w:type="dxa"/>
            <w:vAlign w:val="bottom"/>
            <w:tcBorders>
              <w:left w:val="single" w:sz="8" w:color="BFBFBF"/>
              <w:bottom w:val="single" w:sz="8" w:color="BFBFBF"/>
              <w:right w:val="single" w:sz="8" w:color="BFBFBF"/>
            </w:tcBorders>
          </w:tcPr>
          <w:p>
            <w:pPr>
              <w:spacing w:after="0"/>
              <w:rPr>
                <w:sz w:val="2"/>
                <w:szCs w:val="2"/>
                <w:color w:val="auto"/>
              </w:rPr>
            </w:pPr>
          </w:p>
        </w:tc>
        <w:tc>
          <w:tcPr>
            <w:tcW w:w="4400" w:type="dxa"/>
            <w:vAlign w:val="bottom"/>
            <w:tcBorders>
              <w:bottom w:val="single" w:sz="8" w:color="BFBFBF"/>
              <w:right w:val="single" w:sz="8" w:color="BFBFBF"/>
            </w:tcBorders>
          </w:tcPr>
          <w:p>
            <w:pPr>
              <w:spacing w:after="0"/>
              <w:rPr>
                <w:sz w:val="2"/>
                <w:szCs w:val="2"/>
                <w:color w:val="auto"/>
              </w:rPr>
            </w:pPr>
          </w:p>
        </w:tc>
      </w:tr>
    </w:tbl>
    <w:p>
      <w:pPr>
        <w:sectPr>
          <w:pgSz w:w="11900" w:h="16838" w:orient="portrait"/>
          <w:cols w:equalWidth="0" w:num="1">
            <w:col w:w="9019"/>
          </w:cols>
          <w:pgMar w:left="1440" w:top="895" w:right="1440"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10.50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 Bloomin’ Brands, Inc. 2020 Omnibus Incentive Compensation Plan</w:t>
      </w:r>
    </w:p>
    <w:p>
      <w:pPr>
        <w:spacing w:after="0" w:line="200" w:lineRule="exact"/>
        <w:rPr>
          <w:sz w:val="20"/>
          <w:szCs w:val="20"/>
          <w:color w:val="auto"/>
        </w:rPr>
      </w:pPr>
    </w:p>
    <w:p>
      <w:pPr>
        <w:spacing w:after="0" w:line="272" w:lineRule="exact"/>
        <w:rPr>
          <w:sz w:val="20"/>
          <w:szCs w:val="20"/>
          <w:color w:val="auto"/>
        </w:rPr>
      </w:pPr>
    </w:p>
    <w:p>
      <w:pPr>
        <w:jc w:val="both"/>
        <w:ind w:firstLine="193"/>
        <w:spacing w:after="0" w:line="261" w:lineRule="auto"/>
        <w:rPr>
          <w:sz w:val="20"/>
          <w:szCs w:val="20"/>
          <w:color w:val="auto"/>
        </w:rPr>
      </w:pPr>
      <w:r>
        <w:rPr>
          <w:rFonts w:ascii="Arial" w:cs="Arial" w:eastAsia="Arial" w:hAnsi="Arial"/>
          <w:sz w:val="21"/>
          <w:szCs w:val="21"/>
          <w:color w:val="auto"/>
        </w:rPr>
        <w:t>Bloomin’ Brands, Inc. (the “</w:t>
      </w:r>
      <w:r>
        <w:rPr>
          <w:rFonts w:ascii="Arial" w:cs="Arial" w:eastAsia="Arial" w:hAnsi="Arial"/>
          <w:sz w:val="21"/>
          <w:szCs w:val="21"/>
          <w:u w:val="single" w:color="auto"/>
          <w:color w:val="auto"/>
        </w:rPr>
        <w:t>Company</w:t>
      </w:r>
      <w:r>
        <w:rPr>
          <w:rFonts w:ascii="Arial" w:cs="Arial" w:eastAsia="Arial" w:hAnsi="Arial"/>
          <w:sz w:val="21"/>
          <w:szCs w:val="21"/>
          <w:color w:val="auto"/>
        </w:rPr>
        <w:t>”) hereby issues to the Participant an award (the “</w:t>
      </w:r>
      <w:r>
        <w:rPr>
          <w:rFonts w:ascii="Arial" w:cs="Arial" w:eastAsia="Arial" w:hAnsi="Arial"/>
          <w:sz w:val="21"/>
          <w:szCs w:val="21"/>
          <w:u w:val="single" w:color="auto"/>
          <w:color w:val="auto"/>
        </w:rPr>
        <w:t>Award</w:t>
      </w:r>
      <w:r>
        <w:rPr>
          <w:rFonts w:ascii="Arial" w:cs="Arial" w:eastAsia="Arial" w:hAnsi="Arial"/>
          <w:sz w:val="21"/>
          <w:szCs w:val="21"/>
          <w:color w:val="auto"/>
        </w:rPr>
        <w:t>”) of Restricted Stock Units (the “</w:t>
      </w:r>
      <w:r>
        <w:rPr>
          <w:rFonts w:ascii="Arial" w:cs="Arial" w:eastAsia="Arial" w:hAnsi="Arial"/>
          <w:sz w:val="21"/>
          <w:szCs w:val="21"/>
          <w:u w:val="single" w:color="auto"/>
          <w:color w:val="auto"/>
        </w:rPr>
        <w:t>RSUs</w:t>
      </w:r>
      <w:r>
        <w:rPr>
          <w:rFonts w:ascii="Arial" w:cs="Arial" w:eastAsia="Arial" w:hAnsi="Arial"/>
          <w:sz w:val="21"/>
          <w:szCs w:val="21"/>
          <w:color w:val="auto"/>
        </w:rPr>
        <w:t>”). Each RSU represents an unfunded, unsecured promise of the Company to deliver to the Participant one Share, subject to the vesting and other restrictions, terms and conditions set forth in the Bloomin’ Brands, Inc. 2020 Omnibus Incentive Compensation Plan (the “</w:t>
      </w:r>
      <w:r>
        <w:rPr>
          <w:rFonts w:ascii="Arial" w:cs="Arial" w:eastAsia="Arial" w:hAnsi="Arial"/>
          <w:sz w:val="21"/>
          <w:szCs w:val="21"/>
          <w:u w:val="single" w:color="auto"/>
          <w:color w:val="auto"/>
        </w:rPr>
        <w:t>Plan</w:t>
      </w:r>
      <w:r>
        <w:rPr>
          <w:rFonts w:ascii="Arial" w:cs="Arial" w:eastAsia="Arial" w:hAnsi="Arial"/>
          <w:sz w:val="21"/>
          <w:szCs w:val="21"/>
          <w:color w:val="auto"/>
        </w:rPr>
        <w:t xml:space="preserve">”) and those set forth in this Agreement, including the Terms and Conditions of RSU Award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(collectively, the “</w:t>
      </w:r>
      <w:r>
        <w:rPr>
          <w:rFonts w:ascii="Arial" w:cs="Arial" w:eastAsia="Arial" w:hAnsi="Arial"/>
          <w:sz w:val="21"/>
          <w:szCs w:val="21"/>
          <w:u w:val="single" w:color="auto"/>
          <w:color w:val="auto"/>
        </w:rPr>
        <w:t>Agreement</w:t>
      </w:r>
      <w:r>
        <w:rPr>
          <w:rFonts w:ascii="Arial" w:cs="Arial" w:eastAsia="Arial" w:hAnsi="Arial"/>
          <w:sz w:val="21"/>
          <w:szCs w:val="21"/>
          <w:color w:val="auto"/>
        </w:rPr>
        <w:t>”). Any capitalized terms used in this Agreement and not defined herein shall have the meanings ascribed to such terms in the Plan.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Award of RSUs:</w:t>
      </w: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3300" w:type="dxa"/>
            <w:vAlign w:val="bottom"/>
            <w:gridSpan w:val="4"/>
          </w:tcPr>
          <w:p>
            <w:pPr>
              <w:spacing w:after="0"/>
              <w:rPr>
                <w:sz w:val="20"/>
                <w:szCs w:val="20"/>
                <w:color w:val="auto"/>
              </w:rPr>
            </w:pPr>
            <w:r>
              <w:rPr>
                <w:rFonts w:ascii="Arial" w:cs="Arial" w:eastAsia="Arial" w:hAnsi="Arial"/>
                <w:sz w:val="22"/>
                <w:szCs w:val="22"/>
                <w:color w:val="auto"/>
              </w:rPr>
              <w:t>Name/Participant:</w:t>
            </w:r>
          </w:p>
        </w:tc>
        <w:tc>
          <w:tcPr>
            <w:tcW w:w="3300" w:type="dxa"/>
            <w:vAlign w:val="bottom"/>
          </w:tcPr>
          <w:p>
            <w:pPr>
              <w:ind w:left="1440"/>
              <w:spacing w:after="0"/>
              <w:rPr>
                <w:sz w:val="20"/>
                <w:szCs w:val="20"/>
                <w:color w:val="auto"/>
              </w:rPr>
            </w:pPr>
            <w:r>
              <w:rPr>
                <w:rFonts w:ascii="Arial" w:cs="Arial" w:eastAsia="Arial" w:hAnsi="Arial"/>
                <w:sz w:val="22"/>
                <w:szCs w:val="22"/>
                <w:color w:val="auto"/>
              </w:rPr>
              <w:t>&lt;name&gt;</w:t>
            </w:r>
          </w:p>
        </w:tc>
      </w:tr>
      <w:tr>
        <w:trPr>
          <w:trHeight w:val="250"/>
        </w:trPr>
        <w:tc>
          <w:tcPr>
            <w:tcW w:w="1520" w:type="dxa"/>
            <w:vAlign w:val="bottom"/>
            <w:tcBorders>
              <w:top w:val="single" w:sz="8" w:color="auto"/>
            </w:tcBorders>
            <w:gridSpan w:val="2"/>
          </w:tcPr>
          <w:p>
            <w:pPr>
              <w:spacing w:after="0" w:line="250" w:lineRule="exact"/>
              <w:rPr>
                <w:sz w:val="20"/>
                <w:szCs w:val="20"/>
                <w:color w:val="auto"/>
              </w:rPr>
            </w:pPr>
            <w:r>
              <w:rPr>
                <w:rFonts w:ascii="Arial" w:cs="Arial" w:eastAsia="Arial" w:hAnsi="Arial"/>
                <w:sz w:val="22"/>
                <w:szCs w:val="22"/>
                <w:color w:val="auto"/>
              </w:rPr>
              <w:t>Type of Grant:</w:t>
            </w:r>
          </w:p>
        </w:tc>
        <w:tc>
          <w:tcPr>
            <w:tcW w:w="1780" w:type="dxa"/>
            <w:vAlign w:val="bottom"/>
            <w:gridSpan w:val="2"/>
          </w:tcPr>
          <w:p>
            <w:pPr>
              <w:spacing w:after="0"/>
              <w:rPr>
                <w:sz w:val="21"/>
                <w:szCs w:val="21"/>
                <w:color w:val="auto"/>
              </w:rPr>
            </w:pPr>
          </w:p>
        </w:tc>
        <w:tc>
          <w:tcPr>
            <w:tcW w:w="3300" w:type="dxa"/>
            <w:vAlign w:val="bottom"/>
          </w:tcPr>
          <w:p>
            <w:pPr>
              <w:ind w:left="1440"/>
              <w:spacing w:after="0" w:line="250" w:lineRule="exact"/>
              <w:rPr>
                <w:sz w:val="20"/>
                <w:szCs w:val="20"/>
                <w:color w:val="auto"/>
              </w:rPr>
            </w:pPr>
            <w:r>
              <w:rPr>
                <w:rFonts w:ascii="Arial" w:cs="Arial" w:eastAsia="Arial" w:hAnsi="Arial"/>
                <w:sz w:val="22"/>
                <w:szCs w:val="22"/>
                <w:color w:val="auto"/>
                <w:w w:val="89"/>
              </w:rPr>
              <w:t>Restricted Stock Unit</w:t>
            </w:r>
          </w:p>
        </w:tc>
      </w:tr>
      <w:tr>
        <w:trPr>
          <w:trHeight w:val="20"/>
        </w:trPr>
        <w:tc>
          <w:tcPr>
            <w:tcW w:w="120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250"/>
        </w:trPr>
        <w:tc>
          <w:tcPr>
            <w:tcW w:w="3300" w:type="dxa"/>
            <w:vAlign w:val="bottom"/>
            <w:gridSpan w:val="4"/>
          </w:tcPr>
          <w:p>
            <w:pPr>
              <w:spacing w:after="0" w:line="250" w:lineRule="exact"/>
              <w:rPr>
                <w:sz w:val="20"/>
                <w:szCs w:val="20"/>
                <w:color w:val="auto"/>
              </w:rPr>
            </w:pPr>
            <w:r>
              <w:rPr>
                <w:rFonts w:ascii="Arial" w:cs="Arial" w:eastAsia="Arial" w:hAnsi="Arial"/>
                <w:sz w:val="22"/>
                <w:szCs w:val="22"/>
                <w:color w:val="auto"/>
              </w:rPr>
              <w:t>Date of Grant:</w:t>
            </w:r>
          </w:p>
        </w:tc>
        <w:tc>
          <w:tcPr>
            <w:tcW w:w="3300" w:type="dxa"/>
            <w:vAlign w:val="bottom"/>
          </w:tcPr>
          <w:p>
            <w:pPr>
              <w:ind w:left="1440"/>
              <w:spacing w:after="0" w:line="250" w:lineRule="exact"/>
              <w:rPr>
                <w:sz w:val="20"/>
                <w:szCs w:val="20"/>
                <w:color w:val="auto"/>
              </w:rPr>
            </w:pPr>
            <w:r>
              <w:rPr>
                <w:rFonts w:ascii="Arial" w:cs="Arial" w:eastAsia="Arial" w:hAnsi="Arial"/>
                <w:sz w:val="22"/>
                <w:szCs w:val="22"/>
                <w:color w:val="auto"/>
              </w:rPr>
              <w:t>&lt;date&gt;</w:t>
            </w:r>
          </w:p>
        </w:tc>
      </w:tr>
      <w:tr>
        <w:trPr>
          <w:trHeight w:val="20"/>
        </w:trPr>
        <w:tc>
          <w:tcPr>
            <w:tcW w:w="120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250"/>
        </w:trPr>
        <w:tc>
          <w:tcPr>
            <w:tcW w:w="3300" w:type="dxa"/>
            <w:vAlign w:val="bottom"/>
            <w:gridSpan w:val="4"/>
          </w:tcPr>
          <w:p>
            <w:pPr>
              <w:spacing w:after="0" w:line="250" w:lineRule="exact"/>
              <w:rPr>
                <w:sz w:val="20"/>
                <w:szCs w:val="20"/>
                <w:color w:val="auto"/>
              </w:rPr>
            </w:pPr>
            <w:r>
              <w:rPr>
                <w:rFonts w:ascii="Arial" w:cs="Arial" w:eastAsia="Arial" w:hAnsi="Arial"/>
                <w:sz w:val="22"/>
                <w:szCs w:val="22"/>
                <w:color w:val="auto"/>
              </w:rPr>
              <w:t>Total Shares Granted:</w:t>
            </w:r>
          </w:p>
        </w:tc>
        <w:tc>
          <w:tcPr>
            <w:tcW w:w="3300" w:type="dxa"/>
            <w:vAlign w:val="bottom"/>
          </w:tcPr>
          <w:p>
            <w:pPr>
              <w:ind w:left="1440"/>
              <w:spacing w:after="0" w:line="250" w:lineRule="exact"/>
              <w:rPr>
                <w:sz w:val="20"/>
                <w:szCs w:val="20"/>
                <w:color w:val="auto"/>
              </w:rPr>
            </w:pPr>
            <w:r>
              <w:rPr>
                <w:rFonts w:ascii="Arial" w:cs="Arial" w:eastAsia="Arial" w:hAnsi="Arial"/>
                <w:sz w:val="22"/>
                <w:szCs w:val="22"/>
                <w:color w:val="auto"/>
              </w:rPr>
              <w:t>&lt;shares&gt;</w:t>
            </w:r>
          </w:p>
        </w:tc>
      </w:tr>
      <w:tr>
        <w:trPr>
          <w:trHeight w:val="20"/>
        </w:trPr>
        <w:tc>
          <w:tcPr>
            <w:tcW w:w="120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bl>
    <w:p>
      <w:pPr>
        <w:spacing w:after="0" w:line="37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The Participant, by accepting this award online on </w:t>
      </w:r>
      <w:r>
        <w:rPr>
          <w:rFonts w:ascii="Arial" w:cs="Arial" w:eastAsia="Arial" w:hAnsi="Arial"/>
          <w:sz w:val="22"/>
          <w:szCs w:val="22"/>
          <w:u w:val="single" w:color="auto"/>
          <w:color w:val="0000FF"/>
        </w:rPr>
        <w:t>www.netbenefits.com</w:t>
      </w:r>
      <w:r>
        <w:rPr>
          <w:rFonts w:ascii="Arial" w:cs="Arial" w:eastAsia="Arial" w:hAnsi="Arial"/>
          <w:sz w:val="22"/>
          <w:szCs w:val="22"/>
          <w:color w:val="auto"/>
        </w:rPr>
        <w:t xml:space="preserve">, acknowledges and agrees that the RSUs are granted under and governed by the terms, and subject to the conditions, of this Agreement, including the Terms and Conditions of RSU Award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and the Plan.</w:t>
      </w:r>
    </w:p>
    <w:p>
      <w:pPr>
        <w:sectPr>
          <w:pgSz w:w="11900" w:h="16838" w:orient="portrait"/>
          <w:cols w:equalWidth="0" w:num="1">
            <w:col w:w="11240"/>
          </w:cols>
          <w:pgMar w:left="320" w:top="121" w:right="339" w:bottom="1440" w:gutter="0" w:footer="0" w:header="0"/>
        </w:sectPr>
      </w:pPr>
    </w:p>
    <w:bookmarkStart w:id="149" w:name="page150"/>
    <w:bookmarkEnd w:id="149"/>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Terms and Conditions of RSU Award</w:t>
      </w:r>
    </w:p>
    <w:p>
      <w:pPr>
        <w:spacing w:after="0" w:line="226" w:lineRule="exact"/>
        <w:rPr>
          <w:sz w:val="20"/>
          <w:szCs w:val="20"/>
          <w:color w:val="auto"/>
        </w:rPr>
      </w:pPr>
    </w:p>
    <w:p>
      <w:pPr>
        <w:ind w:right="60" w:firstLine="656"/>
        <w:spacing w:after="0" w:line="261" w:lineRule="auto"/>
        <w:tabs>
          <w:tab w:leader="none" w:pos="1296" w:val="left"/>
        </w:tabs>
        <w:numPr>
          <w:ilvl w:val="0"/>
          <w:numId w:val="130"/>
        </w:numPr>
        <w:rPr>
          <w:rFonts w:ascii="Arial" w:cs="Arial" w:eastAsia="Arial" w:hAnsi="Arial"/>
          <w:sz w:val="21"/>
          <w:szCs w:val="21"/>
          <w:color w:val="auto"/>
        </w:rPr>
      </w:pPr>
      <w:r>
        <w:rPr>
          <w:rFonts w:ascii="Arial" w:cs="Arial" w:eastAsia="Arial" w:hAnsi="Arial"/>
          <w:sz w:val="21"/>
          <w:szCs w:val="21"/>
          <w:u w:val="single" w:color="auto"/>
          <w:color w:val="auto"/>
        </w:rPr>
        <w:t>Condition to the Participant’s Rights Under this Agreement</w:t>
      </w:r>
      <w:r>
        <w:rPr>
          <w:rFonts w:ascii="Arial" w:cs="Arial" w:eastAsia="Arial" w:hAnsi="Arial"/>
          <w:sz w:val="21"/>
          <w:szCs w:val="21"/>
          <w:color w:val="auto"/>
        </w:rPr>
        <w:t>. This Agreement shall not become effective, and the Participant shall have no rights with respect to the Award or the RSUs, unless and until the Participant has fully executed this Agreement by accepting the Award online as described above. Notwithstanding the foregoing, if the Participant does not otherwise reject this Award in a writing to the Compensation department within 90 days of the Date of Grant or such other manner as the Company may specify from time to time in its sole discretion, the Participant shall be deemed to have accepted the Award, and the terms and conditions hereof, as of the Date of Grant.</w:t>
      </w:r>
    </w:p>
    <w:p>
      <w:pPr>
        <w:spacing w:after="0" w:line="206" w:lineRule="exact"/>
        <w:rPr>
          <w:rFonts w:ascii="Arial" w:cs="Arial" w:eastAsia="Arial" w:hAnsi="Arial"/>
          <w:sz w:val="21"/>
          <w:szCs w:val="21"/>
          <w:color w:val="auto"/>
        </w:rPr>
      </w:pPr>
    </w:p>
    <w:p>
      <w:pPr>
        <w:ind w:right="40" w:firstLine="656"/>
        <w:spacing w:after="0" w:line="312" w:lineRule="auto"/>
        <w:tabs>
          <w:tab w:leader="none" w:pos="1296"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Vesting</w:t>
      </w:r>
      <w:r>
        <w:rPr>
          <w:rFonts w:ascii="Arial" w:cs="Arial" w:eastAsia="Arial" w:hAnsi="Arial"/>
          <w:sz w:val="19"/>
          <w:szCs w:val="19"/>
          <w:color w:val="auto"/>
        </w:rPr>
        <w:t>. Subject in each case to the Participant’s Continuous Service on each applicable vesting date, the RSUs awarded under this Agreement shall vest in accordance with the schedule set forth below unless, prior to any vesting date set forth, the applicable RSUs are forfeited or have become subject to accelerated vesting under the terms and conditions of the Plan:</w:t>
      </w:r>
    </w:p>
    <w:p>
      <w:pPr>
        <w:spacing w:after="0" w:line="270"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5540" w:type="dxa"/>
            <w:vAlign w:val="bottom"/>
            <w:tcBorders>
              <w:top w:val="single" w:sz="8" w:color="auto"/>
              <w:left w:val="single" w:sz="8" w:color="auto"/>
              <w:bottom w:val="single" w:sz="8" w:color="auto"/>
              <w:right w:val="single" w:sz="8" w:color="auto"/>
            </w:tcBorders>
          </w:tcPr>
          <w:p>
            <w:pPr>
              <w:ind w:left="2180"/>
              <w:spacing w:after="0"/>
              <w:rPr>
                <w:sz w:val="20"/>
                <w:szCs w:val="20"/>
                <w:color w:val="auto"/>
              </w:rPr>
            </w:pPr>
            <w:r>
              <w:rPr>
                <w:rFonts w:ascii="Arial" w:cs="Arial" w:eastAsia="Arial" w:hAnsi="Arial"/>
                <w:sz w:val="22"/>
                <w:szCs w:val="22"/>
                <w:b w:val="1"/>
                <w:bCs w:val="1"/>
                <w:color w:val="auto"/>
              </w:rPr>
              <w:t>Vesting Date</w:t>
            </w:r>
          </w:p>
        </w:tc>
        <w:tc>
          <w:tcPr>
            <w:tcW w:w="5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5"/>
              </w:rPr>
              <w:t>Vesting Percentage</w:t>
            </w:r>
          </w:p>
        </w:tc>
      </w:tr>
      <w:tr>
        <w:trPr>
          <w:trHeight w:val="263"/>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First Anniversary of Date of Grant</w:t>
            </w:r>
          </w:p>
        </w:tc>
        <w:tc>
          <w:tcPr>
            <w:tcW w:w="5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One-Third</w:t>
            </w:r>
          </w:p>
        </w:tc>
      </w:tr>
      <w:tr>
        <w:trPr>
          <w:trHeight w:val="263"/>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Second Anniversary of Date of Grant</w:t>
            </w:r>
          </w:p>
        </w:tc>
        <w:tc>
          <w:tcPr>
            <w:tcW w:w="5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One-Third</w:t>
            </w:r>
          </w:p>
        </w:tc>
      </w:tr>
      <w:tr>
        <w:trPr>
          <w:trHeight w:val="263"/>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Third Anniversary of Date of Grant</w:t>
            </w:r>
          </w:p>
        </w:tc>
        <w:tc>
          <w:tcPr>
            <w:tcW w:w="5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One-Third</w:t>
            </w:r>
          </w:p>
        </w:tc>
      </w:tr>
    </w:tbl>
    <w:p>
      <w:pPr>
        <w:spacing w:after="0" w:line="31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Prior to actual settlement of any RSU that has vested, the RSU will represent an unfunded, unsecured obligation of the Company in accordance with Section 17.13 of the Plan.</w:t>
      </w:r>
    </w:p>
    <w:p>
      <w:pPr>
        <w:spacing w:after="0" w:line="202" w:lineRule="exact"/>
        <w:rPr>
          <w:sz w:val="20"/>
          <w:szCs w:val="20"/>
          <w:color w:val="auto"/>
        </w:rPr>
      </w:pPr>
    </w:p>
    <w:p>
      <w:pPr>
        <w:ind w:right="520" w:firstLine="656"/>
        <w:spacing w:after="0" w:line="263" w:lineRule="auto"/>
        <w:tabs>
          <w:tab w:leader="none" w:pos="1296"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Termination of Continuous Service</w:t>
      </w:r>
      <w:r>
        <w:rPr>
          <w:rFonts w:ascii="Arial" w:cs="Arial" w:eastAsia="Arial" w:hAnsi="Arial"/>
          <w:sz w:val="22"/>
          <w:szCs w:val="22"/>
          <w:color w:val="auto"/>
        </w:rPr>
        <w:t>. Except to the extent provided otherwise in Section 4 hereof or unless the Committee determines otherwise:</w:t>
      </w:r>
    </w:p>
    <w:p>
      <w:pPr>
        <w:spacing w:after="0" w:line="201" w:lineRule="exact"/>
        <w:rPr>
          <w:rFonts w:ascii="Arial" w:cs="Arial" w:eastAsia="Arial" w:hAnsi="Arial"/>
          <w:sz w:val="22"/>
          <w:szCs w:val="22"/>
          <w:color w:val="auto"/>
        </w:rPr>
      </w:pPr>
    </w:p>
    <w:p>
      <w:pPr>
        <w:ind w:right="260" w:firstLine="1304"/>
        <w:spacing w:after="0" w:line="253" w:lineRule="auto"/>
        <w:tabs>
          <w:tab w:leader="none" w:pos="1941" w:val="left"/>
        </w:tabs>
        <w:numPr>
          <w:ilvl w:val="1"/>
          <w:numId w:val="131"/>
        </w:numPr>
        <w:rPr>
          <w:rFonts w:ascii="Arial" w:cs="Arial" w:eastAsia="Arial" w:hAnsi="Arial"/>
          <w:sz w:val="22"/>
          <w:szCs w:val="22"/>
          <w:color w:val="auto"/>
        </w:rPr>
      </w:pPr>
      <w:r>
        <w:rPr>
          <w:rFonts w:ascii="Arial" w:cs="Arial" w:eastAsia="Arial" w:hAnsi="Arial"/>
          <w:sz w:val="22"/>
          <w:szCs w:val="22"/>
          <w:color w:val="auto"/>
        </w:rPr>
        <w:t>If the Participant’s Continuous Service terminates other than as provided for in Sections 3(b) and 3(c) below, then all RSUs that are not vested at the time of such termination shall be automatically and immediately forfeited for no consideration.</w:t>
      </w:r>
    </w:p>
    <w:p>
      <w:pPr>
        <w:spacing w:after="0" w:line="212" w:lineRule="exact"/>
        <w:rPr>
          <w:rFonts w:ascii="Arial" w:cs="Arial" w:eastAsia="Arial" w:hAnsi="Arial"/>
          <w:sz w:val="22"/>
          <w:szCs w:val="22"/>
          <w:color w:val="auto"/>
        </w:rPr>
      </w:pPr>
    </w:p>
    <w:p>
      <w:pPr>
        <w:ind w:right="420" w:firstLine="1304"/>
        <w:spacing w:after="0" w:line="263" w:lineRule="auto"/>
        <w:tabs>
          <w:tab w:leader="none" w:pos="1939" w:val="left"/>
        </w:tabs>
        <w:numPr>
          <w:ilvl w:val="1"/>
          <w:numId w:val="131"/>
        </w:numPr>
        <w:rPr>
          <w:rFonts w:ascii="Arial" w:cs="Arial" w:eastAsia="Arial" w:hAnsi="Arial"/>
          <w:sz w:val="22"/>
          <w:szCs w:val="22"/>
          <w:color w:val="auto"/>
        </w:rPr>
      </w:pPr>
      <w:r>
        <w:rPr>
          <w:rFonts w:ascii="Arial" w:cs="Arial" w:eastAsia="Arial" w:hAnsi="Arial"/>
          <w:sz w:val="22"/>
          <w:szCs w:val="22"/>
          <w:color w:val="auto"/>
        </w:rPr>
        <w:t>If the Participant’s Continuous Service terminates due to death or Disability, then all RSUs that are not vested shall become immediately vested in full upon such termination.</w:t>
      </w:r>
    </w:p>
    <w:p>
      <w:pPr>
        <w:spacing w:after="0" w:line="201" w:lineRule="exact"/>
        <w:rPr>
          <w:rFonts w:ascii="Arial" w:cs="Arial" w:eastAsia="Arial" w:hAnsi="Arial"/>
          <w:sz w:val="22"/>
          <w:szCs w:val="22"/>
          <w:color w:val="auto"/>
        </w:rPr>
      </w:pPr>
    </w:p>
    <w:p>
      <w:pPr>
        <w:ind w:right="80" w:firstLine="1304"/>
        <w:spacing w:after="0" w:line="302" w:lineRule="auto"/>
        <w:tabs>
          <w:tab w:leader="none" w:pos="1941" w:val="left"/>
        </w:tabs>
        <w:numPr>
          <w:ilvl w:val="1"/>
          <w:numId w:val="131"/>
        </w:numPr>
        <w:rPr>
          <w:rFonts w:ascii="Arial" w:cs="Arial" w:eastAsia="Arial" w:hAnsi="Arial"/>
          <w:sz w:val="19"/>
          <w:szCs w:val="19"/>
          <w:color w:val="auto"/>
        </w:rPr>
      </w:pPr>
      <w:r>
        <w:rPr>
          <w:rFonts w:ascii="Arial" w:cs="Arial" w:eastAsia="Arial" w:hAnsi="Arial"/>
          <w:sz w:val="19"/>
          <w:szCs w:val="19"/>
          <w:color w:val="auto"/>
        </w:rPr>
        <w:t>If the Participant retires on or after age sixty (60) (“Retirement”) prior to the vesting or forfeiture of the RSUs pursuant to Section 2 hereof, then the number of RSUs that vest shall be determined as of the date of the Participant’s Retirement on a pro rata basis, determined based on the number of full months of employment completed from the Date of Grant to the date of the Participant’s Retirement divided by the number of full months of the original vesting period.</w:t>
      </w:r>
    </w:p>
    <w:p>
      <w:pPr>
        <w:sectPr>
          <w:pgSz w:w="11900" w:h="16838" w:orient="portrait"/>
          <w:cols w:equalWidth="0" w:num="1">
            <w:col w:w="11240"/>
          </w:cols>
          <w:pgMar w:left="320" w:top="895" w:right="339" w:bottom="1440" w:gutter="0" w:footer="0" w:header="0"/>
        </w:sectPr>
      </w:pPr>
    </w:p>
    <w:bookmarkStart w:id="150" w:name="page151"/>
    <w:bookmarkEnd w:id="150"/>
    <w:p>
      <w:pPr>
        <w:ind w:left="1292" w:hanging="644"/>
        <w:spacing w:after="0"/>
        <w:tabs>
          <w:tab w:leader="none" w:pos="1292" w:val="left"/>
        </w:tabs>
        <w:numPr>
          <w:ilvl w:val="1"/>
          <w:numId w:val="132"/>
        </w:numPr>
        <w:rPr>
          <w:rFonts w:ascii="Arial" w:cs="Arial" w:eastAsia="Arial" w:hAnsi="Arial"/>
          <w:sz w:val="22"/>
          <w:szCs w:val="22"/>
          <w:color w:val="auto"/>
        </w:rPr>
      </w:pPr>
      <w:r>
        <w:rPr>
          <w:rFonts w:ascii="Arial" w:cs="Arial" w:eastAsia="Arial" w:hAnsi="Arial"/>
          <w:sz w:val="22"/>
          <w:szCs w:val="22"/>
          <w:u w:val="single" w:color="auto"/>
          <w:color w:val="auto"/>
        </w:rPr>
        <w:t>Termination for Cause</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8" w:right="260" w:firstLine="1304"/>
        <w:spacing w:after="0" w:line="253" w:lineRule="auto"/>
        <w:tabs>
          <w:tab w:leader="none" w:pos="1933" w:val="left"/>
        </w:tabs>
        <w:numPr>
          <w:ilvl w:val="2"/>
          <w:numId w:val="132"/>
        </w:numPr>
        <w:rPr>
          <w:rFonts w:ascii="Arial" w:cs="Arial" w:eastAsia="Arial" w:hAnsi="Arial"/>
          <w:sz w:val="22"/>
          <w:szCs w:val="22"/>
          <w:color w:val="auto"/>
        </w:rPr>
      </w:pPr>
      <w:r>
        <w:rPr>
          <w:rFonts w:ascii="Arial" w:cs="Arial" w:eastAsia="Arial" w:hAnsi="Arial"/>
          <w:sz w:val="22"/>
          <w:szCs w:val="22"/>
          <w:color w:val="auto"/>
        </w:rPr>
        <w:t>If the Participant’s Continuous Service is terminated by the Company for Cause (as defined below), then all RSUs, whether vested or unvested, shall be automatically and immediately forfeited for no consideration and cease to be exercisable.</w:t>
      </w:r>
    </w:p>
    <w:p>
      <w:pPr>
        <w:spacing w:after="0" w:line="212" w:lineRule="exact"/>
        <w:rPr>
          <w:rFonts w:ascii="Arial" w:cs="Arial" w:eastAsia="Arial" w:hAnsi="Arial"/>
          <w:sz w:val="22"/>
          <w:szCs w:val="22"/>
          <w:color w:val="auto"/>
        </w:rPr>
      </w:pPr>
    </w:p>
    <w:p>
      <w:pPr>
        <w:ind w:left="-8" w:right="460" w:firstLine="1304"/>
        <w:spacing w:after="0" w:line="250" w:lineRule="auto"/>
        <w:tabs>
          <w:tab w:leader="none" w:pos="1931" w:val="left"/>
        </w:tabs>
        <w:numPr>
          <w:ilvl w:val="2"/>
          <w:numId w:val="132"/>
        </w:numPr>
        <w:rPr>
          <w:rFonts w:ascii="Arial" w:cs="Arial" w:eastAsia="Arial" w:hAnsi="Arial"/>
          <w:sz w:val="22"/>
          <w:szCs w:val="22"/>
          <w:color w:val="auto"/>
        </w:rPr>
      </w:pPr>
      <w:r>
        <w:rPr>
          <w:rFonts w:ascii="Arial" w:cs="Arial" w:eastAsia="Arial" w:hAnsi="Arial"/>
          <w:sz w:val="22"/>
          <w:szCs w:val="22"/>
          <w:color w:val="auto"/>
        </w:rPr>
        <w:t>For purposes of this Section 4, “Cause” shall have the same meaning ascribed to such term in any employment agreement or arrangement between the Company (or any Affiliate) and the Participant. If no such agreement or arrangement applies to the Participant or if any such agreement or arrangement that applies to the Participant does not define Cause, then “Cause” shall mean:</w:t>
      </w:r>
    </w:p>
    <w:p>
      <w:pPr>
        <w:spacing w:after="0" w:line="214" w:lineRule="exact"/>
        <w:rPr>
          <w:rFonts w:ascii="Arial" w:cs="Arial" w:eastAsia="Arial" w:hAnsi="Arial"/>
          <w:sz w:val="22"/>
          <w:szCs w:val="22"/>
          <w:color w:val="auto"/>
        </w:rPr>
      </w:pPr>
    </w:p>
    <w:p>
      <w:pPr>
        <w:ind w:left="-8" w:firstLine="1952"/>
        <w:spacing w:after="0" w:line="284" w:lineRule="auto"/>
        <w:tabs>
          <w:tab w:leader="none" w:pos="2356" w:val="left"/>
        </w:tabs>
        <w:numPr>
          <w:ilvl w:val="3"/>
          <w:numId w:val="132"/>
        </w:numPr>
        <w:rPr>
          <w:rFonts w:ascii="Arial" w:cs="Arial" w:eastAsia="Arial" w:hAnsi="Arial"/>
          <w:sz w:val="19"/>
          <w:szCs w:val="19"/>
          <w:color w:val="auto"/>
        </w:rPr>
      </w:pPr>
      <w:r>
        <w:rPr>
          <w:rFonts w:ascii="Arial" w:cs="Arial" w:eastAsia="Arial" w:hAnsi="Arial"/>
          <w:sz w:val="19"/>
          <w:szCs w:val="19"/>
          <w:color w:val="auto"/>
        </w:rPr>
        <w:t>failure of the Participant to perform the duties required of the Participant pursuant to his or her employment agreement or otherwise applicable to the Participant in connection with his or her employment in a manner satisfactory to the Company, in its sole discretion; provided, however, for purposes of this subparagraph (i), Cause will not exist unless the Company first gives the Participant written notice (“Notice of Deficiency”). The Notice of Deficiency shall specify the deficiencies in the Participant’s performance of his or her duties. The Participant shall have a period of thirty (30) days, commencing on receipt of the Notice of Deficiency, in which to cure the deficiencies contained in the Notice of Deficiency. In the event the Participant does not cure the deficiencies to the satisfaction of the Company, in its sole discretion, within such thirty</w:t>
      </w:r>
    </w:p>
    <w:p>
      <w:pPr>
        <w:spacing w:after="0" w:line="3" w:lineRule="exact"/>
        <w:rPr>
          <w:rFonts w:ascii="Arial" w:cs="Arial" w:eastAsia="Arial" w:hAnsi="Arial"/>
          <w:sz w:val="19"/>
          <w:szCs w:val="19"/>
          <w:color w:val="auto"/>
        </w:rPr>
      </w:pPr>
    </w:p>
    <w:p>
      <w:pPr>
        <w:jc w:val="both"/>
        <w:ind w:left="-8" w:right="280" w:firstLine="8"/>
        <w:spacing w:after="0" w:line="245" w:lineRule="auto"/>
        <w:tabs>
          <w:tab w:leader="none" w:pos="406" w:val="left"/>
        </w:tabs>
        <w:numPr>
          <w:ilvl w:val="0"/>
          <w:numId w:val="133"/>
        </w:numPr>
        <w:rPr>
          <w:rFonts w:ascii="Arial" w:cs="Arial" w:eastAsia="Arial" w:hAnsi="Arial"/>
          <w:sz w:val="22"/>
          <w:szCs w:val="22"/>
          <w:color w:val="auto"/>
        </w:rPr>
      </w:pPr>
      <w:r>
        <w:rPr>
          <w:rFonts w:ascii="Arial" w:cs="Arial" w:eastAsia="Arial" w:hAnsi="Arial"/>
          <w:sz w:val="22"/>
          <w:szCs w:val="22"/>
          <w:color w:val="auto"/>
        </w:rPr>
        <w:t>day period (or if during such thirty (30) day period the Company determines that the Participant is not making reasonable, good faith efforts to cure the deficiencies to the satisfaction of the Company), then a termination by the Company as a result of such deficiencies will be for Cause;</w:t>
      </w:r>
    </w:p>
    <w:p>
      <w:pPr>
        <w:spacing w:after="0" w:line="219" w:lineRule="exact"/>
        <w:rPr>
          <w:rFonts w:ascii="Arial" w:cs="Arial" w:eastAsia="Arial" w:hAnsi="Arial"/>
          <w:sz w:val="22"/>
          <w:szCs w:val="22"/>
          <w:color w:val="auto"/>
        </w:rPr>
      </w:pPr>
    </w:p>
    <w:p>
      <w:pPr>
        <w:ind w:left="-8" w:firstLine="1952"/>
        <w:spacing w:after="0" w:line="250" w:lineRule="auto"/>
        <w:tabs>
          <w:tab w:leader="none" w:pos="2416" w:val="left"/>
        </w:tabs>
        <w:numPr>
          <w:ilvl w:val="3"/>
          <w:numId w:val="133"/>
        </w:numPr>
        <w:rPr>
          <w:rFonts w:ascii="Arial" w:cs="Arial" w:eastAsia="Arial" w:hAnsi="Arial"/>
          <w:sz w:val="22"/>
          <w:szCs w:val="22"/>
          <w:color w:val="auto"/>
        </w:rPr>
      </w:pPr>
      <w:r>
        <w:rPr>
          <w:rFonts w:ascii="Arial" w:cs="Arial" w:eastAsia="Arial" w:hAnsi="Arial"/>
          <w:sz w:val="22"/>
          <w:szCs w:val="22"/>
          <w:color w:val="auto"/>
        </w:rPr>
        <w:t>any dishonesty by the Participant in the Participant’s dealings with the Company, the commission of fraud by the Participant, negligence in the performance of the duties of the Participant, insubordination, willful misconduct, or the conviction (or plea of guilty or nolo contendere) of the Participant of, or indictment or charge with respect to, any felony, or any other crime involving dishonesty or moral turpitude;</w:t>
      </w:r>
    </w:p>
    <w:p>
      <w:pPr>
        <w:spacing w:after="0" w:line="214" w:lineRule="exact"/>
        <w:rPr>
          <w:rFonts w:ascii="Arial" w:cs="Arial" w:eastAsia="Arial" w:hAnsi="Arial"/>
          <w:sz w:val="22"/>
          <w:szCs w:val="22"/>
          <w:color w:val="auto"/>
        </w:rPr>
      </w:pPr>
    </w:p>
    <w:p>
      <w:pPr>
        <w:ind w:left="-8" w:right="80" w:firstLine="1952"/>
        <w:spacing w:after="0" w:line="263" w:lineRule="auto"/>
        <w:tabs>
          <w:tab w:leader="none" w:pos="2476" w:val="left"/>
        </w:tabs>
        <w:numPr>
          <w:ilvl w:val="3"/>
          <w:numId w:val="133"/>
        </w:numPr>
        <w:rPr>
          <w:rFonts w:ascii="Arial" w:cs="Arial" w:eastAsia="Arial" w:hAnsi="Arial"/>
          <w:sz w:val="22"/>
          <w:szCs w:val="22"/>
          <w:color w:val="auto"/>
        </w:rPr>
      </w:pPr>
      <w:r>
        <w:rPr>
          <w:rFonts w:ascii="Arial" w:cs="Arial" w:eastAsia="Arial" w:hAnsi="Arial"/>
          <w:sz w:val="22"/>
          <w:szCs w:val="22"/>
          <w:color w:val="auto"/>
        </w:rPr>
        <w:t>any violation of any non-competition, non-solicitation, non-disclosure or confidentiality covenant or similar restriction applicable to the Participant; or</w:t>
      </w:r>
    </w:p>
    <w:p>
      <w:pPr>
        <w:spacing w:after="0" w:line="201" w:lineRule="exact"/>
        <w:rPr>
          <w:rFonts w:ascii="Arial" w:cs="Arial" w:eastAsia="Arial" w:hAnsi="Arial"/>
          <w:sz w:val="22"/>
          <w:szCs w:val="22"/>
          <w:color w:val="auto"/>
        </w:rPr>
      </w:pPr>
    </w:p>
    <w:p>
      <w:pPr>
        <w:ind w:left="-8" w:right="320" w:firstLine="1952"/>
        <w:spacing w:after="0" w:line="271" w:lineRule="auto"/>
        <w:tabs>
          <w:tab w:leader="none" w:pos="2464" w:val="left"/>
        </w:tabs>
        <w:numPr>
          <w:ilvl w:val="3"/>
          <w:numId w:val="133"/>
        </w:numPr>
        <w:rPr>
          <w:rFonts w:ascii="Arial" w:cs="Arial" w:eastAsia="Arial" w:hAnsi="Arial"/>
          <w:sz w:val="21"/>
          <w:szCs w:val="21"/>
          <w:color w:val="auto"/>
        </w:rPr>
      </w:pPr>
      <w:r>
        <w:rPr>
          <w:rFonts w:ascii="Arial" w:cs="Arial" w:eastAsia="Arial" w:hAnsi="Arial"/>
          <w:sz w:val="21"/>
          <w:szCs w:val="21"/>
          <w:color w:val="auto"/>
        </w:rPr>
        <w:t>any violation of any current or future material published policy of the Company or its Affiliates (material published policies include, but are not limited to, the Company’s discrimination and harassment policy, management dating policy, responsible alcohol policy, insider trading policy and security policy).</w:t>
      </w:r>
    </w:p>
    <w:p>
      <w:pPr>
        <w:spacing w:after="0" w:line="167" w:lineRule="exact"/>
        <w:rPr>
          <w:rFonts w:ascii="Arial" w:cs="Arial" w:eastAsia="Arial" w:hAnsi="Arial"/>
          <w:sz w:val="21"/>
          <w:szCs w:val="21"/>
          <w:color w:val="auto"/>
        </w:rPr>
      </w:pPr>
    </w:p>
    <w:p>
      <w:pPr>
        <w:ind w:left="1292" w:hanging="644"/>
        <w:spacing w:after="0"/>
        <w:tabs>
          <w:tab w:leader="none" w:pos="1292" w:val="left"/>
        </w:tabs>
        <w:numPr>
          <w:ilvl w:val="1"/>
          <w:numId w:val="133"/>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left="-8" w:right="180" w:firstLine="1304"/>
        <w:spacing w:after="0" w:line="312" w:lineRule="auto"/>
        <w:tabs>
          <w:tab w:leader="none" w:pos="1933" w:val="left"/>
        </w:tabs>
        <w:numPr>
          <w:ilvl w:val="2"/>
          <w:numId w:val="133"/>
        </w:numPr>
        <w:rPr>
          <w:rFonts w:ascii="Arial" w:cs="Arial" w:eastAsia="Arial" w:hAnsi="Arial"/>
          <w:sz w:val="19"/>
          <w:szCs w:val="19"/>
          <w:color w:val="auto"/>
        </w:rPr>
      </w:pPr>
      <w:r>
        <w:rPr>
          <w:rFonts w:ascii="Arial" w:cs="Arial" w:eastAsia="Arial" w:hAnsi="Arial"/>
          <w:sz w:val="19"/>
          <w:szCs w:val="19"/>
          <w:color w:val="auto"/>
        </w:rPr>
        <w:t>If a Change in Control occurs, and the RSUs remain outstanding following such Change in Control or are exchanged or converted into securities or other similar rights of any surviving, acquiring or successor entity in accordance with Section 12.1(ii) of the Plan or otherwise, then the vesting and transfer restrictions and other terms and conditions hereof shall</w:t>
      </w:r>
    </w:p>
    <w:p>
      <w:pPr>
        <w:sectPr>
          <w:pgSz w:w="11900" w:h="16838" w:orient="portrait"/>
          <w:cols w:equalWidth="0" w:num="1">
            <w:col w:w="11232"/>
          </w:cols>
          <w:pgMar w:left="328" w:top="1144" w:right="339" w:bottom="1440" w:gutter="0" w:footer="0" w:header="0"/>
        </w:sectPr>
      </w:pPr>
    </w:p>
    <w:bookmarkStart w:id="151" w:name="page152"/>
    <w:bookmarkEnd w:id="151"/>
    <w:p>
      <w:pPr>
        <w:ind w:right="220"/>
        <w:spacing w:after="0" w:line="263" w:lineRule="auto"/>
        <w:rPr>
          <w:sz w:val="20"/>
          <w:szCs w:val="20"/>
          <w:color w:val="auto"/>
        </w:rPr>
      </w:pPr>
      <w:r>
        <w:rPr>
          <w:rFonts w:ascii="Arial" w:cs="Arial" w:eastAsia="Arial" w:hAnsi="Arial"/>
          <w:sz w:val="22"/>
          <w:szCs w:val="22"/>
          <w:color w:val="auto"/>
        </w:rPr>
        <w:t>continue to apply to the RSUs or any securities or other similar rights issued to the Participant upon exchange or conversion of the RSUs, as applicable.</w:t>
      </w:r>
    </w:p>
    <w:p>
      <w:pPr>
        <w:spacing w:after="0" w:line="202" w:lineRule="exact"/>
        <w:rPr>
          <w:sz w:val="20"/>
          <w:szCs w:val="20"/>
          <w:color w:val="auto"/>
        </w:rPr>
      </w:pPr>
    </w:p>
    <w:p>
      <w:pPr>
        <w:ind w:right="780" w:firstLine="1304"/>
        <w:spacing w:after="0" w:line="263" w:lineRule="auto"/>
        <w:tabs>
          <w:tab w:leader="none" w:pos="1939" w:val="left"/>
        </w:tabs>
        <w:numPr>
          <w:ilvl w:val="1"/>
          <w:numId w:val="134"/>
        </w:numPr>
        <w:rPr>
          <w:rFonts w:ascii="Arial" w:cs="Arial" w:eastAsia="Arial" w:hAnsi="Arial"/>
          <w:sz w:val="22"/>
          <w:szCs w:val="22"/>
          <w:color w:val="auto"/>
        </w:rPr>
      </w:pPr>
      <w:r>
        <w:rPr>
          <w:rFonts w:ascii="Arial" w:cs="Arial" w:eastAsia="Arial" w:hAnsi="Arial"/>
          <w:sz w:val="22"/>
          <w:szCs w:val="22"/>
          <w:color w:val="auto"/>
        </w:rPr>
        <w:t>If a Change in Control occurs, pursuant to which the RSUs will be cancelled in exchange for cash consideration to Participant in accordance with Section 12.1(i) of the Plan, then:</w:t>
      </w:r>
    </w:p>
    <w:p>
      <w:pPr>
        <w:spacing w:after="0" w:line="201" w:lineRule="exact"/>
        <w:rPr>
          <w:rFonts w:ascii="Arial" w:cs="Arial" w:eastAsia="Arial" w:hAnsi="Arial"/>
          <w:sz w:val="22"/>
          <w:szCs w:val="22"/>
          <w:color w:val="auto"/>
        </w:rPr>
      </w:pPr>
    </w:p>
    <w:p>
      <w:pPr>
        <w:ind w:firstLine="1748"/>
        <w:spacing w:after="0" w:line="248" w:lineRule="auto"/>
        <w:tabs>
          <w:tab w:leader="none" w:pos="2160" w:val="left"/>
        </w:tabs>
        <w:numPr>
          <w:ilvl w:val="2"/>
          <w:numId w:val="134"/>
        </w:numPr>
        <w:rPr>
          <w:rFonts w:ascii="Arial" w:cs="Arial" w:eastAsia="Arial" w:hAnsi="Arial"/>
          <w:sz w:val="22"/>
          <w:szCs w:val="22"/>
          <w:color w:val="auto"/>
        </w:rPr>
      </w:pPr>
      <w:r>
        <w:rPr>
          <w:rFonts w:ascii="Arial" w:cs="Arial" w:eastAsia="Arial" w:hAnsi="Arial"/>
          <w:sz w:val="22"/>
          <w:szCs w:val="22"/>
          <w:color w:val="auto"/>
        </w:rPr>
        <w:t>with respect to a Participant who is an Employee at the level of Vice President or above at the time of such Change in Control, all RSUs that remain unvested and have not been previously forfeited shall be converted upon such Change in Control into an award representing the right to receive such cash consideration, provided, however, that such award will be subject to the vesting and transfer restrictions and other terms and conditions hereof and will be payable to the Participant only to the extent it has vested; and</w:t>
      </w:r>
    </w:p>
    <w:p>
      <w:pPr>
        <w:spacing w:after="0" w:line="218" w:lineRule="exact"/>
        <w:rPr>
          <w:rFonts w:ascii="Arial" w:cs="Arial" w:eastAsia="Arial" w:hAnsi="Arial"/>
          <w:sz w:val="22"/>
          <w:szCs w:val="22"/>
          <w:color w:val="auto"/>
        </w:rPr>
      </w:pPr>
    </w:p>
    <w:p>
      <w:pPr>
        <w:ind w:right="140" w:firstLine="1688"/>
        <w:spacing w:after="0" w:line="287" w:lineRule="auto"/>
        <w:tabs>
          <w:tab w:leader="none" w:pos="2160" w:val="left"/>
        </w:tabs>
        <w:numPr>
          <w:ilvl w:val="2"/>
          <w:numId w:val="134"/>
        </w:numPr>
        <w:rPr>
          <w:rFonts w:ascii="Arial" w:cs="Arial" w:eastAsia="Arial" w:hAnsi="Arial"/>
          <w:sz w:val="21"/>
          <w:szCs w:val="21"/>
          <w:color w:val="auto"/>
        </w:rPr>
      </w:pPr>
      <w:r>
        <w:rPr>
          <w:rFonts w:ascii="Arial" w:cs="Arial" w:eastAsia="Arial" w:hAnsi="Arial"/>
          <w:sz w:val="21"/>
          <w:szCs w:val="21"/>
          <w:color w:val="auto"/>
        </w:rPr>
        <w:t>with respect to any other Participant, then all RSUs that remain unvested and have not been previously forfeited shall become immediately vested in full effective immediately prior to such Change in Control.</w:t>
      </w:r>
    </w:p>
    <w:p>
      <w:pPr>
        <w:spacing w:after="0" w:line="178" w:lineRule="exact"/>
        <w:rPr>
          <w:rFonts w:ascii="Arial" w:cs="Arial" w:eastAsia="Arial" w:hAnsi="Arial"/>
          <w:sz w:val="21"/>
          <w:szCs w:val="21"/>
          <w:color w:val="auto"/>
        </w:rPr>
      </w:pPr>
    </w:p>
    <w:p>
      <w:pPr>
        <w:jc w:val="both"/>
        <w:ind w:right="160" w:firstLine="656"/>
        <w:spacing w:after="0" w:line="253" w:lineRule="auto"/>
        <w:tabs>
          <w:tab w:leader="none" w:pos="1296"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RSUs Non-Transferable</w:t>
      </w:r>
      <w:r>
        <w:rPr>
          <w:rFonts w:ascii="Arial" w:cs="Arial" w:eastAsia="Arial" w:hAnsi="Arial"/>
          <w:sz w:val="22"/>
          <w:szCs w:val="22"/>
          <w:color w:val="auto"/>
        </w:rPr>
        <w:t>. The Participant shall not directly or indirectly sell, transfer, pledge, assign or otherwise encumber RSUs or any interest in them, or make any commitment or agreement to do any of the foregoing, except to the extent permitted by Section 11.3 of the Plan.</w:t>
      </w:r>
    </w:p>
    <w:p>
      <w:pPr>
        <w:spacing w:after="0" w:line="212" w:lineRule="exact"/>
        <w:rPr>
          <w:rFonts w:ascii="Arial" w:cs="Arial" w:eastAsia="Arial" w:hAnsi="Arial"/>
          <w:sz w:val="22"/>
          <w:szCs w:val="22"/>
          <w:color w:val="auto"/>
        </w:rPr>
      </w:pPr>
    </w:p>
    <w:p>
      <w:pPr>
        <w:ind w:right="140" w:firstLine="656"/>
        <w:spacing w:after="0" w:line="248" w:lineRule="auto"/>
        <w:tabs>
          <w:tab w:leader="none" w:pos="1296"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Settlement</w:t>
      </w:r>
      <w:r>
        <w:rPr>
          <w:rFonts w:ascii="Arial" w:cs="Arial" w:eastAsia="Arial" w:hAnsi="Arial"/>
          <w:sz w:val="22"/>
          <w:szCs w:val="22"/>
          <w:color w:val="auto"/>
        </w:rPr>
        <w:t>. The Company shall, as soon as practicable upon the vesting of any RSUs (but in no event later than two and a half (2 ½) months following the end of the year in which vesting occurs), effect delivery of Shares to fully settle such vested RSUs to the Participant (or, in the event of the Participant’s death, to the Beneficiary). No Shares will be issued pursuant to this Award unless and until all legal requirements applicable to such issuance have been complied with to the satisfaction of the Committee.</w:t>
      </w:r>
    </w:p>
    <w:p>
      <w:pPr>
        <w:spacing w:after="0" w:line="218" w:lineRule="exact"/>
        <w:rPr>
          <w:rFonts w:ascii="Arial" w:cs="Arial" w:eastAsia="Arial" w:hAnsi="Arial"/>
          <w:sz w:val="22"/>
          <w:szCs w:val="22"/>
          <w:color w:val="auto"/>
        </w:rPr>
      </w:pPr>
    </w:p>
    <w:p>
      <w:pPr>
        <w:ind w:firstLine="656"/>
        <w:spacing w:after="0" w:line="247" w:lineRule="auto"/>
        <w:tabs>
          <w:tab w:leader="none" w:pos="1296"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 This Agreement is intended to comply with Section 409A of the Code or an exemption thereunder and shall be construed and interpreted in a manner that is consistent with the requirements for avoiding additional taxes or penalties under Section 409A of the Code. Notwithstanding the foregoing, the Company makes no representations that the payments and benefits provided under this Agreement comply with Section 409A of the Code and in no event shall the Company be liable for all or any portion of any taxes, penalties, interest or other expenses that may be incurred by the Participant on account of non-compliance with Section 409A of the Code.</w:t>
      </w:r>
    </w:p>
    <w:p>
      <w:pPr>
        <w:spacing w:after="0" w:line="219" w:lineRule="exact"/>
        <w:rPr>
          <w:rFonts w:ascii="Arial" w:cs="Arial" w:eastAsia="Arial" w:hAnsi="Arial"/>
          <w:sz w:val="22"/>
          <w:szCs w:val="22"/>
          <w:color w:val="auto"/>
        </w:rPr>
      </w:pPr>
    </w:p>
    <w:p>
      <w:pPr>
        <w:ind w:right="120" w:firstLine="656"/>
        <w:spacing w:after="0" w:line="297" w:lineRule="auto"/>
        <w:tabs>
          <w:tab w:leader="none" w:pos="1296"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Electronic Delivery and Acceptance</w:t>
      </w:r>
      <w:r>
        <w:rPr>
          <w:rFonts w:ascii="Arial" w:cs="Arial" w:eastAsia="Arial" w:hAnsi="Arial"/>
          <w:sz w:val="19"/>
          <w:szCs w:val="19"/>
          <w:color w:val="auto"/>
        </w:rPr>
        <w:t>. The Company may in its sole discretion, decide to deliver any documents related to the RSUs granted under the Plan and participation in the Plan, or future RSUs that may be granted under the Plan, by electronic means or to request the Participant’s consent to participate in the Plan by electronic means. The Participant hereby consents to receive such documents by electronic delivery and, if requested, to participate in the Plan through an on-line (and/or voice activated) system established and maintained by the Company or a third party designated by the Company</w:t>
      </w:r>
      <w:r>
        <w:rPr>
          <w:rFonts w:ascii="Arial" w:cs="Arial" w:eastAsia="Arial" w:hAnsi="Arial"/>
          <w:sz w:val="19"/>
          <w:szCs w:val="19"/>
          <w:b w:val="1"/>
          <w:bCs w:val="1"/>
          <w:color w:val="auto"/>
        </w:rPr>
        <w:t>.</w:t>
      </w:r>
    </w:p>
    <w:p>
      <w:pPr>
        <w:sectPr>
          <w:pgSz w:w="11900" w:h="16838" w:orient="portrait"/>
          <w:cols w:equalWidth="0" w:num="1">
            <w:col w:w="11180"/>
          </w:cols>
          <w:pgMar w:left="320" w:top="901" w:right="399" w:bottom="1440" w:gutter="0" w:footer="0" w:header="0"/>
        </w:sectPr>
      </w:pPr>
    </w:p>
    <w:bookmarkStart w:id="152" w:name="page153"/>
    <w:bookmarkEnd w:id="152"/>
    <w:p>
      <w:pPr>
        <w:ind w:left="644" w:hanging="644"/>
        <w:spacing w:after="0"/>
        <w:tabs>
          <w:tab w:leader="none" w:pos="644"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Data Privacy</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656" w:firstLine="1304"/>
        <w:spacing w:after="0" w:line="312" w:lineRule="auto"/>
        <w:tabs>
          <w:tab w:leader="none" w:pos="1285" w:val="left"/>
        </w:tabs>
        <w:numPr>
          <w:ilvl w:val="1"/>
          <w:numId w:val="136"/>
        </w:numPr>
        <w:rPr>
          <w:rFonts w:ascii="Arial" w:cs="Arial" w:eastAsia="Arial" w:hAnsi="Arial"/>
          <w:sz w:val="19"/>
          <w:szCs w:val="19"/>
          <w:color w:val="auto"/>
        </w:rPr>
      </w:pPr>
      <w:r>
        <w:rPr>
          <w:rFonts w:ascii="Arial" w:cs="Arial" w:eastAsia="Arial" w:hAnsi="Arial"/>
          <w:sz w:val="19"/>
          <w:szCs w:val="19"/>
          <w:color w:val="auto"/>
        </w:rPr>
        <w:t>The Participant hereby explicitly and unambiguously consents to the collection, use and transfer, in electronic or other form, of his or her Personal Data as described in this document by and among, as applicable, the Company and its Affiliates for the purposes of implementing, administering and managing the Participant’s participation in the Plan.</w:t>
      </w:r>
    </w:p>
    <w:p>
      <w:pPr>
        <w:spacing w:after="0" w:line="160" w:lineRule="exact"/>
        <w:rPr>
          <w:rFonts w:ascii="Arial" w:cs="Arial" w:eastAsia="Arial" w:hAnsi="Arial"/>
          <w:sz w:val="19"/>
          <w:szCs w:val="19"/>
          <w:color w:val="auto"/>
        </w:rPr>
      </w:pPr>
    </w:p>
    <w:p>
      <w:pPr>
        <w:ind w:left="-656" w:firstLine="1304"/>
        <w:spacing w:after="0" w:line="285" w:lineRule="auto"/>
        <w:tabs>
          <w:tab w:leader="none" w:pos="1283" w:val="left"/>
        </w:tabs>
        <w:numPr>
          <w:ilvl w:val="1"/>
          <w:numId w:val="136"/>
        </w:numPr>
        <w:rPr>
          <w:rFonts w:ascii="Arial" w:cs="Arial" w:eastAsia="Arial" w:hAnsi="Arial"/>
          <w:sz w:val="19"/>
          <w:szCs w:val="19"/>
          <w:color w:val="auto"/>
        </w:rPr>
      </w:pPr>
      <w:r>
        <w:rPr>
          <w:rFonts w:ascii="Arial" w:cs="Arial" w:eastAsia="Arial" w:hAnsi="Arial"/>
          <w:sz w:val="19"/>
          <w:szCs w:val="19"/>
          <w:color w:val="auto"/>
        </w:rPr>
        <w:t>The Participant understands that the Company and its Affiliates may process certain personal information about the Participant, including, but not limited to, his or her name, home address and telephone number, date of birth, social security number or other identification number, salary, nationality, job title, any shares of stock or directorships held in the Company, details of all options or any other entitlement to shares of stock awarded, canceled, exercised, vested, unvested or outstanding in the Participant’s favor, for the purposes of implementing, administering and managing the Plan (“</w:t>
      </w:r>
      <w:r>
        <w:rPr>
          <w:rFonts w:ascii="Arial" w:cs="Arial" w:eastAsia="Arial" w:hAnsi="Arial"/>
          <w:sz w:val="19"/>
          <w:szCs w:val="19"/>
          <w:u w:val="single" w:color="auto"/>
          <w:color w:val="auto"/>
        </w:rPr>
        <w:t>Personal Data</w:t>
      </w:r>
      <w:r>
        <w:rPr>
          <w:rFonts w:ascii="Arial" w:cs="Arial" w:eastAsia="Arial" w:hAnsi="Arial"/>
          <w:sz w:val="19"/>
          <w:szCs w:val="19"/>
          <w:color w:val="auto"/>
        </w:rPr>
        <w:t>”). The Participant understands that Personal Data may be transferred to any third parties assisting in the implementation, administration and management of the Plan, that these recipients may be located in the Participant’s country or elsewhere and that the recipients’ country may have different data privacy laws and protections than the Participant’s country. The Participant authorizes the recipients to receive, possess, use, retain and transfer the Personal Data, in electronic or other form, for the purposes of implementing, administering and managing his or her participation in the Plan, including any requisite transfer of such Personal Data as may be required to a broker or other third party with whom the Participant may elect to deposit any Shares acquired upon settlement of these Performance Awards. The Participant understands that the Company will retain the Personal Data only as long as is necessary to implement, administer and manage the Participant’s participation in the Plan. The Participant understands that he or she may, at any time, view Personal Data, request additional information about the storage and processing of Personal Data, require any necessary amendments to Personal Data or refuse or withdraw the consents herein, in any case without cost, by contacting in writing the Company’s human resources representative. The Participant understands, however, that refusing or withdrawing his or her consent may affect the Participant’s ability to participate in the Plan. Participants may obtain more information about how their Personal Data may be processed in conjunction with Plan participation by contacting the Company’s human resources representative.</w:t>
      </w:r>
    </w:p>
    <w:p>
      <w:pPr>
        <w:spacing w:after="0" w:line="200" w:lineRule="exact"/>
        <w:rPr>
          <w:rFonts w:ascii="Arial" w:cs="Arial" w:eastAsia="Arial" w:hAnsi="Arial"/>
          <w:sz w:val="19"/>
          <w:szCs w:val="19"/>
          <w:color w:val="auto"/>
        </w:rPr>
      </w:pPr>
    </w:p>
    <w:p>
      <w:pPr>
        <w:spacing w:after="0" w:line="246" w:lineRule="exact"/>
        <w:rPr>
          <w:rFonts w:ascii="Arial" w:cs="Arial" w:eastAsia="Arial" w:hAnsi="Arial"/>
          <w:sz w:val="19"/>
          <w:szCs w:val="19"/>
          <w:color w:val="auto"/>
        </w:rPr>
      </w:pPr>
    </w:p>
    <w:p>
      <w:pPr>
        <w:jc w:val="both"/>
        <w:ind w:left="-656" w:right="40" w:firstLine="656"/>
        <w:spacing w:after="0" w:line="294" w:lineRule="auto"/>
        <w:tabs>
          <w:tab w:leader="none" w:pos="632" w:val="left"/>
        </w:tabs>
        <w:numPr>
          <w:ilvl w:val="0"/>
          <w:numId w:val="136"/>
        </w:numPr>
        <w:rPr>
          <w:rFonts w:ascii="Arial" w:cs="Arial" w:eastAsia="Arial" w:hAnsi="Arial"/>
          <w:sz w:val="19"/>
          <w:szCs w:val="19"/>
          <w:color w:val="auto"/>
        </w:rPr>
      </w:pPr>
      <w:r>
        <w:rPr>
          <w:rFonts w:ascii="Arial" w:cs="Arial" w:eastAsia="Arial" w:hAnsi="Arial"/>
          <w:sz w:val="19"/>
          <w:szCs w:val="19"/>
          <w:u w:val="single" w:color="auto"/>
          <w:color w:val="auto"/>
        </w:rPr>
        <w:t>Government and Other Regulations</w:t>
      </w:r>
      <w:r>
        <w:rPr>
          <w:rFonts w:ascii="Arial" w:cs="Arial" w:eastAsia="Arial" w:hAnsi="Arial"/>
          <w:sz w:val="19"/>
          <w:szCs w:val="19"/>
          <w:color w:val="auto"/>
        </w:rPr>
        <w:t>. The grant of RSUs is subject to all laws, regulations and orders of any governmental authority which may be applicable thereto and, notwithstanding any of the provisions hereof, the Participant acknowledges that the Company will not be obligated to issue any Shares hereunder if the grant or vesting thereof or the issuance of such Shares, as the case may be, would constitute a violation by the Participant or the Company of any such law, regulation or order or any provision thereof. The Company shall not be obligated to take any affirmative action in order to cause the vesting of the RSUs or the issuance of Shares pursuant hereto to comply with any such law, regulation, order or provision.</w:t>
      </w:r>
    </w:p>
    <w:p>
      <w:pPr>
        <w:spacing w:after="0" w:line="176" w:lineRule="exact"/>
        <w:rPr>
          <w:rFonts w:ascii="Arial" w:cs="Arial" w:eastAsia="Arial" w:hAnsi="Arial"/>
          <w:sz w:val="19"/>
          <w:szCs w:val="19"/>
          <w:color w:val="auto"/>
        </w:rPr>
      </w:pPr>
    </w:p>
    <w:p>
      <w:pPr>
        <w:ind w:left="644" w:hanging="644"/>
        <w:spacing w:after="0"/>
        <w:tabs>
          <w:tab w:leader="none" w:pos="644"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Miscellaneous Provisions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656" w:right="360" w:firstLine="1304"/>
        <w:spacing w:after="0" w:line="253" w:lineRule="auto"/>
        <w:tabs>
          <w:tab w:leader="none" w:pos="1285" w:val="left"/>
        </w:tabs>
        <w:numPr>
          <w:ilvl w:val="1"/>
          <w:numId w:val="136"/>
        </w:numPr>
        <w:rPr>
          <w:rFonts w:ascii="Arial" w:cs="Arial" w:eastAsia="Arial" w:hAnsi="Arial"/>
          <w:sz w:val="22"/>
          <w:szCs w:val="22"/>
          <w:color w:val="auto"/>
        </w:rPr>
      </w:pPr>
      <w:r>
        <w:rPr>
          <w:rFonts w:ascii="Arial" w:cs="Arial" w:eastAsia="Arial" w:hAnsi="Arial"/>
          <w:sz w:val="22"/>
          <w:szCs w:val="22"/>
          <w:color w:val="auto"/>
        </w:rPr>
        <w:t>No Participant or Beneficiary shall have any rights as a stockholder with respect to Shares subject to an Award, including without limitation any right to vote or to receive or accrue dividends (ordinary or extraordinary, whether in cash, securities or other property) or</w:t>
      </w:r>
    </w:p>
    <w:p>
      <w:pPr>
        <w:sectPr>
          <w:pgSz w:w="11900" w:h="16838" w:orient="portrait"/>
          <w:cols w:equalWidth="0" w:num="1">
            <w:col w:w="10584"/>
          </w:cols>
          <w:pgMar w:left="976" w:top="1387" w:right="339" w:bottom="1440" w:gutter="0" w:footer="0" w:header="0"/>
        </w:sectPr>
      </w:pPr>
    </w:p>
    <w:bookmarkStart w:id="153" w:name="page154"/>
    <w:bookmarkEnd w:id="153"/>
    <w:p>
      <w:pPr>
        <w:spacing w:after="0" w:line="253" w:lineRule="auto"/>
        <w:rPr>
          <w:sz w:val="20"/>
          <w:szCs w:val="20"/>
          <w:color w:val="auto"/>
        </w:rPr>
      </w:pPr>
      <w:r>
        <w:rPr>
          <w:rFonts w:ascii="Arial" w:cs="Arial" w:eastAsia="Arial" w:hAnsi="Arial"/>
          <w:sz w:val="22"/>
          <w:szCs w:val="22"/>
          <w:color w:val="auto"/>
        </w:rPr>
        <w:t>distributions or any equivalent thereof, until such Shares are delivered to the Participant or the Beneficiary, and no adjustment or accrual shall be made for dividends (ordinary or extraordinary, whether in cash, securities or other property) or distributions of other rights for which the record date is prior to the date such Shares are delivered.</w:t>
      </w:r>
    </w:p>
    <w:p>
      <w:pPr>
        <w:spacing w:after="0" w:line="212" w:lineRule="exact"/>
        <w:rPr>
          <w:sz w:val="20"/>
          <w:szCs w:val="20"/>
          <w:color w:val="auto"/>
        </w:rPr>
      </w:pPr>
    </w:p>
    <w:p>
      <w:pPr>
        <w:ind w:right="60" w:firstLine="1304"/>
        <w:spacing w:after="0" w:line="292" w:lineRule="auto"/>
        <w:tabs>
          <w:tab w:leader="none" w:pos="1939" w:val="left"/>
        </w:tabs>
        <w:numPr>
          <w:ilvl w:val="0"/>
          <w:numId w:val="137"/>
        </w:numPr>
        <w:rPr>
          <w:rFonts w:ascii="Arial" w:cs="Arial" w:eastAsia="Arial" w:hAnsi="Arial"/>
          <w:sz w:val="19"/>
          <w:szCs w:val="19"/>
          <w:color w:val="auto"/>
        </w:rPr>
      </w:pPr>
      <w:r>
        <w:rPr>
          <w:rFonts w:ascii="Arial" w:cs="Arial" w:eastAsia="Arial" w:hAnsi="Arial"/>
          <w:sz w:val="19"/>
          <w:szCs w:val="19"/>
          <w:color w:val="auto"/>
        </w:rPr>
        <w:t>The RSUs are granted under and subject to the terms and conditions of the Plan, which is incorporated herein and made part hereof by this reference. In the event of a conflict between the terms of the Plan and this Agreement, the terms of the Plan, as interpreted by the Board or the Committee, shall govern. In the event of a conflict between the terms of the Plan and this Agreement, the terms of the Plan, as interpreted by the Board or the Committee, shall govern and all decisions under and interpretations of the Plan or this Agreement by the Committee or the Board shall be final, binding and conclusive upon the Participant and his heirs and legal representatives. The Participant hereby acknowledges receipt of a true copy of the Plan and that the Participant has read the Plan carefully and fully understands its content.</w:t>
      </w:r>
    </w:p>
    <w:p>
      <w:pPr>
        <w:spacing w:after="0" w:line="177" w:lineRule="exact"/>
        <w:rPr>
          <w:rFonts w:ascii="Arial" w:cs="Arial" w:eastAsia="Arial" w:hAnsi="Arial"/>
          <w:sz w:val="19"/>
          <w:szCs w:val="19"/>
          <w:color w:val="auto"/>
        </w:rPr>
      </w:pPr>
    </w:p>
    <w:p>
      <w:pPr>
        <w:ind w:right="20" w:firstLine="1304"/>
        <w:spacing w:after="0" w:line="271" w:lineRule="auto"/>
        <w:tabs>
          <w:tab w:leader="none" w:pos="1941" w:val="left"/>
        </w:tabs>
        <w:numPr>
          <w:ilvl w:val="0"/>
          <w:numId w:val="137"/>
        </w:numPr>
        <w:rPr>
          <w:rFonts w:ascii="Arial" w:cs="Arial" w:eastAsia="Arial" w:hAnsi="Arial"/>
          <w:sz w:val="21"/>
          <w:szCs w:val="21"/>
          <w:color w:val="auto"/>
        </w:rPr>
      </w:pPr>
      <w:r>
        <w:rPr>
          <w:rFonts w:ascii="Arial" w:cs="Arial" w:eastAsia="Arial" w:hAnsi="Arial"/>
          <w:sz w:val="21"/>
          <w:szCs w:val="21"/>
          <w:color w:val="auto"/>
        </w:rPr>
        <w:t>This Agreement and the Plan constitute the entire contract between the parties hereto with regard to the subject matter hereof. This Agreement and the Plan supersede any other agreements, representations or understandings (whether oral or written and whether express or implied) which relate to the subject matter hereof.</w:t>
      </w:r>
    </w:p>
    <w:p>
      <w:pPr>
        <w:spacing w:after="0" w:line="194" w:lineRule="exact"/>
        <w:rPr>
          <w:rFonts w:ascii="Arial" w:cs="Arial" w:eastAsia="Arial" w:hAnsi="Arial"/>
          <w:sz w:val="21"/>
          <w:szCs w:val="21"/>
          <w:color w:val="auto"/>
        </w:rPr>
      </w:pPr>
    </w:p>
    <w:p>
      <w:pPr>
        <w:jc w:val="both"/>
        <w:ind w:right="160" w:firstLine="1304"/>
        <w:spacing w:after="0" w:line="343" w:lineRule="auto"/>
        <w:tabs>
          <w:tab w:leader="none" w:pos="1939" w:val="left"/>
        </w:tabs>
        <w:numPr>
          <w:ilvl w:val="0"/>
          <w:numId w:val="137"/>
        </w:numPr>
        <w:rPr>
          <w:rFonts w:ascii="Arial" w:cs="Arial" w:eastAsia="Arial" w:hAnsi="Arial"/>
          <w:sz w:val="19"/>
          <w:szCs w:val="19"/>
          <w:color w:val="auto"/>
        </w:rPr>
      </w:pPr>
      <w:r>
        <w:rPr>
          <w:rFonts w:ascii="Arial" w:cs="Arial" w:eastAsia="Arial" w:hAnsi="Arial"/>
          <w:sz w:val="19"/>
          <w:szCs w:val="19"/>
          <w:color w:val="auto"/>
        </w:rPr>
        <w:t>If the Participant has received this Agreement or any other document related to the Plan translated into a language other than English and if the translated version is different than the English version, the English version will control.</w:t>
      </w:r>
    </w:p>
    <w:p>
      <w:pPr>
        <w:spacing w:after="0" w:line="131" w:lineRule="exact"/>
        <w:rPr>
          <w:rFonts w:ascii="Arial" w:cs="Arial" w:eastAsia="Arial" w:hAnsi="Arial"/>
          <w:sz w:val="19"/>
          <w:szCs w:val="19"/>
          <w:color w:val="auto"/>
        </w:rPr>
      </w:pPr>
    </w:p>
    <w:p>
      <w:pPr>
        <w:ind w:right="160" w:firstLine="1304"/>
        <w:spacing w:after="0" w:line="343" w:lineRule="auto"/>
        <w:tabs>
          <w:tab w:leader="none" w:pos="1941" w:val="left"/>
        </w:tabs>
        <w:numPr>
          <w:ilvl w:val="0"/>
          <w:numId w:val="137"/>
        </w:numPr>
        <w:rPr>
          <w:rFonts w:ascii="Arial" w:cs="Arial" w:eastAsia="Arial" w:hAnsi="Arial"/>
          <w:sz w:val="19"/>
          <w:szCs w:val="19"/>
          <w:color w:val="auto"/>
        </w:rPr>
      </w:pPr>
      <w:r>
        <w:rPr>
          <w:rFonts w:ascii="Arial" w:cs="Arial" w:eastAsia="Arial" w:hAnsi="Arial"/>
          <w:sz w:val="19"/>
          <w:szCs w:val="19"/>
          <w:color w:val="auto"/>
        </w:rPr>
        <w:t>The provisions of this Agreement are severable and if any one or more provisions are determined to be illegal or otherwise unenforceable, in whole or in part, the remaining provisions shall nevertheless be binding and enforceable.</w:t>
      </w:r>
    </w:p>
    <w:p>
      <w:pPr>
        <w:spacing w:after="0" w:line="131" w:lineRule="exact"/>
        <w:rPr>
          <w:rFonts w:ascii="Arial" w:cs="Arial" w:eastAsia="Arial" w:hAnsi="Arial"/>
          <w:sz w:val="19"/>
          <w:szCs w:val="19"/>
          <w:color w:val="auto"/>
        </w:rPr>
      </w:pPr>
    </w:p>
    <w:p>
      <w:pPr>
        <w:ind w:firstLine="1304"/>
        <w:spacing w:after="0" w:line="263" w:lineRule="auto"/>
        <w:tabs>
          <w:tab w:leader="none" w:pos="1944"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This Agreement may be executed or deemed executed in two or more counterparts, each of which shall be deemed an original, but all of which shall constitute one and the same instrument.</w:t>
      </w:r>
    </w:p>
    <w:p>
      <w:pPr>
        <w:spacing w:after="0" w:line="19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Company has caused this grant of RSUs to be executed, as of the Date of Grant.</w:t>
      </w:r>
    </w:p>
    <w:p>
      <w:pPr>
        <w:spacing w:after="0" w:line="355"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BLOOMIN’ BRANDS,</w:t>
      </w:r>
    </w:p>
    <w:p>
      <w:pPr>
        <w:ind w:left="3760"/>
        <w:spacing w:after="0"/>
        <w:rPr>
          <w:sz w:val="20"/>
          <w:szCs w:val="20"/>
          <w:color w:val="auto"/>
        </w:rPr>
      </w:pPr>
      <w:r>
        <w:rPr>
          <w:rFonts w:ascii="Arial" w:cs="Arial" w:eastAsia="Arial" w:hAnsi="Arial"/>
          <w:sz w:val="22"/>
          <w:szCs w:val="22"/>
          <w:color w:val="auto"/>
        </w:rPr>
        <w:t>INC.</w:t>
      </w:r>
    </w:p>
    <w:p>
      <w:pPr>
        <w:spacing w:after="0" w:line="25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ELECTRONIC</w:t>
      </w:r>
    </w:p>
    <w:p>
      <w:pPr>
        <w:ind w:left="3100"/>
        <w:spacing w:after="0"/>
        <w:tabs>
          <w:tab w:leader="none" w:pos="3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SIGNATURE</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David Deno,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-157480</wp:posOffset>
            </wp:positionV>
            <wp:extent cx="19888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8">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ind w:left="3100"/>
        <w:spacing w:after="0"/>
        <w:rPr>
          <w:sz w:val="20"/>
          <w:szCs w:val="20"/>
          <w:color w:val="auto"/>
        </w:rPr>
      </w:pPr>
      <w:r>
        <w:rPr>
          <w:rFonts w:ascii="Arial" w:cs="Arial" w:eastAsia="Arial" w:hAnsi="Arial"/>
          <w:sz w:val="22"/>
          <w:szCs w:val="22"/>
          <w:color w:val="auto"/>
        </w:rPr>
        <w:t>(or Kelly Lefferts, Chief Legal Officer)</w:t>
      </w:r>
    </w:p>
    <w:p>
      <w:pPr>
        <w:sectPr>
          <w:pgSz w:w="11900" w:h="16838" w:orient="portrait"/>
          <w:cols w:equalWidth="0" w:num="1">
            <w:col w:w="11120"/>
          </w:cols>
          <w:pgMar w:left="320" w:top="901" w:right="45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56"/>
        </w:trPr>
        <w:tc>
          <w:tcPr>
            <w:tcW w:w="4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20" w:type="dxa"/>
            <w:vAlign w:val="bottom"/>
            <w:gridSpan w:val="2"/>
          </w:tcPr>
          <w:p>
            <w:pPr>
              <w:ind w:left="5600"/>
              <w:spacing w:after="0"/>
              <w:rPr>
                <w:sz w:val="20"/>
                <w:szCs w:val="20"/>
                <w:color w:val="auto"/>
              </w:rPr>
            </w:pPr>
            <w:r>
              <w:rPr>
                <w:rFonts w:ascii="Arial" w:cs="Arial" w:eastAsia="Arial" w:hAnsi="Arial"/>
                <w:sz w:val="20"/>
                <w:szCs w:val="20"/>
                <w:b w:val="1"/>
                <w:bCs w:val="1"/>
                <w:color w:val="auto"/>
                <w:w w:val="89"/>
              </w:rPr>
              <w:t>Exhibit 21.1</w:t>
            </w:r>
          </w:p>
        </w:tc>
      </w:tr>
      <w:tr>
        <w:trPr>
          <w:trHeight w:val="813"/>
        </w:trPr>
        <w:tc>
          <w:tcPr>
            <w:tcW w:w="462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SUBSIDIARY NAME</w:t>
            </w:r>
          </w:p>
        </w:tc>
        <w:tc>
          <w:tcPr>
            <w:tcW w:w="66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STATE OR OTHER JURISDICTION OF INCORPORATION OR ORGANIZATION</w:t>
            </w:r>
          </w:p>
        </w:tc>
      </w:tr>
      <w:tr>
        <w:trPr>
          <w:trHeight w:val="189"/>
        </w:trPr>
        <w:tc>
          <w:tcPr>
            <w:tcW w:w="4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Annapolis Outback, Inc.</w:t>
            </w:r>
          </w:p>
        </w:tc>
        <w:tc>
          <w:tcPr>
            <w:tcW w:w="120" w:type="dxa"/>
            <w:vAlign w:val="bottom"/>
            <w:tcBorders>
              <w:top w:val="single" w:sz="8" w:color="CCEEFF"/>
            </w:tcBorders>
            <w:shd w:val="clear" w:color="auto" w:fill="CCEEFF"/>
          </w:tcPr>
          <w:p>
            <w:pPr>
              <w:spacing w:after="0"/>
              <w:rPr>
                <w:sz w:val="16"/>
                <w:szCs w:val="16"/>
                <w:color w:val="auto"/>
              </w:rPr>
            </w:pPr>
          </w:p>
        </w:tc>
        <w:tc>
          <w:tcPr>
            <w:tcW w:w="6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MD</w:t>
            </w:r>
          </w:p>
        </w:tc>
        <w:tc>
          <w:tcPr>
            <w:tcW w:w="20" w:type="dxa"/>
            <w:vAlign w:val="bottom"/>
          </w:tcPr>
          <w:p>
            <w:pPr>
              <w:spacing w:after="0"/>
              <w:rPr>
                <w:sz w:val="16"/>
                <w:szCs w:val="16"/>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BBI International Holdings, Inc.</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BBI Ristorante Italiano,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Bel Air Outback, Inc.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BFG Nebraska, Inc.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BFG New Jersey Services, Limited Partnership</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BFG Oklahoma, Inc.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BFG Pennsylvania Services, Ltd</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BFG/FPS of Marlton Partnership</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Bloom Brands Holdings I C.V.</w:t>
            </w:r>
          </w:p>
        </w:tc>
        <w:tc>
          <w:tcPr>
            <w:tcW w:w="6600" w:type="dxa"/>
            <w:vAlign w:val="bottom"/>
          </w:tcPr>
          <w:p>
            <w:pPr>
              <w:jc w:val="center"/>
              <w:spacing w:after="0"/>
              <w:rPr>
                <w:sz w:val="20"/>
                <w:szCs w:val="20"/>
                <w:color w:val="auto"/>
              </w:rPr>
            </w:pPr>
            <w:r>
              <w:rPr>
                <w:rFonts w:ascii="Arial" w:cs="Arial" w:eastAsia="Arial" w:hAnsi="Arial"/>
                <w:sz w:val="14"/>
                <w:szCs w:val="14"/>
                <w:color w:val="auto"/>
              </w:rPr>
              <w:t>NL</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Bloom Brands Holdings II C.V.</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NL</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Bloom Group Holdings B.V.</w:t>
            </w:r>
          </w:p>
        </w:tc>
        <w:tc>
          <w:tcPr>
            <w:tcW w:w="6600" w:type="dxa"/>
            <w:vAlign w:val="bottom"/>
          </w:tcPr>
          <w:p>
            <w:pPr>
              <w:jc w:val="center"/>
              <w:spacing w:after="0"/>
              <w:rPr>
                <w:sz w:val="20"/>
                <w:szCs w:val="20"/>
                <w:color w:val="auto"/>
              </w:rPr>
            </w:pPr>
            <w:r>
              <w:rPr>
                <w:rFonts w:ascii="Arial" w:cs="Arial" w:eastAsia="Arial" w:hAnsi="Arial"/>
                <w:sz w:val="14"/>
                <w:szCs w:val="14"/>
                <w:color w:val="auto"/>
              </w:rPr>
              <w:t>NL</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Bloom Group Holdings II, B.V.</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NL</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Bloom Group Restaurants, LLC</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Bloom No.1 Limited</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HK</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Bloom Participações, Ltda.</w:t>
            </w:r>
          </w:p>
        </w:tc>
        <w:tc>
          <w:tcPr>
            <w:tcW w:w="6600" w:type="dxa"/>
            <w:vAlign w:val="bottom"/>
          </w:tcPr>
          <w:p>
            <w:pPr>
              <w:jc w:val="center"/>
              <w:spacing w:after="0"/>
              <w:rPr>
                <w:sz w:val="20"/>
                <w:szCs w:val="20"/>
                <w:color w:val="auto"/>
              </w:rPr>
            </w:pPr>
            <w:r>
              <w:rPr>
                <w:rFonts w:ascii="Arial" w:cs="Arial" w:eastAsia="Arial" w:hAnsi="Arial"/>
                <w:sz w:val="14"/>
                <w:szCs w:val="14"/>
                <w:color w:val="auto"/>
                <w:w w:val="92"/>
              </w:rPr>
              <w:t>BR</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Bloom Restaurantes Brasil S.A.</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BR</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Bloomin’ Brands Gift Card Services, LLC</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Bloomin’ Brands International,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Bloomin Puerto Rico L.P.</w:t>
            </w:r>
          </w:p>
        </w:tc>
        <w:tc>
          <w:tcPr>
            <w:tcW w:w="6600" w:type="dxa"/>
            <w:vAlign w:val="bottom"/>
          </w:tcPr>
          <w:p>
            <w:pPr>
              <w:jc w:val="center"/>
              <w:spacing w:after="0"/>
              <w:rPr>
                <w:sz w:val="20"/>
                <w:szCs w:val="20"/>
                <w:color w:val="auto"/>
              </w:rPr>
            </w:pPr>
            <w:r>
              <w:rPr>
                <w:rFonts w:ascii="Arial" w:cs="Arial" w:eastAsia="Arial" w:hAnsi="Arial"/>
                <w:sz w:val="14"/>
                <w:szCs w:val="14"/>
                <w:color w:val="auto"/>
                <w:w w:val="99"/>
              </w:rPr>
              <w:t>CI</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Bonefish Baltimore County,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Bonefish Beverages, LLC</w:t>
            </w:r>
          </w:p>
        </w:tc>
        <w:tc>
          <w:tcPr>
            <w:tcW w:w="6600" w:type="dxa"/>
            <w:vAlign w:val="bottom"/>
          </w:tcPr>
          <w:p>
            <w:pPr>
              <w:jc w:val="center"/>
              <w:spacing w:after="0"/>
              <w:rPr>
                <w:sz w:val="20"/>
                <w:szCs w:val="20"/>
                <w:color w:val="auto"/>
              </w:rPr>
            </w:pPr>
            <w:r>
              <w:rPr>
                <w:rFonts w:ascii="Arial" w:cs="Arial" w:eastAsia="Arial" w:hAnsi="Arial"/>
                <w:sz w:val="14"/>
                <w:szCs w:val="14"/>
                <w:color w:val="auto"/>
              </w:rPr>
              <w:t>TX</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Bonefish Brandywine,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Bonefish Designated Partner, LLC</w:t>
            </w:r>
          </w:p>
        </w:tc>
        <w:tc>
          <w:tcPr>
            <w:tcW w:w="6600" w:type="dxa"/>
            <w:vAlign w:val="bottom"/>
          </w:tcPr>
          <w:p>
            <w:pPr>
              <w:jc w:val="center"/>
              <w:spacing w:after="0"/>
              <w:rPr>
                <w:sz w:val="20"/>
                <w:szCs w:val="20"/>
                <w:color w:val="auto"/>
              </w:rPr>
            </w:pPr>
            <w:r>
              <w:rPr>
                <w:rFonts w:ascii="Arial" w:cs="Arial" w:eastAsia="Arial" w:hAnsi="Arial"/>
                <w:sz w:val="14"/>
                <w:szCs w:val="14"/>
                <w:color w:val="auto"/>
                <w:w w:val="92"/>
              </w:rPr>
              <w:t>DE</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Bonefish Grill International,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Bonefish Grill, LLC</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Bonefish Holdings,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TX</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Bonefish Kansas LLC</w:t>
            </w:r>
          </w:p>
        </w:tc>
        <w:tc>
          <w:tcPr>
            <w:tcW w:w="6600" w:type="dxa"/>
            <w:vAlign w:val="bottom"/>
          </w:tcPr>
          <w:p>
            <w:pPr>
              <w:jc w:val="center"/>
              <w:spacing w:after="0"/>
              <w:rPr>
                <w:sz w:val="20"/>
                <w:szCs w:val="20"/>
                <w:color w:val="auto"/>
              </w:rPr>
            </w:pPr>
            <w:r>
              <w:rPr>
                <w:rFonts w:ascii="Arial" w:cs="Arial" w:eastAsia="Arial" w:hAnsi="Arial"/>
                <w:sz w:val="14"/>
                <w:szCs w:val="14"/>
                <w:color w:val="auto"/>
                <w:w w:val="96"/>
              </w:rPr>
              <w:t>KS</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Bonefish of Bel Air,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Bonefish of Gaithersburg, Inc.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Bonefish/Anne Arundel,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Bonefish/Asheville, Limited Partnership</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Bonefish/Carolinas, Limited Partnership</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Bonefish/Centreville, Limited Partnership</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Bonefish/Columbus-I, Limited Partnership</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Bonefish/Crescent Springs, Limited Partnership</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Bonefish/Fredericksburg, Limited Partnership</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Bonefish/Glen Burnie, LLC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Bonefish/Greensboro, Limited Partnership</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Bonefish/Hyde Park, Limited Partnership</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Bonefish/Newport News, Limited Partnership</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Bonefish/Richmond, Limited Partnership</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Bonefish/Southern Virginia, Limited Partnership</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Bonefish/Virginia, Limited Partnership</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Carrabba’s Designated Partner,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DE</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Carrabba’s Italian Grill of Howard County, Inc.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Carrabba’s Italian Grill of Overlea, Inc.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Carrabba’s Italian Grill, LLC</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Carrabba’s Kansas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KS</w:t>
            </w:r>
          </w:p>
        </w:tc>
        <w:tc>
          <w:tcPr>
            <w:tcW w:w="20" w:type="dxa"/>
            <w:vAlign w:val="bottom"/>
          </w:tcPr>
          <w:p>
            <w:pPr>
              <w:spacing w:after="0"/>
              <w:rPr>
                <w:sz w:val="17"/>
                <w:szCs w:val="17"/>
                <w:color w:val="auto"/>
              </w:rPr>
            </w:pPr>
          </w:p>
        </w:tc>
      </w:tr>
    </w:tbl>
    <w:p>
      <w:pPr>
        <w:sectPr>
          <w:pgSz w:w="11900" w:h="16838" w:orient="portrait"/>
          <w:cols w:equalWidth="0" w:num="1">
            <w:col w:w="11240"/>
          </w:cols>
          <w:pgMar w:left="320" w:top="118" w:right="339" w:bottom="1440" w:gutter="0" w:footer="0" w:header="0"/>
        </w:sectPr>
      </w:pPr>
    </w:p>
    <w:bookmarkStart w:id="155" w:name="page156"/>
    <w:bookmarkEnd w:id="1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2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SUBSIDIARY NAME</w:t>
            </w:r>
          </w:p>
        </w:tc>
        <w:tc>
          <w:tcPr>
            <w:tcW w:w="6600" w:type="dxa"/>
            <w:vAlign w:val="bottom"/>
          </w:tcPr>
          <w:p>
            <w:pPr>
              <w:jc w:val="center"/>
              <w:spacing w:after="0"/>
              <w:rPr>
                <w:sz w:val="20"/>
                <w:szCs w:val="20"/>
                <w:color w:val="auto"/>
              </w:rPr>
            </w:pPr>
            <w:r>
              <w:rPr>
                <w:rFonts w:ascii="Arial" w:cs="Arial" w:eastAsia="Arial" w:hAnsi="Arial"/>
                <w:sz w:val="14"/>
                <w:szCs w:val="14"/>
                <w:b w:val="1"/>
                <w:bCs w:val="1"/>
                <w:color w:val="auto"/>
              </w:rPr>
              <w:t>STATE OR OTHER JURISDICTION OF INCORPORATION OR ORGANIZATION</w:t>
            </w:r>
          </w:p>
        </w:tc>
      </w:tr>
      <w:tr>
        <w:trPr>
          <w:trHeight w:val="186"/>
        </w:trPr>
        <w:tc>
          <w:tcPr>
            <w:tcW w:w="45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Carrabba’s of Bowie, LLC</w:t>
            </w:r>
          </w:p>
        </w:tc>
        <w:tc>
          <w:tcPr>
            <w:tcW w:w="120" w:type="dxa"/>
            <w:vAlign w:val="bottom"/>
          </w:tcPr>
          <w:p>
            <w:pPr>
              <w:spacing w:after="0"/>
              <w:rPr>
                <w:sz w:val="16"/>
                <w:szCs w:val="16"/>
                <w:color w:val="auto"/>
              </w:rPr>
            </w:pPr>
          </w:p>
        </w:tc>
        <w:tc>
          <w:tcPr>
            <w:tcW w:w="66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MD</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Carrabba’s of Germantown, Inc.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Carrabba’s of Ocean City, Inc.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Carrabba’s of Pasadena, Inc.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Carrabba’s of Waldorf, Inc.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Carrabba’s/Birmingham 280, Limited Partnership</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Carrabba’s/DC-I, Limited Partnership</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CIGI Beverages of Texas,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TX</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CIGI Florida Services, Ltd</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CIGI Holdings,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TX</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CIGI Nebraska, Inc.</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CIGI Oklahoma, Inc.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CIGI/BFG of East Brunswick Partnership</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DoorSide,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Dutch Holdings I, LLC</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Fleming’s Beverages,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TX</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Fleming’s International, LLC</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Fleming’s of Baltimore,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Flemings Restaurantes do Brasil Ltda.</w:t>
            </w:r>
          </w:p>
        </w:tc>
        <w:tc>
          <w:tcPr>
            <w:tcW w:w="6600" w:type="dxa"/>
            <w:vAlign w:val="bottom"/>
          </w:tcPr>
          <w:p>
            <w:pPr>
              <w:jc w:val="center"/>
              <w:spacing w:after="0"/>
              <w:rPr>
                <w:sz w:val="20"/>
                <w:szCs w:val="20"/>
                <w:color w:val="auto"/>
              </w:rPr>
            </w:pPr>
            <w:r>
              <w:rPr>
                <w:rFonts w:ascii="Arial" w:cs="Arial" w:eastAsia="Arial" w:hAnsi="Arial"/>
                <w:sz w:val="14"/>
                <w:szCs w:val="14"/>
                <w:color w:val="auto"/>
                <w:w w:val="92"/>
              </w:rPr>
              <w:t>BR</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Fleming’s/Outback Holdings,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TX</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FPS NEBRASKA, INC.</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FPS Oklahoma, Inc.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Frederick Outback, Inc.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Hagerstown Outback, Inc.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New Private Restaurant Properties, LLC</w:t>
            </w:r>
          </w:p>
        </w:tc>
        <w:tc>
          <w:tcPr>
            <w:tcW w:w="6600" w:type="dxa"/>
            <w:vAlign w:val="bottom"/>
          </w:tcPr>
          <w:p>
            <w:pPr>
              <w:jc w:val="center"/>
              <w:spacing w:after="0"/>
              <w:rPr>
                <w:sz w:val="20"/>
                <w:szCs w:val="20"/>
                <w:color w:val="auto"/>
              </w:rPr>
            </w:pPr>
            <w:r>
              <w:rPr>
                <w:rFonts w:ascii="Arial" w:cs="Arial" w:eastAsia="Arial" w:hAnsi="Arial"/>
                <w:sz w:val="14"/>
                <w:szCs w:val="14"/>
                <w:color w:val="auto"/>
                <w:w w:val="92"/>
              </w:rPr>
              <w:t>DE</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OBTex Holdings,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TX</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Ocean City Outback, Inc.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OS Management, Inc.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OS Niagara Falls, LLC</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OS Prime,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OS Realty, LLC</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OS Restaurant Services,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OS Southern, LLC</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OS Tropical,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OSF Florida Services, Ltd</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OSF Nebraska, Inc.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OSF New Jersey Services, Limited Partnership</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OSF New York Services, Limited Partnership</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OSF Oklahoma, Inc.</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OSF Pennsylvania Services, Ltd</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OSF Virginia Services, Limited Partnership</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OSF/BFG of Deptford Partnership</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OSF/BFG of Lawrenceville Partnership</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OSF/CIGI of Evesham Partnership</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OSI China Venture</w:t>
            </w:r>
          </w:p>
        </w:tc>
        <w:tc>
          <w:tcPr>
            <w:tcW w:w="6600" w:type="dxa"/>
            <w:vAlign w:val="bottom"/>
          </w:tcPr>
          <w:p>
            <w:pPr>
              <w:jc w:val="center"/>
              <w:spacing w:after="0"/>
              <w:rPr>
                <w:sz w:val="20"/>
                <w:szCs w:val="20"/>
                <w:color w:val="auto"/>
              </w:rPr>
            </w:pPr>
            <w:r>
              <w:rPr>
                <w:rFonts w:ascii="Arial" w:cs="Arial" w:eastAsia="Arial" w:hAnsi="Arial"/>
                <w:sz w:val="14"/>
                <w:szCs w:val="14"/>
                <w:color w:val="auto"/>
                <w:w w:val="99"/>
              </w:rPr>
              <w:t>CI</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OSI HoldCo, Inc.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DE</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OSI HoldCo I, Inc.</w:t>
            </w:r>
          </w:p>
        </w:tc>
        <w:tc>
          <w:tcPr>
            <w:tcW w:w="6600" w:type="dxa"/>
            <w:vAlign w:val="bottom"/>
          </w:tcPr>
          <w:p>
            <w:pPr>
              <w:jc w:val="center"/>
              <w:spacing w:after="0"/>
              <w:rPr>
                <w:sz w:val="20"/>
                <w:szCs w:val="20"/>
                <w:color w:val="auto"/>
              </w:rPr>
            </w:pPr>
            <w:r>
              <w:rPr>
                <w:rFonts w:ascii="Arial" w:cs="Arial" w:eastAsia="Arial" w:hAnsi="Arial"/>
                <w:sz w:val="14"/>
                <w:szCs w:val="14"/>
                <w:color w:val="auto"/>
                <w:w w:val="92"/>
              </w:rPr>
              <w:t>DE</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OSI HoldCo II, Inc.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DE</w:t>
            </w: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OSI International, LLC</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bl>
    <w:p>
      <w:pPr>
        <w:sectPr>
          <w:pgSz w:w="11900" w:h="16838" w:orient="portrait"/>
          <w:cols w:equalWidth="0" w:num="1">
            <w:col w:w="11220"/>
          </w:cols>
          <w:pgMar w:left="320" w:top="981" w:right="359" w:bottom="1440" w:gutter="0" w:footer="0" w:header="0"/>
        </w:sectPr>
      </w:pPr>
    </w:p>
    <w:bookmarkStart w:id="156" w:name="page157"/>
    <w:bookmarkEnd w:id="1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2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SUBSIDIARY NAME</w:t>
            </w:r>
          </w:p>
        </w:tc>
        <w:tc>
          <w:tcPr>
            <w:tcW w:w="6600" w:type="dxa"/>
            <w:vAlign w:val="bottom"/>
          </w:tcPr>
          <w:p>
            <w:pPr>
              <w:jc w:val="center"/>
              <w:spacing w:after="0"/>
              <w:rPr>
                <w:sz w:val="20"/>
                <w:szCs w:val="20"/>
                <w:color w:val="auto"/>
              </w:rPr>
            </w:pPr>
            <w:r>
              <w:rPr>
                <w:rFonts w:ascii="Arial" w:cs="Arial" w:eastAsia="Arial" w:hAnsi="Arial"/>
                <w:sz w:val="14"/>
                <w:szCs w:val="14"/>
                <w:b w:val="1"/>
                <w:bCs w:val="1"/>
                <w:color w:val="auto"/>
              </w:rPr>
              <w:t>STATE OR OTHER JURISDICTION OF INCORPORATION OR ORGANIZATION</w:t>
            </w:r>
          </w:p>
        </w:tc>
      </w:tr>
      <w:tr>
        <w:trPr>
          <w:trHeight w:val="189"/>
        </w:trPr>
        <w:tc>
          <w:tcPr>
            <w:tcW w:w="4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OSI Restaurant Partners, LLC</w:t>
            </w:r>
          </w:p>
        </w:tc>
        <w:tc>
          <w:tcPr>
            <w:tcW w:w="120" w:type="dxa"/>
            <w:vAlign w:val="bottom"/>
            <w:tcBorders>
              <w:top w:val="single" w:sz="8" w:color="CCEEFF"/>
            </w:tcBorders>
            <w:shd w:val="clear" w:color="auto" w:fill="CCEEFF"/>
          </w:tcPr>
          <w:p>
            <w:pPr>
              <w:spacing w:after="0"/>
              <w:rPr>
                <w:sz w:val="16"/>
                <w:szCs w:val="16"/>
                <w:color w:val="auto"/>
              </w:rPr>
            </w:pPr>
          </w:p>
        </w:tc>
        <w:tc>
          <w:tcPr>
            <w:tcW w:w="6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DE</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OSI/Fleming’s, LLC</w:t>
            </w:r>
          </w:p>
        </w:tc>
        <w:tc>
          <w:tcPr>
            <w:tcW w:w="6600" w:type="dxa"/>
            <w:vAlign w:val="bottom"/>
          </w:tcPr>
          <w:p>
            <w:pPr>
              <w:jc w:val="center"/>
              <w:spacing w:after="0"/>
              <w:rPr>
                <w:sz w:val="20"/>
                <w:szCs w:val="20"/>
                <w:color w:val="auto"/>
              </w:rPr>
            </w:pPr>
            <w:r>
              <w:rPr>
                <w:rFonts w:ascii="Arial" w:cs="Arial" w:eastAsia="Arial" w:hAnsi="Arial"/>
                <w:sz w:val="14"/>
                <w:szCs w:val="14"/>
                <w:color w:val="auto"/>
                <w:w w:val="92"/>
              </w:rPr>
              <w:t>DE</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Outback &amp; Carrabba’s of New Mexico, Inc.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 Alabama, Inc.</w:t>
            </w:r>
          </w:p>
        </w:tc>
        <w:tc>
          <w:tcPr>
            <w:tcW w:w="6600" w:type="dxa"/>
            <w:vAlign w:val="bottom"/>
          </w:tcPr>
          <w:p>
            <w:pPr>
              <w:jc w:val="center"/>
              <w:spacing w:after="0"/>
              <w:rPr>
                <w:sz w:val="20"/>
                <w:szCs w:val="20"/>
                <w:color w:val="auto"/>
              </w:rPr>
            </w:pPr>
            <w:r>
              <w:rPr>
                <w:rFonts w:ascii="Arial" w:cs="Arial" w:eastAsia="Arial" w:hAnsi="Arial"/>
                <w:sz w:val="14"/>
                <w:szCs w:val="14"/>
                <w:color w:val="auto"/>
              </w:rPr>
              <w:t>AL</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Outback Beverages of Texas,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TX</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 Designated Partner, LLC</w:t>
            </w:r>
          </w:p>
        </w:tc>
        <w:tc>
          <w:tcPr>
            <w:tcW w:w="6600" w:type="dxa"/>
            <w:vAlign w:val="bottom"/>
          </w:tcPr>
          <w:p>
            <w:pPr>
              <w:jc w:val="center"/>
              <w:spacing w:after="0"/>
              <w:rPr>
                <w:sz w:val="20"/>
                <w:szCs w:val="20"/>
                <w:color w:val="auto"/>
              </w:rPr>
            </w:pPr>
            <w:r>
              <w:rPr>
                <w:rFonts w:ascii="Arial" w:cs="Arial" w:eastAsia="Arial" w:hAnsi="Arial"/>
                <w:sz w:val="14"/>
                <w:szCs w:val="14"/>
                <w:color w:val="auto"/>
                <w:w w:val="92"/>
              </w:rPr>
              <w:t>DE</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Outback Kansas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KS</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 of Aspen Hill, Inc.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Outback of Calvert County, Inc.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 of Conway, Inc.</w:t>
            </w:r>
          </w:p>
        </w:tc>
        <w:tc>
          <w:tcPr>
            <w:tcW w:w="6600" w:type="dxa"/>
            <w:vAlign w:val="bottom"/>
          </w:tcPr>
          <w:p>
            <w:pPr>
              <w:jc w:val="center"/>
              <w:spacing w:after="0"/>
              <w:rPr>
                <w:sz w:val="20"/>
                <w:szCs w:val="20"/>
                <w:color w:val="auto"/>
              </w:rPr>
            </w:pPr>
            <w:r>
              <w:rPr>
                <w:rFonts w:ascii="Arial" w:cs="Arial" w:eastAsia="Arial" w:hAnsi="Arial"/>
                <w:sz w:val="14"/>
                <w:szCs w:val="14"/>
                <w:color w:val="auto"/>
              </w:rPr>
              <w:t>AR</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Outback of Germantown, Inc.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 of La Plata, Inc.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Outback of Laurel,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 of Waldorf, Inc.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Outback Philippines Development Holdings Corporation</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PI</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 Puerto Rico Designated Partner, LLC</w:t>
            </w:r>
          </w:p>
        </w:tc>
        <w:tc>
          <w:tcPr>
            <w:tcW w:w="6600" w:type="dxa"/>
            <w:vAlign w:val="bottom"/>
          </w:tcPr>
          <w:p>
            <w:pPr>
              <w:jc w:val="center"/>
              <w:spacing w:after="0"/>
              <w:rPr>
                <w:sz w:val="20"/>
                <w:szCs w:val="20"/>
                <w:color w:val="auto"/>
              </w:rPr>
            </w:pPr>
            <w:r>
              <w:rPr>
                <w:rFonts w:ascii="Arial" w:cs="Arial" w:eastAsia="Arial" w:hAnsi="Arial"/>
                <w:sz w:val="14"/>
                <w:szCs w:val="14"/>
                <w:color w:val="auto"/>
                <w:w w:val="92"/>
              </w:rPr>
              <w:t>DE</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Outback Steakhouse International Investments, Co.</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CI</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 Steakhouse International, L.P.</w:t>
            </w:r>
          </w:p>
        </w:tc>
        <w:tc>
          <w:tcPr>
            <w:tcW w:w="6600" w:type="dxa"/>
            <w:vAlign w:val="bottom"/>
          </w:tcPr>
          <w:p>
            <w:pPr>
              <w:jc w:val="center"/>
              <w:spacing w:after="0"/>
              <w:rPr>
                <w:sz w:val="20"/>
                <w:szCs w:val="20"/>
                <w:color w:val="auto"/>
              </w:rPr>
            </w:pPr>
            <w:r>
              <w:rPr>
                <w:rFonts w:ascii="Arial" w:cs="Arial" w:eastAsia="Arial" w:hAnsi="Arial"/>
                <w:sz w:val="14"/>
                <w:szCs w:val="14"/>
                <w:color w:val="auto"/>
              </w:rPr>
              <w:t>GA</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Outback Steakhouse International,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 Steakhouse of Bowie, Inc.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Outback Steakhouse of Canton, Inc.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 Steakhouse of Florida, LLC</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Outback Steakhouse of Howard County, Inc.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 Steakhouse of Jonesboro, Inc.</w:t>
            </w:r>
          </w:p>
        </w:tc>
        <w:tc>
          <w:tcPr>
            <w:tcW w:w="6600" w:type="dxa"/>
            <w:vAlign w:val="bottom"/>
          </w:tcPr>
          <w:p>
            <w:pPr>
              <w:jc w:val="center"/>
              <w:spacing w:after="0"/>
              <w:rPr>
                <w:sz w:val="20"/>
                <w:szCs w:val="20"/>
                <w:color w:val="auto"/>
              </w:rPr>
            </w:pPr>
            <w:r>
              <w:rPr>
                <w:rFonts w:ascii="Arial" w:cs="Arial" w:eastAsia="Arial" w:hAnsi="Arial"/>
                <w:sz w:val="14"/>
                <w:szCs w:val="14"/>
                <w:color w:val="auto"/>
              </w:rPr>
              <w:t>AR</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Outback Steakhouse of Salisbury, Inc.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 Steakhouse of St. Mary’s County, Inc.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Outback Steakhouse Restaurantes Brasil, S.A. (f/k/a Bloom Holdco)</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BR</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 Steakhouse West Virginia, Inc.</w:t>
            </w:r>
          </w:p>
        </w:tc>
        <w:tc>
          <w:tcPr>
            <w:tcW w:w="6600" w:type="dxa"/>
            <w:vAlign w:val="bottom"/>
          </w:tcPr>
          <w:p>
            <w:pPr>
              <w:jc w:val="center"/>
              <w:spacing w:after="0"/>
              <w:rPr>
                <w:sz w:val="20"/>
                <w:szCs w:val="20"/>
                <w:color w:val="auto"/>
              </w:rPr>
            </w:pPr>
            <w:r>
              <w:rPr>
                <w:rFonts w:ascii="Arial" w:cs="Arial" w:eastAsia="Arial" w:hAnsi="Arial"/>
                <w:sz w:val="14"/>
                <w:szCs w:val="14"/>
                <w:color w:val="auto"/>
              </w:rPr>
              <w:t>WV</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Outback/Carrabba’s Partnership</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Outback/Fleming’s Designated Partner, LLC</w:t>
            </w:r>
          </w:p>
        </w:tc>
        <w:tc>
          <w:tcPr>
            <w:tcW w:w="6600" w:type="dxa"/>
            <w:vAlign w:val="bottom"/>
          </w:tcPr>
          <w:p>
            <w:pPr>
              <w:jc w:val="center"/>
              <w:spacing w:after="0"/>
              <w:rPr>
                <w:sz w:val="20"/>
                <w:szCs w:val="20"/>
                <w:color w:val="auto"/>
              </w:rPr>
            </w:pPr>
            <w:r>
              <w:rPr>
                <w:rFonts w:ascii="Arial" w:cs="Arial" w:eastAsia="Arial" w:hAnsi="Arial"/>
                <w:sz w:val="14"/>
                <w:szCs w:val="14"/>
                <w:color w:val="auto"/>
                <w:w w:val="92"/>
              </w:rPr>
              <w:t>DE</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Outback/Hampton, Limited Partnership</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Outback/Stone-II, Limited Partnership</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Outback-Carrabba’s of Hunt Valley, Inc.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Owings Mills Incorporated</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Perry Hall Outback, Inc.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Prince George’s County Outback, Inc.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Private Restaurant Master Lessee,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DE</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Williamsburg Square Joint Venture</w:t>
            </w:r>
          </w:p>
        </w:tc>
        <w:tc>
          <w:tcPr>
            <w:tcW w:w="6600" w:type="dxa"/>
            <w:vAlign w:val="bottom"/>
          </w:tcPr>
          <w:p>
            <w:pPr>
              <w:jc w:val="center"/>
              <w:spacing w:after="0"/>
              <w:rPr>
                <w:sz w:val="20"/>
                <w:szCs w:val="20"/>
                <w:color w:val="auto"/>
              </w:rPr>
            </w:pPr>
            <w:r>
              <w:rPr>
                <w:rFonts w:ascii="Arial" w:cs="Arial" w:eastAsia="Arial" w:hAnsi="Arial"/>
                <w:sz w:val="14"/>
                <w:szCs w:val="14"/>
                <w:color w:val="auto"/>
                <w:w w:val="96"/>
              </w:rPr>
              <w:t>PA</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Xuanmei Food and Beverage (Shanghai) Co., Ltd.</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CN</w:t>
            </w:r>
          </w:p>
        </w:tc>
      </w:tr>
    </w:tbl>
    <w:p>
      <w:pPr>
        <w:sectPr>
          <w:pgSz w:w="11900" w:h="16838" w:orient="portrait"/>
          <w:cols w:equalWidth="0" w:num="1">
            <w:col w:w="11220"/>
          </w:cols>
          <w:pgMar w:left="320" w:top="981" w:right="359" w:bottom="1440" w:gutter="0" w:footer="0" w:header="0"/>
        </w:sectPr>
      </w:pPr>
    </w:p>
    <w:bookmarkStart w:id="157" w:name="page158"/>
    <w:bookmarkEnd w:id="157"/>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CONSENT OF INDEPENDENT REGISTERED PUBLIC ACCOUNTING FIRM</w:t>
      </w:r>
    </w:p>
    <w:p>
      <w:pPr>
        <w:spacing w:after="0" w:line="200" w:lineRule="exact"/>
        <w:rPr>
          <w:sz w:val="20"/>
          <w:szCs w:val="20"/>
          <w:color w:val="auto"/>
        </w:rPr>
      </w:pPr>
    </w:p>
    <w:p>
      <w:pPr>
        <w:spacing w:after="0" w:line="23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hereby consent to the incorporation by reference in the Registration Statements on Form S-8 (Nos. 333-183270, 333-187035, 333-194261, 333-202259, 333-209691, 333-210868 and 333-238805) of Bloomin’ Brands, Inc. of our report dated February 24, 2021 relating to the financial statements and the effectiveness of internal control over financial reporting, which appears in this Form 10-K.</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LLP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Tampa, Florida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24, 2021</w:t>
      </w:r>
    </w:p>
    <w:p>
      <w:pPr>
        <w:sectPr>
          <w:pgSz w:w="11900" w:h="16838" w:orient="portrait"/>
          <w:cols w:equalWidth="0" w:num="1">
            <w:col w:w="11240"/>
          </w:cols>
          <w:pgMar w:left="320" w:top="360"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20"/>
          <w:szCs w:val="20"/>
          <w:b w:val="1"/>
          <w:bCs w:val="1"/>
          <w:color w:val="auto"/>
        </w:rPr>
        <w:t>Exhibit 31.1</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I, David J. Deno, certify that:</w:t>
      </w:r>
    </w:p>
    <w:p>
      <w:pPr>
        <w:spacing w:after="0" w:line="243" w:lineRule="exact"/>
        <w:rPr>
          <w:sz w:val="20"/>
          <w:szCs w:val="20"/>
          <w:color w:val="auto"/>
        </w:rPr>
      </w:pPr>
    </w:p>
    <w:p>
      <w:pPr>
        <w:ind w:left="580" w:hanging="572"/>
        <w:spacing w:after="0"/>
        <w:tabs>
          <w:tab w:leader="none" w:pos="58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Bloomin’ Brands, Inc.;</w:t>
      </w:r>
    </w:p>
    <w:p>
      <w:pPr>
        <w:spacing w:after="0" w:line="242"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Arial" w:cs="Arial" w:eastAsia="Arial" w:hAnsi="Arial"/>
          <w:sz w:val="20"/>
          <w:szCs w:val="20"/>
          <w:color w:val="auto"/>
        </w:rPr>
      </w:pPr>
    </w:p>
    <w:p>
      <w:pPr>
        <w:jc w:val="both"/>
        <w:ind w:left="1300" w:hanging="482"/>
        <w:spacing w:after="0" w:line="291" w:lineRule="auto"/>
        <w:tabs>
          <w:tab w:leader="none" w:pos="129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8"/>
          <w:szCs w:val="18"/>
          <w:color w:val="auto"/>
        </w:rPr>
      </w:pPr>
    </w:p>
    <w:p>
      <w:pPr>
        <w:jc w:val="both"/>
        <w:ind w:left="1300" w:hanging="482"/>
        <w:spacing w:after="0" w:line="269" w:lineRule="auto"/>
        <w:tabs>
          <w:tab w:leader="none" w:pos="1288" w:val="left"/>
        </w:tabs>
        <w:numPr>
          <w:ilvl w:val="1"/>
          <w:numId w:val="138"/>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6" w:lineRule="exact"/>
        <w:rPr>
          <w:rFonts w:ascii="Arial" w:cs="Arial" w:eastAsia="Arial" w:hAnsi="Arial"/>
          <w:sz w:val="19"/>
          <w:szCs w:val="19"/>
          <w:color w:val="auto"/>
        </w:rPr>
      </w:pPr>
    </w:p>
    <w:p>
      <w:pPr>
        <w:jc w:val="both"/>
        <w:ind w:left="1300" w:hanging="482"/>
        <w:spacing w:after="0" w:line="250" w:lineRule="auto"/>
        <w:tabs>
          <w:tab w:leader="none" w:pos="1290" w:val="left"/>
        </w:tabs>
        <w:numPr>
          <w:ilvl w:val="1"/>
          <w:numId w:val="13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20"/>
          <w:szCs w:val="20"/>
          <w:color w:val="auto"/>
        </w:rPr>
      </w:pPr>
    </w:p>
    <w:p>
      <w:pPr>
        <w:jc w:val="both"/>
        <w:ind w:left="1300" w:hanging="482"/>
        <w:spacing w:after="0" w:line="291" w:lineRule="auto"/>
        <w:tabs>
          <w:tab w:leader="none" w:pos="1288" w:val="left"/>
        </w:tabs>
        <w:numPr>
          <w:ilvl w:val="1"/>
          <w:numId w:val="1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Arial" w:cs="Arial" w:eastAsia="Arial" w:hAnsi="Arial"/>
          <w:sz w:val="18"/>
          <w:szCs w:val="18"/>
          <w:color w:val="auto"/>
        </w:rPr>
      </w:pPr>
    </w:p>
    <w:p>
      <w:pPr>
        <w:jc w:val="both"/>
        <w:ind w:left="580" w:hanging="572"/>
        <w:spacing w:after="0" w:line="250" w:lineRule="auto"/>
        <w:tabs>
          <w:tab w:leader="none" w:pos="58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2" w:lineRule="exact"/>
        <w:rPr>
          <w:rFonts w:ascii="Arial" w:cs="Arial" w:eastAsia="Arial" w:hAnsi="Arial"/>
          <w:sz w:val="20"/>
          <w:szCs w:val="20"/>
          <w:color w:val="auto"/>
        </w:rPr>
      </w:pPr>
    </w:p>
    <w:p>
      <w:pPr>
        <w:jc w:val="both"/>
        <w:ind w:left="1300" w:hanging="482"/>
        <w:spacing w:after="0" w:line="250" w:lineRule="auto"/>
        <w:tabs>
          <w:tab w:leader="none" w:pos="1290" w:val="left"/>
        </w:tabs>
        <w:numPr>
          <w:ilvl w:val="1"/>
          <w:numId w:val="13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20"/>
          <w:szCs w:val="20"/>
          <w:color w:val="auto"/>
        </w:rPr>
      </w:pPr>
    </w:p>
    <w:p>
      <w:pPr>
        <w:ind w:left="1300" w:hanging="482"/>
        <w:spacing w:after="0" w:line="260" w:lineRule="auto"/>
        <w:tabs>
          <w:tab w:leader="none" w:pos="1288" w:val="left"/>
        </w:tabs>
        <w:numPr>
          <w:ilvl w:val="1"/>
          <w:numId w:val="13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71" w:lineRule="exact"/>
        <w:rPr>
          <w:sz w:val="20"/>
          <w:szCs w:val="20"/>
          <w:color w:val="auto"/>
        </w:rPr>
      </w:pPr>
    </w:p>
    <w:p>
      <w:pPr>
        <w:ind w:left="40"/>
        <w:spacing w:after="0"/>
        <w:tabs>
          <w:tab w:leader="none" w:pos="680" w:val="left"/>
          <w:tab w:leader="none" w:pos="4900" w:val="left"/>
        </w:tabs>
        <w:rPr>
          <w:sz w:val="20"/>
          <w:szCs w:val="20"/>
          <w:color w:val="auto"/>
        </w:rPr>
      </w:pPr>
      <w:r>
        <w:rPr>
          <w:rFonts w:ascii="Arial" w:cs="Arial" w:eastAsia="Arial" w:hAnsi="Arial"/>
          <w:sz w:val="20"/>
          <w:szCs w:val="20"/>
          <w:color w:val="auto"/>
        </w:rPr>
        <w:t>Date:</w:t>
        <w:tab/>
        <w:t>February 24, 2021</w:t>
      </w:r>
      <w:r>
        <w:rPr>
          <w:sz w:val="20"/>
          <w:szCs w:val="20"/>
          <w:color w:val="auto"/>
        </w:rPr>
        <w:tab/>
      </w:r>
      <w:r>
        <w:rPr>
          <w:rFonts w:ascii="Arial" w:cs="Arial" w:eastAsia="Arial" w:hAnsi="Arial"/>
          <w:sz w:val="18"/>
          <w:szCs w:val="18"/>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10160</wp:posOffset>
            </wp:positionV>
            <wp:extent cx="401193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9">
                      <a:extLst>
                        <a:ext uri="{28A0092B-C50C-407E-A947-70E740481C1C}"/>
                      </a:extLst>
                    </a:blip>
                    <a:srcRect/>
                    <a:stretch>
                      <a:fillRect/>
                    </a:stretch>
                  </pic:blipFill>
                  <pic:spPr bwMode="auto">
                    <a:xfrm>
                      <a:off x="0" y="0"/>
                      <a:ext cx="4011930" cy="17145"/>
                    </a:xfrm>
                    <a:prstGeom prst="rect">
                      <a:avLst/>
                    </a:prstGeom>
                    <a:noFill/>
                  </pic:spPr>
                </pic:pic>
              </a:graphicData>
            </a:graphic>
          </wp:anchor>
        </w:drawing>
      </w:r>
    </w:p>
    <w:p>
      <w:pPr>
        <w:spacing w:after="0" w:line="20"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David J. Deno</w:t>
      </w:r>
    </w:p>
    <w:p>
      <w:pPr>
        <w:ind w:left="4920"/>
        <w:spacing w:after="0" w:line="227" w:lineRule="auto"/>
        <w:rPr>
          <w:sz w:val="20"/>
          <w:szCs w:val="20"/>
          <w:color w:val="auto"/>
        </w:rPr>
      </w:pPr>
      <w:r>
        <w:rPr>
          <w:rFonts w:ascii="Arial" w:cs="Arial" w:eastAsia="Arial" w:hAnsi="Arial"/>
          <w:sz w:val="20"/>
          <w:szCs w:val="20"/>
          <w:color w:val="auto"/>
        </w:rPr>
        <w:t>Chief Executive Officer</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(Principal Executive Officer)</w:t>
      </w:r>
    </w:p>
    <w:p>
      <w:pPr>
        <w:sectPr>
          <w:pgSz w:w="11900" w:h="16838" w:orient="portrait"/>
          <w:cols w:equalWidth="0" w:num="1">
            <w:col w:w="11240"/>
          </w:cols>
          <w:pgMar w:left="320" w:top="360"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20"/>
          <w:szCs w:val="20"/>
          <w:b w:val="1"/>
          <w:bCs w:val="1"/>
          <w:color w:val="auto"/>
        </w:rPr>
        <w:t>Exhibit 31.2</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I, Christopher Meyer, certify that:</w:t>
      </w:r>
    </w:p>
    <w:p>
      <w:pPr>
        <w:spacing w:after="0" w:line="243" w:lineRule="exact"/>
        <w:rPr>
          <w:sz w:val="20"/>
          <w:szCs w:val="20"/>
          <w:color w:val="auto"/>
        </w:rPr>
      </w:pPr>
    </w:p>
    <w:p>
      <w:pPr>
        <w:ind w:left="580" w:hanging="572"/>
        <w:spacing w:after="0"/>
        <w:tabs>
          <w:tab w:leader="none" w:pos="58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Bloomin’ Brands, Inc.;</w:t>
      </w:r>
    </w:p>
    <w:p>
      <w:pPr>
        <w:spacing w:after="0" w:line="242"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Arial" w:cs="Arial" w:eastAsia="Arial" w:hAnsi="Arial"/>
          <w:sz w:val="20"/>
          <w:szCs w:val="20"/>
          <w:color w:val="auto"/>
        </w:rPr>
      </w:pPr>
    </w:p>
    <w:p>
      <w:pPr>
        <w:jc w:val="both"/>
        <w:ind w:left="1300" w:hanging="482"/>
        <w:spacing w:after="0" w:line="291" w:lineRule="auto"/>
        <w:tabs>
          <w:tab w:leader="none" w:pos="129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8"/>
          <w:szCs w:val="18"/>
          <w:color w:val="auto"/>
        </w:rPr>
      </w:pPr>
    </w:p>
    <w:p>
      <w:pPr>
        <w:jc w:val="both"/>
        <w:ind w:left="1300" w:hanging="482"/>
        <w:spacing w:after="0" w:line="269" w:lineRule="auto"/>
        <w:tabs>
          <w:tab w:leader="none" w:pos="1288" w:val="left"/>
        </w:tabs>
        <w:numPr>
          <w:ilvl w:val="1"/>
          <w:numId w:val="139"/>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6" w:lineRule="exact"/>
        <w:rPr>
          <w:rFonts w:ascii="Arial" w:cs="Arial" w:eastAsia="Arial" w:hAnsi="Arial"/>
          <w:sz w:val="19"/>
          <w:szCs w:val="19"/>
          <w:color w:val="auto"/>
        </w:rPr>
      </w:pPr>
    </w:p>
    <w:p>
      <w:pPr>
        <w:jc w:val="both"/>
        <w:ind w:left="1300" w:hanging="482"/>
        <w:spacing w:after="0" w:line="250" w:lineRule="auto"/>
        <w:tabs>
          <w:tab w:leader="none" w:pos="1290" w:val="left"/>
        </w:tabs>
        <w:numPr>
          <w:ilvl w:val="1"/>
          <w:numId w:val="13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20"/>
          <w:szCs w:val="20"/>
          <w:color w:val="auto"/>
        </w:rPr>
      </w:pPr>
    </w:p>
    <w:p>
      <w:pPr>
        <w:jc w:val="both"/>
        <w:ind w:left="1300" w:hanging="482"/>
        <w:spacing w:after="0" w:line="291" w:lineRule="auto"/>
        <w:tabs>
          <w:tab w:leader="none" w:pos="128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Arial" w:cs="Arial" w:eastAsia="Arial" w:hAnsi="Arial"/>
          <w:sz w:val="18"/>
          <w:szCs w:val="18"/>
          <w:color w:val="auto"/>
        </w:rPr>
      </w:pPr>
    </w:p>
    <w:p>
      <w:pPr>
        <w:jc w:val="both"/>
        <w:ind w:left="580" w:hanging="572"/>
        <w:spacing w:after="0" w:line="250" w:lineRule="auto"/>
        <w:tabs>
          <w:tab w:leader="none" w:pos="58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2" w:lineRule="exact"/>
        <w:rPr>
          <w:rFonts w:ascii="Arial" w:cs="Arial" w:eastAsia="Arial" w:hAnsi="Arial"/>
          <w:sz w:val="20"/>
          <w:szCs w:val="20"/>
          <w:color w:val="auto"/>
        </w:rPr>
      </w:pPr>
    </w:p>
    <w:p>
      <w:pPr>
        <w:jc w:val="both"/>
        <w:ind w:left="1300" w:hanging="482"/>
        <w:spacing w:after="0" w:line="250" w:lineRule="auto"/>
        <w:tabs>
          <w:tab w:leader="none" w:pos="1290" w:val="left"/>
        </w:tabs>
        <w:numPr>
          <w:ilvl w:val="1"/>
          <w:numId w:val="139"/>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20"/>
          <w:szCs w:val="20"/>
          <w:color w:val="auto"/>
        </w:rPr>
      </w:pPr>
    </w:p>
    <w:p>
      <w:pPr>
        <w:ind w:left="1300" w:hanging="482"/>
        <w:spacing w:after="0" w:line="260" w:lineRule="auto"/>
        <w:tabs>
          <w:tab w:leader="none" w:pos="1288" w:val="left"/>
        </w:tabs>
        <w:numPr>
          <w:ilvl w:val="1"/>
          <w:numId w:val="13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71" w:lineRule="exact"/>
        <w:rPr>
          <w:sz w:val="20"/>
          <w:szCs w:val="20"/>
          <w:color w:val="auto"/>
        </w:rPr>
      </w:pPr>
    </w:p>
    <w:p>
      <w:pPr>
        <w:ind w:left="40"/>
        <w:spacing w:after="0"/>
        <w:tabs>
          <w:tab w:leader="none" w:pos="680" w:val="left"/>
          <w:tab w:leader="none" w:pos="4900" w:val="left"/>
        </w:tabs>
        <w:rPr>
          <w:sz w:val="20"/>
          <w:szCs w:val="20"/>
          <w:color w:val="auto"/>
        </w:rPr>
      </w:pPr>
      <w:r>
        <w:rPr>
          <w:rFonts w:ascii="Arial" w:cs="Arial" w:eastAsia="Arial" w:hAnsi="Arial"/>
          <w:sz w:val="20"/>
          <w:szCs w:val="20"/>
          <w:color w:val="auto"/>
        </w:rPr>
        <w:t>Date:</w:t>
        <w:tab/>
        <w:t>February 24, 2021</w:t>
      </w:r>
      <w:r>
        <w:rPr>
          <w:sz w:val="20"/>
          <w:szCs w:val="20"/>
          <w:color w:val="auto"/>
        </w:rPr>
        <w:tab/>
      </w:r>
      <w:r>
        <w:rPr>
          <w:rFonts w:ascii="Arial" w:cs="Arial" w:eastAsia="Arial" w:hAnsi="Arial"/>
          <w:sz w:val="18"/>
          <w:szCs w:val="18"/>
          <w:color w:val="auto"/>
        </w:rPr>
        <w:t>/s/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10160</wp:posOffset>
            </wp:positionV>
            <wp:extent cx="401193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0">
                      <a:extLst>
                        <a:ext uri="{28A0092B-C50C-407E-A947-70E740481C1C}"/>
                      </a:extLst>
                    </a:blip>
                    <a:srcRect/>
                    <a:stretch>
                      <a:fillRect/>
                    </a:stretch>
                  </pic:blipFill>
                  <pic:spPr bwMode="auto">
                    <a:xfrm>
                      <a:off x="0" y="0"/>
                      <a:ext cx="4011930" cy="17145"/>
                    </a:xfrm>
                    <a:prstGeom prst="rect">
                      <a:avLst/>
                    </a:prstGeom>
                    <a:noFill/>
                  </pic:spPr>
                </pic:pic>
              </a:graphicData>
            </a:graphic>
          </wp:anchor>
        </w:drawing>
      </w:r>
    </w:p>
    <w:p>
      <w:pPr>
        <w:spacing w:after="0" w:line="20"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Christopher Meyer</w:t>
      </w:r>
    </w:p>
    <w:p>
      <w:pPr>
        <w:ind w:left="4920"/>
        <w:spacing w:after="0" w:line="227" w:lineRule="auto"/>
        <w:rPr>
          <w:sz w:val="20"/>
          <w:szCs w:val="20"/>
          <w:color w:val="auto"/>
        </w:rPr>
      </w:pPr>
      <w:r>
        <w:rPr>
          <w:rFonts w:ascii="Arial" w:cs="Arial" w:eastAsia="Arial" w:hAnsi="Arial"/>
          <w:sz w:val="20"/>
          <w:szCs w:val="20"/>
          <w:color w:val="auto"/>
        </w:rPr>
        <w:t>Executive Vice President and Chief Financial Officer</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(Principal Financial and Accounting Officer)</w:t>
      </w:r>
    </w:p>
    <w:p>
      <w:pPr>
        <w:sectPr>
          <w:pgSz w:w="11900" w:h="16838" w:orient="portrait"/>
          <w:cols w:equalWidth="0" w:num="1">
            <w:col w:w="11240"/>
          </w:cols>
          <w:pgMar w:left="320" w:top="360"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340" w:right="52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connection with the Annual Report of Bloomin’ Brands, Inc. (the “Company”) on Form 10-K for the year ended December 27, 2020 as filed with the Securities and Exchange Commission on the date hereof (the “Report”), I, David J. Deno, Chief Executive Officer of the Company, hereby certify, pursuant to 18 U.S.C. Section 1350, as adopted pursuant to Section 906 of the Sarbanes-Oxley Act of 2002, to the best of my knowledge, that:</w:t>
      </w:r>
    </w:p>
    <w:p>
      <w:pPr>
        <w:spacing w:after="0" w:line="218" w:lineRule="exact"/>
        <w:rPr>
          <w:sz w:val="20"/>
          <w:szCs w:val="20"/>
          <w:color w:val="auto"/>
        </w:rPr>
      </w:pPr>
    </w:p>
    <w:p>
      <w:pPr>
        <w:ind w:left="640" w:hanging="308"/>
        <w:spacing w:after="0"/>
        <w:tabs>
          <w:tab w:leader="none" w:pos="64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42"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140"/>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 for the dates and periods covered by the Report.</w:t>
      </w:r>
    </w:p>
    <w:p>
      <w:pPr>
        <w:spacing w:after="0" w:line="271" w:lineRule="exact"/>
        <w:rPr>
          <w:sz w:val="20"/>
          <w:szCs w:val="20"/>
          <w:color w:val="auto"/>
        </w:rPr>
      </w:pPr>
    </w:p>
    <w:p>
      <w:pPr>
        <w:ind w:left="40"/>
        <w:spacing w:after="0"/>
        <w:tabs>
          <w:tab w:leader="none" w:pos="680" w:val="left"/>
          <w:tab w:leader="none" w:pos="4900" w:val="left"/>
        </w:tabs>
        <w:rPr>
          <w:sz w:val="20"/>
          <w:szCs w:val="20"/>
          <w:color w:val="auto"/>
        </w:rPr>
      </w:pPr>
      <w:r>
        <w:rPr>
          <w:rFonts w:ascii="Arial" w:cs="Arial" w:eastAsia="Arial" w:hAnsi="Arial"/>
          <w:sz w:val="20"/>
          <w:szCs w:val="20"/>
          <w:color w:val="auto"/>
        </w:rPr>
        <w:t>Date:</w:t>
        <w:tab/>
        <w:t>February 24, 2021</w:t>
      </w:r>
      <w:r>
        <w:rPr>
          <w:sz w:val="20"/>
          <w:szCs w:val="20"/>
          <w:color w:val="auto"/>
        </w:rPr>
        <w:tab/>
      </w:r>
      <w:r>
        <w:rPr>
          <w:rFonts w:ascii="Arial" w:cs="Arial" w:eastAsia="Arial" w:hAnsi="Arial"/>
          <w:sz w:val="18"/>
          <w:szCs w:val="18"/>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10160</wp:posOffset>
            </wp:positionV>
            <wp:extent cx="401193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1">
                      <a:extLst>
                        <a:ext uri="{28A0092B-C50C-407E-A947-70E740481C1C}"/>
                      </a:extLst>
                    </a:blip>
                    <a:srcRect/>
                    <a:stretch>
                      <a:fillRect/>
                    </a:stretch>
                  </pic:blipFill>
                  <pic:spPr bwMode="auto">
                    <a:xfrm>
                      <a:off x="0" y="0"/>
                      <a:ext cx="4011930" cy="17145"/>
                    </a:xfrm>
                    <a:prstGeom prst="rect">
                      <a:avLst/>
                    </a:prstGeom>
                    <a:noFill/>
                  </pic:spPr>
                </pic:pic>
              </a:graphicData>
            </a:graphic>
          </wp:anchor>
        </w:drawing>
      </w:r>
    </w:p>
    <w:p>
      <w:pPr>
        <w:spacing w:after="0" w:line="20"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David J. Deno</w:t>
      </w:r>
    </w:p>
    <w:p>
      <w:pPr>
        <w:ind w:left="4920"/>
        <w:spacing w:after="0" w:line="227" w:lineRule="auto"/>
        <w:rPr>
          <w:sz w:val="20"/>
          <w:szCs w:val="20"/>
          <w:color w:val="auto"/>
        </w:rPr>
      </w:pPr>
      <w:r>
        <w:rPr>
          <w:rFonts w:ascii="Arial" w:cs="Arial" w:eastAsia="Arial" w:hAnsi="Arial"/>
          <w:sz w:val="20"/>
          <w:szCs w:val="20"/>
          <w:color w:val="auto"/>
        </w:rPr>
        <w:t>Chief Executive Officer</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(Principal Executive Officer)</w:t>
      </w:r>
    </w:p>
    <w:p>
      <w:pPr>
        <w:spacing w:after="0" w:line="32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and will be retained by, Bloomin’ Brands, Inc. and furnished to the Securities and Exchange Commission or its staff upon request.</w:t>
      </w:r>
    </w:p>
    <w:p>
      <w:pPr>
        <w:sectPr>
          <w:pgSz w:w="11900" w:h="16838" w:orient="portrait"/>
          <w:cols w:equalWidth="0" w:num="1">
            <w:col w:w="11240"/>
          </w:cols>
          <w:pgMar w:left="320" w:top="886"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340" w:right="52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connection with the Annual Report of Bloomin’ Brands, Inc. (the “Company”) on Form 10-K for the year ended December 27, 2020 as filed with the Securities and Exchange Commission on the date hereof (the “Report”), I, Christopher Meyer, Executive Vice President and Chief Financial Officer of the Company, hereby certify, pursuant to 18 U.S.C. Section 1350, as adopted pursuant to Section 906 of the Sarbanes-Oxley Act of 2002, to the best of my knowledge, that:</w:t>
      </w:r>
    </w:p>
    <w:p>
      <w:pPr>
        <w:spacing w:after="0" w:line="218" w:lineRule="exact"/>
        <w:rPr>
          <w:sz w:val="20"/>
          <w:szCs w:val="20"/>
          <w:color w:val="auto"/>
        </w:rPr>
      </w:pPr>
    </w:p>
    <w:p>
      <w:pPr>
        <w:ind w:left="640" w:hanging="308"/>
        <w:spacing w:after="0"/>
        <w:tabs>
          <w:tab w:leader="none" w:pos="64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42"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14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 for the dates and periods covered by the Report.</w:t>
      </w:r>
    </w:p>
    <w:p>
      <w:pPr>
        <w:spacing w:after="0" w:line="271" w:lineRule="exact"/>
        <w:rPr>
          <w:sz w:val="20"/>
          <w:szCs w:val="20"/>
          <w:color w:val="auto"/>
        </w:rPr>
      </w:pPr>
    </w:p>
    <w:p>
      <w:pPr>
        <w:ind w:left="40"/>
        <w:spacing w:after="0"/>
        <w:tabs>
          <w:tab w:leader="none" w:pos="680" w:val="left"/>
          <w:tab w:leader="none" w:pos="4900" w:val="left"/>
        </w:tabs>
        <w:rPr>
          <w:sz w:val="20"/>
          <w:szCs w:val="20"/>
          <w:color w:val="auto"/>
        </w:rPr>
      </w:pPr>
      <w:r>
        <w:rPr>
          <w:rFonts w:ascii="Arial" w:cs="Arial" w:eastAsia="Arial" w:hAnsi="Arial"/>
          <w:sz w:val="20"/>
          <w:szCs w:val="20"/>
          <w:color w:val="auto"/>
        </w:rPr>
        <w:t>Date:</w:t>
        <w:tab/>
        <w:t>February 24, 2021</w:t>
      </w:r>
      <w:r>
        <w:rPr>
          <w:sz w:val="20"/>
          <w:szCs w:val="20"/>
          <w:color w:val="auto"/>
        </w:rPr>
        <w:tab/>
      </w:r>
      <w:r>
        <w:rPr>
          <w:rFonts w:ascii="Arial" w:cs="Arial" w:eastAsia="Arial" w:hAnsi="Arial"/>
          <w:sz w:val="18"/>
          <w:szCs w:val="18"/>
          <w:color w:val="auto"/>
        </w:rPr>
        <w:t>/s/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10160</wp:posOffset>
            </wp:positionV>
            <wp:extent cx="401193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2">
                      <a:extLst>
                        <a:ext uri="{28A0092B-C50C-407E-A947-70E740481C1C}"/>
                      </a:extLst>
                    </a:blip>
                    <a:srcRect/>
                    <a:stretch>
                      <a:fillRect/>
                    </a:stretch>
                  </pic:blipFill>
                  <pic:spPr bwMode="auto">
                    <a:xfrm>
                      <a:off x="0" y="0"/>
                      <a:ext cx="4011930" cy="17145"/>
                    </a:xfrm>
                    <a:prstGeom prst="rect">
                      <a:avLst/>
                    </a:prstGeom>
                    <a:noFill/>
                  </pic:spPr>
                </pic:pic>
              </a:graphicData>
            </a:graphic>
          </wp:anchor>
        </w:drawing>
      </w:r>
    </w:p>
    <w:p>
      <w:pPr>
        <w:spacing w:after="0" w:line="20"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Christopher Meyer</w:t>
      </w:r>
    </w:p>
    <w:p>
      <w:pPr>
        <w:ind w:left="4920"/>
        <w:spacing w:after="0" w:line="227" w:lineRule="auto"/>
        <w:rPr>
          <w:sz w:val="20"/>
          <w:szCs w:val="20"/>
          <w:color w:val="auto"/>
        </w:rPr>
      </w:pPr>
      <w:r>
        <w:rPr>
          <w:rFonts w:ascii="Arial" w:cs="Arial" w:eastAsia="Arial" w:hAnsi="Arial"/>
          <w:sz w:val="20"/>
          <w:szCs w:val="20"/>
          <w:color w:val="auto"/>
        </w:rPr>
        <w:t>Executive Vice President and Chief Financial Officer</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(Principal Financial and Accounting Officer)</w:t>
      </w:r>
    </w:p>
    <w:p>
      <w:pPr>
        <w:spacing w:after="0" w:line="32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and will be retained by, Bloomin’ Brands, Inc. and furnished to the Securities and Exchange Commission or its staff upon request.</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9D0247"/>
    <w:multiLevelType w:val="hybridMultilevel"/>
    <w:lvl w:ilvl="0">
      <w:lvlJc w:val="left"/>
      <w:lvlText w:val="☒"/>
      <w:numFmt w:val="bullet"/>
      <w:start w:val="1"/>
    </w:lvl>
  </w:abstractNum>
  <w:abstractNum w:abstractNumId="1">
    <w:nsid w:val="6B94764"/>
    <w:multiLevelType w:val="hybridMultilevel"/>
    <w:lvl w:ilvl="0">
      <w:lvlJc w:val="left"/>
      <w:lvlText w:val="☐"/>
      <w:numFmt w:val="bullet"/>
      <w:start w:val="1"/>
    </w:lvl>
  </w:abstractNum>
  <w:abstractNum w:abstractNumId="2">
    <w:nsid w:val="42C296BD"/>
    <w:multiLevelType w:val="hybridMultilevel"/>
    <w:lvl w:ilvl="0">
      <w:lvlJc w:val="left"/>
      <w:lvlText w:val="(%1)"/>
      <w:numFmt w:val="lowerRoman"/>
      <w:start w:val="1"/>
    </w:lvl>
  </w:abstractNum>
  <w:abstractNum w:abstractNumId="3">
    <w:nsid w:val="168E121F"/>
    <w:multiLevelType w:val="hybridMultilevel"/>
    <w:lvl w:ilvl="0">
      <w:lvlJc w:val="left"/>
      <w:lvlText w:val="(%1)"/>
      <w:numFmt w:val="lowerRoman"/>
      <w:start w:val="10"/>
    </w:lvl>
  </w:abstractNum>
  <w:abstractNum w:abstractNumId="4">
    <w:nsid w:val="1EBA5D23"/>
    <w:multiLevelType w:val="hybridMultilevel"/>
    <w:lvl w:ilvl="0">
      <w:lvlJc w:val="left"/>
      <w:lvlText w:val="(%1)"/>
      <w:numFmt w:val="decimal"/>
      <w:start w:val="1"/>
    </w:lvl>
  </w:abstractNum>
  <w:abstractNum w:abstractNumId="5">
    <w:nsid w:val="661E3F1E"/>
    <w:multiLevelType w:val="hybridMultilevel"/>
    <w:lvl w:ilvl="0">
      <w:lvlJc w:val="left"/>
      <w:lvlText w:val="(%1)"/>
      <w:numFmt w:val="decimal"/>
      <w:start w:val="1"/>
    </w:lvl>
  </w:abstractNum>
  <w:abstractNum w:abstractNumId="6">
    <w:nsid w:val="5DC79EA8"/>
    <w:multiLevelType w:val="hybridMultilevel"/>
    <w:lvl w:ilvl="0">
      <w:lvlJc w:val="left"/>
      <w:lvlText w:val="(%1)"/>
      <w:numFmt w:val="decimal"/>
      <w:start w:val="1"/>
    </w:lvl>
  </w:abstractNum>
  <w:abstractNum w:abstractNumId="7">
    <w:nsid w:val="540A471C"/>
    <w:multiLevelType w:val="hybridMultilevel"/>
    <w:lvl w:ilvl="0">
      <w:lvlJc w:val="left"/>
      <w:lvlText w:val="•"/>
      <w:numFmt w:val="bullet"/>
      <w:start w:val="1"/>
    </w:lvl>
  </w:abstractNum>
  <w:abstractNum w:abstractNumId="8">
    <w:nsid w:val="7BD3EE7B"/>
    <w:multiLevelType w:val="hybridMultilevel"/>
    <w:lvl w:ilvl="0">
      <w:lvlJc w:val="left"/>
      <w:lvlText w:val="•"/>
      <w:numFmt w:val="bullet"/>
      <w:start w:val="1"/>
    </w:lvl>
  </w:abstractNum>
  <w:abstractNum w:abstractNumId="9">
    <w:nsid w:val="51D9C564"/>
    <w:multiLevelType w:val="hybridMultilevel"/>
    <w:lvl w:ilvl="0">
      <w:lvlJc w:val="left"/>
      <w:lvlText w:val="•"/>
      <w:numFmt w:val="bullet"/>
      <w:start w:val="1"/>
    </w:lvl>
  </w:abstractNum>
  <w:abstractNum w:abstractNumId="10">
    <w:nsid w:val="613EFDC5"/>
    <w:multiLevelType w:val="hybridMultilevel"/>
    <w:lvl w:ilvl="0">
      <w:lvlJc w:val="left"/>
      <w:lvlText w:val="•"/>
      <w:numFmt w:val="bullet"/>
      <w:start w:val="1"/>
    </w:lvl>
  </w:abstractNum>
  <w:abstractNum w:abstractNumId="11">
    <w:nsid w:val="BF72B14"/>
    <w:multiLevelType w:val="hybridMultilevel"/>
    <w:lvl w:ilvl="0">
      <w:lvlJc w:val="left"/>
      <w:lvlText w:val="•"/>
      <w:numFmt w:val="bullet"/>
      <w:start w:val="1"/>
    </w:lvl>
  </w:abstractNum>
  <w:abstractNum w:abstractNumId="12">
    <w:nsid w:val="11447B73"/>
    <w:multiLevelType w:val="hybridMultilevel"/>
    <w:lvl w:ilvl="0">
      <w:lvlJc w:val="left"/>
      <w:lvlText w:val="(%1)"/>
      <w:numFmt w:val="decimal"/>
      <w:start w:val="1"/>
    </w:lvl>
  </w:abstractNum>
  <w:abstractNum w:abstractNumId="13">
    <w:nsid w:val="42963E5A"/>
    <w:multiLevelType w:val="hybridMultilevel"/>
    <w:lvl w:ilvl="0">
      <w:lvlJc w:val="left"/>
      <w:lvlText w:val="(%1)"/>
      <w:numFmt w:val="decimal"/>
      <w:start w:val="1"/>
    </w:lvl>
  </w:abstractNum>
  <w:abstractNum w:abstractNumId="14">
    <w:nsid w:val="A0382C5"/>
    <w:multiLevelType w:val="hybridMultilevel"/>
    <w:lvl w:ilvl="0">
      <w:lvlJc w:val="left"/>
      <w:lvlText w:val="(%1)"/>
      <w:numFmt w:val="decimal"/>
      <w:start w:val="1"/>
    </w:lvl>
  </w:abstractNum>
  <w:abstractNum w:abstractNumId="15">
    <w:nsid w:val="8F2B15E"/>
    <w:multiLevelType w:val="hybridMultilevel"/>
    <w:lvl w:ilvl="0">
      <w:lvlJc w:val="left"/>
      <w:lvlText w:val="•"/>
      <w:numFmt w:val="bullet"/>
      <w:start w:val="1"/>
    </w:lvl>
  </w:abstractNum>
  <w:abstractNum w:abstractNumId="16">
    <w:nsid w:val="1A32234B"/>
    <w:multiLevelType w:val="hybridMultilevel"/>
    <w:lvl w:ilvl="0">
      <w:lvlJc w:val="left"/>
      <w:lvlText w:val="•"/>
      <w:numFmt w:val="bullet"/>
      <w:start w:val="1"/>
    </w:lvl>
  </w:abstractNum>
  <w:abstractNum w:abstractNumId="17">
    <w:nsid w:val="3B0FD379"/>
    <w:multiLevelType w:val="hybridMultilevel"/>
    <w:lvl w:ilvl="0">
      <w:lvlJc w:val="left"/>
      <w:lvlText w:val="•"/>
      <w:numFmt w:val="bullet"/>
      <w:start w:val="1"/>
    </w:lvl>
    <w:lvl w:ilvl="1">
      <w:lvlJc w:val="left"/>
      <w:lvlText w:val="(%2)"/>
      <w:numFmt w:val="lowerRoman"/>
      <w:start w:val="1"/>
    </w:lvl>
  </w:abstractNum>
  <w:abstractNum w:abstractNumId="18">
    <w:nsid w:val="68EB2F63"/>
    <w:multiLevelType w:val="hybridMultilevel"/>
    <w:lvl w:ilvl="0">
      <w:lvlJc w:val="left"/>
      <w:lvlText w:val="•"/>
      <w:numFmt w:val="bullet"/>
      <w:start w:val="1"/>
    </w:lvl>
  </w:abstractNum>
  <w:abstractNum w:abstractNumId="19">
    <w:nsid w:val="4962813B"/>
    <w:multiLevelType w:val="hybridMultilevel"/>
    <w:lvl w:ilvl="0">
      <w:lvlJc w:val="left"/>
      <w:lvlText w:val="(%1)"/>
      <w:numFmt w:val="decimal"/>
      <w:start w:val="1"/>
    </w:lvl>
  </w:abstractNum>
  <w:abstractNum w:abstractNumId="20">
    <w:nsid w:val="60B6DF70"/>
    <w:multiLevelType w:val="hybridMultilevel"/>
    <w:lvl w:ilvl="0">
      <w:lvlJc w:val="left"/>
      <w:lvlText w:val="(%1)"/>
      <w:numFmt w:val="decimal"/>
      <w:start w:val="1"/>
    </w:lvl>
  </w:abstractNum>
  <w:abstractNum w:abstractNumId="21">
    <w:nsid w:val="6A5EE64"/>
    <w:multiLevelType w:val="hybridMultilevel"/>
    <w:lvl w:ilvl="0">
      <w:lvlJc w:val="left"/>
      <w:lvlText w:val="*"/>
      <w:numFmt w:val="bullet"/>
      <w:start w:val="1"/>
    </w:lvl>
  </w:abstractNum>
  <w:abstractNum w:abstractNumId="22">
    <w:nsid w:val="14330624"/>
    <w:multiLevelType w:val="hybridMultilevel"/>
    <w:lvl w:ilvl="0">
      <w:lvlJc w:val="left"/>
      <w:lvlText w:val="(%1)"/>
      <w:numFmt w:val="decimal"/>
      <w:start w:val="1"/>
    </w:lvl>
  </w:abstractNum>
  <w:abstractNum w:abstractNumId="23">
    <w:nsid w:val="7FFFCA11"/>
    <w:multiLevelType w:val="hybridMultilevel"/>
    <w:lvl w:ilvl="0">
      <w:lvlJc w:val="left"/>
      <w:lvlText w:val="(%1)"/>
      <w:numFmt w:val="decimal"/>
      <w:start w:val="1"/>
    </w:lvl>
  </w:abstractNum>
  <w:abstractNum w:abstractNumId="24">
    <w:nsid w:val="1A27709E"/>
    <w:multiLevelType w:val="hybridMultilevel"/>
    <w:lvl w:ilvl="0">
      <w:lvlJc w:val="left"/>
      <w:lvlText w:val="(%1)"/>
      <w:numFmt w:val="decimal"/>
      <w:start w:val="1"/>
    </w:lvl>
  </w:abstractNum>
  <w:abstractNum w:abstractNumId="25">
    <w:nsid w:val="71EA1109"/>
    <w:multiLevelType w:val="hybridMultilevel"/>
    <w:lvl w:ilvl="0">
      <w:lvlJc w:val="left"/>
      <w:lvlText w:val="(%1)"/>
      <w:numFmt w:val="decimal"/>
      <w:start w:val="1"/>
    </w:lvl>
  </w:abstractNum>
  <w:abstractNum w:abstractNumId="26">
    <w:nsid w:val="100F59DC"/>
    <w:multiLevelType w:val="hybridMultilevel"/>
    <w:lvl w:ilvl="0">
      <w:lvlJc w:val="left"/>
      <w:lvlText w:val="(%1)"/>
      <w:numFmt w:val="decimal"/>
      <w:start w:val="1"/>
    </w:lvl>
  </w:abstractNum>
  <w:abstractNum w:abstractNumId="27">
    <w:nsid w:val="7FB7E0AA"/>
    <w:multiLevelType w:val="hybridMultilevel"/>
    <w:lvl w:ilvl="0">
      <w:lvlJc w:val="left"/>
      <w:lvlText w:val="(%1)"/>
      <w:numFmt w:val="decimal"/>
      <w:start w:val="1"/>
    </w:lvl>
  </w:abstractNum>
  <w:abstractNum w:abstractNumId="28">
    <w:nsid w:val="6EB5BD4"/>
    <w:multiLevelType w:val="hybridMultilevel"/>
    <w:lvl w:ilvl="0">
      <w:lvlJc w:val="left"/>
      <w:lvlText w:val="(%1)"/>
      <w:numFmt w:val="decimal"/>
      <w:start w:val="1"/>
    </w:lvl>
  </w:abstractNum>
  <w:abstractNum w:abstractNumId="29">
    <w:nsid w:val="6F6DD9AC"/>
    <w:multiLevelType w:val="hybridMultilevel"/>
    <w:lvl w:ilvl="0">
      <w:lvlJc w:val="left"/>
      <w:lvlText w:val="(%1)"/>
      <w:numFmt w:val="decimal"/>
      <w:start w:val="1"/>
    </w:lvl>
  </w:abstractNum>
  <w:abstractNum w:abstractNumId="30">
    <w:nsid w:val="94211F2"/>
    <w:multiLevelType w:val="hybridMultilevel"/>
    <w:lvl w:ilvl="0">
      <w:lvlJc w:val="left"/>
      <w:lvlText w:val="(%1)"/>
      <w:numFmt w:val="decimal"/>
      <w:start w:val="1"/>
    </w:lvl>
  </w:abstractNum>
  <w:abstractNum w:abstractNumId="31">
    <w:nsid w:val="885E1B"/>
    <w:multiLevelType w:val="hybridMultilevel"/>
    <w:lvl w:ilvl="0">
      <w:lvlJc w:val="left"/>
      <w:lvlText w:val="(%1)"/>
      <w:numFmt w:val="decimal"/>
      <w:start w:val="1"/>
    </w:lvl>
  </w:abstractNum>
  <w:abstractNum w:abstractNumId="32">
    <w:nsid w:val="76272110"/>
    <w:multiLevelType w:val="hybridMultilevel"/>
    <w:lvl w:ilvl="0">
      <w:lvlJc w:val="left"/>
      <w:lvlText w:val="(%1)"/>
      <w:numFmt w:val="decimal"/>
      <w:start w:val="1"/>
    </w:lvl>
  </w:abstractNum>
  <w:abstractNum w:abstractNumId="33">
    <w:nsid w:val="4C04A8AF"/>
    <w:multiLevelType w:val="hybridMultilevel"/>
    <w:lvl w:ilvl="0">
      <w:lvlJc w:val="left"/>
      <w:lvlText w:val="(%1)"/>
      <w:numFmt w:val="decimal"/>
      <w:start w:val="1"/>
    </w:lvl>
  </w:abstractNum>
  <w:abstractNum w:abstractNumId="34">
    <w:nsid w:val="1716703B"/>
    <w:multiLevelType w:val="hybridMultilevel"/>
    <w:lvl w:ilvl="0">
      <w:lvlJc w:val="left"/>
      <w:lvlText w:val="•"/>
      <w:numFmt w:val="bullet"/>
      <w:start w:val="1"/>
    </w:lvl>
  </w:abstractNum>
  <w:abstractNum w:abstractNumId="35">
    <w:nsid w:val="14E17E33"/>
    <w:multiLevelType w:val="hybridMultilevel"/>
    <w:lvl w:ilvl="0">
      <w:lvlJc w:val="left"/>
      <w:lvlText w:val="(%1)"/>
      <w:numFmt w:val="decimal"/>
      <w:start w:val="1"/>
    </w:lvl>
  </w:abstractNum>
  <w:abstractNum w:abstractNumId="36">
    <w:nsid w:val="3222E7CD"/>
    <w:multiLevelType w:val="hybridMultilevel"/>
    <w:lvl w:ilvl="0">
      <w:lvlJc w:val="left"/>
      <w:lvlText w:val="(%1)"/>
      <w:numFmt w:val="decimal"/>
      <w:start w:val="1"/>
    </w:lvl>
  </w:abstractNum>
  <w:abstractNum w:abstractNumId="37">
    <w:nsid w:val="74DE0EE3"/>
    <w:multiLevelType w:val="hybridMultilevel"/>
    <w:lvl w:ilvl="0">
      <w:lvlJc w:val="left"/>
      <w:lvlText w:val="(%1)"/>
      <w:numFmt w:val="decimal"/>
      <w:start w:val="1"/>
    </w:lvl>
  </w:abstractNum>
  <w:abstractNum w:abstractNumId="38">
    <w:nsid w:val="68EBC550"/>
    <w:multiLevelType w:val="hybridMultilevel"/>
    <w:lvl w:ilvl="0">
      <w:lvlJc w:val="left"/>
      <w:lvlText w:val="(%1)"/>
      <w:numFmt w:val="decimal"/>
      <w:start w:val="1"/>
    </w:lvl>
  </w:abstractNum>
  <w:abstractNum w:abstractNumId="39">
    <w:nsid w:val="2DF6D648"/>
    <w:multiLevelType w:val="hybridMultilevel"/>
    <w:lvl w:ilvl="0">
      <w:lvlJc w:val="left"/>
      <w:lvlText w:val="(%1)"/>
      <w:numFmt w:val="decimal"/>
      <w:start w:val="1"/>
    </w:lvl>
  </w:abstractNum>
  <w:abstractNum w:abstractNumId="40">
    <w:nsid w:val="46B7D447"/>
    <w:multiLevelType w:val="hybridMultilevel"/>
    <w:lvl w:ilvl="0">
      <w:lvlJc w:val="left"/>
      <w:lvlText w:val="(%1)"/>
      <w:numFmt w:val="decimal"/>
      <w:start w:val="1"/>
    </w:lvl>
  </w:abstractNum>
  <w:abstractNum w:abstractNumId="41">
    <w:nsid w:val="4A2AC315"/>
    <w:multiLevelType w:val="hybridMultilevel"/>
    <w:lvl w:ilvl="0">
      <w:lvlJc w:val="left"/>
      <w:lvlText w:val="%1."/>
      <w:numFmt w:val="decimal"/>
      <w:start w:val="1"/>
    </w:lvl>
  </w:abstractNum>
  <w:abstractNum w:abstractNumId="42">
    <w:nsid w:val="39EE015C"/>
    <w:multiLevelType w:val="hybridMultilevel"/>
    <w:lvl w:ilvl="0">
      <w:lvlJc w:val="left"/>
      <w:lvlText w:val="%1."/>
      <w:numFmt w:val="decimal"/>
      <w:start w:val="2"/>
    </w:lvl>
  </w:abstractNum>
  <w:abstractNum w:abstractNumId="43">
    <w:nsid w:val="57FC4FBB"/>
    <w:multiLevelType w:val="hybridMultilevel"/>
    <w:lvl w:ilvl="0">
      <w:lvlJc w:val="left"/>
      <w:lvlText w:val="(%1)"/>
      <w:numFmt w:val="decimal"/>
      <w:start w:val="1"/>
    </w:lvl>
  </w:abstractNum>
  <w:abstractNum w:abstractNumId="44">
    <w:nsid w:val="CC1016F"/>
    <w:multiLevelType w:val="hybridMultilevel"/>
    <w:lvl w:ilvl="0">
      <w:lvlJc w:val="left"/>
      <w:lvlText w:val="(%1)"/>
      <w:numFmt w:val="decimal"/>
      <w:start w:val="1"/>
    </w:lvl>
  </w:abstractNum>
  <w:abstractNum w:abstractNumId="45">
    <w:nsid w:val="43F18422"/>
    <w:multiLevelType w:val="hybridMultilevel"/>
    <w:lvl w:ilvl="0">
      <w:lvlJc w:val="left"/>
      <w:lvlText w:val="(%1)"/>
      <w:numFmt w:val="decimal"/>
      <w:start w:val="1"/>
    </w:lvl>
  </w:abstractNum>
  <w:abstractNum w:abstractNumId="46">
    <w:nsid w:val="60EF0119"/>
    <w:multiLevelType w:val="hybridMultilevel"/>
    <w:lvl w:ilvl="0">
      <w:lvlJc w:val="left"/>
      <w:lvlText w:val="•"/>
      <w:numFmt w:val="bullet"/>
      <w:start w:val="1"/>
    </w:lvl>
  </w:abstractNum>
  <w:abstractNum w:abstractNumId="47">
    <w:nsid w:val="26F324BA"/>
    <w:multiLevelType w:val="hybridMultilevel"/>
    <w:lvl w:ilvl="0">
      <w:lvlJc w:val="left"/>
      <w:lvlText w:val="%1."/>
      <w:numFmt w:val="decimal"/>
      <w:start w:val="5"/>
    </w:lvl>
  </w:abstractNum>
  <w:abstractNum w:abstractNumId="48">
    <w:nsid w:val="7F01579B"/>
    <w:multiLevelType w:val="hybridMultilevel"/>
    <w:lvl w:ilvl="0">
      <w:lvlJc w:val="left"/>
      <w:lvlText w:val="(%1)"/>
      <w:numFmt w:val="decimal"/>
      <w:start w:val="1"/>
    </w:lvl>
  </w:abstractNum>
  <w:abstractNum w:abstractNumId="49">
    <w:nsid w:val="49DA307D"/>
    <w:multiLevelType w:val="hybridMultilevel"/>
    <w:lvl w:ilvl="0">
      <w:lvlJc w:val="left"/>
      <w:lvlText w:val="(%1)"/>
      <w:numFmt w:val="decimal"/>
      <w:start w:val="1"/>
    </w:lvl>
  </w:abstractNum>
  <w:abstractNum w:abstractNumId="50">
    <w:nsid w:val="7055A5F5"/>
    <w:multiLevelType w:val="hybridMultilevel"/>
    <w:lvl w:ilvl="0">
      <w:lvlJc w:val="left"/>
      <w:lvlText w:val="%1."/>
      <w:numFmt w:val="decimal"/>
      <w:start w:val="6"/>
    </w:lvl>
  </w:abstractNum>
  <w:abstractNum w:abstractNumId="51">
    <w:nsid w:val="5FB8370B"/>
    <w:multiLevelType w:val="hybridMultilevel"/>
    <w:lvl w:ilvl="0">
      <w:lvlJc w:val="left"/>
      <w:lvlText w:val="(%1)"/>
      <w:numFmt w:val="decimal"/>
      <w:start w:val="1"/>
    </w:lvl>
  </w:abstractNum>
  <w:abstractNum w:abstractNumId="52">
    <w:nsid w:val="50801EE1"/>
    <w:multiLevelType w:val="hybridMultilevel"/>
    <w:lvl w:ilvl="0">
      <w:lvlJc w:val="left"/>
      <w:lvlText w:val="%1."/>
      <w:numFmt w:val="decimal"/>
      <w:start w:val="7"/>
    </w:lvl>
  </w:abstractNum>
  <w:abstractNum w:abstractNumId="53">
    <w:nsid w:val="488AC1A"/>
    <w:multiLevelType w:val="hybridMultilevel"/>
    <w:lvl w:ilvl="0">
      <w:lvlJc w:val="left"/>
      <w:lvlText w:val="(%1)"/>
      <w:numFmt w:val="decimal"/>
      <w:start w:val="1"/>
    </w:lvl>
  </w:abstractNum>
  <w:abstractNum w:abstractNumId="54">
    <w:nsid w:val="5FB8011C"/>
    <w:multiLevelType w:val="hybridMultilevel"/>
    <w:lvl w:ilvl="0">
      <w:lvlJc w:val="left"/>
      <w:lvlText w:val="(%1)"/>
      <w:numFmt w:val="decimal"/>
      <w:start w:val="1"/>
    </w:lvl>
  </w:abstractNum>
  <w:abstractNum w:abstractNumId="55">
    <w:nsid w:val="6AA78F7F"/>
    <w:multiLevelType w:val="hybridMultilevel"/>
    <w:lvl w:ilvl="0">
      <w:lvlJc w:val="left"/>
      <w:lvlText w:val="(%1)"/>
      <w:numFmt w:val="decimal"/>
      <w:start w:val="1"/>
    </w:lvl>
  </w:abstractNum>
  <w:abstractNum w:abstractNumId="56">
    <w:nsid w:val="7672BD23"/>
    <w:multiLevelType w:val="hybridMultilevel"/>
    <w:lvl w:ilvl="0">
      <w:lvlJc w:val="left"/>
      <w:lvlText w:val="(%1)"/>
      <w:numFmt w:val="decimal"/>
      <w:start w:val="1"/>
    </w:lvl>
  </w:abstractNum>
  <w:abstractNum w:abstractNumId="57">
    <w:nsid w:val="6FC75AF8"/>
    <w:multiLevelType w:val="hybridMultilevel"/>
    <w:lvl w:ilvl="0">
      <w:lvlJc w:val="left"/>
      <w:lvlText w:val="%1."/>
      <w:numFmt w:val="decimal"/>
      <w:start w:val="9"/>
    </w:lvl>
  </w:abstractNum>
  <w:abstractNum w:abstractNumId="58">
    <w:nsid w:val="6A5F7029"/>
    <w:multiLevelType w:val="hybridMultilevel"/>
    <w:lvl w:ilvl="0">
      <w:lvlJc w:val="left"/>
      <w:lvlText w:val="(%1)"/>
      <w:numFmt w:val="decimal"/>
      <w:start w:val="1"/>
    </w:lvl>
  </w:abstractNum>
  <w:abstractNum w:abstractNumId="59">
    <w:nsid w:val="7D5E18F8"/>
    <w:multiLevelType w:val="hybridMultilevel"/>
    <w:lvl w:ilvl="0">
      <w:lvlJc w:val="left"/>
      <w:lvlText w:val="(%1)"/>
      <w:numFmt w:val="decimal"/>
      <w:start w:val="1"/>
    </w:lvl>
  </w:abstractNum>
  <w:abstractNum w:abstractNumId="60">
    <w:nsid w:val="5F3534A4"/>
    <w:multiLevelType w:val="hybridMultilevel"/>
    <w:lvl w:ilvl="0">
      <w:lvlJc w:val="left"/>
      <w:lvlText w:val="%1."/>
      <w:numFmt w:val="decimal"/>
      <w:start w:val="12"/>
    </w:lvl>
  </w:abstractNum>
  <w:abstractNum w:abstractNumId="61">
    <w:nsid w:val="73A1821B"/>
    <w:multiLevelType w:val="hybridMultilevel"/>
    <w:lvl w:ilvl="0">
      <w:lvlJc w:val="left"/>
      <w:lvlText w:val="(%1)"/>
      <w:numFmt w:val="decimal"/>
      <w:start w:val="1"/>
    </w:lvl>
  </w:abstractNum>
  <w:abstractNum w:abstractNumId="62">
    <w:nsid w:val="7DE67713"/>
    <w:multiLevelType w:val="hybridMultilevel"/>
    <w:lvl w:ilvl="0">
      <w:lvlJc w:val="left"/>
      <w:lvlText w:val="%1."/>
      <w:numFmt w:val="decimal"/>
      <w:start w:val="13"/>
    </w:lvl>
  </w:abstractNum>
  <w:abstractNum w:abstractNumId="63">
    <w:nsid w:val="555C55B5"/>
    <w:multiLevelType w:val="hybridMultilevel"/>
    <w:lvl w:ilvl="0">
      <w:lvlJc w:val="left"/>
      <w:lvlText w:val="(%1)"/>
      <w:numFmt w:val="decimal"/>
      <w:start w:val="1"/>
    </w:lvl>
  </w:abstractNum>
  <w:abstractNum w:abstractNumId="64">
    <w:nsid w:val="3FA62ACA"/>
    <w:multiLevelType w:val="hybridMultilevel"/>
    <w:lvl w:ilvl="0">
      <w:lvlJc w:val="left"/>
      <w:lvlText w:val="(%1)"/>
      <w:numFmt w:val="decimal"/>
      <w:start w:val="1"/>
    </w:lvl>
  </w:abstractNum>
  <w:abstractNum w:abstractNumId="65">
    <w:nsid w:val="14FCE74E"/>
    <w:multiLevelType w:val="hybridMultilevel"/>
    <w:lvl w:ilvl="0">
      <w:lvlJc w:val="left"/>
      <w:lvlText w:val="(%1)"/>
      <w:numFmt w:val="decimal"/>
      <w:start w:val="1"/>
    </w:lvl>
  </w:abstractNum>
  <w:abstractNum w:abstractNumId="66">
    <w:nsid w:val="6A3DD3E8"/>
    <w:multiLevelType w:val="hybridMultilevel"/>
    <w:lvl w:ilvl="0">
      <w:lvlJc w:val="left"/>
      <w:lvlText w:val="(%1)"/>
      <w:numFmt w:val="decimal"/>
      <w:start w:val="1"/>
    </w:lvl>
  </w:abstractNum>
  <w:abstractNum w:abstractNumId="67">
    <w:nsid w:val="71C91298"/>
    <w:multiLevelType w:val="hybridMultilevel"/>
    <w:lvl w:ilvl="0">
      <w:lvlJc w:val="left"/>
      <w:lvlText w:val="%1."/>
      <w:numFmt w:val="decimal"/>
      <w:start w:val="16"/>
    </w:lvl>
  </w:abstractNum>
  <w:abstractNum w:abstractNumId="68">
    <w:nsid w:val="9DAF632"/>
    <w:multiLevelType w:val="hybridMultilevel"/>
    <w:lvl w:ilvl="0">
      <w:lvlJc w:val="left"/>
      <w:lvlText w:val="(%1)"/>
      <w:numFmt w:val="decimal"/>
      <w:start w:val="1"/>
    </w:lvl>
  </w:abstractNum>
  <w:abstractNum w:abstractNumId="69">
    <w:nsid w:val="53299938"/>
    <w:multiLevelType w:val="hybridMultilevel"/>
    <w:lvl w:ilvl="0">
      <w:lvlJc w:val="left"/>
      <w:lvlText w:val="%1."/>
      <w:numFmt w:val="decimal"/>
      <w:start w:val="17"/>
    </w:lvl>
  </w:abstractNum>
  <w:abstractNum w:abstractNumId="70">
    <w:nsid w:val="1FBFE8E0"/>
    <w:multiLevelType w:val="hybridMultilevel"/>
    <w:lvl w:ilvl="0">
      <w:lvlJc w:val="left"/>
      <w:lvlText w:val="(%1)"/>
      <w:numFmt w:val="decimal"/>
      <w:start w:val="1"/>
    </w:lvl>
  </w:abstractNum>
  <w:abstractNum w:abstractNumId="71">
    <w:nsid w:val="5092CA79"/>
    <w:multiLevelType w:val="hybridMultilevel"/>
    <w:lvl w:ilvl="0">
      <w:lvlJc w:val="left"/>
      <w:lvlText w:val="(%1)"/>
      <w:numFmt w:val="decimal"/>
      <w:start w:val="1"/>
    </w:lvl>
  </w:abstractNum>
  <w:abstractNum w:abstractNumId="72">
    <w:nsid w:val="1D545C4D"/>
    <w:multiLevelType w:val="hybridMultilevel"/>
    <w:lvl w:ilvl="0">
      <w:lvlJc w:val="left"/>
      <w:lvlText w:val="(%1)"/>
      <w:numFmt w:val="decimal"/>
      <w:start w:val="1"/>
    </w:lvl>
  </w:abstractNum>
  <w:abstractNum w:abstractNumId="73">
    <w:nsid w:val="59ADEA3D"/>
    <w:multiLevelType w:val="hybridMultilevel"/>
    <w:lvl w:ilvl="0">
      <w:lvlJc w:val="left"/>
      <w:lvlText w:val="(%1)"/>
      <w:numFmt w:val="decimal"/>
      <w:start w:val="1"/>
    </w:lvl>
  </w:abstractNum>
  <w:abstractNum w:abstractNumId="74">
    <w:nsid w:val="288F1A34"/>
    <w:multiLevelType w:val="hybridMultilevel"/>
    <w:lvl w:ilvl="0">
      <w:lvlJc w:val="left"/>
      <w:lvlText w:val="(%1)"/>
      <w:numFmt w:val="decimal"/>
      <w:start w:val="1"/>
    </w:lvl>
  </w:abstractNum>
  <w:abstractNum w:abstractNumId="75">
    <w:nsid w:val="2A155DBC"/>
    <w:multiLevelType w:val="hybridMultilevel"/>
    <w:lvl w:ilvl="0">
      <w:lvlJc w:val="left"/>
      <w:lvlText w:val="%1."/>
      <w:numFmt w:val="decimal"/>
      <w:start w:val="19"/>
    </w:lvl>
  </w:abstractNum>
  <w:abstractNum w:abstractNumId="76">
    <w:nsid w:val="1D9F6E5F"/>
    <w:multiLevelType w:val="hybridMultilevel"/>
    <w:lvl w:ilvl="0">
      <w:lvlJc w:val="left"/>
      <w:lvlText w:val="(%1)"/>
      <w:numFmt w:val="decimal"/>
      <w:start w:val="1"/>
    </w:lvl>
  </w:abstractNum>
  <w:abstractNum w:abstractNumId="77">
    <w:nsid w:val="97E1B4E"/>
    <w:multiLevelType w:val="hybridMultilevel"/>
    <w:lvl w:ilvl="0">
      <w:lvlJc w:val="left"/>
      <w:lvlText w:val="%1."/>
      <w:numFmt w:val="decimal"/>
      <w:start w:val="21"/>
    </w:lvl>
  </w:abstractNum>
  <w:abstractNum w:abstractNumId="78">
    <w:nsid w:val="51088277"/>
    <w:multiLevelType w:val="hybridMultilevel"/>
    <w:lvl w:ilvl="0">
      <w:lvlJc w:val="left"/>
      <w:lvlText w:val="(%1)"/>
      <w:numFmt w:val="decimal"/>
      <w:start w:val="1"/>
    </w:lvl>
  </w:abstractNum>
  <w:abstractNum w:abstractNumId="79">
    <w:nsid w:val="1CA0C5FA"/>
    <w:multiLevelType w:val="hybridMultilevel"/>
    <w:lvl w:ilvl="0">
      <w:lvlJc w:val="left"/>
      <w:lvlText w:val="(%1)"/>
      <w:numFmt w:val="decimal"/>
      <w:start w:val="1"/>
    </w:lvl>
  </w:abstractNum>
  <w:abstractNum w:abstractNumId="80">
    <w:nsid w:val="53584BCB"/>
    <w:multiLevelType w:val="hybridMultilevel"/>
    <w:lvl w:ilvl="0">
      <w:lvlJc w:val="left"/>
      <w:lvlText w:val="(%1)"/>
      <w:numFmt w:val="decimal"/>
      <w:start w:val="1"/>
    </w:lvl>
  </w:abstractNum>
  <w:abstractNum w:abstractNumId="81">
    <w:nsid w:val="415E286C"/>
    <w:multiLevelType w:val="hybridMultilevel"/>
    <w:lvl w:ilvl="0">
      <w:lvlJc w:val="left"/>
      <w:lvlText w:val="(%1)"/>
      <w:numFmt w:val="decimal"/>
      <w:start w:val="1"/>
    </w:lvl>
  </w:abstractNum>
  <w:abstractNum w:abstractNumId="82">
    <w:nsid w:val="7C58FD05"/>
    <w:multiLevelType w:val="hybridMultilevel"/>
    <w:lvl w:ilvl="0">
      <w:lvlJc w:val="left"/>
      <w:lvlText w:val="•"/>
      <w:numFmt w:val="bullet"/>
      <w:start w:val="1"/>
    </w:lvl>
  </w:abstractNum>
  <w:abstractNum w:abstractNumId="83">
    <w:nsid w:val="23D86AAC"/>
    <w:multiLevelType w:val="hybridMultilevel"/>
    <w:lvl w:ilvl="0">
      <w:lvlJc w:val="left"/>
      <w:lvlText w:val="•"/>
      <w:numFmt w:val="bullet"/>
      <w:start w:val="1"/>
    </w:lvl>
  </w:abstractNum>
  <w:abstractNum w:abstractNumId="84">
    <w:nsid w:val="45E6D486"/>
    <w:multiLevelType w:val="hybridMultilevel"/>
    <w:lvl w:ilvl="0">
      <w:lvlJc w:val="left"/>
      <w:lvlText w:val="%1."/>
      <w:numFmt w:val="decimal"/>
      <w:start w:val="1"/>
    </w:lvl>
    <w:lvl w:ilvl="1">
      <w:lvlJc w:val="left"/>
      <w:lvlText w:val="(%2)"/>
      <w:numFmt w:val="lowerLetter"/>
      <w:start w:val="1"/>
    </w:lvl>
  </w:abstractNum>
  <w:abstractNum w:abstractNumId="85">
    <w:nsid w:val="5C10FE21"/>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4"/>
      <w:numFmt w:val="lowerLetter"/>
      <w:start w:val="1"/>
    </w:lvl>
  </w:abstractNum>
  <w:abstractNum w:abstractNumId="86">
    <w:nsid w:val="E7FFA2B"/>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lvl w:ilvl="3">
      <w:lvlJc w:val="left"/>
      <w:lvlText w:val="(%4)"/>
      <w:numFmt w:val="lowerLetter"/>
      <w:start w:val="9"/>
    </w:lvl>
  </w:abstractNum>
  <w:abstractNum w:abstractNumId="87">
    <w:nsid w:val="3C5991AA"/>
    <w:multiLevelType w:val="hybridMultilevel"/>
    <w:lvl w:ilvl="0">
      <w:lvlJc w:val="left"/>
      <w:lvlText w:val="(%1)"/>
      <w:numFmt w:val="decimal"/>
      <w:start w:val="30"/>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88">
    <w:nsid w:val="4BD8591A"/>
    <w:multiLevelType w:val="hybridMultilevel"/>
    <w:lvl w:ilvl="0">
      <w:lvlJc w:val="left"/>
      <w:lvlText w:val="%1"/>
      <w:numFmt w:val="decimal"/>
      <w:start w:val="1"/>
    </w:lvl>
    <w:lvl w:ilvl="1">
      <w:lvlJc w:val="left"/>
      <w:lvlText w:val="(%2)"/>
      <w:numFmt w:val="lowerRoman"/>
      <w:start w:val="3"/>
    </w:lvl>
  </w:abstractNum>
  <w:abstractNum w:abstractNumId="89">
    <w:nsid w:val="78DF6A55"/>
    <w:multiLevelType w:val="hybridMultilevel"/>
    <w:lvl w:ilvl="0">
      <w:lvlJc w:val="left"/>
      <w:lvlText w:val="%1."/>
      <w:numFmt w:val="decimal"/>
      <w:start w:val="5"/>
    </w:lvl>
    <w:lvl w:ilvl="1">
      <w:lvlJc w:val="left"/>
      <w:lvlText w:val="%2"/>
      <w:numFmt w:val="lowerRoman"/>
      <w:start w:val="1"/>
    </w:lvl>
  </w:abstractNum>
  <w:abstractNum w:abstractNumId="90">
    <w:nsid w:val="39B7AAA2"/>
    <w:multiLevelType w:val="hybridMultilevel"/>
    <w:lvl w:ilvl="0">
      <w:lvlJc w:val="left"/>
      <w:lvlText w:val="%1."/>
      <w:numFmt w:val="decimal"/>
      <w:start w:val="10"/>
    </w:lvl>
    <w:lvl w:ilvl="1">
      <w:lvlJc w:val="left"/>
      <w:lvlText w:val="(%2)"/>
      <w:numFmt w:val="lowerLetter"/>
      <w:start w:val="1"/>
    </w:lvl>
  </w:abstractNum>
  <w:abstractNum w:abstractNumId="91">
    <w:nsid w:val="2B0D8DBE"/>
    <w:multiLevelType w:val="hybridMultilevel"/>
    <w:lvl w:ilvl="0">
      <w:lvlJc w:val="left"/>
      <w:lvlText w:val="(%1)"/>
      <w:numFmt w:val="lowerLetter"/>
      <w:start w:val="2"/>
    </w:lvl>
  </w:abstractNum>
  <w:abstractNum w:abstractNumId="92">
    <w:nsid w:val="6C80EC70"/>
    <w:multiLevelType w:val="hybridMultilevel"/>
    <w:lvl w:ilvl="0">
      <w:lvlJc w:val="left"/>
      <w:lvlText w:val="%1."/>
      <w:numFmt w:val="decimal"/>
      <w:start w:val="1"/>
    </w:lvl>
  </w:abstractNum>
  <w:abstractNum w:abstractNumId="93">
    <w:nsid w:val="379E21B5"/>
    <w:multiLevelType w:val="hybridMultilevel"/>
    <w:lvl w:ilvl="0">
      <w:lvlJc w:val="left"/>
      <w:lvlText w:val="%1."/>
      <w:numFmt w:val="decimal"/>
      <w:start w:val="2"/>
    </w:lvl>
    <w:lvl w:ilvl="1">
      <w:lvlJc w:val="left"/>
      <w:lvlText w:val="(%2)"/>
      <w:numFmt w:val="lowerLetter"/>
      <w:start w:val="1"/>
    </w:lvl>
  </w:abstractNum>
  <w:abstractNum w:abstractNumId="94">
    <w:nsid w:val="69E373"/>
    <w:multiLevelType w:val="hybridMultilevel"/>
    <w:lvl w:ilvl="0">
      <w:lvlJc w:val="left"/>
      <w:lvlText w:val="•"/>
      <w:numFmt w:val="bullet"/>
      <w:start w:val="1"/>
    </w:lvl>
  </w:abstractNum>
  <w:abstractNum w:abstractNumId="95">
    <w:nsid w:val="2C27173B"/>
    <w:multiLevelType w:val="hybridMultilevel"/>
    <w:lvl w:ilvl="0">
      <w:lvlJc w:val="left"/>
      <w:lvlText w:val="(%1)"/>
      <w:numFmt w:val="lowerRoman"/>
      <w:start w:val="1"/>
    </w:lvl>
  </w:abstractNum>
  <w:abstractNum w:abstractNumId="96">
    <w:nsid w:val="4C9B0904"/>
    <w:multiLevelType w:val="hybridMultilevel"/>
    <w:lvl w:ilvl="0">
      <w:lvlJc w:val="left"/>
      <w:lvlText w:val="(%1)"/>
      <w:numFmt w:val="lowerRoman"/>
      <w:start w:val="1"/>
    </w:lvl>
  </w:abstractNum>
  <w:abstractNum w:abstractNumId="97">
    <w:nsid w:val="6AA7B75C"/>
    <w:multiLevelType w:val="hybridMultilevel"/>
    <w:lvl w:ilvl="0">
      <w:lvlJc w:val="left"/>
      <w:lvlText w:val="(%1)"/>
      <w:numFmt w:val="lowerLetter"/>
      <w:start w:val="2"/>
    </w:lvl>
  </w:abstractNum>
  <w:abstractNum w:abstractNumId="98">
    <w:nsid w:val="1DF029D3"/>
    <w:multiLevelType w:val="hybridMultilevel"/>
    <w:lvl w:ilvl="0">
      <w:lvlJc w:val="left"/>
      <w:lvlText w:val="(%1)"/>
      <w:numFmt w:val="lowerRoman"/>
      <w:start w:val="1"/>
    </w:lvl>
  </w:abstractNum>
  <w:abstractNum w:abstractNumId="99">
    <w:nsid w:val="5675FF36"/>
    <w:multiLevelType w:val="hybridMultilevel"/>
    <w:lvl w:ilvl="0">
      <w:lvlJc w:val="left"/>
      <w:lvlText w:val="(%1)"/>
      <w:numFmt w:val="lowerRoman"/>
      <w:start w:val="2"/>
    </w:lvl>
  </w:abstractNum>
  <w:abstractNum w:abstractNumId="100">
    <w:nsid w:val="3DD15094"/>
    <w:multiLevelType w:val="hybridMultilevel"/>
    <w:lvl w:ilvl="0">
      <w:lvlJc w:val="left"/>
      <w:lvlText w:val="(%1)"/>
      <w:numFmt w:val="lowerRoman"/>
      <w:start w:val="3"/>
    </w:lvl>
  </w:abstractNum>
  <w:abstractNum w:abstractNumId="101">
    <w:nsid w:val="3DB012B3"/>
    <w:multiLevelType w:val="hybridMultilevel"/>
    <w:lvl w:ilvl="0">
      <w:lvlJc w:val="left"/>
      <w:lvlText w:val="%1."/>
      <w:numFmt w:val="decimal"/>
      <w:start w:val="3"/>
    </w:lvl>
  </w:abstractNum>
  <w:abstractNum w:abstractNumId="102">
    <w:nsid w:val="2708C9AF"/>
    <w:multiLevelType w:val="hybridMultilevel"/>
    <w:lvl w:ilvl="0">
      <w:lvlJc w:val="left"/>
      <w:lvlText w:val="%1."/>
      <w:numFmt w:val="decimal"/>
      <w:start w:val="4"/>
    </w:lvl>
  </w:abstractNum>
  <w:abstractNum w:abstractNumId="103">
    <w:nsid w:val="5B25ACE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04">
    <w:nsid w:val="175DFCF0"/>
    <w:multiLevelType w:val="hybridMultilevel"/>
    <w:lvl w:ilvl="0">
      <w:lvlJc w:val="left"/>
      <w:lvlText w:val="(%1)"/>
      <w:numFmt w:val="lowerLetter"/>
      <w:start w:val="3"/>
    </w:lvl>
  </w:abstractNum>
  <w:abstractNum w:abstractNumId="105">
    <w:nsid w:val="4F97E3E4"/>
    <w:multiLevelType w:val="hybridMultilevel"/>
    <w:lvl w:ilvl="0">
      <w:lvlJc w:val="left"/>
      <w:lvlText w:val="(%1)"/>
      <w:numFmt w:val="lowerLetter"/>
      <w:start w:val="35"/>
    </w:lvl>
  </w:abstractNum>
  <w:abstractNum w:abstractNumId="106">
    <w:nsid w:val="53B0A9E"/>
    <w:multiLevelType w:val="hybridMultilevel"/>
    <w:lvl w:ilvl="0">
      <w:lvlJc w:val="left"/>
      <w:lvlText w:val="%1."/>
      <w:numFmt w:val="decimal"/>
      <w:start w:val="1"/>
    </w:lvl>
    <w:lvl w:ilvl="1">
      <w:lvlJc w:val="left"/>
      <w:lvlText w:val="(%2)"/>
      <w:numFmt w:val="lowerLetter"/>
      <w:start w:val="1"/>
    </w:lvl>
  </w:abstractNum>
  <w:abstractNum w:abstractNumId="107">
    <w:nsid w:val="34FD6B4F"/>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4"/>
      <w:numFmt w:val="lowerLetter"/>
      <w:start w:val="1"/>
    </w:lvl>
  </w:abstractNum>
  <w:abstractNum w:abstractNumId="108">
    <w:nsid w:val="5915FF32"/>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lvl w:ilvl="3">
      <w:lvlJc w:val="left"/>
      <w:lvlText w:val="(%4)"/>
      <w:numFmt w:val="lowerLetter"/>
      <w:start w:val="9"/>
    </w:lvl>
  </w:abstractNum>
  <w:abstractNum w:abstractNumId="109">
    <w:nsid w:val="56438D15"/>
    <w:multiLevelType w:val="hybridMultilevel"/>
    <w:lvl w:ilvl="0">
      <w:lvlJc w:val="left"/>
      <w:lvlText w:val="(%1)"/>
      <w:numFmt w:val="decimal"/>
      <w:start w:val="30"/>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110">
    <w:nsid w:val="519E314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11">
    <w:nsid w:val="2C6E4AF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12">
    <w:nsid w:val="17A1B582"/>
    <w:multiLevelType w:val="hybridMultilevel"/>
    <w:lvl w:ilvl="0">
      <w:lvlJc w:val="left"/>
      <w:lvlText w:val="%1"/>
      <w:numFmt w:val="decimal"/>
      <w:start w:val="1"/>
    </w:lvl>
    <w:lvl w:ilvl="1">
      <w:lvlJc w:val="left"/>
      <w:lvlText w:val="(%2)"/>
      <w:numFmt w:val="lowerLetter"/>
      <w:start w:val="2"/>
    </w:lvl>
  </w:abstractNum>
  <w:abstractNum w:abstractNumId="113">
    <w:nsid w:val="4DF72E4E"/>
    <w:multiLevelType w:val="hybridMultilevel"/>
    <w:lvl w:ilvl="0">
      <w:lvlJc w:val="left"/>
      <w:lvlText w:val="%1."/>
      <w:numFmt w:val="decimal"/>
      <w:start w:val="11"/>
    </w:lvl>
    <w:lvl w:ilvl="1">
      <w:lvlJc w:val="left"/>
      <w:lvlText w:val="(%2)"/>
      <w:numFmt w:val="lowerLetter"/>
      <w:start w:val="1"/>
    </w:lvl>
  </w:abstractNum>
  <w:abstractNum w:abstractNumId="114">
    <w:nsid w:val="5046B5A9"/>
    <w:multiLevelType w:val="hybridMultilevel"/>
    <w:lvl w:ilvl="0">
      <w:lvlJc w:val="left"/>
      <w:lvlText w:val="(%1)"/>
      <w:numFmt w:val="lowerLetter"/>
      <w:start w:val="2"/>
    </w:lvl>
  </w:abstractNum>
  <w:abstractNum w:abstractNumId="115">
    <w:nsid w:val="5D888A08"/>
    <w:multiLevelType w:val="hybridMultilevel"/>
    <w:lvl w:ilvl="0">
      <w:lvlJc w:val="left"/>
      <w:lvlText w:val="%1."/>
      <w:numFmt w:val="decimal"/>
      <w:start w:val="1"/>
    </w:lvl>
  </w:abstractNum>
  <w:abstractNum w:abstractNumId="116">
    <w:nsid w:val="2A082C70"/>
    <w:multiLevelType w:val="hybridMultilevel"/>
    <w:lvl w:ilvl="0">
      <w:lvlJc w:val="left"/>
      <w:lvlText w:val="%1."/>
      <w:numFmt w:val="decimal"/>
      <w:start w:val="2"/>
    </w:lvl>
    <w:lvl w:ilvl="1">
      <w:lvlJc w:val="left"/>
      <w:lvlText w:val="(%2)"/>
      <w:numFmt w:val="lowerLetter"/>
      <w:start w:val="1"/>
    </w:lvl>
  </w:abstractNum>
  <w:abstractNum w:abstractNumId="117">
    <w:nsid w:val="5EC6AFD4"/>
    <w:multiLevelType w:val="hybridMultilevel"/>
    <w:lvl w:ilvl="0">
      <w:lvlJc w:val="left"/>
      <w:lvlText w:val="•"/>
      <w:numFmt w:val="bullet"/>
      <w:start w:val="1"/>
    </w:lvl>
  </w:abstractNum>
  <w:abstractNum w:abstractNumId="118">
    <w:nsid w:val="19E21BB2"/>
    <w:multiLevelType w:val="hybridMultilevel"/>
    <w:lvl w:ilvl="0">
      <w:lvlJc w:val="left"/>
      <w:lvlText w:val="(%1)"/>
      <w:numFmt w:val="lowerRoman"/>
      <w:start w:val="1"/>
    </w:lvl>
  </w:abstractNum>
  <w:abstractNum w:abstractNumId="119">
    <w:nsid w:val="75E0858A"/>
    <w:multiLevelType w:val="hybridMultilevel"/>
    <w:lvl w:ilvl="0">
      <w:lvlJc w:val="left"/>
      <w:lvlText w:val="(%1)"/>
      <w:numFmt w:val="lowerRoman"/>
      <w:start w:val="1"/>
    </w:lvl>
  </w:abstractNum>
  <w:abstractNum w:abstractNumId="120">
    <w:nsid w:val="57A61A29"/>
    <w:multiLevelType w:val="hybridMultilevel"/>
    <w:lvl w:ilvl="0">
      <w:lvlJc w:val="left"/>
      <w:lvlText w:val="(%1)"/>
      <w:numFmt w:val="lowerLetter"/>
      <w:start w:val="2"/>
    </w:lvl>
  </w:abstractNum>
  <w:abstractNum w:abstractNumId="121">
    <w:nsid w:val="5399C654"/>
    <w:multiLevelType w:val="hybridMultilevel"/>
    <w:lvl w:ilvl="0">
      <w:lvlJc w:val="left"/>
      <w:lvlText w:val="(%1)"/>
      <w:numFmt w:val="lowerRoman"/>
      <w:start w:val="1"/>
    </w:lvl>
  </w:abstractNum>
  <w:abstractNum w:abstractNumId="122">
    <w:nsid w:val="20EE1348"/>
    <w:multiLevelType w:val="hybridMultilevel"/>
    <w:lvl w:ilvl="0">
      <w:lvlJc w:val="left"/>
      <w:lvlText w:val="(%1)"/>
      <w:numFmt w:val="lowerRoman"/>
      <w:start w:val="2"/>
    </w:lvl>
  </w:abstractNum>
  <w:abstractNum w:abstractNumId="123">
    <w:nsid w:val="4427069A"/>
    <w:multiLevelType w:val="hybridMultilevel"/>
    <w:lvl w:ilvl="0">
      <w:lvlJc w:val="left"/>
      <w:lvlText w:val="(%1)"/>
      <w:numFmt w:val="lowerRoman"/>
      <w:start w:val="3"/>
    </w:lvl>
  </w:abstractNum>
  <w:abstractNum w:abstractNumId="124">
    <w:nsid w:val="B37E80A"/>
    <w:multiLevelType w:val="hybridMultilevel"/>
    <w:lvl w:ilvl="0">
      <w:lvlJc w:val="left"/>
      <w:lvlText w:val="%1."/>
      <w:numFmt w:val="decimal"/>
      <w:start w:val="3"/>
    </w:lvl>
  </w:abstractNum>
  <w:abstractNum w:abstractNumId="125">
    <w:nsid w:val="2157F6BC"/>
    <w:multiLevelType w:val="hybridMultilevel"/>
    <w:lvl w:ilvl="0">
      <w:lvlJc w:val="left"/>
      <w:lvlText w:val="%1."/>
      <w:numFmt w:val="decimal"/>
      <w:start w:val="4"/>
    </w:lvl>
  </w:abstractNum>
  <w:abstractNum w:abstractNumId="126">
    <w:nsid w:val="704E1DD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27">
    <w:nsid w:val="57D2F10E"/>
    <w:multiLevelType w:val="hybridMultilevel"/>
    <w:lvl w:ilvl="0">
      <w:lvlJc w:val="left"/>
      <w:lvlText w:val="(%1)"/>
      <w:numFmt w:val="lowerLetter"/>
      <w:start w:val="3"/>
    </w:lvl>
  </w:abstractNum>
  <w:abstractNum w:abstractNumId="128">
    <w:nsid w:val="BFFAE18"/>
    <w:multiLevelType w:val="hybridMultilevel"/>
    <w:lvl w:ilvl="0">
      <w:lvlJc w:val="left"/>
      <w:lvlText w:val="(%1)"/>
      <w:numFmt w:val="lowerLetter"/>
      <w:start w:val="35"/>
    </w:lvl>
  </w:abstractNum>
  <w:abstractNum w:abstractNumId="129">
    <w:nsid w:val="E3E47A8"/>
    <w:multiLevelType w:val="hybridMultilevel"/>
    <w:lvl w:ilvl="0">
      <w:lvlJc w:val="left"/>
      <w:lvlText w:val="%1."/>
      <w:numFmt w:val="decimal"/>
      <w:start w:val="1"/>
    </w:lvl>
  </w:abstractNum>
  <w:abstractNum w:abstractNumId="130">
    <w:nsid w:val="2E48F044"/>
    <w:multiLevelType w:val="hybridMultilevel"/>
    <w:lvl w:ilvl="0">
      <w:lvlJc w:val="left"/>
      <w:lvlText w:val="%1."/>
      <w:numFmt w:val="decimal"/>
      <w:start w:val="3"/>
    </w:lvl>
    <w:lvl w:ilvl="1">
      <w:lvlJc w:val="left"/>
      <w:lvlText w:val="(%2)"/>
      <w:numFmt w:val="lowerLetter"/>
      <w:start w:val="1"/>
    </w:lvl>
  </w:abstractNum>
  <w:abstractNum w:abstractNumId="131">
    <w:nsid w:val="49D0FEAC"/>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132">
    <w:nsid w:val="4BEE5A5B"/>
    <w:multiLevelType w:val="hybridMultilevel"/>
    <w:lvl w:ilvl="0">
      <w:lvlJc w:val="left"/>
      <w:lvlText w:val="(%1)"/>
      <w:numFmt w:val="decimal"/>
      <w:start w:val="30"/>
    </w:lvl>
    <w:lvl w:ilvl="1">
      <w:lvlJc w:val="left"/>
      <w:lvlText w:val="%2."/>
      <w:numFmt w:val="decimal"/>
      <w:start w:val="4"/>
    </w:lvl>
    <w:lvl w:ilvl="2">
      <w:lvlJc w:val="left"/>
      <w:lvlText w:val="(%3)"/>
      <w:numFmt w:val="lowerLetter"/>
      <w:start w:val="1"/>
    </w:lvl>
    <w:lvl w:ilvl="3">
      <w:lvlJc w:val="left"/>
      <w:lvlText w:val="(%4)"/>
      <w:numFmt w:val="lowerRoman"/>
      <w:start w:val="2"/>
    </w:lvl>
  </w:abstractNum>
  <w:abstractNum w:abstractNumId="133">
    <w:nsid w:val="5551B9F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34">
    <w:nsid w:val="24F6AB8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35">
    <w:nsid w:val="634C574C"/>
    <w:multiLevelType w:val="hybridMultilevel"/>
    <w:lvl w:ilvl="0">
      <w:lvlJc w:val="left"/>
      <w:lvlText w:val="%1."/>
      <w:numFmt w:val="decimal"/>
      <w:start w:val="10"/>
    </w:lvl>
    <w:lvl w:ilvl="1">
      <w:lvlJc w:val="left"/>
      <w:lvlText w:val="(%2)"/>
      <w:numFmt w:val="lowerLetter"/>
      <w:start w:val="1"/>
    </w:lvl>
  </w:abstractNum>
  <w:abstractNum w:abstractNumId="136">
    <w:nsid w:val="24E99DD7"/>
    <w:multiLevelType w:val="hybridMultilevel"/>
    <w:lvl w:ilvl="0">
      <w:lvlJc w:val="left"/>
      <w:lvlText w:val="(%1)"/>
      <w:numFmt w:val="lowerLetter"/>
      <w:start w:val="2"/>
    </w:lvl>
  </w:abstractNum>
  <w:abstractNum w:abstractNumId="137">
    <w:nsid w:val="2A31B62D"/>
    <w:multiLevelType w:val="hybridMultilevel"/>
    <w:lvl w:ilvl="0">
      <w:lvlJc w:val="left"/>
      <w:lvlText w:val="%1."/>
      <w:numFmt w:val="decimal"/>
      <w:start w:val="1"/>
    </w:lvl>
    <w:lvl w:ilvl="1">
      <w:lvlJc w:val="left"/>
      <w:lvlText w:val="(%2)"/>
      <w:numFmt w:val="lowerLetter"/>
      <w:start w:val="1"/>
    </w:lvl>
  </w:abstractNum>
  <w:abstractNum w:abstractNumId="138">
    <w:nsid w:val="1849C29B"/>
    <w:multiLevelType w:val="hybridMultilevel"/>
    <w:lvl w:ilvl="0">
      <w:lvlJc w:val="left"/>
      <w:lvlText w:val="%1."/>
      <w:numFmt w:val="decimal"/>
      <w:start w:val="1"/>
    </w:lvl>
    <w:lvl w:ilvl="1">
      <w:lvlJc w:val="left"/>
      <w:lvlText w:val="(%2)"/>
      <w:numFmt w:val="lowerLetter"/>
      <w:start w:val="1"/>
    </w:lvl>
  </w:abstractNum>
  <w:abstractNum w:abstractNumId="139">
    <w:nsid w:val="7DFF9D09"/>
    <w:multiLevelType w:val="hybridMultilevel"/>
    <w:lvl w:ilvl="0">
      <w:lvlJc w:val="left"/>
      <w:lvlText w:val="(%1)"/>
      <w:numFmt w:val="decimal"/>
      <w:start w:val="1"/>
    </w:lvl>
  </w:abstractNum>
  <w:abstractNum w:abstractNumId="140">
    <w:nsid w:val="75434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60" Type="http://schemas.openxmlformats.org/officeDocument/2006/relationships/image" Target="media/image146.png"/><Relationship Id="rId165" Type="http://schemas.openxmlformats.org/officeDocument/2006/relationships/image" Target="media/image147.png"/><Relationship Id="rId174" Type="http://schemas.openxmlformats.org/officeDocument/2006/relationships/image" Target="media/image148.png"/><Relationship Id="rId191" Type="http://schemas.openxmlformats.org/officeDocument/2006/relationships/image" Target="media/image149.png"/><Relationship Id="rId192" Type="http://schemas.openxmlformats.org/officeDocument/2006/relationships/image" Target="media/image150.png"/><Relationship Id="rId210" Type="http://schemas.openxmlformats.org/officeDocument/2006/relationships/image" Target="media/image151.png"/><Relationship Id="rId211" Type="http://schemas.openxmlformats.org/officeDocument/2006/relationships/image" Target="media/image152.png"/><Relationship Id="rId212" Type="http://schemas.openxmlformats.org/officeDocument/2006/relationships/image" Target="media/image153.png"/><Relationship Id="rId213" Type="http://schemas.openxmlformats.org/officeDocument/2006/relationships/image" Target="media/image154.png"/><Relationship Id="rId214" Type="http://schemas.openxmlformats.org/officeDocument/2006/relationships/image" Target="media/image155.png"/><Relationship Id="rId215" Type="http://schemas.openxmlformats.org/officeDocument/2006/relationships/image" Target="media/image156.png"/><Relationship Id="rId216" Type="http://schemas.openxmlformats.org/officeDocument/2006/relationships/image" Target="media/image157.png"/><Relationship Id="rId217" Type="http://schemas.openxmlformats.org/officeDocument/2006/relationships/image" Target="media/image158.png"/><Relationship Id="rId218" Type="http://schemas.openxmlformats.org/officeDocument/2006/relationships/image" Target="media/image159.png"/><Relationship Id="rId219" Type="http://schemas.openxmlformats.org/officeDocument/2006/relationships/image" Target="media/image160.png"/><Relationship Id="rId220" Type="http://schemas.openxmlformats.org/officeDocument/2006/relationships/image" Target="media/image161.png"/><Relationship Id="rId221" Type="http://schemas.openxmlformats.org/officeDocument/2006/relationships/image" Target="media/image162.png"/><Relationship Id="rId222" Type="http://schemas.openxmlformats.org/officeDocument/2006/relationships/image" Target="media/image163.png"/><Relationship Id="rId153" Type="http://schemas.openxmlformats.org/officeDocument/2006/relationships/hyperlink" Target="http://www.sec.gov/Archives/edgar/data/1546417/000119312512352193/d394531dex41.htm" TargetMode="External"/><Relationship Id="rId154" Type="http://schemas.openxmlformats.org/officeDocument/2006/relationships/hyperlink" Target="http://www.sec.gov/Archives/edgar/data/1546417/000154641718000142/ex31-thirdamendedandrestat.htm" TargetMode="External"/><Relationship Id="rId155" Type="http://schemas.openxmlformats.org/officeDocument/2006/relationships/hyperlink" Target="http://www.sec.gov/Archives/edgar/data/1546417/000119312512306157/d319863dex41.htm" TargetMode="External"/><Relationship Id="rId156" Type="http://schemas.openxmlformats.org/officeDocument/2006/relationships/hyperlink" Target="http://www.sec.gov/Archives/edgar/data/1546417/000154641720000032/blmn-122919_ex42.htm" TargetMode="External"/><Relationship Id="rId157" Type="http://schemas.openxmlformats.org/officeDocument/2006/relationships/hyperlink" Target="http://www.sec.gov/Archives/edgar/data/1546417/000119312520139247/d905014dex41.htm" TargetMode="External"/><Relationship Id="rId158" Type="http://schemas.openxmlformats.org/officeDocument/2006/relationships/hyperlink" Target="http://www.sec.gov/Archives/edgar/data/1546417/000154641718000042/blmn-123117_ex1038.htm" TargetMode="External"/><Relationship Id="rId159" Type="http://schemas.openxmlformats.org/officeDocument/2006/relationships/hyperlink" Target="http://www.sec.gov/Archives/edgar/data/1546417/000119312520133026/d919299dex101.htm" TargetMode="External"/><Relationship Id="rId161" Type="http://schemas.openxmlformats.org/officeDocument/2006/relationships/hyperlink" Target="http://www.sec.gov/Archives/edgar/data/1546417/000119312512153440/d319863dex106.htm" TargetMode="External"/><Relationship Id="rId162" Type="http://schemas.openxmlformats.org/officeDocument/2006/relationships/hyperlink" Target="http://www.sec.gov/Archives/edgar/data/1546417/000154641714000131/blmn-62914_ex106.htm" TargetMode="External"/><Relationship Id="rId163" Type="http://schemas.openxmlformats.org/officeDocument/2006/relationships/hyperlink" Target="http://www.sec.gov/Archives/edgar/data/1546417/000154641717000069/blmn-062517_ex101.htm" TargetMode="External"/><Relationship Id="rId164" Type="http://schemas.openxmlformats.org/officeDocument/2006/relationships/hyperlink" Target="http://www.sec.gov/Archives/edgar/data/1546417/000119312512153440/d319863dex108.htm" TargetMode="External"/><Relationship Id="rId166" Type="http://schemas.openxmlformats.org/officeDocument/2006/relationships/hyperlink" Target="http://www.sec.gov/Archives/edgar/data/1546417/000119312512153440/d319863dex1046.htm" TargetMode="External"/><Relationship Id="rId167" Type="http://schemas.openxmlformats.org/officeDocument/2006/relationships/hyperlink" Target="http://www.sec.gov/Archives/edgar/data/1546417/000119312512153440/d319863dex101.htm" TargetMode="External"/><Relationship Id="rId168" Type="http://schemas.openxmlformats.org/officeDocument/2006/relationships/hyperlink" Target="http://www.sec.gov/Archives/edgar/data/1546417/000119312512153440/d319863dex1042.htm" TargetMode="External"/><Relationship Id="rId169" Type="http://schemas.openxmlformats.org/officeDocument/2006/relationships/hyperlink" Target="http://www.sec.gov/Archives/edgar/data/1546417/000119312512306157/d319863dex102.htm" TargetMode="External"/><Relationship Id="rId170" Type="http://schemas.openxmlformats.org/officeDocument/2006/relationships/hyperlink" Target="http://www.sec.gov/Archives/edgar/data/1546417/000154641712000034/exhibit102-formofnonqualif.htm" TargetMode="External"/><Relationship Id="rId171" Type="http://schemas.openxmlformats.org/officeDocument/2006/relationships/hyperlink" Target="http://www.sec.gov/Archives/edgar/data/1546417/000154641712000034/exhibit103-formofrestricte.htm" TargetMode="External"/><Relationship Id="rId172" Type="http://schemas.openxmlformats.org/officeDocument/2006/relationships/hyperlink" Target="http://www.sec.gov/Archives/edgar/data/1546417/000154641712000034/exhibit104-formofrestricte.htm" TargetMode="External"/><Relationship Id="rId173" Type="http://schemas.openxmlformats.org/officeDocument/2006/relationships/hyperlink" Target="http://www.sec.gov/Archives/edgar/data/1546417/000154641713000118/blmn-93013_ex101.htm" TargetMode="External"/><Relationship Id="rId175" Type="http://schemas.openxmlformats.org/officeDocument/2006/relationships/hyperlink" Target="http://www.sec.gov/Archives/edgar/data/1546417/000154641713000118/blmn-93013_ex102.htm" TargetMode="External"/><Relationship Id="rId176" Type="http://schemas.openxmlformats.org/officeDocument/2006/relationships/hyperlink" Target="http://www.sec.gov/Archives/edgar/data/1546417/000154641712000034/exhibit105-formofperforman.htm" TargetMode="External"/><Relationship Id="rId177" Type="http://schemas.openxmlformats.org/officeDocument/2006/relationships/hyperlink" Target="http://www.sec.gov/Archives/edgar/data/1546417/000119312512306157/d319863dex1039.htm" TargetMode="External"/><Relationship Id="rId178" Type="http://schemas.openxmlformats.org/officeDocument/2006/relationships/hyperlink" Target="http://www.sec.gov/Archives/edgar/data/1546417/000119312516500868/d94759ddef14a.htm" TargetMode="External"/><Relationship Id="rId179" Type="http://schemas.openxmlformats.org/officeDocument/2006/relationships/hyperlink" Target="http://www.sec.gov/Archives/edgar/data/1546417/000154641716000179/blmn-62616_ex102.htm" TargetMode="External"/><Relationship Id="rId180" Type="http://schemas.openxmlformats.org/officeDocument/2006/relationships/hyperlink" Target="http://www.sec.gov/Archives/edgar/data/1546417/000154641716000179/blmn-62616_ex103.htm" TargetMode="External"/><Relationship Id="rId181" Type="http://schemas.openxmlformats.org/officeDocument/2006/relationships/hyperlink" Target="http://www.sec.gov/Archives/edgar/data/1546417/000154641716000179/blmn-62616_ex104.htm" TargetMode="External"/><Relationship Id="rId182" Type="http://schemas.openxmlformats.org/officeDocument/2006/relationships/hyperlink" Target="http://www.sec.gov/Archives/edgar/data/1546417/000154641716000179/blmn-62616_ex105.htm" TargetMode="External"/><Relationship Id="rId183" Type="http://schemas.openxmlformats.org/officeDocument/2006/relationships/hyperlink" Target="http://www.sec.gov/Archives/edgar/data/1546417/000154641717000056/blmn-032617_ex101.htm" TargetMode="External"/><Relationship Id="rId184" Type="http://schemas.openxmlformats.org/officeDocument/2006/relationships/hyperlink" Target="http://www.sec.gov/Archives/edgar/data/1546417/000154641720000056/blmn-122919_proxystatement.htm" TargetMode="External"/><Relationship Id="rId185" Type="http://schemas.openxmlformats.org/officeDocument/2006/relationships/hyperlink" Target="http://www.sec.gov/Archives/edgar/data/1546417/000154641720000070/blmn-52920ex102.htm" TargetMode="External"/><Relationship Id="rId186" Type="http://schemas.openxmlformats.org/officeDocument/2006/relationships/hyperlink" Target="http://www.sec.gov/Archives/edgar/data/1546417/000154641720000070/blmn-52920ex103.htm" TargetMode="External"/><Relationship Id="rId187" Type="http://schemas.openxmlformats.org/officeDocument/2006/relationships/hyperlink" Target="http://www.sec.gov/Archives/edgar/data/1546417/000154641720000070/blmn-52920ex104.htm" TargetMode="External"/><Relationship Id="rId188" Type="http://schemas.openxmlformats.org/officeDocument/2006/relationships/hyperlink" Target="http://www.sec.gov/Archives/edgar/data/1546417/000154641720000070/blmn-52920ex105.htm" TargetMode="External"/><Relationship Id="rId189" Type="http://schemas.openxmlformats.org/officeDocument/2006/relationships/hyperlink" Target="http://www.sec.gov/Archives/edgar/data/1546417/000154641720000070/blmn-52920ex106.htm" TargetMode="External"/><Relationship Id="rId190" Type="http://schemas.openxmlformats.org/officeDocument/2006/relationships/hyperlink" Target="http://www.sec.gov/Archives/edgar/data/1546417/000154641712000034/exhibit101-executivechange.htm" TargetMode="External"/><Relationship Id="rId193" Type="http://schemas.openxmlformats.org/officeDocument/2006/relationships/hyperlink" Target="http://www.sec.gov/Archives/edgar/data/1546417/000119312512153440/d319863dex1041.htm" TargetMode="External"/><Relationship Id="rId194" Type="http://schemas.openxmlformats.org/officeDocument/2006/relationships/hyperlink" Target="http://www.sec.gov/Archives/edgar/data/1546417/000154641719000068/blmn-33119_ex102.htm" TargetMode="External"/><Relationship Id="rId195" Type="http://schemas.openxmlformats.org/officeDocument/2006/relationships/hyperlink" Target="http://www.sec.gov/Archives/edgar/data/1546417/000154641719000068/blmn-33119_ex103.htm" TargetMode="External"/><Relationship Id="rId196" Type="http://schemas.openxmlformats.org/officeDocument/2006/relationships/hyperlink" Target="http://www.sec.gov/Archives/edgar/data/1546417/000119312512153440/d319863dex1048.htm" TargetMode="External"/><Relationship Id="rId197" Type="http://schemas.openxmlformats.org/officeDocument/2006/relationships/hyperlink" Target="http://www.sec.gov/Archives/edgar/data/1546417/000154641715000027/blmn-122814_ex1058.htm" TargetMode="External"/><Relationship Id="rId198" Type="http://schemas.openxmlformats.org/officeDocument/2006/relationships/hyperlink" Target="http://www.sec.gov/Archives/edgar/data/1546417/000154641716000209/blmn-92516_ex102.htm" TargetMode="External"/><Relationship Id="rId199" Type="http://schemas.openxmlformats.org/officeDocument/2006/relationships/hyperlink" Target="http://www.sec.gov/Archives/edgar/data/1546417/000154641719000068/blmn-33119_ex104.htm" TargetMode="External"/><Relationship Id="rId200" Type="http://schemas.openxmlformats.org/officeDocument/2006/relationships/hyperlink" Target="http://www.sec.gov/Archives/edgar/data/1546417/000154641719000084/blmn-63019ex103.htm" TargetMode="External"/><Relationship Id="rId201" Type="http://schemas.openxmlformats.org/officeDocument/2006/relationships/hyperlink" Target="http://www.sec.gov/Archives/edgar/data/1546417/000154641719000084/blmn-63019ex104.htm" TargetMode="External"/><Relationship Id="rId202" Type="http://schemas.openxmlformats.org/officeDocument/2006/relationships/hyperlink" Target="http://www.sec.gov/Archives/edgar/data/1546417/000154641720000032/blmn-122919ex1038.htm" TargetMode="External"/><Relationship Id="rId203" Type="http://schemas.openxmlformats.org/officeDocument/2006/relationships/hyperlink" Target="http://www.sec.gov/Archives/edgar/data/1546417/000154641720000032/blmn-122919ex1039.htm" TargetMode="External"/><Relationship Id="rId204" Type="http://schemas.openxmlformats.org/officeDocument/2006/relationships/hyperlink" Target="http://www.sec.gov/Archives/edgar/data/1546417/000154641720000032/blmn-122919ex1040.htm" TargetMode="External"/><Relationship Id="rId205" Type="http://schemas.openxmlformats.org/officeDocument/2006/relationships/hyperlink" Target="http://www.sec.gov/Archives/edgar/data/1546417/000154641720000067/blmn-32920ex104.htm" TargetMode="External"/><Relationship Id="rId206" Type="http://schemas.openxmlformats.org/officeDocument/2006/relationships/hyperlink" Target="http://www.sec.gov/Archives/edgar/data/1546417/000154641720000054/ex101-janapartnersagre.htm" TargetMode="External"/><Relationship Id="rId207" Type="http://schemas.openxmlformats.org/officeDocument/2006/relationships/hyperlink" Target="http://www.sec.gov/Archives/edgar/data/1546417/000119312520139247/d905014dex101.htm" TargetMode="External"/><Relationship Id="rId208" Type="http://schemas.openxmlformats.org/officeDocument/2006/relationships/hyperlink" Target="http://www.sec.gov/Archives/edgar/data/1546417/000119312520139247/d905014dex102.htm" TargetMode="External"/><Relationship Id="rId209" Type="http://schemas.openxmlformats.org/officeDocument/2006/relationships/hyperlink" Target="http://www.sec.gov/Archives/edgar/data/1546417/000154641720000067/blmn-32920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2021-02-24T15:31:36Z</dcterms:created>
  <dcterms:modified xsi:type="dcterms:W3CDTF">2021-02-24T15:31:36Z</dcterms:modified>
</cp:coreProperties>
</file>