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quarterly period ended September 24,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2202 North West Shore Boulevard, Suite 500, Tampa, FL 33607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(813) 282-1225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w:t>
      </w:r>
      <w:r>
        <w:rPr>
          <w:color w:val="000000"/>
        </w:rPr>
        <w:t xml:space="preserve"> ☐ </w:t>
      </w:r>
      <w:r>
        <w:rPr>
          <w:rFonts w:ascii="Times New Roman;sans-serif" w:hAnsi="Times New Roman;sans-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86,814,043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INDEX TO QUARTERLY REPORT ON FORM 10-Q</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Quarterly Period Ended September 24, 2023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6"/>
        <w:gridCol w:w="294"/>
        <w:gridCol w:w="297"/>
        <w:gridCol w:w="2766"/>
        <w:gridCol w:w="2766"/>
        <w:gridCol w:w="2769"/>
        <w:gridCol w:w="285"/>
        <w:gridCol w:w="285"/>
        <w:gridCol w:w="407"/>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13">
              <w:r>
                <w:rPr>
                  <w:rStyle w:val="InternetLink"/>
                  <w:rFonts w:ascii="Times New Roman;sans-serif" w:hAnsi="Times New Roman;sans-serif"/>
                  <w:b w:val="false"/>
                  <w:color w:val="0000FF"/>
                  <w:sz w:val="22"/>
                  <w:u w:val="single"/>
                </w:rPr>
                <w:t>PART I — FINANCIAL INFORMATION</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No.</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16">
              <w:r>
                <w:rPr>
                  <w:rStyle w:val="InternetLink"/>
                  <w:rFonts w:ascii="Times New Roman;sans-serif" w:hAnsi="Times New Roman;sans-serif"/>
                  <w:b w:val="false"/>
                  <w:color w:val="0000FF"/>
                  <w:sz w:val="22"/>
                  <w:u w:val="single"/>
                </w:rPr>
                <w:t>Financial Statements (Unaudited)</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16">
              <w:r>
                <w:rPr>
                  <w:rStyle w:val="InternetLink"/>
                  <w:rFonts w:ascii="Times New Roman;sans-serif" w:hAnsi="Times New Roman;sans-serif"/>
                  <w:b w:val="false"/>
                  <w:color w:val="0000FF"/>
                  <w:sz w:val="22"/>
                  <w:u w:val="single"/>
                </w:rPr>
                <w:t>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16">
              <w:r>
                <w:rPr>
                  <w:rStyle w:val="InternetLink"/>
                  <w:rFonts w:ascii="Times New Roman;sans-serif" w:hAnsi="Times New Roman;sans-serif"/>
                  <w:b w:val="false"/>
                  <w:color w:val="0000FF"/>
                  <w:sz w:val="22"/>
                  <w:u w:val="single"/>
                </w:rPr>
                <w:t>Consolidated Financial Statements:</w:t>
              </w:r>
            </w:hyperlink>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19">
              <w:r>
                <w:rPr>
                  <w:rStyle w:val="InternetLink"/>
                  <w:rFonts w:ascii="Times New Roman;sans-serif" w:hAnsi="Times New Roman;sans-serif"/>
                  <w:b w:val="false"/>
                  <w:color w:val="000080"/>
                  <w:sz w:val="22"/>
                  <w:u w:val="single"/>
                </w:rPr>
                <w:t xml:space="preserve">Consolidated Balance Sheets — </w:t>
              </w:r>
            </w:hyperlink>
            <w:hyperlink w:anchor="i1c5829ec4cca48979e7639efcc645466_19">
              <w:r>
                <w:rPr>
                  <w:rStyle w:val="InternetLink"/>
                  <w:rFonts w:ascii="Times New Roman;sans-serif" w:hAnsi="Times New Roman;sans-serif"/>
                  <w:b w:val="false"/>
                  <w:color w:val="000080"/>
                  <w:sz w:val="22"/>
                  <w:u w:val="single"/>
                </w:rPr>
                <w:t>September 2</w:t>
              </w:r>
            </w:hyperlink>
            <w:hyperlink w:anchor="i1c5829ec4cca48979e7639efcc645466_19">
              <w:r>
                <w:rPr>
                  <w:rStyle w:val="InternetLink"/>
                  <w:rFonts w:ascii="Times New Roman;sans-serif" w:hAnsi="Times New Roman;sans-serif"/>
                  <w:b w:val="false"/>
                  <w:color w:val="000080"/>
                  <w:sz w:val="22"/>
                  <w:u w:val="single"/>
                </w:rPr>
                <w:t>4</w:t>
              </w:r>
            </w:hyperlink>
            <w:hyperlink w:anchor="i1c5829ec4cca48979e7639efcc645466_19">
              <w:r>
                <w:rPr>
                  <w:rStyle w:val="InternetLink"/>
                  <w:rFonts w:ascii="Times New Roman;sans-serif" w:hAnsi="Times New Roman;sans-serif"/>
                  <w:b w:val="false"/>
                  <w:color w:val="000080"/>
                  <w:sz w:val="22"/>
                  <w:u w:val="single"/>
                </w:rPr>
                <w:t>, 2023 and December 25, 2022</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19">
              <w:r>
                <w:rPr>
                  <w:rStyle w:val="InternetLink"/>
                  <w:rFonts w:ascii="Times New Roman;sans-serif" w:hAnsi="Times New Roman;sans-serif"/>
                  <w:b w:val="false"/>
                  <w:color w:val="0000FF"/>
                  <w:sz w:val="22"/>
                  <w:u w:val="single"/>
                </w:rPr>
                <w:t>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22">
              <w:r>
                <w:rPr>
                  <w:rStyle w:val="InternetLink"/>
                  <w:rFonts w:ascii="Times New Roman;sans-serif" w:hAnsi="Times New Roman;sans-serif"/>
                  <w:b w:val="false"/>
                  <w:color w:val="000080"/>
                  <w:sz w:val="22"/>
                  <w:u w:val="single"/>
                </w:rPr>
                <w:t xml:space="preserve">Consolidated Statements of Operations and Comprehensive Income </w:t>
              </w:r>
            </w:hyperlink>
            <w:hyperlink w:anchor="i1c5829ec4cca48979e7639efcc645466_22">
              <w:r>
                <w:rPr>
                  <w:rStyle w:val="InternetLink"/>
                  <w:rFonts w:ascii="Times New Roman;sans-serif" w:hAnsi="Times New Roman;sans-serif"/>
                  <w:b w:val="false"/>
                  <w:color w:val="000080"/>
                  <w:sz w:val="22"/>
                  <w:u w:val="single"/>
                </w:rPr>
                <w:t>—</w:t>
              </w:r>
            </w:hyperlink>
          </w:p>
          <w:p>
            <w:pPr>
              <w:pStyle w:val="TableContents"/>
              <w:bidi w:val="0"/>
              <w:spacing w:lineRule="auto" w:line="240" w:before="0" w:after="0"/>
              <w:jc w:val="left"/>
              <w:rPr/>
            </w:pPr>
            <w:hyperlink w:anchor="i1c5829ec4cca48979e7639efcc645466_22">
              <w:r>
                <w:rPr>
                  <w:rStyle w:val="InternetLink"/>
                  <w:rFonts w:ascii="Times New Roman;sans-serif" w:hAnsi="Times New Roman;sans-serif"/>
                  <w:b w:val="false"/>
                  <w:color w:val="000080"/>
                  <w:sz w:val="22"/>
                  <w:u w:val="single"/>
                </w:rPr>
                <w:t xml:space="preserve">For the Thirteen and </w:t>
              </w:r>
            </w:hyperlink>
            <w:hyperlink w:anchor="i1c5829ec4cca48979e7639efcc645466_22">
              <w:r>
                <w:rPr>
                  <w:rStyle w:val="InternetLink"/>
                  <w:rFonts w:ascii="Times New Roman;sans-serif" w:hAnsi="Times New Roman;sans-serif"/>
                  <w:b w:val="false"/>
                  <w:color w:val="000080"/>
                  <w:sz w:val="22"/>
                  <w:u w:val="single"/>
                </w:rPr>
                <w:t>Thirty-</w:t>
              </w:r>
            </w:hyperlink>
            <w:hyperlink w:anchor="i1c5829ec4cca48979e7639efcc645466_22">
              <w:r>
                <w:rPr>
                  <w:rStyle w:val="InternetLink"/>
                  <w:rFonts w:ascii="Times New Roman;sans-serif" w:hAnsi="Times New Roman;sans-serif"/>
                  <w:b w:val="false"/>
                  <w:color w:val="000080"/>
                  <w:sz w:val="22"/>
                  <w:u w:val="single"/>
                </w:rPr>
                <w:t>N</w:t>
              </w:r>
            </w:hyperlink>
            <w:hyperlink w:anchor="i1c5829ec4cca48979e7639efcc645466_22">
              <w:r>
                <w:rPr>
                  <w:rStyle w:val="InternetLink"/>
                  <w:rFonts w:ascii="Times New Roman;sans-serif" w:hAnsi="Times New Roman;sans-serif"/>
                  <w:b w:val="false"/>
                  <w:color w:val="000080"/>
                  <w:sz w:val="22"/>
                  <w:u w:val="single"/>
                </w:rPr>
                <w:t>ine</w:t>
              </w:r>
            </w:hyperlink>
            <w:hyperlink w:anchor="i1c5829ec4cca48979e7639efcc645466_22">
              <w:r>
                <w:rPr>
                  <w:rStyle w:val="InternetLink"/>
                  <w:rFonts w:ascii="Times New Roman;sans-serif" w:hAnsi="Times New Roman;sans-serif"/>
                  <w:b w:val="false"/>
                  <w:color w:val="000080"/>
                  <w:sz w:val="22"/>
                  <w:u w:val="single"/>
                </w:rPr>
                <w:t xml:space="preserve"> Weeks Ended </w:t>
              </w:r>
            </w:hyperlink>
            <w:hyperlink w:anchor="i1c5829ec4cca48979e7639efcc645466_22">
              <w:r>
                <w:rPr>
                  <w:rStyle w:val="InternetLink"/>
                  <w:rFonts w:ascii="Times New Roman;sans-serif" w:hAnsi="Times New Roman;sans-serif"/>
                  <w:b w:val="false"/>
                  <w:color w:val="000080"/>
                  <w:sz w:val="22"/>
                  <w:u w:val="single"/>
                </w:rPr>
                <w:t>September</w:t>
              </w:r>
            </w:hyperlink>
            <w:hyperlink w:anchor="i1c5829ec4cca48979e7639efcc645466_22">
              <w:r>
                <w:rPr>
                  <w:rStyle w:val="InternetLink"/>
                  <w:rFonts w:ascii="Times New Roman;sans-serif" w:hAnsi="Times New Roman;sans-serif"/>
                  <w:b w:val="false"/>
                  <w:color w:val="000080"/>
                  <w:sz w:val="22"/>
                  <w:u w:val="single"/>
                </w:rPr>
                <w:t xml:space="preserve"> 2</w:t>
              </w:r>
            </w:hyperlink>
            <w:hyperlink w:anchor="i1c5829ec4cca48979e7639efcc645466_22">
              <w:r>
                <w:rPr>
                  <w:rStyle w:val="InternetLink"/>
                  <w:rFonts w:ascii="Times New Roman;sans-serif" w:hAnsi="Times New Roman;sans-serif"/>
                  <w:b w:val="false"/>
                  <w:color w:val="000080"/>
                  <w:sz w:val="22"/>
                  <w:u w:val="single"/>
                </w:rPr>
                <w:t>4</w:t>
              </w:r>
            </w:hyperlink>
            <w:hyperlink w:anchor="i1c5829ec4cca48979e7639efcc645466_22">
              <w:r>
                <w:rPr>
                  <w:rStyle w:val="InternetLink"/>
                  <w:rFonts w:ascii="Times New Roman;sans-serif" w:hAnsi="Times New Roman;sans-serif"/>
                  <w:b w:val="false"/>
                  <w:color w:val="000080"/>
                  <w:sz w:val="22"/>
                  <w:u w:val="single"/>
                </w:rPr>
                <w:t xml:space="preserve">, 2023 and </w:t>
              </w:r>
            </w:hyperlink>
            <w:hyperlink w:anchor="i1c5829ec4cca48979e7639efcc645466_22">
              <w:r>
                <w:rPr>
                  <w:rStyle w:val="InternetLink"/>
                  <w:rFonts w:ascii="Times New Roman;sans-serif" w:hAnsi="Times New Roman;sans-serif"/>
                  <w:b w:val="false"/>
                  <w:color w:val="000080"/>
                  <w:sz w:val="22"/>
                  <w:u w:val="single"/>
                </w:rPr>
                <w:t>Se</w:t>
              </w:r>
            </w:hyperlink>
            <w:hyperlink w:anchor="i1c5829ec4cca48979e7639efcc645466_22">
              <w:r>
                <w:rPr>
                  <w:rStyle w:val="InternetLink"/>
                  <w:rFonts w:ascii="Times New Roman;sans-serif" w:hAnsi="Times New Roman;sans-serif"/>
                  <w:b w:val="false"/>
                  <w:color w:val="000080"/>
                  <w:sz w:val="22"/>
                  <w:u w:val="single"/>
                </w:rPr>
                <w:t>ptember 25</w:t>
              </w:r>
            </w:hyperlink>
            <w:hyperlink w:anchor="i1c5829ec4cca48979e7639efcc645466_22">
              <w:r>
                <w:rPr>
                  <w:rStyle w:val="InternetLink"/>
                  <w:rFonts w:ascii="Times New Roman;sans-serif" w:hAnsi="Times New Roman;sans-serif"/>
                  <w:b w:val="false"/>
                  <w:color w:val="000080"/>
                  <w:sz w:val="22"/>
                  <w:u w:val="single"/>
                </w:rPr>
                <w:t>, 2022</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
              <w:r>
                <w:rPr>
                  <w:rStyle w:val="InternetLink"/>
                  <w:rFonts w:ascii="Times New Roman;sans-serif" w:hAnsi="Times New Roman;sans-serif"/>
                  <w:b w:val="false"/>
                  <w:color w:val="0000FF"/>
                  <w:sz w:val="22"/>
                  <w:u w:val="single"/>
                </w:rPr>
                <w:t>4</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25">
              <w:r>
                <w:rPr>
                  <w:rStyle w:val="InternetLink"/>
                  <w:rFonts w:ascii="Times New Roman;sans-serif" w:hAnsi="Times New Roman;sans-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1c5829ec4cca48979e7639efcc645466_25">
              <w:r>
                <w:rPr>
                  <w:rStyle w:val="InternetLink"/>
                  <w:rFonts w:ascii="Times New Roman;sans-serif" w:hAnsi="Times New Roman;sans-serif"/>
                  <w:b w:val="false"/>
                  <w:color w:val="000080"/>
                  <w:sz w:val="22"/>
                  <w:u w:val="single"/>
                </w:rPr>
                <w:t>For the Thirteen and T</w:t>
              </w:r>
            </w:hyperlink>
            <w:hyperlink w:anchor="i1c5829ec4cca48979e7639efcc645466_25">
              <w:r>
                <w:rPr>
                  <w:rStyle w:val="InternetLink"/>
                  <w:rFonts w:ascii="Times New Roman;sans-serif" w:hAnsi="Times New Roman;sans-serif"/>
                  <w:b w:val="false"/>
                  <w:color w:val="000080"/>
                  <w:sz w:val="22"/>
                  <w:u w:val="single"/>
                </w:rPr>
                <w:t>hirty-Ni</w:t>
              </w:r>
            </w:hyperlink>
            <w:hyperlink w:anchor="i1c5829ec4cca48979e7639efcc645466_25">
              <w:r>
                <w:rPr>
                  <w:rStyle w:val="InternetLink"/>
                  <w:rFonts w:ascii="Times New Roman;sans-serif" w:hAnsi="Times New Roman;sans-serif"/>
                  <w:b w:val="false"/>
                  <w:color w:val="000080"/>
                  <w:sz w:val="22"/>
                  <w:u w:val="single"/>
                </w:rPr>
                <w:t>ne</w:t>
              </w:r>
            </w:hyperlink>
            <w:hyperlink w:anchor="i1c5829ec4cca48979e7639efcc645466_25">
              <w:r>
                <w:rPr>
                  <w:rStyle w:val="InternetLink"/>
                  <w:rFonts w:ascii="Times New Roman;sans-serif" w:hAnsi="Times New Roman;sans-serif"/>
                  <w:b w:val="false"/>
                  <w:color w:val="000080"/>
                  <w:sz w:val="22"/>
                  <w:u w:val="single"/>
                </w:rPr>
                <w:t xml:space="preserve"> Weeks Ended </w:t>
              </w:r>
            </w:hyperlink>
            <w:hyperlink w:anchor="i1c5829ec4cca48979e7639efcc645466_25">
              <w:r>
                <w:rPr>
                  <w:rStyle w:val="InternetLink"/>
                  <w:rFonts w:ascii="Times New Roman;sans-serif" w:hAnsi="Times New Roman;sans-serif"/>
                  <w:b w:val="false"/>
                  <w:color w:val="000080"/>
                  <w:sz w:val="22"/>
                  <w:u w:val="single"/>
                </w:rPr>
                <w:t>S</w:t>
              </w:r>
            </w:hyperlink>
            <w:hyperlink w:anchor="i1c5829ec4cca48979e7639efcc645466_25">
              <w:r>
                <w:rPr>
                  <w:rStyle w:val="InternetLink"/>
                  <w:rFonts w:ascii="Times New Roman;sans-serif" w:hAnsi="Times New Roman;sans-serif"/>
                  <w:b w:val="false"/>
                  <w:color w:val="000080"/>
                  <w:sz w:val="22"/>
                  <w:u w:val="single"/>
                </w:rPr>
                <w:t>eptember</w:t>
              </w:r>
            </w:hyperlink>
            <w:hyperlink w:anchor="i1c5829ec4cca48979e7639efcc645466_25">
              <w:r>
                <w:rPr>
                  <w:rStyle w:val="InternetLink"/>
                  <w:rFonts w:ascii="Times New Roman;sans-serif" w:hAnsi="Times New Roman;sans-serif"/>
                  <w:b w:val="false"/>
                  <w:color w:val="000080"/>
                  <w:sz w:val="22"/>
                  <w:u w:val="single"/>
                </w:rPr>
                <w:t xml:space="preserve"> 2</w:t>
              </w:r>
            </w:hyperlink>
            <w:hyperlink w:anchor="i1c5829ec4cca48979e7639efcc645466_25">
              <w:r>
                <w:rPr>
                  <w:rStyle w:val="InternetLink"/>
                  <w:rFonts w:ascii="Times New Roman;sans-serif" w:hAnsi="Times New Roman;sans-serif"/>
                  <w:b w:val="false"/>
                  <w:color w:val="000080"/>
                  <w:sz w:val="22"/>
                  <w:u w:val="single"/>
                </w:rPr>
                <w:t>4</w:t>
              </w:r>
            </w:hyperlink>
            <w:hyperlink w:anchor="i1c5829ec4cca48979e7639efcc645466_25">
              <w:r>
                <w:rPr>
                  <w:rStyle w:val="InternetLink"/>
                  <w:rFonts w:ascii="Times New Roman;sans-serif" w:hAnsi="Times New Roman;sans-serif"/>
                  <w:b w:val="false"/>
                  <w:color w:val="000080"/>
                  <w:sz w:val="22"/>
                  <w:u w:val="single"/>
                </w:rPr>
                <w:t xml:space="preserve">, 2023 and </w:t>
              </w:r>
            </w:hyperlink>
            <w:hyperlink w:anchor="i1c5829ec4cca48979e7639efcc645466_25">
              <w:r>
                <w:rPr>
                  <w:rStyle w:val="InternetLink"/>
                  <w:rFonts w:ascii="Times New Roman;sans-serif" w:hAnsi="Times New Roman;sans-serif"/>
                  <w:b w:val="false"/>
                  <w:color w:val="000080"/>
                  <w:sz w:val="22"/>
                  <w:u w:val="single"/>
                </w:rPr>
                <w:t>Se</w:t>
              </w:r>
            </w:hyperlink>
            <w:hyperlink w:anchor="i1c5829ec4cca48979e7639efcc645466_25">
              <w:r>
                <w:rPr>
                  <w:rStyle w:val="InternetLink"/>
                  <w:rFonts w:ascii="Times New Roman;sans-serif" w:hAnsi="Times New Roman;sans-serif"/>
                  <w:b w:val="false"/>
                  <w:color w:val="000080"/>
                  <w:sz w:val="22"/>
                  <w:u w:val="single"/>
                </w:rPr>
                <w:t>pt</w:t>
              </w:r>
            </w:hyperlink>
            <w:hyperlink w:anchor="i1c5829ec4cca48979e7639efcc645466_25">
              <w:r>
                <w:rPr>
                  <w:rStyle w:val="InternetLink"/>
                  <w:rFonts w:ascii="Times New Roman;sans-serif" w:hAnsi="Times New Roman;sans-serif"/>
                  <w:b w:val="false"/>
                  <w:color w:val="000080"/>
                  <w:sz w:val="22"/>
                  <w:u w:val="single"/>
                </w:rPr>
                <w:t>ember</w:t>
              </w:r>
            </w:hyperlink>
            <w:hyperlink w:anchor="i1c5829ec4cca48979e7639efcc645466_25">
              <w:r>
                <w:rPr>
                  <w:rStyle w:val="InternetLink"/>
                  <w:rFonts w:ascii="Times New Roman;sans-serif" w:hAnsi="Times New Roman;sans-serif"/>
                  <w:b w:val="false"/>
                  <w:color w:val="000080"/>
                  <w:sz w:val="22"/>
                  <w:u w:val="single"/>
                </w:rPr>
                <w:t xml:space="preserve"> 2</w:t>
              </w:r>
            </w:hyperlink>
            <w:hyperlink w:anchor="i1c5829ec4cca48979e7639efcc645466_25">
              <w:r>
                <w:rPr>
                  <w:rStyle w:val="InternetLink"/>
                  <w:rFonts w:ascii="Times New Roman;sans-serif" w:hAnsi="Times New Roman;sans-serif"/>
                  <w:b w:val="false"/>
                  <w:color w:val="000080"/>
                  <w:sz w:val="22"/>
                  <w:u w:val="single"/>
                </w:rPr>
                <w:t>5</w:t>
              </w:r>
            </w:hyperlink>
            <w:hyperlink w:anchor="i1c5829ec4cca48979e7639efcc645466_25">
              <w:r>
                <w:rPr>
                  <w:rStyle w:val="InternetLink"/>
                  <w:rFonts w:ascii="Times New Roman;sans-serif" w:hAnsi="Times New Roman;sans-serif"/>
                  <w:b w:val="false"/>
                  <w:color w:val="000080"/>
                  <w:sz w:val="22"/>
                  <w:u w:val="single"/>
                </w:rPr>
                <w:t>, 2022</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5">
              <w:r>
                <w:rPr>
                  <w:rStyle w:val="InternetLink"/>
                  <w:rFonts w:ascii="Times New Roman;sans-serif" w:hAnsi="Times New Roman;sans-serif"/>
                  <w:b w:val="false"/>
                  <w:color w:val="0000FF"/>
                  <w:sz w:val="22"/>
                  <w:u w:val="single"/>
                </w:rPr>
                <w:t>5</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28">
              <w:r>
                <w:rPr>
                  <w:rStyle w:val="InternetLink"/>
                  <w:rFonts w:ascii="Times New Roman;sans-serif" w:hAnsi="Times New Roman;sans-serif"/>
                  <w:b w:val="false"/>
                  <w:color w:val="0000FF"/>
                  <w:sz w:val="22"/>
                  <w:u w:val="single"/>
                </w:rPr>
                <w:t>Condensed Consolidated Statements of Cash Flows —</w:t>
              </w:r>
            </w:hyperlink>
          </w:p>
          <w:p>
            <w:pPr>
              <w:pStyle w:val="TableContents"/>
              <w:bidi w:val="0"/>
              <w:spacing w:lineRule="auto" w:line="240" w:before="0" w:after="0"/>
              <w:jc w:val="left"/>
              <w:rPr/>
            </w:pPr>
            <w:hyperlink w:anchor="i1c5829ec4cca48979e7639efcc645466_28">
              <w:r>
                <w:rPr>
                  <w:rStyle w:val="InternetLink"/>
                  <w:rFonts w:ascii="Times New Roman;sans-serif" w:hAnsi="Times New Roman;sans-serif"/>
                  <w:b w:val="false"/>
                  <w:color w:val="000080"/>
                  <w:sz w:val="22"/>
                  <w:u w:val="single"/>
                </w:rPr>
                <w:t>For the T</w:t>
              </w:r>
            </w:hyperlink>
            <w:hyperlink w:anchor="i1c5829ec4cca48979e7639efcc645466_28">
              <w:r>
                <w:rPr>
                  <w:rStyle w:val="InternetLink"/>
                  <w:rFonts w:ascii="Times New Roman;sans-serif" w:hAnsi="Times New Roman;sans-serif"/>
                  <w:b w:val="false"/>
                  <w:color w:val="000080"/>
                  <w:sz w:val="22"/>
                  <w:u w:val="single"/>
                </w:rPr>
                <w:t>hirty-Nine</w:t>
              </w:r>
            </w:hyperlink>
            <w:hyperlink w:anchor="i1c5829ec4cca48979e7639efcc645466_28">
              <w:r>
                <w:rPr>
                  <w:rStyle w:val="InternetLink"/>
                  <w:rFonts w:ascii="Times New Roman;sans-serif" w:hAnsi="Times New Roman;sans-serif"/>
                  <w:b w:val="false"/>
                  <w:color w:val="000080"/>
                  <w:sz w:val="22"/>
                  <w:u w:val="single"/>
                </w:rPr>
                <w:t xml:space="preserve"> Weeks Ended </w:t>
              </w:r>
            </w:hyperlink>
            <w:hyperlink w:anchor="i1c5829ec4cca48979e7639efcc645466_28">
              <w:r>
                <w:rPr>
                  <w:rStyle w:val="InternetLink"/>
                  <w:rFonts w:ascii="Times New Roman;sans-serif" w:hAnsi="Times New Roman;sans-serif"/>
                  <w:b w:val="false"/>
                  <w:color w:val="000080"/>
                  <w:sz w:val="22"/>
                  <w:u w:val="single"/>
                </w:rPr>
                <w:t>Se</w:t>
              </w:r>
            </w:hyperlink>
            <w:hyperlink w:anchor="i1c5829ec4cca48979e7639efcc645466_28">
              <w:r>
                <w:rPr>
                  <w:rStyle w:val="InternetLink"/>
                  <w:rFonts w:ascii="Times New Roman;sans-serif" w:hAnsi="Times New Roman;sans-serif"/>
                  <w:b w:val="false"/>
                  <w:color w:val="000080"/>
                  <w:sz w:val="22"/>
                  <w:u w:val="single"/>
                </w:rPr>
                <w:t>ptember</w:t>
              </w:r>
            </w:hyperlink>
            <w:hyperlink w:anchor="i1c5829ec4cca48979e7639efcc645466_28">
              <w:r>
                <w:rPr>
                  <w:rStyle w:val="InternetLink"/>
                  <w:rFonts w:ascii="Times New Roman;sans-serif" w:hAnsi="Times New Roman;sans-serif"/>
                  <w:b w:val="false"/>
                  <w:color w:val="000080"/>
                  <w:sz w:val="22"/>
                  <w:u w:val="single"/>
                </w:rPr>
                <w:t xml:space="preserve"> 2</w:t>
              </w:r>
            </w:hyperlink>
            <w:hyperlink w:anchor="i1c5829ec4cca48979e7639efcc645466_28">
              <w:r>
                <w:rPr>
                  <w:rStyle w:val="InternetLink"/>
                  <w:rFonts w:ascii="Times New Roman;sans-serif" w:hAnsi="Times New Roman;sans-serif"/>
                  <w:b w:val="false"/>
                  <w:color w:val="000080"/>
                  <w:sz w:val="22"/>
                  <w:u w:val="single"/>
                </w:rPr>
                <w:t>4</w:t>
              </w:r>
            </w:hyperlink>
            <w:hyperlink w:anchor="i1c5829ec4cca48979e7639efcc645466_28">
              <w:r>
                <w:rPr>
                  <w:rStyle w:val="InternetLink"/>
                  <w:rFonts w:ascii="Times New Roman;sans-serif" w:hAnsi="Times New Roman;sans-serif"/>
                  <w:b w:val="false"/>
                  <w:color w:val="000080"/>
                  <w:sz w:val="22"/>
                  <w:u w:val="single"/>
                </w:rPr>
                <w:t xml:space="preserve">, 2023 and </w:t>
              </w:r>
            </w:hyperlink>
            <w:hyperlink w:anchor="i1c5829ec4cca48979e7639efcc645466_28">
              <w:r>
                <w:rPr>
                  <w:rStyle w:val="InternetLink"/>
                  <w:rFonts w:ascii="Times New Roman;sans-serif" w:hAnsi="Times New Roman;sans-serif"/>
                  <w:b w:val="false"/>
                  <w:color w:val="000080"/>
                  <w:sz w:val="22"/>
                  <w:u w:val="single"/>
                </w:rPr>
                <w:t>Se</w:t>
              </w:r>
            </w:hyperlink>
            <w:hyperlink w:anchor="i1c5829ec4cca48979e7639efcc645466_28">
              <w:r>
                <w:rPr>
                  <w:rStyle w:val="InternetLink"/>
                  <w:rFonts w:ascii="Times New Roman;sans-serif" w:hAnsi="Times New Roman;sans-serif"/>
                  <w:b w:val="false"/>
                  <w:color w:val="000080"/>
                  <w:sz w:val="22"/>
                  <w:u w:val="single"/>
                </w:rPr>
                <w:t>ptember</w:t>
              </w:r>
            </w:hyperlink>
            <w:hyperlink w:anchor="i1c5829ec4cca48979e7639efcc645466_28">
              <w:r>
                <w:rPr>
                  <w:rStyle w:val="InternetLink"/>
                  <w:rFonts w:ascii="Times New Roman;sans-serif" w:hAnsi="Times New Roman;sans-serif"/>
                  <w:b w:val="false"/>
                  <w:color w:val="000080"/>
                  <w:sz w:val="22"/>
                  <w:u w:val="single"/>
                </w:rPr>
                <w:t xml:space="preserve"> 2</w:t>
              </w:r>
            </w:hyperlink>
            <w:hyperlink w:anchor="i1c5829ec4cca48979e7639efcc645466_28">
              <w:r>
                <w:rPr>
                  <w:rStyle w:val="InternetLink"/>
                  <w:rFonts w:ascii="Times New Roman;sans-serif" w:hAnsi="Times New Roman;sans-serif"/>
                  <w:b w:val="false"/>
                  <w:color w:val="000080"/>
                  <w:sz w:val="22"/>
                  <w:u w:val="single"/>
                </w:rPr>
                <w:t>5</w:t>
              </w:r>
            </w:hyperlink>
            <w:hyperlink w:anchor="i1c5829ec4cca48979e7639efcc645466_28">
              <w:r>
                <w:rPr>
                  <w:rStyle w:val="InternetLink"/>
                  <w:rFonts w:ascii="Times New Roman;sans-serif" w:hAnsi="Times New Roman;sans-serif"/>
                  <w:b w:val="false"/>
                  <w:color w:val="000080"/>
                  <w:sz w:val="22"/>
                  <w:u w:val="single"/>
                </w:rPr>
                <w:t>, 2022</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8">
              <w:r>
                <w:rPr>
                  <w:rStyle w:val="InternetLink"/>
                  <w:rFonts w:ascii="Times New Roman;sans-serif" w:hAnsi="Times New Roman;sans-serif"/>
                  <w:b w:val="false"/>
                  <w:color w:val="0000FF"/>
                  <w:sz w:val="22"/>
                  <w:u w:val="single"/>
                </w:rPr>
                <w:t>7</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34">
              <w:r>
                <w:rPr>
                  <w:rStyle w:val="InternetLink"/>
                  <w:rFonts w:ascii="Times New Roman;sans-serif" w:hAnsi="Times New Roman;sans-serif"/>
                  <w:b w:val="false"/>
                  <w:color w:val="0000FF"/>
                  <w:sz w:val="22"/>
                  <w:u w:val="single"/>
                </w:rPr>
                <w:t>Notes to Consolidated Financial Statements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34">
              <w:r>
                <w:rPr>
                  <w:rStyle w:val="InternetLink"/>
                  <w:rFonts w:ascii="Times New Roman;sans-serif" w:hAnsi="Times New Roman;sans-serif"/>
                  <w:b w:val="false"/>
                  <w:color w:val="0000FF"/>
                  <w:sz w:val="22"/>
                  <w:u w:val="single"/>
                </w:rPr>
                <w:t>8</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5829ec4cca48979e7639efcc645466_82">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82">
              <w:r>
                <w:rPr>
                  <w:rStyle w:val="InternetLink"/>
                  <w:rFonts w:ascii="Times New Roman;sans-serif" w:hAnsi="Times New Roman;sans-serif"/>
                  <w:b w:val="false"/>
                  <w:color w:val="0000FF"/>
                  <w:sz w:val="22"/>
                  <w:u w:val="single"/>
                </w:rPr>
                <w:t>21</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3.</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17">
              <w:r>
                <w:rPr>
                  <w:rStyle w:val="InternetLink"/>
                  <w:rFonts w:ascii="Times New Roman;sans-serif" w:hAnsi="Times New Roman;sans-serif"/>
                  <w:b w:val="false"/>
                  <w:color w:val="0000FF"/>
                  <w:sz w:val="22"/>
                  <w:u w:val="single"/>
                </w:rPr>
                <w:t>Quantitative and Qualitative Disclosures About Market Risk</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17">
              <w:r>
                <w:rPr>
                  <w:rStyle w:val="InternetLink"/>
                  <w:rFonts w:ascii="Times New Roman;sans-serif" w:hAnsi="Times New Roman;sans-serif"/>
                  <w:b w:val="false"/>
                  <w:color w:val="0000FF"/>
                  <w:sz w:val="22"/>
                  <w:u w:val="single"/>
                </w:rPr>
                <w:t>42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4.</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20">
              <w:r>
                <w:rPr>
                  <w:rStyle w:val="InternetLink"/>
                  <w:rFonts w:ascii="Times New Roman;sans-serif" w:hAnsi="Times New Roman;sans-serif"/>
                  <w:b w:val="false"/>
                  <w:color w:val="0000FF"/>
                  <w:sz w:val="22"/>
                  <w:u w:val="single"/>
                </w:rPr>
                <w:t>Controls and Procedures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0">
              <w:r>
                <w:rPr>
                  <w:rStyle w:val="InternetLink"/>
                  <w:rFonts w:ascii="Times New Roman;sans-serif" w:hAnsi="Times New Roman;sans-serif"/>
                  <w:b w:val="false"/>
                  <w:color w:val="0000FF"/>
                  <w:sz w:val="22"/>
                  <w:u w:val="single"/>
                </w:rPr>
                <w:t>42</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3">
              <w:r>
                <w:rPr>
                  <w:rStyle w:val="InternetLink"/>
                  <w:rFonts w:ascii="Times New Roman;sans-serif" w:hAnsi="Times New Roman;sans-serif"/>
                  <w:b w:val="false"/>
                  <w:color w:val="0000FF"/>
                  <w:sz w:val="22"/>
                  <w:u w:val="single"/>
                </w:rPr>
                <w:t>PART II — OTHER INFORMATION</w:t>
              </w:r>
            </w:hyperlink>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26">
              <w:r>
                <w:rPr>
                  <w:rStyle w:val="InternetLink"/>
                  <w:rFonts w:ascii="Times New Roman;sans-serif" w:hAnsi="Times New Roman;sans-serif"/>
                  <w:b w:val="false"/>
                  <w:color w:val="0000FF"/>
                  <w:sz w:val="22"/>
                  <w:u w:val="single"/>
                </w:rPr>
                <w:t>Legal Proceedings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6">
              <w:r>
                <w:rPr>
                  <w:rStyle w:val="InternetLink"/>
                  <w:rFonts w:ascii="Times New Roman;sans-serif" w:hAnsi="Times New Roman;sans-serif"/>
                  <w:b w:val="false"/>
                  <w:color w:val="0000FF"/>
                  <w:sz w:val="22"/>
                  <w:u w:val="single"/>
                </w:rPr>
                <w:t>43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29">
              <w:r>
                <w:rPr>
                  <w:rStyle w:val="InternetLink"/>
                  <w:rFonts w:ascii="Times New Roman;sans-serif" w:hAnsi="Times New Roman;sans-serif"/>
                  <w:b w:val="false"/>
                  <w:color w:val="0000FF"/>
                  <w:sz w:val="22"/>
                  <w:u w:val="single"/>
                </w:rPr>
                <w:t>Risk Factors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9">
              <w:r>
                <w:rPr>
                  <w:rStyle w:val="InternetLink"/>
                  <w:rFonts w:ascii="Times New Roman;sans-serif" w:hAnsi="Times New Roman;sans-serif"/>
                  <w:b w:val="false"/>
                  <w:color w:val="0000FF"/>
                  <w:sz w:val="22"/>
                  <w:u w:val="single"/>
                </w:rPr>
                <w:t>43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32">
              <w:r>
                <w:rPr>
                  <w:rStyle w:val="InternetLink"/>
                  <w:rFonts w:ascii="Times New Roman;sans-serif" w:hAnsi="Times New Roman;sans-serif"/>
                  <w:b w:val="false"/>
                  <w:color w:val="0000FF"/>
                  <w:sz w:val="22"/>
                  <w:u w:val="single"/>
                </w:rPr>
                <w:t>Unregistered Sales of Equity Securities and Use of Proceeds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32">
              <w:r>
                <w:rPr>
                  <w:rStyle w:val="InternetLink"/>
                  <w:rFonts w:ascii="Times New Roman;sans-serif" w:hAnsi="Times New Roman;sans-serif"/>
                  <w:b w:val="false"/>
                  <w:color w:val="0000FF"/>
                  <w:sz w:val="22"/>
                  <w:u w:val="single"/>
                </w:rPr>
                <w:t>43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5.</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270">
              <w:r>
                <w:rPr>
                  <w:rStyle w:val="InternetLink"/>
                  <w:rFonts w:ascii="Times New Roman;sans-serif" w:hAnsi="Times New Roman;sans-serif"/>
                  <w:b w:val="false"/>
                  <w:color w:val="0000FF"/>
                  <w:sz w:val="22"/>
                  <w:u w:val="single"/>
                </w:rPr>
                <w:t>Other Information</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270">
              <w:r>
                <w:rPr>
                  <w:rStyle w:val="InternetLink"/>
                  <w:rFonts w:ascii="Times New Roman;sans-serif" w:hAnsi="Times New Roman;sans-serif"/>
                  <w:b w:val="false"/>
                  <w:color w:val="0000FF"/>
                  <w:sz w:val="22"/>
                  <w:u w:val="single"/>
                </w:rPr>
                <w:t>43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6.</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35">
              <w:r>
                <w:rPr>
                  <w:rStyle w:val="InternetLink"/>
                  <w:rFonts w:ascii="Times New Roman;sans-serif" w:hAnsi="Times New Roman;sans-serif"/>
                  <w:b w:val="false"/>
                  <w:color w:val="0000FF"/>
                  <w:sz w:val="22"/>
                  <w:u w:val="single"/>
                </w:rPr>
                <w:t>Exhibits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35">
              <w:r>
                <w:rPr>
                  <w:rStyle w:val="InternetLink"/>
                  <w:rFonts w:ascii="Times New Roman;sans-serif" w:hAnsi="Times New Roman;sans-serif"/>
                  <w:b w:val="false"/>
                  <w:color w:val="0000FF"/>
                  <w:sz w:val="22"/>
                  <w:u w:val="single"/>
                </w:rPr>
                <w:t>44</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5829ec4cca48979e7639efcc645466_238">
              <w:r>
                <w:rPr>
                  <w:rStyle w:val="InternetLink"/>
                  <w:rFonts w:ascii="Times New Roman;sans-serif" w:hAnsi="Times New Roman;sans-serif"/>
                  <w:b w:val="false"/>
                  <w:color w:val="0000FF"/>
                  <w:sz w:val="22"/>
                  <w:u w:val="single"/>
                </w:rPr>
                <w:t>Signature</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5829ec4cca48979e7639efcc645466_238">
              <w:r>
                <w:rPr>
                  <w:rStyle w:val="InternetLink"/>
                  <w:rFonts w:ascii="Times New Roman;sans-serif" w:hAnsi="Times New Roman;sans-serif"/>
                  <w:b w:val="false"/>
                  <w:color w:val="0000FF"/>
                  <w:sz w:val="22"/>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pPr>
      <w:r>
        <w:rPr>
          <w:rFonts w:ascii="Times New Roman;sans-serif" w:hAnsi="Times New Roman;sans-serif"/>
          <w:b/>
          <w:color w:val="000000"/>
          <w:sz w:val="18"/>
        </w:rPr>
        <w:t>(IN THOUSANDS, EXCEPT SHARE AND PER SHARE DATA)</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1"/>
        <w:gridCol w:w="2134"/>
        <w:gridCol w:w="2082"/>
        <w:gridCol w:w="240"/>
        <w:gridCol w:w="1070"/>
        <w:gridCol w:w="133"/>
        <w:gridCol w:w="109"/>
        <w:gridCol w:w="109"/>
        <w:gridCol w:w="109"/>
        <w:gridCol w:w="234"/>
        <w:gridCol w:w="1044"/>
        <w:gridCol w:w="190"/>
      </w:tblGrid>
      <w:tr>
        <w:trPr/>
        <w:tc>
          <w:tcPr>
            <w:tcW w:w="2751"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4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3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261,125 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1,109,295 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153,118 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3,350,910 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795" w:type="dxa"/>
            <w:gridSpan w:val="6"/>
            <w:tcBorders/>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4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3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919,821 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1,151,723 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3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2,954,991 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3,046,516 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4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September 24, 2023 and December 25, 2022</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87,171,373 and 87,696,200 shares issued and outstanding as of September 24, 2023 and December 25, 2022, respectively</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3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393,149 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271,369 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3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395,919 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3,350,910 </w:t>
            </w:r>
          </w:p>
        </w:tc>
        <w:tc>
          <w:tcPr>
            <w:tcW w:w="13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3,320,425 </w:t>
            </w:r>
          </w:p>
        </w:tc>
        <w:tc>
          <w:tcPr>
            <w:tcW w:w="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8"/>
        <w:gridCol w:w="1031"/>
        <w:gridCol w:w="1037"/>
        <w:gridCol w:w="238"/>
        <w:gridCol w:w="1061"/>
        <w:gridCol w:w="132"/>
        <w:gridCol w:w="109"/>
        <w:gridCol w:w="109"/>
        <w:gridCol w:w="109"/>
        <w:gridCol w:w="238"/>
        <w:gridCol w:w="1061"/>
        <w:gridCol w:w="132"/>
        <w:gridCol w:w="109"/>
        <w:gridCol w:w="109"/>
        <w:gridCol w:w="109"/>
        <w:gridCol w:w="238"/>
        <w:gridCol w:w="1061"/>
        <w:gridCol w:w="132"/>
        <w:gridCol w:w="109"/>
        <w:gridCol w:w="109"/>
        <w:gridCol w:w="109"/>
        <w:gridCol w:w="237"/>
        <w:gridCol w:w="1054"/>
        <w:gridCol w:w="194"/>
      </w:tblGrid>
      <w:tr>
        <w:trPr/>
        <w:tc>
          <w:tcPr>
            <w:tcW w:w="137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3,429,977 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3,272,868 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1,079,833 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1,055,763 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3,477,273 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3,321,460 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1,056,768 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981,908 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924,514 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837,349 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790,583 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1,021,617 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1,004,454 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3,208,978 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3,075,176 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58,216 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51,309 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268,295 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246,284 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(benefit) provision for income taxes</w:t>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38,613 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230,047 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45,431 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33,050 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208,861 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49,064 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44,528 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31,986 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204,116 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43,862 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net of tax</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net of tax</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215,332 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68,213 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Bloomin’ Brands</w:t>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47,631 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21,200 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210,587 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63,011 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29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98,548 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94,736 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97,987 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99,609 </w:t>
            </w:r>
          </w:p>
        </w:tc>
        <w:tc>
          <w:tcPr>
            <w:tcW w:w="1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29"/>
        <w:gridCol w:w="376"/>
        <w:gridCol w:w="381"/>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25,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87,339 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1,132,732 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(582,738)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(181,943)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$45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September 24, 2023</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87,171 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1,125,322 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(554,205)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(178,840)</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395,919 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25,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$0.72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$93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September 24, 2023</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87,171 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1,125,322 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(554,205)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(178,840)</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395,919 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29"/>
        <w:gridCol w:w="376"/>
        <w:gridCol w:w="381"/>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June 26, 2022</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1,169,697 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(733,723)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(176,054)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262,741 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$0.14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September 25, 2022</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88,450 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1,159,722 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(735,268)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(186,840)</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240,145 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26, 2021</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89,253 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1,119,728 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(698,171)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(205,989)</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$0.42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 net of tax of $254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September 25, 2022</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88,450 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1,159,722 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(735,268)</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(186,840)</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240,145 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(1)Net of forfeitures and shares withheld for employee taxes.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bidi w:val="0"/>
        <w:spacing w:before="0" w:after="0"/>
        <w:jc w:val="left"/>
        <w:rPr/>
      </w:pPr>
      <w:r>
        <w:rPr/>
      </w:r>
    </w:p>
    <w:tbl>
      <w:tblPr>
        <w:tblW w:w="9511" w:type="dxa"/>
        <w:jc w:val="left"/>
        <w:tblInd w:w="0" w:type="dxa"/>
        <w:tblLayout w:type="fixed"/>
        <w:tblCellMar>
          <w:top w:w="28" w:type="dxa"/>
          <w:left w:w="28" w:type="dxa"/>
          <w:bottom w:w="28" w:type="dxa"/>
          <w:right w:w="28" w:type="dxa"/>
        </w:tblCellMar>
      </w:tblPr>
      <w:tblGrid>
        <w:gridCol w:w="2022"/>
        <w:gridCol w:w="1772"/>
        <w:gridCol w:w="1786"/>
        <w:gridCol w:w="333"/>
        <w:gridCol w:w="1251"/>
        <w:gridCol w:w="185"/>
        <w:gridCol w:w="116"/>
        <w:gridCol w:w="116"/>
        <w:gridCol w:w="116"/>
        <w:gridCol w:w="356"/>
        <w:gridCol w:w="1177"/>
        <w:gridCol w:w="281"/>
      </w:tblGrid>
      <w:tr>
        <w:trPr/>
        <w:tc>
          <w:tcPr>
            <w:tcW w:w="202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operating activities:</w:t>
            </w:r>
          </w:p>
        </w:tc>
        <w:tc>
          <w:tcPr>
            <w:tcW w:w="176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cash provided by operating activities: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from terminated interest rate swaps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(67,133)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(128,447)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5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373,553 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292,579 </w:t>
            </w:r>
          </w:p>
        </w:tc>
        <w:tc>
          <w:tcPr>
            <w:tcW w:w="28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76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company-owned life insurance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(227,086)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(137,260)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58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(225,535)</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(121,455)</w:t>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2162" w:type="dxa"/>
            <w:gridSpan w:val="6"/>
            <w:tcBorders/>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financing activities:</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finance lease obligations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(196,076)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929,500 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(589,500)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settlements and repurchase of convertible senior notes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(196,919)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retirement of convertible senior note hedges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131,869 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retirement of warrants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(114,825)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share-based compensation, net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partner equity plan</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58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(147,505)</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(170,760)</w:t>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5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28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58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1,764 </w:t>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beginning of the period</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end of the period</w:t>
            </w:r>
          </w:p>
        </w:tc>
        <w:tc>
          <w:tcPr>
            <w:tcW w:w="3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86,579 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90,821 </w:t>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7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liabilities from the acquisition of property, fixtures and equipment</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Description of the Business - </w:t>
      </w:r>
      <w:r>
        <w:rPr>
          <w:rFonts w:ascii="Times New Roman;sans-serif" w:hAnsi="Times New Roman;sans-serif"/>
          <w:b w:val="false"/>
          <w:color w:val="000000"/>
          <w:sz w:val="22"/>
        </w:rPr>
        <w:t xml:space="preserve">Bloomin’ Brands (“Bloomin’ Brands” or 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Basis of Presentation - </w:t>
      </w:r>
      <w:r>
        <w:rPr>
          <w:rFonts w:ascii="Times New Roman;sans-serif" w:hAnsi="Times New Roman;sans-serif"/>
          <w:b w:val="false"/>
          <w:color w:val="000000"/>
          <w:sz w:val="22"/>
        </w:rPr>
        <w:t>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25,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Recently Issued Financial Accounting Standards Not Yet Adopted</w:t>
      </w:r>
      <w:r>
        <w:rPr>
          <w:color w:val="000000"/>
        </w:rPr>
        <w:t xml:space="preserve"> </w:t>
      </w:r>
      <w:r>
        <w:rPr>
          <w:rFonts w:ascii="Times New Roman;sans-serif" w:hAnsi="Times New Roman;sans-serif"/>
          <w:b w:val="false"/>
          <w:color w:val="000000"/>
          <w:sz w:val="22"/>
        </w:rPr>
        <w:t>- Recent accounting guidance not discussed herein is not applicable, did not have or is not expected to have a material impact to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Reclassifications</w:t>
      </w:r>
      <w:r>
        <w:rPr>
          <w:color w:val="000000"/>
        </w:rPr>
        <w:t xml:space="preserve"> </w:t>
      </w:r>
      <w:r>
        <w:rPr>
          <w:rFonts w:ascii="Times New Roman;sans-serif" w:hAnsi="Times New Roman;sans-serif"/>
          <w:b w:val="false"/>
          <w:color w:val="000000"/>
          <w:sz w:val="22"/>
        </w:rPr>
        <w:t>- The Company reclassified certain items in the accompanying consolidated financial statements for prior periods to be comparable with the classification for the current period, including, but not limited to, finance lease liabilities presented within other liabilities that were formerly presented within long-term debt, the separate presentation of current operating lease liabilities on the face of the Consolidated Balance Sheets and the presentation of certain items within the Condensed Consolidated Statements of Cash Flows. These reclassifications had no effect on previously reported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Revenue Recognition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categories of revenue included in the Company’s Consolidated Statements of Operations and Comprehensive Income for the periods indicated:</w:t>
      </w:r>
    </w:p>
    <w:tbl>
      <w:tblPr>
        <w:tblW w:w="10205" w:type="dxa"/>
        <w:jc w:val="left"/>
        <w:tblInd w:w="0" w:type="dxa"/>
        <w:tblLayout w:type="fixed"/>
        <w:tblCellMar>
          <w:top w:w="28" w:type="dxa"/>
          <w:left w:w="28" w:type="dxa"/>
          <w:bottom w:w="28" w:type="dxa"/>
          <w:right w:w="28" w:type="dxa"/>
        </w:tblCellMar>
      </w:tblPr>
      <w:tblGrid>
        <w:gridCol w:w="768"/>
        <w:gridCol w:w="670"/>
        <w:gridCol w:w="672"/>
        <w:gridCol w:w="267"/>
        <w:gridCol w:w="1187"/>
        <w:gridCol w:w="148"/>
        <w:gridCol w:w="109"/>
        <w:gridCol w:w="109"/>
        <w:gridCol w:w="109"/>
        <w:gridCol w:w="267"/>
        <w:gridCol w:w="1187"/>
        <w:gridCol w:w="148"/>
        <w:gridCol w:w="109"/>
        <w:gridCol w:w="109"/>
        <w:gridCol w:w="109"/>
        <w:gridCol w:w="267"/>
        <w:gridCol w:w="1187"/>
        <w:gridCol w:w="148"/>
        <w:gridCol w:w="109"/>
        <w:gridCol w:w="109"/>
        <w:gridCol w:w="109"/>
        <w:gridCol w:w="267"/>
        <w:gridCol w:w="1187"/>
        <w:gridCol w:w="148"/>
        <w:gridCol w:w="109"/>
        <w:gridCol w:w="109"/>
        <w:gridCol w:w="109"/>
        <w:gridCol w:w="109"/>
        <w:gridCol w:w="109"/>
        <w:gridCol w:w="161"/>
      </w:tblGrid>
      <w:tr>
        <w:trPr/>
        <w:tc>
          <w:tcPr>
            <w:tcW w:w="7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6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3,429,977 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3,272,868 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and other revenues</w:t>
            </w:r>
          </w:p>
        </w:tc>
        <w:tc>
          <w:tcPr>
            <w:tcW w:w="14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48,592 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1,079,833 </w:t>
            </w:r>
          </w:p>
        </w:tc>
        <w:tc>
          <w:tcPr>
            <w:tcW w:w="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1,055,763 </w:t>
            </w:r>
          </w:p>
        </w:tc>
        <w:tc>
          <w:tcPr>
            <w:tcW w:w="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3,477,273 </w:t>
            </w:r>
          </w:p>
        </w:tc>
        <w:tc>
          <w:tcPr>
            <w:tcW w:w="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3,321,460 </w:t>
            </w:r>
          </w:p>
        </w:tc>
        <w:tc>
          <w:tcPr>
            <w:tcW w:w="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include the disaggregation of Restaurant sales and franchise revenues, by restaurant concept and major international market,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526,960 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901,138 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910,679 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163,275 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129,696 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1,064,413 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11,820 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1,040,375 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11,826 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1,732,132 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1,705,749 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2,975,145 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26,931 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2,920,241 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454,832 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10,980 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352,627 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11,027 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3,429,977 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37,911 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3,272,868 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37,828 </w:t>
            </w:r>
          </w:p>
        </w:tc>
        <w:tc>
          <w:tcPr>
            <w:tcW w:w="2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(1)Restaurant sales in Brazil increased $10.9 million and $30.1 million during the thirteen and thirty-nine weeks ended September 24, 2023, respectively, in connection with value added tax exemptions resulting from tax legislation. See Note 14 -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for details regarding the Brazil tax legislation.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Restaurant sales for Company-owned Outback Steakhouse restaurants outside of Brazil and Abbraccio restaurants in Brazil. Franchise revenues primarily include revenues from franchised Outback Steakhouse restaurants.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7250" w:type="dxa"/>
        <w:jc w:val="center"/>
        <w:tblInd w:w="0" w:type="dxa"/>
        <w:tblLayout w:type="fixed"/>
        <w:tblCellMar>
          <w:top w:w="28" w:type="dxa"/>
          <w:left w:w="28" w:type="dxa"/>
          <w:bottom w:w="28" w:type="dxa"/>
          <w:right w:w="28" w:type="dxa"/>
        </w:tblCellMar>
      </w:tblPr>
      <w:tblGrid>
        <w:gridCol w:w="992"/>
        <w:gridCol w:w="875"/>
        <w:gridCol w:w="878"/>
        <w:gridCol w:w="332"/>
        <w:gridCol w:w="1250"/>
        <w:gridCol w:w="18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294,062 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394,215 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10205" w:type="dxa"/>
        <w:jc w:val="center"/>
        <w:tblInd w:w="0" w:type="dxa"/>
        <w:tblLayout w:type="fixed"/>
        <w:tblCellMar>
          <w:top w:w="28" w:type="dxa"/>
          <w:left w:w="28" w:type="dxa"/>
          <w:bottom w:w="28" w:type="dxa"/>
          <w:right w:w="28" w:type="dxa"/>
        </w:tblCellMar>
      </w:tblPr>
      <w:tblGrid>
        <w:gridCol w:w="1088"/>
        <w:gridCol w:w="902"/>
        <w:gridCol w:w="906"/>
        <w:gridCol w:w="321"/>
        <w:gridCol w:w="1062"/>
        <w:gridCol w:w="181"/>
        <w:gridCol w:w="109"/>
        <w:gridCol w:w="109"/>
        <w:gridCol w:w="109"/>
        <w:gridCol w:w="321"/>
        <w:gridCol w:w="1062"/>
        <w:gridCol w:w="181"/>
        <w:gridCol w:w="109"/>
        <w:gridCol w:w="109"/>
        <w:gridCol w:w="109"/>
        <w:gridCol w:w="321"/>
        <w:gridCol w:w="1062"/>
        <w:gridCol w:w="181"/>
        <w:gridCol w:w="116"/>
        <w:gridCol w:w="116"/>
        <w:gridCol w:w="116"/>
        <w:gridCol w:w="315"/>
        <w:gridCol w:w="1044"/>
        <w:gridCol w:w="256"/>
      </w:tblGrid>
      <w:tr>
        <w:trPr/>
        <w:tc>
          <w:tcPr>
            <w:tcW w:w="108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17,793 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unearned gift card revenue for the periods indicated:</w:t>
      </w:r>
    </w:p>
    <w:tbl>
      <w:tblPr>
        <w:tblW w:w="10205" w:type="dxa"/>
        <w:jc w:val="center"/>
        <w:tblInd w:w="0" w:type="dxa"/>
        <w:tblLayout w:type="fixed"/>
        <w:tblCellMar>
          <w:top w:w="28" w:type="dxa"/>
          <w:left w:w="28" w:type="dxa"/>
          <w:bottom w:w="28" w:type="dxa"/>
          <w:right w:w="28" w:type="dxa"/>
        </w:tblCellMar>
      </w:tblPr>
      <w:tblGrid>
        <w:gridCol w:w="840"/>
        <w:gridCol w:w="730"/>
        <w:gridCol w:w="733"/>
        <w:gridCol w:w="322"/>
        <w:gridCol w:w="1213"/>
        <w:gridCol w:w="181"/>
        <w:gridCol w:w="109"/>
        <w:gridCol w:w="109"/>
        <w:gridCol w:w="109"/>
        <w:gridCol w:w="322"/>
        <w:gridCol w:w="1213"/>
        <w:gridCol w:w="181"/>
        <w:gridCol w:w="109"/>
        <w:gridCol w:w="109"/>
        <w:gridCol w:w="109"/>
        <w:gridCol w:w="322"/>
        <w:gridCol w:w="1213"/>
        <w:gridCol w:w="181"/>
        <w:gridCol w:w="110"/>
        <w:gridCol w:w="110"/>
        <w:gridCol w:w="110"/>
        <w:gridCol w:w="316"/>
        <w:gridCol w:w="1194"/>
        <w:gridCol w:w="260"/>
      </w:tblGrid>
      <w:tr>
        <w:trPr/>
        <w:tc>
          <w:tcPr>
            <w:tcW w:w="84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304,942 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303,544 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386,495 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387,945 </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(63,041)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(248,870)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(252,091)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285,263 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283,559 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285,263 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283,559 </w:t>
            </w:r>
          </w:p>
        </w:tc>
        <w:tc>
          <w:tcPr>
            <w:tcW w:w="2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Earnings Per Share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earnings per share for the periods indicated:</w:t>
      </w:r>
    </w:p>
    <w:tbl>
      <w:tblPr>
        <w:tblW w:w="10205" w:type="dxa"/>
        <w:jc w:val="center"/>
        <w:tblInd w:w="0" w:type="dxa"/>
        <w:tblLayout w:type="fixed"/>
        <w:tblCellMar>
          <w:top w:w="28" w:type="dxa"/>
          <w:left w:w="28" w:type="dxa"/>
          <w:bottom w:w="28" w:type="dxa"/>
          <w:right w:w="28" w:type="dxa"/>
        </w:tblCellMar>
      </w:tblPr>
      <w:tblGrid>
        <w:gridCol w:w="1241"/>
        <w:gridCol w:w="905"/>
        <w:gridCol w:w="908"/>
        <w:gridCol w:w="313"/>
        <w:gridCol w:w="1037"/>
        <w:gridCol w:w="176"/>
        <w:gridCol w:w="109"/>
        <w:gridCol w:w="109"/>
        <w:gridCol w:w="109"/>
        <w:gridCol w:w="313"/>
        <w:gridCol w:w="1037"/>
        <w:gridCol w:w="176"/>
        <w:gridCol w:w="109"/>
        <w:gridCol w:w="109"/>
        <w:gridCol w:w="109"/>
        <w:gridCol w:w="288"/>
        <w:gridCol w:w="1080"/>
        <w:gridCol w:w="157"/>
        <w:gridCol w:w="113"/>
        <w:gridCol w:w="113"/>
        <w:gridCol w:w="113"/>
        <w:gridCol w:w="308"/>
        <w:gridCol w:w="1019"/>
        <w:gridCol w:w="254"/>
      </w:tblGrid>
      <w:tr>
        <w:trPr/>
        <w:tc>
          <w:tcPr>
            <w:tcW w:w="1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31,986 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204,116 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43,862 </w:t>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89,149 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(1)</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(1)</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3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98,548 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94,736 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97,987 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99,609 </w:t>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 xml:space="preserve">During the thirty-nine weeks ended September 25, 2022, the Company repurchased $125.0 million of the convertible notes due in 2025 and settled the corresponding portion of the related warrants (the “2025 Notes Partial Repurchase”).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Share-based compensation-related weighted average securities outstanding not included in the computation of earnings per share because their effect was antidilutive were as follows for the periods indicated:</w:t>
      </w:r>
    </w:p>
    <w:tbl>
      <w:tblPr>
        <w:tblW w:w="10205" w:type="dxa"/>
        <w:jc w:val="center"/>
        <w:tblInd w:w="0" w:type="dxa"/>
        <w:tblLayout w:type="fixed"/>
        <w:tblCellMar>
          <w:top w:w="28" w:type="dxa"/>
          <w:left w:w="28" w:type="dxa"/>
          <w:bottom w:w="28" w:type="dxa"/>
          <w:right w:w="28" w:type="dxa"/>
        </w:tblCellMar>
      </w:tblPr>
      <w:tblGrid>
        <w:gridCol w:w="1012"/>
        <w:gridCol w:w="719"/>
        <w:gridCol w:w="692"/>
        <w:gridCol w:w="496"/>
        <w:gridCol w:w="496"/>
        <w:gridCol w:w="498"/>
        <w:gridCol w:w="189"/>
        <w:gridCol w:w="189"/>
        <w:gridCol w:w="189"/>
        <w:gridCol w:w="496"/>
        <w:gridCol w:w="496"/>
        <w:gridCol w:w="498"/>
        <w:gridCol w:w="109"/>
        <w:gridCol w:w="109"/>
        <w:gridCol w:w="109"/>
        <w:gridCol w:w="496"/>
        <w:gridCol w:w="496"/>
        <w:gridCol w:w="498"/>
        <w:gridCol w:w="216"/>
        <w:gridCol w:w="216"/>
        <w:gridCol w:w="216"/>
        <w:gridCol w:w="495"/>
        <w:gridCol w:w="495"/>
        <w:gridCol w:w="501"/>
        <w:gridCol w:w="109"/>
        <w:gridCol w:w="170"/>
      </w:tblGrid>
      <w:tr>
        <w:trPr/>
        <w:tc>
          <w:tcPr>
            <w:tcW w:w="101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4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5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6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279" w:type="dxa"/>
            <w:gridSpan w:val="2"/>
            <w:tcBorders/>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9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2,297 </w:t>
            </w:r>
          </w:p>
        </w:tc>
        <w:tc>
          <w:tcPr>
            <w:tcW w:w="4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4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5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restricted stock units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performance-based share units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    Stock-based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stock-based compensation expense, net of capitalized expense, as follows for the periods indicated:</w:t>
      </w:r>
    </w:p>
    <w:tbl>
      <w:tblPr>
        <w:tblW w:w="10205" w:type="dxa"/>
        <w:jc w:val="left"/>
        <w:tblInd w:w="0" w:type="dxa"/>
        <w:tblLayout w:type="fixed"/>
        <w:tblCellMar>
          <w:top w:w="28" w:type="dxa"/>
          <w:left w:w="28" w:type="dxa"/>
          <w:bottom w:w="28" w:type="dxa"/>
          <w:right w:w="28" w:type="dxa"/>
        </w:tblCellMar>
      </w:tblPr>
      <w:tblGrid>
        <w:gridCol w:w="1032"/>
        <w:gridCol w:w="908"/>
        <w:gridCol w:w="858"/>
        <w:gridCol w:w="359"/>
        <w:gridCol w:w="1022"/>
        <w:gridCol w:w="202"/>
        <w:gridCol w:w="115"/>
        <w:gridCol w:w="115"/>
        <w:gridCol w:w="115"/>
        <w:gridCol w:w="359"/>
        <w:gridCol w:w="1022"/>
        <w:gridCol w:w="202"/>
        <w:gridCol w:w="109"/>
        <w:gridCol w:w="109"/>
        <w:gridCol w:w="109"/>
        <w:gridCol w:w="324"/>
        <w:gridCol w:w="1075"/>
        <w:gridCol w:w="183"/>
        <w:gridCol w:w="116"/>
        <w:gridCol w:w="116"/>
        <w:gridCol w:w="116"/>
        <w:gridCol w:w="319"/>
        <w:gridCol w:w="1056"/>
        <w:gridCol w:w="26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 (1)</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5,526 </w:t>
            </w:r>
          </w:p>
        </w:tc>
        <w:tc>
          <w:tcPr>
            <w:tcW w:w="2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 net</w:t>
            </w:r>
          </w:p>
        </w:tc>
        <w:tc>
          <w:tcPr>
            <w:tcW w:w="3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12,395 </w:t>
            </w:r>
          </w:p>
        </w:tc>
        <w:tc>
          <w:tcPr>
            <w:tcW w:w="1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11,705 </w:t>
            </w:r>
          </w:p>
        </w:tc>
        <w:tc>
          <w:tcPr>
            <w:tcW w:w="2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 xml:space="preserve">The thirteen and thirty-nine weeks ended September 25, 2022 include a cumulative life-to-date adjustment to decrease expense for PSUs granted in fiscal year 2020 based on revised Company projections of performance criteria set forth in the award agreements.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2023, the Company granted performance-based share units (“PSUs”) subject to final payout modification by a Relative Total Shareholder Return (“Relative TSR”) modifier.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PSU activity:</w:t>
      </w:r>
    </w:p>
    <w:tbl>
      <w:tblPr>
        <w:tblW w:w="10205" w:type="dxa"/>
        <w:jc w:val="left"/>
        <w:tblInd w:w="0" w:type="dxa"/>
        <w:tblLayout w:type="fixed"/>
        <w:tblCellMar>
          <w:top w:w="28" w:type="dxa"/>
          <w:left w:w="28" w:type="dxa"/>
          <w:bottom w:w="28" w:type="dxa"/>
          <w:right w:w="28" w:type="dxa"/>
        </w:tblCellMar>
      </w:tblPr>
      <w:tblGrid>
        <w:gridCol w:w="863"/>
        <w:gridCol w:w="702"/>
        <w:gridCol w:w="704"/>
        <w:gridCol w:w="872"/>
        <w:gridCol w:w="872"/>
        <w:gridCol w:w="874"/>
        <w:gridCol w:w="109"/>
        <w:gridCol w:w="109"/>
        <w:gridCol w:w="109"/>
        <w:gridCol w:w="701"/>
        <w:gridCol w:w="1996"/>
        <w:gridCol w:w="393"/>
        <w:gridCol w:w="109"/>
        <w:gridCol w:w="109"/>
        <w:gridCol w:w="109"/>
        <w:gridCol w:w="308"/>
        <w:gridCol w:w="1018"/>
        <w:gridCol w:w="248"/>
      </w:tblGrid>
      <w:tr>
        <w:trPr/>
        <w:tc>
          <w:tcPr>
            <w:tcW w:w="86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 (1)</w:t>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25, 2022</w:t>
            </w:r>
          </w:p>
        </w:tc>
        <w:tc>
          <w:tcPr>
            <w:tcW w:w="174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8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39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18,323 </w:t>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(2)</w:t>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September 24, 2023</w:t>
            </w:r>
          </w:p>
        </w:tc>
        <w:tc>
          <w:tcPr>
            <w:tcW w:w="174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87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September 24, 2023 (3)</w:t>
            </w:r>
          </w:p>
        </w:tc>
        <w:tc>
          <w:tcPr>
            <w:tcW w:w="174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8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$20.96 and $24.30 share price of the Company’s common stock on December 23, 2022 and September 22, 2023, the last trading day of the year ended December 25, 2022 and the thirty-nine weeks ended September 24, 2023,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adjustment to 148% payout for PSUs granted during 2020.</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(3)Estimated number of units to be issued upon the vesting of outstanding PSU awards based on Company performance projections of performance criteria set forth in the 2021, 2022 and 2023 PSU award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Assumptions used in the Monte Carlo simulation model and the grant date fair value of PSUs granted were as follows for the periods indicated:</w:t>
      </w:r>
    </w:p>
    <w:tbl>
      <w:tblPr>
        <w:tblW w:w="6763" w:type="dxa"/>
        <w:jc w:val="left"/>
        <w:tblInd w:w="0" w:type="dxa"/>
        <w:tblLayout w:type="fixed"/>
        <w:tblCellMar>
          <w:top w:w="28" w:type="dxa"/>
          <w:left w:w="28" w:type="dxa"/>
          <w:bottom w:w="28" w:type="dxa"/>
          <w:right w:w="28" w:type="dxa"/>
        </w:tblCellMar>
      </w:tblPr>
      <w:tblGrid>
        <w:gridCol w:w="869"/>
        <w:gridCol w:w="763"/>
        <w:gridCol w:w="767"/>
        <w:gridCol w:w="344"/>
        <w:gridCol w:w="975"/>
        <w:gridCol w:w="450"/>
        <w:gridCol w:w="115"/>
        <w:gridCol w:w="115"/>
        <w:gridCol w:w="115"/>
        <w:gridCol w:w="344"/>
        <w:gridCol w:w="975"/>
        <w:gridCol w:w="450"/>
        <w:gridCol w:w="109"/>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(1)</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(2)</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 (3)</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per unit (4)</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(1)Risk-free interest rate is the U.S. Treasury yield curve in effect as of the grant date for the performance period of the unit.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(2)Dividend yield is the level of dividends expected to be paid on the Company’s common stock over the expected term.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historical volatility of the Company’s stock over the last seven years.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 premium above the grant date per share value of the Company’s common stock for the Relative TSR modifier of 2.7% and 7.9% during the thirty-nine weeks ended September 24, 2023 and September 25,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represents unrecognized stock-based compensation expense and the remaining weighted average vesting period as of September 24, 2023:</w:t>
      </w:r>
    </w:p>
    <w:tbl>
      <w:tblPr>
        <w:tblW w:w="10205" w:type="dxa"/>
        <w:jc w:val="left"/>
        <w:tblInd w:w="0" w:type="dxa"/>
        <w:tblLayout w:type="fixed"/>
        <w:tblCellMar>
          <w:top w:w="28" w:type="dxa"/>
          <w:left w:w="28" w:type="dxa"/>
          <w:bottom w:w="28" w:type="dxa"/>
          <w:right w:w="28" w:type="dxa"/>
        </w:tblCellMar>
      </w:tblPr>
      <w:tblGrid>
        <w:gridCol w:w="777"/>
        <w:gridCol w:w="683"/>
        <w:gridCol w:w="686"/>
        <w:gridCol w:w="674"/>
        <w:gridCol w:w="2224"/>
        <w:gridCol w:w="376"/>
        <w:gridCol w:w="109"/>
        <w:gridCol w:w="109"/>
        <w:gridCol w:w="109"/>
        <w:gridCol w:w="1304"/>
        <w:gridCol w:w="1304"/>
        <w:gridCol w:w="185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 AVERAGE VESTING PERIOD (in years)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6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11,995 </w:t>
            </w:r>
          </w:p>
        </w:tc>
        <w:tc>
          <w:tcPr>
            <w:tcW w:w="3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    Other Current Assets, Net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current assets, net, consisted of the following as of the periods indicated:</w:t>
      </w:r>
    </w:p>
    <w:tbl>
      <w:tblPr>
        <w:tblW w:w="6859" w:type="dxa"/>
        <w:jc w:val="left"/>
        <w:tblInd w:w="0" w:type="dxa"/>
        <w:tblLayout w:type="fixed"/>
        <w:tblCellMar>
          <w:top w:w="28" w:type="dxa"/>
          <w:left w:w="28" w:type="dxa"/>
          <w:bottom w:w="28" w:type="dxa"/>
          <w:right w:w="28" w:type="dxa"/>
        </w:tblCellMar>
      </w:tblPr>
      <w:tblGrid>
        <w:gridCol w:w="1009"/>
        <w:gridCol w:w="889"/>
        <w:gridCol w:w="892"/>
        <w:gridCol w:w="332"/>
        <w:gridCol w:w="1250"/>
        <w:gridCol w:w="187"/>
        <w:gridCol w:w="109"/>
        <w:gridCol w:w="109"/>
        <w:gridCol w:w="109"/>
        <w:gridCol w:w="322"/>
        <w:gridCol w:w="1209"/>
        <w:gridCol w:w="17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29,343 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103,983 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183,718 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     Property, </w:t>
      </w:r>
      <w:bookmarkStart w:id="0" w:name="i64f0e148516b49faa02b1da97fc30ff4_769"/>
      <w:bookmarkEnd w:id="0"/>
      <w:r>
        <w:rPr>
          <w:rFonts w:ascii="Times New Roman;sans-serif" w:hAnsi="Times New Roman;sans-serif"/>
          <w:b w:val="false"/>
          <w:color w:val="000000"/>
          <w:sz w:val="22"/>
        </w:rPr>
        <w:t xml:space="preserve">Fixtures and Equipment, Net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Property, fixtures and equipment, net, consisted of the following as of the periods indicated:</w:t>
      </w:r>
    </w:p>
    <w:tbl>
      <w:tblPr>
        <w:tblW w:w="6161" w:type="dxa"/>
        <w:jc w:val="left"/>
        <w:tblInd w:w="0" w:type="dxa"/>
        <w:tblLayout w:type="fixed"/>
        <w:tblCellMar>
          <w:top w:w="28" w:type="dxa"/>
          <w:left w:w="28" w:type="dxa"/>
          <w:bottom w:w="28" w:type="dxa"/>
          <w:right w:w="28" w:type="dxa"/>
        </w:tblCellMar>
      </w:tblPr>
      <w:tblGrid>
        <w:gridCol w:w="835"/>
        <w:gridCol w:w="735"/>
        <w:gridCol w:w="739"/>
        <w:gridCol w:w="295"/>
        <w:gridCol w:w="1311"/>
        <w:gridCol w:w="164"/>
        <w:gridCol w:w="109"/>
        <w:gridCol w:w="109"/>
        <w:gridCol w:w="109"/>
        <w:gridCol w:w="316"/>
        <w:gridCol w:w="1190"/>
        <w:gridCol w:w="24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35,198 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37,596 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1,223,403 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489,895 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828,066 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(1,702,093)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(1,617,611)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1,020,798 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914,142 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7.    Goodwill and Intangible Assets, Net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Annual Goodwill and Intangible Assets Impairment Assessment</w:t>
      </w:r>
      <w:r>
        <w:rPr>
          <w:color w:val="000000"/>
        </w:rPr>
        <w:t xml:space="preserve"> </w:t>
      </w:r>
      <w:r>
        <w:rPr>
          <w:rFonts w:ascii="Times New Roman;sans-serif" w:hAnsi="Times New Roman;sans-serif"/>
          <w:b w:val="false"/>
          <w:color w:val="000000"/>
          <w:sz w:val="22"/>
        </w:rPr>
        <w:t>- The Company performs its annual assessment for impairment of goodwill and other indefinite-lived intangible assets during its second fiscal quarter. The Company’s 2023 assessment was quantitative and the 2022 assessment was qualitative. In connection with these assessments, the Company did not record any impairment charges.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           Accrued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Accrued and other current liabilities consisted of the following as of the periods indicated:</w:t>
      </w:r>
    </w:p>
    <w:tbl>
      <w:tblPr>
        <w:tblW w:w="6836" w:type="dxa"/>
        <w:jc w:val="left"/>
        <w:tblInd w:w="0" w:type="dxa"/>
        <w:tblLayout w:type="fixed"/>
        <w:tblCellMar>
          <w:top w:w="28" w:type="dxa"/>
          <w:left w:w="28" w:type="dxa"/>
          <w:bottom w:w="28" w:type="dxa"/>
          <w:right w:w="28" w:type="dxa"/>
        </w:tblCellMar>
      </w:tblPr>
      <w:tblGrid>
        <w:gridCol w:w="1079"/>
        <w:gridCol w:w="951"/>
        <w:gridCol w:w="955"/>
        <w:gridCol w:w="332"/>
        <w:gridCol w:w="1250"/>
        <w:gridCol w:w="187"/>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compensation</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86,807 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84,075 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(1)</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242,000 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217,427 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(1)During 2023, other current liabilities increased primarily due to increased accrued advertising and the timing of accrued property tax and interest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9.    Long-term Debt,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outstanding Long-term debt, net,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789,356 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828,507 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represents the weighted average interest rate as of the respective periods.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Debt Covenants - </w:t>
      </w:r>
      <w:r>
        <w:rPr>
          <w:rFonts w:ascii="Times New Roman;sans-serif" w:hAnsi="Times New Roman;sans-serif"/>
          <w:b w:val="false"/>
          <w:color w:val="000000"/>
          <w:sz w:val="22"/>
        </w:rPr>
        <w:t>As of September 24, 2023 and December 25, 2022, the Company was in compliance with its debt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10.    Convertible Senior Notes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color w:val="000000"/>
          <w:sz w:val="22"/>
        </w:rPr>
        <w:t>- In connection with dividends paid during the thirty-nine weeks ended September 24, 2023, the conversion rate for the</w:t>
      </w:r>
      <w:r>
        <w:rPr>
          <w:color w:val="252525"/>
        </w:rPr>
        <w:t xml:space="preserve"> </w:t>
      </w:r>
      <w:r>
        <w:rPr>
          <w:rFonts w:ascii="Times New Roman;sans-serif" w:hAnsi="Times New Roman;sans-serif"/>
          <w:b w:val="false"/>
          <w:color w:val="000000"/>
          <w:sz w:val="22"/>
        </w:rPr>
        <w:t>Company’s remaining convertible senior notes due 2025 (the “2025 Notes”) decreased to approximately $11.26 per share, which represents 88.783 shares of common stock per $1,000 principal amount of the 2025 Notes, or a total of approximately 9.303 million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outstanding principal amount and carrying value of the 2025 Notes as of the periods indicated:</w:t>
      </w:r>
    </w:p>
    <w:tbl>
      <w:tblPr>
        <w:tblW w:w="5740" w:type="dxa"/>
        <w:jc w:val="center"/>
        <w:tblInd w:w="0" w:type="dxa"/>
        <w:tblLayout w:type="fixed"/>
        <w:tblCellMar>
          <w:top w:w="28" w:type="dxa"/>
          <w:left w:w="28" w:type="dxa"/>
          <w:bottom w:w="28" w:type="dxa"/>
          <w:right w:w="28" w:type="dxa"/>
        </w:tblCellMar>
      </w:tblPr>
      <w:tblGrid>
        <w:gridCol w:w="683"/>
        <w:gridCol w:w="602"/>
        <w:gridCol w:w="604"/>
        <w:gridCol w:w="332"/>
        <w:gridCol w:w="1250"/>
        <w:gridCol w:w="187"/>
        <w:gridCol w:w="109"/>
        <w:gridCol w:w="109"/>
        <w:gridCol w:w="109"/>
        <w:gridCol w:w="316"/>
        <w:gridCol w:w="1190"/>
        <w:gridCol w:w="249"/>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issuance costs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103,444 </w:t>
            </w:r>
          </w:p>
        </w:tc>
        <w:tc>
          <w:tcPr>
            <w:tcW w:w="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103,061 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interest expense for the 2025 Notes by component for the periods indicated:</w:t>
      </w:r>
    </w:p>
    <w:tbl>
      <w:tblPr>
        <w:tblW w:w="10205" w:type="dxa"/>
        <w:jc w:val="left"/>
        <w:tblInd w:w="0" w:type="dxa"/>
        <w:tblLayout w:type="fixed"/>
        <w:tblCellMar>
          <w:top w:w="28" w:type="dxa"/>
          <w:left w:w="28" w:type="dxa"/>
          <w:bottom w:w="28" w:type="dxa"/>
          <w:right w:w="28" w:type="dxa"/>
        </w:tblCellMar>
      </w:tblPr>
      <w:tblGrid>
        <w:gridCol w:w="817"/>
        <w:gridCol w:w="709"/>
        <w:gridCol w:w="712"/>
        <w:gridCol w:w="389"/>
        <w:gridCol w:w="1105"/>
        <w:gridCol w:w="218"/>
        <w:gridCol w:w="117"/>
        <w:gridCol w:w="117"/>
        <w:gridCol w:w="117"/>
        <w:gridCol w:w="389"/>
        <w:gridCol w:w="1105"/>
        <w:gridCol w:w="218"/>
        <w:gridCol w:w="109"/>
        <w:gridCol w:w="109"/>
        <w:gridCol w:w="109"/>
        <w:gridCol w:w="389"/>
        <w:gridCol w:w="1105"/>
        <w:gridCol w:w="218"/>
        <w:gridCol w:w="129"/>
        <w:gridCol w:w="129"/>
        <w:gridCol w:w="129"/>
        <w:gridCol w:w="378"/>
        <w:gridCol w:w="1079"/>
        <w:gridCol w:w="309"/>
      </w:tblGrid>
      <w:tr>
        <w:trPr/>
        <w:tc>
          <w:tcPr>
            <w:tcW w:w="81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3,932 </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6,785 </w:t>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4,526 </w:t>
            </w:r>
          </w:p>
        </w:tc>
        <w:tc>
          <w:tcPr>
            <w:tcW w:w="2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7,748 </w:t>
            </w:r>
          </w:p>
        </w:tc>
        <w:tc>
          <w:tcPr>
            <w:tcW w:w="3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The effective rate of the 2025 Notes over their expected life is 5.85%. The decrease in interest expense during the thirty-nine weeks ended September 24, 2023 relates to the 2025 Notes Partial Repurchase in May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daily closing prices of the Company’s stock during the quarter ended September 24, 2023, the remaining holders of the 2025 Notes are eligible to convert their notes during the fourth quarter of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    Stockholders’ Equity </w:t>
      </w:r>
    </w:p>
    <w:p>
      <w:pPr>
        <w:pStyle w:val="TextBody"/>
        <w:bidi w:val="0"/>
        <w:spacing w:before="0" w:after="0"/>
        <w:ind w:left="0" w:right="0" w:hanging="90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xml:space="preserve">- On February 7, 2023, the Company’s Board of Directors (the “Board”) approved a share repurchase program (the “2023 Share Repurchase Program”) under which the Company is authorized to repurchase up to $125.0 million of its outstanding common stock. The 2023 Share Repurchase Program will expire on August 7, 2024. As of September 24, 2023, $87.9 million remained available for repurchase under the 2023 Share Repurchase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shares repurchased during fiscal year 2023:</w:t>
      </w:r>
    </w:p>
    <w:tbl>
      <w:tblPr>
        <w:tblW w:w="9959" w:type="dxa"/>
        <w:jc w:val="left"/>
        <w:tblInd w:w="0" w:type="dxa"/>
        <w:tblLayout w:type="fixed"/>
        <w:tblCellMar>
          <w:top w:w="28" w:type="dxa"/>
          <w:left w:w="28" w:type="dxa"/>
          <w:bottom w:w="28" w:type="dxa"/>
          <w:right w:w="28" w:type="dxa"/>
        </w:tblCellMar>
      </w:tblPr>
      <w:tblGrid>
        <w:gridCol w:w="1011"/>
        <w:gridCol w:w="888"/>
        <w:gridCol w:w="891"/>
        <w:gridCol w:w="619"/>
        <w:gridCol w:w="619"/>
        <w:gridCol w:w="621"/>
        <w:gridCol w:w="109"/>
        <w:gridCol w:w="109"/>
        <w:gridCol w:w="109"/>
        <w:gridCol w:w="831"/>
        <w:gridCol w:w="2362"/>
        <w:gridCol w:w="467"/>
        <w:gridCol w:w="109"/>
        <w:gridCol w:w="109"/>
        <w:gridCol w:w="109"/>
        <w:gridCol w:w="196"/>
        <w:gridCol w:w="64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REPURCHASE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2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863 </w:t>
            </w:r>
          </w:p>
        </w:tc>
        <w:tc>
          <w:tcPr>
            <w:tcW w:w="6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4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fiscal quarter</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common stock repurchases (1)</w:t>
            </w:r>
          </w:p>
        </w:tc>
        <w:tc>
          <w:tcPr>
            <w:tcW w:w="123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2,072 </w:t>
            </w:r>
          </w:p>
        </w:tc>
        <w:tc>
          <w:tcPr>
            <w:tcW w:w="62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52,140 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excise tax on share repurchases. Subsequent to September 24, 2023, the Company repurchased 365 thousand shares of its common stock for $8.6 million through October 31, 2023 under a Rule 10b5-1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Dividends</w:t>
      </w:r>
      <w:r>
        <w:rPr>
          <w:color w:val="000000"/>
        </w:rPr>
        <w:t xml:space="preserve"> </w:t>
      </w:r>
      <w:r>
        <w:rPr>
          <w:rFonts w:ascii="Times New Roman;sans-serif" w:hAnsi="Times New Roman;sans-serif"/>
          <w:b w:val="false"/>
          <w:color w:val="000000"/>
          <w:sz w:val="22"/>
        </w:rPr>
        <w:t>- The Company declared and paid dividends per share during fiscal year 2023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October 2023, the Board declared a quarterly cash dividend of $0.24 per share, payable on November 29, 2023 to shareholders of record at the close of business on November 14,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Accumulated Other Comprehensive Loss (“AOCL”) -</w:t>
      </w:r>
      <w:r>
        <w:rPr>
          <w:color w:val="000000"/>
        </w:rPr>
        <w:t xml:space="preserve"> </w:t>
      </w:r>
      <w:r>
        <w:rPr>
          <w:rFonts w:ascii="Times New Roman;sans-serif" w:hAnsi="Times New Roman;sans-serif"/>
          <w:b w:val="false"/>
          <w:color w:val="000000"/>
          <w:sz w:val="22"/>
        </w:rPr>
        <w:t>AOCL consisted of foreign currency translation adjustments as of September 24, 2023 and December 25,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are the components of Other comprehensive income (loss) attributable to Bloomin’ Brands for the periods indicated:</w:t>
      </w:r>
    </w:p>
    <w:tbl>
      <w:tblPr>
        <w:tblW w:w="10205" w:type="dxa"/>
        <w:jc w:val="center"/>
        <w:tblInd w:w="0" w:type="dxa"/>
        <w:tblLayout w:type="fixed"/>
        <w:tblCellMar>
          <w:top w:w="28" w:type="dxa"/>
          <w:left w:w="28" w:type="dxa"/>
          <w:bottom w:w="28" w:type="dxa"/>
          <w:right w:w="28" w:type="dxa"/>
        </w:tblCellMar>
      </w:tblPr>
      <w:tblGrid>
        <w:gridCol w:w="1420"/>
        <w:gridCol w:w="1064"/>
        <w:gridCol w:w="1067"/>
        <w:gridCol w:w="318"/>
        <w:gridCol w:w="903"/>
        <w:gridCol w:w="178"/>
        <w:gridCol w:w="109"/>
        <w:gridCol w:w="109"/>
        <w:gridCol w:w="109"/>
        <w:gridCol w:w="283"/>
        <w:gridCol w:w="957"/>
        <w:gridCol w:w="159"/>
        <w:gridCol w:w="109"/>
        <w:gridCol w:w="109"/>
        <w:gridCol w:w="109"/>
        <w:gridCol w:w="318"/>
        <w:gridCol w:w="903"/>
        <w:gridCol w:w="178"/>
        <w:gridCol w:w="116"/>
        <w:gridCol w:w="116"/>
        <w:gridCol w:w="116"/>
        <w:gridCol w:w="285"/>
        <w:gridCol w:w="941"/>
        <w:gridCol w:w="229"/>
      </w:tblGrid>
      <w:tr>
        <w:trPr/>
        <w:tc>
          <w:tcPr>
            <w:tcW w:w="142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10,182 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adjustments for loss on derivatives included in Net income, net of tax</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net of tax</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gain on derivatives, net of tax</w:t>
            </w:r>
          </w:p>
        </w:tc>
        <w:tc>
          <w:tcPr>
            <w:tcW w:w="122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8,967 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attributable to Bloomin’ Brands</w:t>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w:t>
            </w:r>
          </w:p>
        </w:tc>
        <w:tc>
          <w:tcPr>
            <w:tcW w:w="1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19,149 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    Leases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50"/>
        <w:gridCol w:w="808"/>
        <w:gridCol w:w="811"/>
        <w:gridCol w:w="1233"/>
        <w:gridCol w:w="1233"/>
        <w:gridCol w:w="1236"/>
        <w:gridCol w:w="109"/>
        <w:gridCol w:w="109"/>
        <w:gridCol w:w="109"/>
        <w:gridCol w:w="273"/>
        <w:gridCol w:w="1214"/>
        <w:gridCol w:w="151"/>
        <w:gridCol w:w="109"/>
        <w:gridCol w:w="109"/>
        <w:gridCol w:w="109"/>
        <w:gridCol w:w="262"/>
        <w:gridCol w:w="1168"/>
        <w:gridCol w:w="212"/>
      </w:tblGrid>
      <w:tr>
        <w:trPr/>
        <w:tc>
          <w:tcPr>
            <w:tcW w:w="95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70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1,109,295 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1,103,083 </w:t>
            </w:r>
          </w:p>
        </w:tc>
        <w:tc>
          <w:tcPr>
            <w:tcW w:w="2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3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1,118,833 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1,107,762 </w:t>
            </w:r>
          </w:p>
        </w:tc>
        <w:tc>
          <w:tcPr>
            <w:tcW w:w="2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 (2)</w:t>
            </w:r>
          </w:p>
        </w:tc>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1,347,356 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1,336,674 </w:t>
            </w:r>
          </w:p>
        </w:tc>
        <w:tc>
          <w:tcPr>
            <w:tcW w:w="2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$4.1 million and $3.6 million as of September 24, 2023 and December 25, 2022,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(2)Excludes immaterial COVID-19-related deferred rent accruals.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Income for the periods indicated:</w:t>
      </w:r>
    </w:p>
    <w:tbl>
      <w:tblPr>
        <w:tblW w:w="10205" w:type="dxa"/>
        <w:jc w:val="center"/>
        <w:tblInd w:w="0" w:type="dxa"/>
        <w:tblLayout w:type="fixed"/>
        <w:tblCellMar>
          <w:top w:w="28" w:type="dxa"/>
          <w:left w:w="28" w:type="dxa"/>
          <w:bottom w:w="28" w:type="dxa"/>
          <w:right w:w="28" w:type="dxa"/>
        </w:tblCellMar>
      </w:tblPr>
      <w:tblGrid>
        <w:gridCol w:w="563"/>
        <w:gridCol w:w="344"/>
        <w:gridCol w:w="345"/>
        <w:gridCol w:w="911"/>
        <w:gridCol w:w="911"/>
        <w:gridCol w:w="913"/>
        <w:gridCol w:w="109"/>
        <w:gridCol w:w="109"/>
        <w:gridCol w:w="109"/>
        <w:gridCol w:w="249"/>
        <w:gridCol w:w="825"/>
        <w:gridCol w:w="140"/>
        <w:gridCol w:w="109"/>
        <w:gridCol w:w="109"/>
        <w:gridCol w:w="109"/>
        <w:gridCol w:w="249"/>
        <w:gridCol w:w="825"/>
        <w:gridCol w:w="140"/>
        <w:gridCol w:w="109"/>
        <w:gridCol w:w="109"/>
        <w:gridCol w:w="109"/>
        <w:gridCol w:w="228"/>
        <w:gridCol w:w="858"/>
        <w:gridCol w:w="128"/>
        <w:gridCol w:w="109"/>
        <w:gridCol w:w="109"/>
        <w:gridCol w:w="109"/>
        <w:gridCol w:w="226"/>
        <w:gridCol w:w="854"/>
        <w:gridCol w:w="188"/>
      </w:tblGrid>
      <w:tr>
        <w:trPr/>
        <w:tc>
          <w:tcPr>
            <w:tcW w:w="56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27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 (1)</w:t>
            </w:r>
          </w:p>
        </w:tc>
        <w:tc>
          <w:tcPr>
            <w:tcW w:w="273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46,686 </w:t>
            </w:r>
          </w:p>
        </w:tc>
        <w:tc>
          <w:tcPr>
            <w:tcW w:w="1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45,817 </w:t>
            </w:r>
          </w:p>
        </w:tc>
        <w:tc>
          <w:tcPr>
            <w:tcW w:w="1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138,670 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136,757 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costs:</w:t>
            </w:r>
          </w:p>
        </w:tc>
        <w:tc>
          <w:tcPr>
            <w:tcW w:w="2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2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47,000 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45,280 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140,341 </w:t>
            </w:r>
          </w:p>
        </w:tc>
        <w:tc>
          <w:tcPr>
            <w:tcW w:w="1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135,497 </w:t>
            </w:r>
          </w:p>
        </w:tc>
        <w:tc>
          <w:tcPr>
            <w:tcW w:w="1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$3.1 million for the thirteen weeks ended September 24, 2023 and September 25, 2022 and $9.1 million for the thirty-nine weeks ended September 24, 2023 and September 25, 2022,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to the Company’s Consolidated Financial Statements related to its leases for the periods indicated:</w:t>
      </w:r>
    </w:p>
    <w:tbl>
      <w:tblPr>
        <w:tblW w:w="9662" w:type="dxa"/>
        <w:jc w:val="center"/>
        <w:tblInd w:w="0" w:type="dxa"/>
        <w:tblLayout w:type="fixed"/>
        <w:tblCellMar>
          <w:top w:w="28" w:type="dxa"/>
          <w:left w:w="28" w:type="dxa"/>
          <w:bottom w:w="28" w:type="dxa"/>
          <w:right w:w="28" w:type="dxa"/>
        </w:tblCellMar>
      </w:tblPr>
      <w:tblGrid>
        <w:gridCol w:w="2077"/>
        <w:gridCol w:w="1831"/>
        <w:gridCol w:w="1837"/>
        <w:gridCol w:w="332"/>
        <w:gridCol w:w="1250"/>
        <w:gridCol w:w="187"/>
        <w:gridCol w:w="111"/>
        <w:gridCol w:w="111"/>
        <w:gridCol w:w="111"/>
        <w:gridCol w:w="326"/>
        <w:gridCol w:w="1230"/>
        <w:gridCol w:w="259"/>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145,797 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    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measured at fair value by hierarchy level on a recurring basis as of the periods indicated:</w:t>
      </w:r>
    </w:p>
    <w:tbl>
      <w:tblPr>
        <w:tblW w:w="9245" w:type="dxa"/>
        <w:jc w:val="left"/>
        <w:tblInd w:w="0" w:type="dxa"/>
        <w:tblLayout w:type="fixed"/>
        <w:tblCellMar>
          <w:top w:w="28" w:type="dxa"/>
          <w:left w:w="28" w:type="dxa"/>
          <w:bottom w:w="28" w:type="dxa"/>
          <w:right w:w="28" w:type="dxa"/>
        </w:tblCellMar>
      </w:tblPr>
      <w:tblGrid>
        <w:gridCol w:w="1198"/>
        <w:gridCol w:w="1056"/>
        <w:gridCol w:w="1060"/>
        <w:gridCol w:w="196"/>
        <w:gridCol w:w="646"/>
        <w:gridCol w:w="109"/>
        <w:gridCol w:w="109"/>
        <w:gridCol w:w="109"/>
        <w:gridCol w:w="109"/>
        <w:gridCol w:w="196"/>
        <w:gridCol w:w="646"/>
        <w:gridCol w:w="109"/>
        <w:gridCol w:w="109"/>
        <w:gridCol w:w="109"/>
        <w:gridCol w:w="109"/>
        <w:gridCol w:w="143"/>
        <w:gridCol w:w="143"/>
        <w:gridCol w:w="143"/>
        <w:gridCol w:w="143"/>
        <w:gridCol w:w="258"/>
        <w:gridCol w:w="733"/>
        <w:gridCol w:w="143"/>
        <w:gridCol w:w="109"/>
        <w:gridCol w:w="109"/>
        <w:gridCol w:w="109"/>
        <w:gridCol w:w="196"/>
        <w:gridCol w:w="556"/>
        <w:gridCol w:w="109"/>
        <w:gridCol w:w="109"/>
        <w:gridCol w:w="109"/>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(1):</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income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recurring fair value measurements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(1)Carrying value approximates fair value because maturities are less than three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Interim Disclosures about Fair Value of Financial Instruments - </w:t>
      </w:r>
      <w:r>
        <w:rPr>
          <w:rFonts w:ascii="Times New Roman;sans-serif" w:hAnsi="Times New Roman;sans-serif"/>
          <w:b w:val="false"/>
          <w:color w:val="000000"/>
          <w:sz w:val="22"/>
        </w:rPr>
        <w:t>The Company’s financial instruments consist of cash equivalents, accounts receivable, accounts payable and long-term debt. The fair values of cash equivalents, accounts receivable and accounts payable approximate their carrying amounts reported on its Consolidated Balance Sheets due to their short duration.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14.    </w:t>
      </w:r>
      <w:bookmarkStart w:id="1" w:name="i7e5d007d59d34f2cab401dfbc88384bd_3419"/>
      <w:bookmarkEnd w:id="1"/>
      <w:r>
        <w:rPr>
          <w:rFonts w:ascii="Times New Roman;sans-serif" w:hAnsi="Times New Roman;sans-serif"/>
          <w:b w:val="false"/>
          <w:color w:val="000000"/>
          <w:sz w:val="22"/>
        </w:rPr>
        <w:t xml:space="preserve">Income Taxes </w:t>
      </w:r>
    </w:p>
    <w:tbl>
      <w:tblPr>
        <w:tblW w:w="10205" w:type="dxa"/>
        <w:jc w:val="center"/>
        <w:tblInd w:w="0" w:type="dxa"/>
        <w:tblLayout w:type="fixed"/>
        <w:tblCellMar>
          <w:top w:w="28" w:type="dxa"/>
          <w:left w:w="28" w:type="dxa"/>
          <w:bottom w:w="28" w:type="dxa"/>
          <w:right w:w="28" w:type="dxa"/>
        </w:tblCellMar>
      </w:tblPr>
      <w:tblGrid>
        <w:gridCol w:w="1037"/>
        <w:gridCol w:w="913"/>
        <w:gridCol w:w="917"/>
        <w:gridCol w:w="280"/>
        <w:gridCol w:w="924"/>
        <w:gridCol w:w="365"/>
        <w:gridCol w:w="109"/>
        <w:gridCol w:w="109"/>
        <w:gridCol w:w="109"/>
        <w:gridCol w:w="280"/>
        <w:gridCol w:w="924"/>
        <w:gridCol w:w="365"/>
        <w:gridCol w:w="109"/>
        <w:gridCol w:w="109"/>
        <w:gridCol w:w="109"/>
        <w:gridCol w:w="263"/>
        <w:gridCol w:w="990"/>
        <w:gridCol w:w="344"/>
        <w:gridCol w:w="109"/>
        <w:gridCol w:w="109"/>
        <w:gridCol w:w="109"/>
        <w:gridCol w:w="276"/>
        <w:gridCol w:w="913"/>
        <w:gridCol w:w="433"/>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(benefit) provision for income taxes</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3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38,613 </w:t>
            </w:r>
          </w:p>
        </w:tc>
        <w:tc>
          <w:tcPr>
            <w:tcW w:w="3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230,047 </w:t>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4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33,028 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 income tax rates for the thirteen and thirty-nine weeks ended September 24, 2023 decreased by 14.5 and 31.0 percentage points, respectively, as compared to the thirteen and thirty-nine weeks ended September 25, 2022. These decreases were primarily due to the 2023 benefits of Brazil tax legislation, which includes a temporary reduction in the Brazilian income tax rate from 34% to 0%, and the 2023 income tax exemption on Brazil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value added tax (“VAT”) benefits, as further discussed below. The decrease for the thirty-nine weeks ended September 24, 2023 was further impacted by the 2022 non-deductible losses associated with the 2025 Notes Partial Repurchase.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September 2022, the Company’s Brazilian subsidiary received a preliminary injunction authorizing it to benefit from the exemptions enacted by Law 14,148/2021 which provides for emergency and temporary actions that grant certain industries a 100% exemption from income tax (IRPJ and CSLL) and federal value added taxes (PIS and COFINS) for a five-year period. The injunction was issued as part of an ongoing lawsuit initiated by the Company’s Brazilian subsidiary due to the uncertainty regarding the restaurant industry’s eligibility for the exemptions under this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May 2023, Brazil enacted tax legislation that prospectively limits the Company’s ability to benefit from the 100% exemption from income tax (IRPJ and CSLL) and federal value added taxes (PIS and COFINS) for the full five-year period (the “May 2023 Brazil tax legislation”). As a result of this legislation, the Company expects to be subject to PIS and COFINS and CSLL beginning in the fourth quarter of 2023 and IRPJ beginning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2" w:name="i7e5d007d59d34f2cab401dfbc88384bd_7539"/>
      <w:bookmarkEnd w:id="2"/>
      <w:r>
        <w:rPr>
          <w:rFonts w:ascii="Times New Roman;sans-serif" w:hAnsi="Times New Roman;sans-serif"/>
          <w:b w:val="false"/>
          <w:color w:val="000000"/>
          <w:sz w:val="22"/>
        </w:rPr>
        <w:t>During the thirteen weeks ended September 24, 2023, the Company recorded an income tax benefit of approximately $2.9 million from a refund of prior year income tax in Brazil resulting from a recent ruling by the Brazilian Superior Court of Justice regarding a federal income tax exemption on certain state VAT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(benefit)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rates for the thirteen and thirty-nine weeks ended September 24, 2023 were lower than the Company’s blended federal and state statutory rate of approximately 26% primarily due to the benefit of FICA tax credits on certain tipped wages, benefits of Brazil tax legislation that include a temporary reduction in the Brazilian income tax rate from 34% to 0%, and the income tax exemption on Brazil state VAT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September 25, 2022 was lower than the Company’s blended federal and state statutory rate of approximately 26% primarily due to the benefit of FICA tax credits on certain tipped wages.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3" w:name="i7e5d007d59d34f2cab401dfbc88384bd_3426"/>
      <w:bookmarkEnd w:id="3"/>
      <w:r>
        <w:rPr>
          <w:rFonts w:ascii="Times New Roman;sans-serif" w:hAnsi="Times New Roman;sans-serif"/>
          <w:b w:val="false"/>
          <w:color w:val="000000"/>
          <w:sz w:val="22"/>
        </w:rPr>
        <w:t>The effective income tax rate for the thirty-nine weeks ended September 25, 2022 was higher than the statutory rate primarily due to the non-deductible losses associated with the 2025 Notes Partial Repurchase recorded during the thirty-nine weeks ended September 25,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15.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Litigation and Other Matters</w:t>
      </w:r>
      <w:r>
        <w:rPr>
          <w:color w:val="000000"/>
        </w:rPr>
        <w:t xml:space="preserve"> </w:t>
      </w:r>
      <w:r>
        <w:rPr>
          <w:rFonts w:ascii="Times New Roman;sans-serif" w:hAnsi="Times New Roman;sans-serif"/>
          <w:b w:val="false"/>
          <w:color w:val="000000"/>
          <w:sz w:val="22"/>
        </w:rPr>
        <w:t>- The Company is subject to legal proceedings, claims and liabilities, such as liquor liability, slip and fall cases, wage and hour and other employment-related litigation, which arise in the ordinary course of business. A reserve is recorded when it is both: (i) 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recorded reserves of $18.9 million and $15.1 million for certain of its outstanding legal proceedings as of September 24, 2023 and December 25, 2022,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These leases have varying terms, the latest of which expires in 2032. As of September 24, 2023, the undiscounted payments that the Company could be required to make in the event of non-payment by the primary lessees was approximately $20.5 million. The present value of these potential payments discounted at the Company’s incremental borrowing rate as of September 24, 2023 was approximately $15.3 million. In the event of default, the indemnity clauses in the Company’s purchase and sale agreements generally govern its ability to pursue and recover damages incurred. As of September 24, 2023 and December 25, 2022, the Company’s recorded contingent lease liability was $5.4 million and $6.2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    Segment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 xml:space="preserve">Summary of Significant Accounting Policies </w:t>
      </w:r>
      <w:r>
        <w:rPr>
          <w:rFonts w:ascii="Times New Roman;sans-serif" w:hAnsi="Times New Roman;sans-serif"/>
          <w:b w:val="false"/>
          <w:color w:val="000000"/>
          <w:sz w:val="22"/>
        </w:rPr>
        <w:t>in the Company’s Annual Report on Form 10-K for the year ended December 25, 2022.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revenues by segment for the periods indicated:</w:t>
      </w:r>
    </w:p>
    <w:tbl>
      <w:tblPr>
        <w:tblW w:w="9785" w:type="dxa"/>
        <w:jc w:val="center"/>
        <w:tblInd w:w="0" w:type="dxa"/>
        <w:tblLayout w:type="fixed"/>
        <w:tblCellMar>
          <w:top w:w="28" w:type="dxa"/>
          <w:left w:w="28" w:type="dxa"/>
          <w:bottom w:w="28" w:type="dxa"/>
          <w:right w:w="28" w:type="dxa"/>
        </w:tblCellMar>
      </w:tblPr>
      <w:tblGrid>
        <w:gridCol w:w="607"/>
        <w:gridCol w:w="535"/>
        <w:gridCol w:w="537"/>
        <w:gridCol w:w="295"/>
        <w:gridCol w:w="1311"/>
        <w:gridCol w:w="164"/>
        <w:gridCol w:w="109"/>
        <w:gridCol w:w="109"/>
        <w:gridCol w:w="109"/>
        <w:gridCol w:w="295"/>
        <w:gridCol w:w="1311"/>
        <w:gridCol w:w="164"/>
        <w:gridCol w:w="109"/>
        <w:gridCol w:w="109"/>
        <w:gridCol w:w="109"/>
        <w:gridCol w:w="295"/>
        <w:gridCol w:w="1311"/>
        <w:gridCol w:w="164"/>
        <w:gridCol w:w="109"/>
        <w:gridCol w:w="109"/>
        <w:gridCol w:w="109"/>
        <w:gridCol w:w="291"/>
        <w:gridCol w:w="1295"/>
        <w:gridCol w:w="2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3,011,197 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2,957,555 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1,079,833 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1,055,763 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3,477,273 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3,321,460 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Depreciation and amortization expense by segment for the periods indicated:</w:t>
      </w:r>
    </w:p>
    <w:tbl>
      <w:tblPr>
        <w:tblW w:w="10205" w:type="dxa"/>
        <w:jc w:val="center"/>
        <w:tblInd w:w="0" w:type="dxa"/>
        <w:tblLayout w:type="fixed"/>
        <w:tblCellMar>
          <w:top w:w="28" w:type="dxa"/>
          <w:left w:w="28" w:type="dxa"/>
          <w:bottom w:w="28" w:type="dxa"/>
          <w:right w:w="28" w:type="dxa"/>
        </w:tblCellMar>
      </w:tblPr>
      <w:tblGrid>
        <w:gridCol w:w="884"/>
        <w:gridCol w:w="761"/>
        <w:gridCol w:w="764"/>
        <w:gridCol w:w="346"/>
        <w:gridCol w:w="1148"/>
        <w:gridCol w:w="195"/>
        <w:gridCol w:w="109"/>
        <w:gridCol w:w="109"/>
        <w:gridCol w:w="109"/>
        <w:gridCol w:w="346"/>
        <w:gridCol w:w="1148"/>
        <w:gridCol w:w="195"/>
        <w:gridCol w:w="109"/>
        <w:gridCol w:w="109"/>
        <w:gridCol w:w="109"/>
        <w:gridCol w:w="317"/>
        <w:gridCol w:w="1194"/>
        <w:gridCol w:w="178"/>
        <w:gridCol w:w="110"/>
        <w:gridCol w:w="110"/>
        <w:gridCol w:w="110"/>
        <w:gridCol w:w="311"/>
        <w:gridCol w:w="1176"/>
        <w:gridCol w:w="258"/>
      </w:tblGrid>
      <w:tr>
        <w:trPr/>
        <w:tc>
          <w:tcPr>
            <w:tcW w:w="88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3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47,998 </w:t>
            </w:r>
          </w:p>
        </w:tc>
        <w:tc>
          <w:tcPr>
            <w:tcW w:w="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42,171 </w:t>
            </w:r>
          </w:p>
        </w:tc>
        <w:tc>
          <w:tcPr>
            <w:tcW w:w="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141,865 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125,203 </w:t>
            </w:r>
          </w:p>
        </w:tc>
        <w:tc>
          <w:tcPr>
            <w:tcW w:w="2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Income before (benefit) provision for income taxes for the periods indicated:</w:t>
      </w:r>
    </w:p>
    <w:tbl>
      <w:tblPr>
        <w:tblW w:w="10205" w:type="dxa"/>
        <w:jc w:val="center"/>
        <w:tblInd w:w="0" w:type="dxa"/>
        <w:tblLayout w:type="fixed"/>
        <w:tblCellMar>
          <w:top w:w="28" w:type="dxa"/>
          <w:left w:w="28" w:type="dxa"/>
          <w:bottom w:w="28" w:type="dxa"/>
          <w:right w:w="28" w:type="dxa"/>
        </w:tblCellMar>
      </w:tblPr>
      <w:tblGrid>
        <w:gridCol w:w="1132"/>
        <w:gridCol w:w="899"/>
        <w:gridCol w:w="903"/>
        <w:gridCol w:w="320"/>
        <w:gridCol w:w="1059"/>
        <w:gridCol w:w="180"/>
        <w:gridCol w:w="109"/>
        <w:gridCol w:w="109"/>
        <w:gridCol w:w="109"/>
        <w:gridCol w:w="320"/>
        <w:gridCol w:w="1059"/>
        <w:gridCol w:w="180"/>
        <w:gridCol w:w="109"/>
        <w:gridCol w:w="109"/>
        <w:gridCol w:w="109"/>
        <w:gridCol w:w="292"/>
        <w:gridCol w:w="1101"/>
        <w:gridCol w:w="164"/>
        <w:gridCol w:w="110"/>
        <w:gridCol w:w="110"/>
        <w:gridCol w:w="110"/>
        <w:gridCol w:w="288"/>
        <w:gridCol w:w="1087"/>
        <w:gridCol w:w="237"/>
      </w:tblGrid>
      <w:tr>
        <w:trPr/>
        <w:tc>
          <w:tcPr>
            <w:tcW w:w="11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income from operations</w:t>
            </w:r>
          </w:p>
        </w:tc>
        <w:tc>
          <w:tcPr>
            <w:tcW w:w="15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13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90,048 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84,350 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371,293 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344,206 </w:t>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operating expense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(97,922)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w:t>
            </w:r>
          </w:p>
        </w:tc>
        <w:tc>
          <w:tcPr>
            <w:tcW w:w="13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58,216 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51,309 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268,295 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246,284 </w:t>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(benefit) provision for income taxes</w:t>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45,373 </w:t>
            </w:r>
          </w:p>
        </w:tc>
        <w:tc>
          <w:tcPr>
            <w:tcW w:w="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38,613 </w:t>
            </w:r>
          </w:p>
        </w:tc>
        <w:tc>
          <w:tcPr>
            <w:tcW w:w="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230,047 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82,092 </w:t>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and geopolitical conditions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 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(viii)The severity, extent and duration of a health pandemic, its impacts on our business and results of operations, financial condition and liquidity, including any adverse impact on our stock price and on the other factors listed in this Report, and the responses of domestic and foreign federal, state and local governments to a pandemic;</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effects of international economic, political and social conditions and legal systems on our foreign operations and on foreign currency exchange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(xi)Our ability to comply with new environmental, social and governance (“ESG”) requirements or our failure to achieve any goals, targets or objectives with respect to ESG matters;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(xii)Our ability to effectively respond to changes in patterns of consumer traffic, consumer tastes and dietary habits, including by maintaining relationships with third party delivery apps and services;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(xviii)Such other factors as discussed in Part I, Item IA. Risk Factors of our Annual Report on Form 10-K for the year ended December 25, 2022.</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September 24, 2023, we owned and operated 1,188 full-service restaurants and off-premises only kitchens and franchised 296 full-service restaurants and off-premises only kitchens across 47 states, Guam and 13 countries. We have four founder-inspired concepts: Outback Steakhouse, Carrabba’s Italian Grill, Bonefish Grill and Fleming’s Prime Steakhouse &amp; Wine Bar.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Financial Overview - </w:t>
      </w:r>
      <w:r>
        <w:rPr>
          <w:rFonts w:ascii="Times New Roman;sans-serif" w:hAnsi="Times New Roman;sans-serif"/>
          <w:b w:val="false"/>
          <w:color w:val="000000"/>
          <w:sz w:val="22"/>
        </w:rPr>
        <w:t>Our financial overview for the thirteen weeks ended September 24, 2023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(0.5)% and (1.1)%,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Increase in Total revenues of 2.3%, as compared to the third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5.4% and 13.8%, respectively, as compared to 4.9% and 13.1%, respectively, for the third quarter of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$58.2 million, as compared to $51.3 million in the third quarter of 2022;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Diluted earnings per share of $0.45 as compared to $0.34 for the third quarter of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Key Financial Performance Indicators</w:t>
      </w:r>
      <w:r>
        <w:rPr>
          <w:color w:val="000000"/>
        </w:rPr>
        <w:t xml:space="preserve"> </w:t>
      </w:r>
      <w:r>
        <w:rPr>
          <w:rFonts w:ascii="Times New Roman;sans-serif" w:hAnsi="Times New Roman;sans-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and the benefit of value added tax exemptions in Brazil)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and the benefit of value added tax exemptions in Brazil)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income and Diluted earnings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The following categories of revenue and operating expenses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 included in restaurant-level operating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(ii)Depreciation and amortization, which, although substantially all of which is related to restaurant-level assets, represent historical sunk costs rather than cash outlays for the restaurants;</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full-service restaurants in operation as of the periods indicated:</w:t>
      </w:r>
    </w:p>
    <w:tbl>
      <w:tblPr>
        <w:tblW w:w="7525" w:type="dxa"/>
        <w:jc w:val="left"/>
        <w:tblInd w:w="0" w:type="dxa"/>
        <w:tblLayout w:type="fixed"/>
        <w:tblCellMar>
          <w:top w:w="28" w:type="dxa"/>
          <w:left w:w="28" w:type="dxa"/>
          <w:bottom w:w="28" w:type="dxa"/>
          <w:right w:w="28" w:type="dxa"/>
        </w:tblCellMar>
      </w:tblPr>
      <w:tblGrid>
        <w:gridCol w:w="1308"/>
        <w:gridCol w:w="1150"/>
        <w:gridCol w:w="1157"/>
        <w:gridCol w:w="589"/>
        <w:gridCol w:w="589"/>
        <w:gridCol w:w="591"/>
        <w:gridCol w:w="109"/>
        <w:gridCol w:w="109"/>
        <w:gridCol w:w="109"/>
        <w:gridCol w:w="531"/>
        <w:gridCol w:w="531"/>
        <w:gridCol w:w="752"/>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 (at end of the period):</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5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1,159 </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(1)(2)</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5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11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restaurant counts for Brazil, including Abbraccio and Aussie Grill restaurants within International Company-owned Other, are reported as of August 31, 2023 and 2022, respectively, to correspond with the balance sheet dates of this subsidiary.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(2)International Company-owned Other included four and two Aussie Grill locations as of September 24, 2023 and September 25, 2022, respectively. International Franchised Other included three Aussie Grill locations as of September 24, 2023 and September 25, 2022.</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number of our off-premises only kitchens in operation as of the periods indicated:</w:t>
      </w:r>
    </w:p>
    <w:tbl>
      <w:tblPr>
        <w:tblW w:w="7540" w:type="dxa"/>
        <w:jc w:val="left"/>
        <w:tblInd w:w="0" w:type="dxa"/>
        <w:tblLayout w:type="fixed"/>
        <w:tblCellMar>
          <w:top w:w="28" w:type="dxa"/>
          <w:left w:w="28" w:type="dxa"/>
          <w:bottom w:w="28" w:type="dxa"/>
          <w:right w:w="28" w:type="dxa"/>
        </w:tblCellMar>
      </w:tblPr>
      <w:tblGrid>
        <w:gridCol w:w="1313"/>
        <w:gridCol w:w="1156"/>
        <w:gridCol w:w="1161"/>
        <w:gridCol w:w="589"/>
        <w:gridCol w:w="589"/>
        <w:gridCol w:w="591"/>
        <w:gridCol w:w="109"/>
        <w:gridCol w:w="109"/>
        <w:gridCol w:w="109"/>
        <w:gridCol w:w="531"/>
        <w:gridCol w:w="531"/>
        <w:gridCol w:w="752"/>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kitchens (at end of the period) (1):</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 - South Korea</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1178"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75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(1)Excludes virtual concepts that operate out of existing restaurants and sports venue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bookmarkStart w:id="4" w:name="ic7f8c3afe5a148d1b510342d7f6e0bf2_294"/>
      <w:bookmarkEnd w:id="4"/>
      <w:r>
        <w:rPr>
          <w:rFonts w:ascii="Times New Roman;sans-serif" w:hAnsi="Times New Roman;sans-serif"/>
          <w:b/>
          <w:color w:val="000000"/>
          <w:sz w:val="22"/>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112"/>
        <w:gridCol w:w="856"/>
        <w:gridCol w:w="860"/>
        <w:gridCol w:w="363"/>
        <w:gridCol w:w="341"/>
        <w:gridCol w:w="802"/>
        <w:gridCol w:w="155"/>
        <w:gridCol w:w="155"/>
        <w:gridCol w:w="155"/>
        <w:gridCol w:w="363"/>
        <w:gridCol w:w="341"/>
        <w:gridCol w:w="802"/>
        <w:gridCol w:w="109"/>
        <w:gridCol w:w="109"/>
        <w:gridCol w:w="109"/>
        <w:gridCol w:w="363"/>
        <w:gridCol w:w="341"/>
        <w:gridCol w:w="802"/>
        <w:gridCol w:w="166"/>
        <w:gridCol w:w="166"/>
        <w:gridCol w:w="166"/>
        <w:gridCol w:w="353"/>
        <w:gridCol w:w="320"/>
        <w:gridCol w:w="896"/>
      </w:tblGrid>
      <w:tr>
        <w:trPr/>
        <w:tc>
          <w:tcPr>
            <w:tcW w:w="111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5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8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8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8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(benefit) provision for income taxes</w:t>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8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704"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8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8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8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8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*Less than 1/10</w:t>
      </w:r>
      <w:r>
        <w:rPr>
          <w:rFonts w:ascii="Times New Roman;sans-serif" w:hAnsi="Times New Roman;sans-serif"/>
          <w:b w:val="false"/>
          <w:color w:val="000000"/>
          <w:sz w:val="12"/>
        </w:rPr>
        <w:t>th</w:t>
      </w:r>
      <w:r>
        <w:rPr>
          <w:color w:val="000000"/>
        </w:rPr>
        <w:t xml:space="preserve"> </w:t>
      </w:r>
      <w:r>
        <w:rPr>
          <w:rFonts w:ascii="Times New Roman;sans-serif" w:hAnsi="Times New Roman;sans-serif"/>
          <w:b w:val="false"/>
          <w:color w:val="000000"/>
          <w:sz w:val="18"/>
        </w:rPr>
        <w:t>of one percent of Total revenues.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Restaurant sales for the periods indicated:</w:t>
      </w:r>
    </w:p>
    <w:tbl>
      <w:tblPr>
        <w:tblW w:w="8200" w:type="dxa"/>
        <w:jc w:val="left"/>
        <w:tblInd w:w="0" w:type="dxa"/>
        <w:tblLayout w:type="fixed"/>
        <w:tblCellMar>
          <w:top w:w="28" w:type="dxa"/>
          <w:left w:w="28" w:type="dxa"/>
          <w:bottom w:w="28" w:type="dxa"/>
          <w:right w:w="28" w:type="dxa"/>
        </w:tblCellMar>
      </w:tblPr>
      <w:tblGrid>
        <w:gridCol w:w="1136"/>
        <w:gridCol w:w="997"/>
        <w:gridCol w:w="1001"/>
        <w:gridCol w:w="437"/>
        <w:gridCol w:w="1540"/>
        <w:gridCol w:w="243"/>
        <w:gridCol w:w="109"/>
        <w:gridCol w:w="109"/>
        <w:gridCol w:w="109"/>
        <w:gridCol w:w="473"/>
        <w:gridCol w:w="1673"/>
        <w:gridCol w:w="373"/>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25, 2022</w:t>
            </w:r>
          </w:p>
        </w:tc>
        <w:tc>
          <w:tcPr>
            <w:tcW w:w="4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1,040.4 </w:t>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3,272.9 </w:t>
            </w:r>
          </w:p>
        </w:tc>
        <w:tc>
          <w:tcPr>
            <w:tcW w:w="3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(1)</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24, 2023</w:t>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1,064.4 </w:t>
            </w:r>
          </w:p>
        </w:tc>
        <w:tc>
          <w:tcPr>
            <w:tcW w:w="2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3,430.0 </w:t>
            </w:r>
          </w:p>
        </w:tc>
        <w:tc>
          <w:tcPr>
            <w:tcW w:w="37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both"/>
        <w:rPr/>
      </w:pPr>
      <w:bookmarkStart w:id="5" w:name="i12161e57c2d44a40854293ee9439ad83_1348"/>
      <w:bookmarkEnd w:id="5"/>
      <w:r>
        <w:rPr>
          <w:rFonts w:ascii="Times New Roman;sans-serif" w:hAnsi="Times New Roman;sans-serif"/>
          <w:b w:val="false"/>
          <w:color w:val="000000"/>
          <w:sz w:val="18"/>
        </w:rPr>
        <w:t xml:space="preserve">(1)See Note 14 - </w:t>
      </w:r>
      <w:r>
        <w:rPr>
          <w:rFonts w:ascii="Times New Roman;sans-serif" w:hAnsi="Times New Roman;sans-serif"/>
          <w:b w:val="false"/>
          <w:i/>
          <w:color w:val="000000"/>
          <w:sz w:val="18"/>
        </w:rPr>
        <w:t xml:space="preserve">Income Taxes </w:t>
      </w:r>
      <w:r>
        <w:rPr>
          <w:rFonts w:ascii="Times New Roman;sans-serif" w:hAnsi="Times New Roman;sans-serif"/>
          <w:b w:val="false"/>
          <w:color w:val="000000"/>
          <w:sz w:val="18"/>
        </w:rPr>
        <w:t>of the Notes to Consolidated Financial Statements for details regarding value added tax exemptions in connection with Brazil tax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Restaurant sales during the thirteen weeks ended September 24, 2023 was primarily due to: (i) the opening of 47 new restaurants not included in our comparable restaurant sales base, (ii) value added tax exemptions in Brazil and (iii) the effect of foreign currency translation of the Brazilian Real relative to the U.S. dollar. The increase was partially offset by the closure of 17 restaurants since June 26,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Restaurant sales during the thirty-nine weeks ended September 24, 2023 was primarily due to: (i) higher comparable restaurant sales, primarily driven by increases in menu pricing, (ii) the opening of 61 new restaurants not included in our comparable restaurant sales base, (iii) value added tax exemptions in Brazil and (iv) the effect of foreign currency translation of the Brazilian Real relative to the U.S. dollar. The increase in Restaurant sales was partially offset by the closure of 29 restaurants since December 26, 2021.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Average Restaurant Unit Volumes and Operating Weeks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average restaurant unit volumes and operating weeks for the periods indicated:</w:t>
      </w:r>
    </w:p>
    <w:tbl>
      <w:tblPr>
        <w:tblW w:w="10205" w:type="dxa"/>
        <w:jc w:val="left"/>
        <w:tblInd w:w="0" w:type="dxa"/>
        <w:tblLayout w:type="fixed"/>
        <w:tblCellMar>
          <w:top w:w="28" w:type="dxa"/>
          <w:left w:w="28" w:type="dxa"/>
          <w:bottom w:w="28" w:type="dxa"/>
          <w:right w:w="28" w:type="dxa"/>
        </w:tblCellMar>
      </w:tblPr>
      <w:tblGrid>
        <w:gridCol w:w="913"/>
        <w:gridCol w:w="742"/>
        <w:gridCol w:w="745"/>
        <w:gridCol w:w="315"/>
        <w:gridCol w:w="1044"/>
        <w:gridCol w:w="178"/>
        <w:gridCol w:w="109"/>
        <w:gridCol w:w="109"/>
        <w:gridCol w:w="109"/>
        <w:gridCol w:w="315"/>
        <w:gridCol w:w="1044"/>
        <w:gridCol w:w="178"/>
        <w:gridCol w:w="109"/>
        <w:gridCol w:w="156"/>
        <w:gridCol w:w="156"/>
        <w:gridCol w:w="156"/>
        <w:gridCol w:w="156"/>
        <w:gridCol w:w="304"/>
        <w:gridCol w:w="1074"/>
        <w:gridCol w:w="158"/>
        <w:gridCol w:w="109"/>
        <w:gridCol w:w="109"/>
        <w:gridCol w:w="109"/>
        <w:gridCol w:w="288"/>
        <w:gridCol w:w="1086"/>
        <w:gridCol w:w="162"/>
        <w:gridCol w:w="109"/>
        <w:gridCol w:w="163"/>
      </w:tblGrid>
      <w:tr>
        <w:trPr/>
        <w:tc>
          <w:tcPr>
            <w:tcW w:w="91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2135" w:type="dxa"/>
            <w:gridSpan w:val="8"/>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 (weekly):</w:t>
            </w:r>
          </w:p>
        </w:tc>
        <w:tc>
          <w:tcPr>
            <w:tcW w:w="15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(1)Translated at average exchange rates of 4.85 and 5.18 for the thirteen weeks ended September 24, 2023 and September 25, 2022, respectively, and 5.03 and 5.16 for the thirty-nine weeks ended September 24, 2023 and September 25, 2022, respectively. Excludes the benefit of the Brazil value added tax exemptions discussed in Note 14 -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Comparable Restaurant Sales, Traffic and Average Check Per Person (Decreases) Increases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comparable restaurant sales, traffic and average check per person (decreases) increases for the periods indicated:</w:t>
      </w:r>
    </w:p>
    <w:tbl>
      <w:tblPr>
        <w:tblW w:w="10205" w:type="dxa"/>
        <w:jc w:val="left"/>
        <w:tblInd w:w="0" w:type="dxa"/>
        <w:tblLayout w:type="fixed"/>
        <w:tblCellMar>
          <w:top w:w="28" w:type="dxa"/>
          <w:left w:w="28" w:type="dxa"/>
          <w:bottom w:w="28" w:type="dxa"/>
          <w:right w:w="28" w:type="dxa"/>
        </w:tblCellMar>
      </w:tblPr>
      <w:tblGrid>
        <w:gridCol w:w="1068"/>
        <w:gridCol w:w="877"/>
        <w:gridCol w:w="883"/>
        <w:gridCol w:w="109"/>
        <w:gridCol w:w="109"/>
        <w:gridCol w:w="325"/>
        <w:gridCol w:w="325"/>
        <w:gridCol w:w="764"/>
        <w:gridCol w:w="146"/>
        <w:gridCol w:w="146"/>
        <w:gridCol w:w="146"/>
        <w:gridCol w:w="325"/>
        <w:gridCol w:w="325"/>
        <w:gridCol w:w="764"/>
        <w:gridCol w:w="109"/>
        <w:gridCol w:w="109"/>
        <w:gridCol w:w="109"/>
        <w:gridCol w:w="109"/>
        <w:gridCol w:w="109"/>
        <w:gridCol w:w="325"/>
        <w:gridCol w:w="325"/>
        <w:gridCol w:w="764"/>
        <w:gridCol w:w="155"/>
        <w:gridCol w:w="155"/>
        <w:gridCol w:w="155"/>
        <w:gridCol w:w="305"/>
        <w:gridCol w:w="305"/>
        <w:gridCol w:w="859"/>
      </w:tblGrid>
      <w:tr>
        <w:trPr/>
        <w:tc>
          <w:tcPr>
            <w:tcW w:w="10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3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(2)Excludes the effect of fluctuations in foreign currency rates and the benefit of the Brazil value added tax exemptions discussed in Note 14 -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of the Notes to Consolidated Financial Statements. Includes trading day impact from calendar period reporting.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Franchise and other revenues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46"/>
        <w:gridCol w:w="643"/>
        <w:gridCol w:w="645"/>
        <w:gridCol w:w="429"/>
        <w:gridCol w:w="1023"/>
        <w:gridCol w:w="241"/>
        <w:gridCol w:w="126"/>
        <w:gridCol w:w="126"/>
        <w:gridCol w:w="126"/>
        <w:gridCol w:w="429"/>
        <w:gridCol w:w="1023"/>
        <w:gridCol w:w="241"/>
        <w:gridCol w:w="109"/>
        <w:gridCol w:w="109"/>
        <w:gridCol w:w="109"/>
        <w:gridCol w:w="429"/>
        <w:gridCol w:w="1023"/>
        <w:gridCol w:w="241"/>
        <w:gridCol w:w="140"/>
        <w:gridCol w:w="140"/>
        <w:gridCol w:w="140"/>
        <w:gridCol w:w="429"/>
        <w:gridCol w:w="1023"/>
        <w:gridCol w:w="241"/>
        <w:gridCol w:w="109"/>
        <w:gridCol w:w="165"/>
      </w:tblGrid>
      <w:tr>
        <w:trPr/>
        <w:tc>
          <w:tcPr>
            <w:tcW w:w="7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274" w:type="dxa"/>
            <w:gridSpan w:val="2"/>
            <w:tcBorders/>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6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w:t>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4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Food and beverage costs</w:t>
      </w:r>
    </w:p>
    <w:tbl>
      <w:tblPr>
        <w:tblW w:w="10205" w:type="dxa"/>
        <w:jc w:val="left"/>
        <w:tblInd w:w="0" w:type="dxa"/>
        <w:tblLayout w:type="fixed"/>
        <w:tblCellMar>
          <w:top w:w="28" w:type="dxa"/>
          <w:left w:w="28" w:type="dxa"/>
          <w:bottom w:w="28" w:type="dxa"/>
          <w:right w:w="28" w:type="dxa"/>
        </w:tblCellMar>
      </w:tblPr>
      <w:tblGrid>
        <w:gridCol w:w="506"/>
        <w:gridCol w:w="345"/>
        <w:gridCol w:w="346"/>
        <w:gridCol w:w="268"/>
        <w:gridCol w:w="760"/>
        <w:gridCol w:w="350"/>
        <w:gridCol w:w="109"/>
        <w:gridCol w:w="109"/>
        <w:gridCol w:w="109"/>
        <w:gridCol w:w="268"/>
        <w:gridCol w:w="760"/>
        <w:gridCol w:w="350"/>
        <w:gridCol w:w="109"/>
        <w:gridCol w:w="109"/>
        <w:gridCol w:w="109"/>
        <w:gridCol w:w="207"/>
        <w:gridCol w:w="208"/>
        <w:gridCol w:w="455"/>
        <w:gridCol w:w="109"/>
        <w:gridCol w:w="109"/>
        <w:gridCol w:w="109"/>
        <w:gridCol w:w="241"/>
        <w:gridCol w:w="850"/>
        <w:gridCol w:w="314"/>
        <w:gridCol w:w="109"/>
        <w:gridCol w:w="109"/>
        <w:gridCol w:w="109"/>
        <w:gridCol w:w="241"/>
        <w:gridCol w:w="850"/>
        <w:gridCol w:w="314"/>
        <w:gridCol w:w="109"/>
        <w:gridCol w:w="109"/>
        <w:gridCol w:w="109"/>
        <w:gridCol w:w="207"/>
        <w:gridCol w:w="208"/>
        <w:gridCol w:w="522"/>
      </w:tblGrid>
      <w:tr>
        <w:trPr/>
        <w:tc>
          <w:tcPr>
            <w:tcW w:w="50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3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1,057.3 </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1,056.8 </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and beverage costs decreased as a percentage of Restaurant sales during the thirteen weeks ended September 24, 2023 as compared to the thirteen weeks ended September 25, 2022 primarily due to 1.8% from increases in average check per person driven by an increase in menu pricing and 0.6% from the impact of certain cost saving and productivity initiatives. These decreases were partially offset by an increase as a percentage of Restaurant sales of 0.8% from commodity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and beverage costs decreased as a percentage of Restaurant sales during the thirty-nine weeks ended September 24, 2023 as compared to the thirty-nine weeks ended September 25, 2022 primarily due to 2.1% from increases in average check per person driven by an increase in menu pricing and 0.5% from the impact of certain cost saving and productivity initiatives. These decreases were partially offset by an increase as a percentage of Restaurant sales of 1.1% from commodity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Labor and other related expenses</w:t>
      </w:r>
    </w:p>
    <w:tbl>
      <w:tblPr>
        <w:tblW w:w="10205" w:type="dxa"/>
        <w:jc w:val="left"/>
        <w:tblInd w:w="0" w:type="dxa"/>
        <w:tblLayout w:type="fixed"/>
        <w:tblCellMar>
          <w:top w:w="28" w:type="dxa"/>
          <w:left w:w="28" w:type="dxa"/>
          <w:bottom w:w="28" w:type="dxa"/>
          <w:right w:w="28" w:type="dxa"/>
        </w:tblCellMar>
      </w:tblPr>
      <w:tblGrid>
        <w:gridCol w:w="526"/>
        <w:gridCol w:w="366"/>
        <w:gridCol w:w="367"/>
        <w:gridCol w:w="270"/>
        <w:gridCol w:w="767"/>
        <w:gridCol w:w="354"/>
        <w:gridCol w:w="109"/>
        <w:gridCol w:w="109"/>
        <w:gridCol w:w="109"/>
        <w:gridCol w:w="270"/>
        <w:gridCol w:w="767"/>
        <w:gridCol w:w="354"/>
        <w:gridCol w:w="109"/>
        <w:gridCol w:w="109"/>
        <w:gridCol w:w="109"/>
        <w:gridCol w:w="193"/>
        <w:gridCol w:w="193"/>
        <w:gridCol w:w="455"/>
        <w:gridCol w:w="109"/>
        <w:gridCol w:w="109"/>
        <w:gridCol w:w="109"/>
        <w:gridCol w:w="270"/>
        <w:gridCol w:w="767"/>
        <w:gridCol w:w="354"/>
        <w:gridCol w:w="111"/>
        <w:gridCol w:w="111"/>
        <w:gridCol w:w="111"/>
        <w:gridCol w:w="270"/>
        <w:gridCol w:w="767"/>
        <w:gridCol w:w="354"/>
        <w:gridCol w:w="109"/>
        <w:gridCol w:w="109"/>
        <w:gridCol w:w="109"/>
        <w:gridCol w:w="188"/>
        <w:gridCol w:w="188"/>
        <w:gridCol w:w="524"/>
      </w:tblGrid>
      <w:tr>
        <w:trPr/>
        <w:tc>
          <w:tcPr>
            <w:tcW w:w="5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3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3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303.2 </w:t>
            </w:r>
          </w:p>
        </w:tc>
        <w:tc>
          <w:tcPr>
            <w:tcW w:w="3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981.9 </w:t>
            </w:r>
          </w:p>
        </w:tc>
        <w:tc>
          <w:tcPr>
            <w:tcW w:w="3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924.5 </w:t>
            </w:r>
          </w:p>
        </w:tc>
        <w:tc>
          <w:tcPr>
            <w:tcW w:w="3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Labor and other related expenses increased as a percentage of Restaurant sales during the thirteen weeks ended September 24, 2023 as compared to the thirteen weeks ended September 25, 2022 primarily due to 1.5% from higher hourly and field management labor costs, primarily due to wage rate inflation. This increase was partially offset by decreases as a percentage of Restaurant sales of 0.8% from an increase in average check per person and 0.2% from the impact of certain cost saving and productivity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Labor and other related expenses increased as a percentage of Restaurant sales during the thirty-nine weeks ended September 24, 2023 as compared to the thirty-nine weeks ended September 25, 2022 primarily due to 1.8% from higher hourly and field management labor costs, primarily due to wage rate inflation. This increase was partially offset by decreases as a percentage of Restaurant sales of 1.1% from an increase in average check per person and 0.2% from the impact of certain cost 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restaurant operating expenses</w:t>
      </w:r>
    </w:p>
    <w:tbl>
      <w:tblPr>
        <w:tblW w:w="10205" w:type="dxa"/>
        <w:jc w:val="left"/>
        <w:tblInd w:w="0" w:type="dxa"/>
        <w:tblLayout w:type="fixed"/>
        <w:tblCellMar>
          <w:top w:w="28" w:type="dxa"/>
          <w:left w:w="28" w:type="dxa"/>
          <w:bottom w:w="28" w:type="dxa"/>
          <w:right w:w="28" w:type="dxa"/>
        </w:tblCellMar>
      </w:tblPr>
      <w:tblGrid>
        <w:gridCol w:w="553"/>
        <w:gridCol w:w="385"/>
        <w:gridCol w:w="387"/>
        <w:gridCol w:w="267"/>
        <w:gridCol w:w="758"/>
        <w:gridCol w:w="350"/>
        <w:gridCol w:w="109"/>
        <w:gridCol w:w="109"/>
        <w:gridCol w:w="109"/>
        <w:gridCol w:w="267"/>
        <w:gridCol w:w="758"/>
        <w:gridCol w:w="350"/>
        <w:gridCol w:w="109"/>
        <w:gridCol w:w="109"/>
        <w:gridCol w:w="109"/>
        <w:gridCol w:w="193"/>
        <w:gridCol w:w="193"/>
        <w:gridCol w:w="455"/>
        <w:gridCol w:w="109"/>
        <w:gridCol w:w="109"/>
        <w:gridCol w:w="109"/>
        <w:gridCol w:w="267"/>
        <w:gridCol w:w="758"/>
        <w:gridCol w:w="350"/>
        <w:gridCol w:w="111"/>
        <w:gridCol w:w="111"/>
        <w:gridCol w:w="111"/>
        <w:gridCol w:w="267"/>
        <w:gridCol w:w="758"/>
        <w:gridCol w:w="350"/>
        <w:gridCol w:w="109"/>
        <w:gridCol w:w="109"/>
        <w:gridCol w:w="109"/>
        <w:gridCol w:w="188"/>
        <w:gridCol w:w="188"/>
        <w:gridCol w:w="522"/>
      </w:tblGrid>
      <w:tr>
        <w:trPr/>
        <w:tc>
          <w:tcPr>
            <w:tcW w:w="55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281.1 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837.3 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Restaurant sales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restaurant operating expenses increased as a percentage of Restaurant sales during the thirteen weeks ended September 24, 2023 as compared to the thirteen weeks ended September 25, 2022 primarily due to 1.0% from higher operating expenses, primarily due to inflation, and 0.4% from higher advertising expense. These increases were partially offset by decreases as a percentage of Restaurant sales of 0.3% from the impact of certain cost saving and productivity initiatives and 0.2% from an increase in average check per person.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restaurant operating expenses increased as a percentage of Restaurant sales during the thirty-nine weeks ended September 24, 2023 as compared to the thirty-nine weeks ended September 25, 2022 primarily due to 1.1% from higher operating expenses including utilities, primarily due to inflation, and 0.3% from higher advertising expense. These increases were partially offset by decreases as a percentage of Restaurant sales of 0.8% from an increase in average check per person and 0.2% from the impact of certain cost 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shd w:fill="FFFFFF" w:val="clear"/>
        </w:rPr>
      </w:pPr>
      <w:r>
        <w:rPr>
          <w:rFonts w:ascii="Times New Roman;sans-serif" w:hAnsi="Times New Roman;sans-serif"/>
          <w:b w:val="false"/>
          <w:i/>
          <w:color w:val="000000"/>
          <w:sz w:val="22"/>
          <w:shd w:fill="FFFFFF" w:val="clear"/>
        </w:rPr>
        <w:t>Depreciation and amortization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1"/>
        <w:gridCol w:w="418"/>
        <w:gridCol w:w="393"/>
        <w:gridCol w:w="338"/>
        <w:gridCol w:w="807"/>
        <w:gridCol w:w="190"/>
        <w:gridCol w:w="116"/>
        <w:gridCol w:w="116"/>
        <w:gridCol w:w="116"/>
        <w:gridCol w:w="338"/>
        <w:gridCol w:w="807"/>
        <w:gridCol w:w="190"/>
        <w:gridCol w:w="109"/>
        <w:gridCol w:w="109"/>
        <w:gridCol w:w="109"/>
        <w:gridCol w:w="242"/>
        <w:gridCol w:w="464"/>
        <w:gridCol w:w="135"/>
        <w:gridCol w:w="109"/>
        <w:gridCol w:w="109"/>
        <w:gridCol w:w="109"/>
        <w:gridCol w:w="303"/>
        <w:gridCol w:w="861"/>
        <w:gridCol w:w="170"/>
        <w:gridCol w:w="116"/>
        <w:gridCol w:w="116"/>
        <w:gridCol w:w="116"/>
        <w:gridCol w:w="303"/>
        <w:gridCol w:w="861"/>
        <w:gridCol w:w="170"/>
        <w:gridCol w:w="109"/>
        <w:gridCol w:w="109"/>
        <w:gridCol w:w="109"/>
        <w:gridCol w:w="212"/>
        <w:gridCol w:w="505"/>
        <w:gridCol w:w="180"/>
      </w:tblGrid>
      <w:tr>
        <w:trPr/>
        <w:tc>
          <w:tcPr>
            <w:tcW w:w="6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3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 increased during the thirteen and thirty-nine weeks ended September 24, 2023 as compared to the thirteen and thirty-nine weeks ended September 25, 2022 primarily due to technology projects and restaurant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w:t>
      </w:r>
    </w:p>
    <w:tbl>
      <w:tblPr>
        <w:tblW w:w="8199" w:type="dxa"/>
        <w:jc w:val="left"/>
        <w:tblInd w:w="0" w:type="dxa"/>
        <w:tblLayout w:type="fixed"/>
        <w:tblCellMar>
          <w:top w:w="28" w:type="dxa"/>
          <w:left w:w="28" w:type="dxa"/>
          <w:bottom w:w="28" w:type="dxa"/>
          <w:right w:w="28" w:type="dxa"/>
        </w:tblCellMar>
      </w:tblPr>
      <w:tblGrid>
        <w:gridCol w:w="1136"/>
        <w:gridCol w:w="997"/>
        <w:gridCol w:w="1001"/>
        <w:gridCol w:w="563"/>
        <w:gridCol w:w="1340"/>
        <w:gridCol w:w="316"/>
        <w:gridCol w:w="109"/>
        <w:gridCol w:w="109"/>
        <w:gridCol w:w="109"/>
        <w:gridCol w:w="543"/>
        <w:gridCol w:w="1545"/>
        <w:gridCol w:w="431"/>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25, 2022</w:t>
            </w:r>
          </w:p>
        </w:tc>
        <w:tc>
          <w:tcPr>
            <w:tcW w:w="5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174.0 </w:t>
            </w:r>
          </w:p>
        </w:tc>
        <w:tc>
          <w:tcPr>
            <w:tcW w:w="4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stock-based compensation</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professional fees</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 compensation</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benefits and payroll tax</w:t>
            </w:r>
          </w:p>
        </w:tc>
        <w:tc>
          <w:tcPr>
            <w:tcW w:w="1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24, 2023</w:t>
            </w:r>
          </w:p>
        </w:tc>
        <w:tc>
          <w:tcPr>
            <w:tcW w:w="5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191.4 </w:t>
            </w:r>
          </w:p>
        </w:tc>
        <w:tc>
          <w:tcPr>
            <w:tcW w:w="4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Provision for impaired assets and restaurant closings</w:t>
      </w:r>
    </w:p>
    <w:tbl>
      <w:tblPr>
        <w:tblW w:w="10205" w:type="dxa"/>
        <w:jc w:val="left"/>
        <w:tblInd w:w="0" w:type="dxa"/>
        <w:tblLayout w:type="fixed"/>
        <w:tblCellMar>
          <w:top w:w="28" w:type="dxa"/>
          <w:left w:w="28" w:type="dxa"/>
          <w:bottom w:w="28" w:type="dxa"/>
          <w:right w:w="28" w:type="dxa"/>
        </w:tblCellMar>
      </w:tblPr>
      <w:tblGrid>
        <w:gridCol w:w="661"/>
        <w:gridCol w:w="494"/>
        <w:gridCol w:w="497"/>
        <w:gridCol w:w="360"/>
        <w:gridCol w:w="719"/>
        <w:gridCol w:w="202"/>
        <w:gridCol w:w="116"/>
        <w:gridCol w:w="116"/>
        <w:gridCol w:w="116"/>
        <w:gridCol w:w="368"/>
        <w:gridCol w:w="708"/>
        <w:gridCol w:w="205"/>
        <w:gridCol w:w="109"/>
        <w:gridCol w:w="109"/>
        <w:gridCol w:w="109"/>
        <w:gridCol w:w="236"/>
        <w:gridCol w:w="472"/>
        <w:gridCol w:w="133"/>
        <w:gridCol w:w="109"/>
        <w:gridCol w:w="109"/>
        <w:gridCol w:w="109"/>
        <w:gridCol w:w="358"/>
        <w:gridCol w:w="723"/>
        <w:gridCol w:w="201"/>
        <w:gridCol w:w="120"/>
        <w:gridCol w:w="120"/>
        <w:gridCol w:w="120"/>
        <w:gridCol w:w="368"/>
        <w:gridCol w:w="708"/>
        <w:gridCol w:w="205"/>
        <w:gridCol w:w="109"/>
        <w:gridCol w:w="109"/>
        <w:gridCol w:w="109"/>
        <w:gridCol w:w="234"/>
        <w:gridCol w:w="467"/>
        <w:gridCol w:w="197"/>
      </w:tblGrid>
      <w:tr>
        <w:trPr/>
        <w:tc>
          <w:tcPr>
            <w:tcW w:w="6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thirteen weeks ended September 24, 2023, we recognized a net gain of $6.7 million in connection with the lease termination and closure of one U.S. restaurant.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tbl>
      <w:tblPr>
        <w:tblW w:w="10205" w:type="dxa"/>
        <w:jc w:val="left"/>
        <w:tblInd w:w="0" w:type="dxa"/>
        <w:tblLayout w:type="fixed"/>
        <w:tblCellMar>
          <w:top w:w="28" w:type="dxa"/>
          <w:left w:w="28" w:type="dxa"/>
          <w:bottom w:w="28" w:type="dxa"/>
          <w:right w:w="28" w:type="dxa"/>
        </w:tblCellMar>
      </w:tblPr>
      <w:tblGrid>
        <w:gridCol w:w="521"/>
        <w:gridCol w:w="365"/>
        <w:gridCol w:w="367"/>
        <w:gridCol w:w="293"/>
        <w:gridCol w:w="697"/>
        <w:gridCol w:w="384"/>
        <w:gridCol w:w="109"/>
        <w:gridCol w:w="109"/>
        <w:gridCol w:w="109"/>
        <w:gridCol w:w="293"/>
        <w:gridCol w:w="697"/>
        <w:gridCol w:w="384"/>
        <w:gridCol w:w="109"/>
        <w:gridCol w:w="109"/>
        <w:gridCol w:w="109"/>
        <w:gridCol w:w="199"/>
        <w:gridCol w:w="381"/>
        <w:gridCol w:w="261"/>
        <w:gridCol w:w="109"/>
        <w:gridCol w:w="109"/>
        <w:gridCol w:w="109"/>
        <w:gridCol w:w="267"/>
        <w:gridCol w:w="757"/>
        <w:gridCol w:w="349"/>
        <w:gridCol w:w="111"/>
        <w:gridCol w:w="111"/>
        <w:gridCol w:w="111"/>
        <w:gridCol w:w="267"/>
        <w:gridCol w:w="757"/>
        <w:gridCol w:w="349"/>
        <w:gridCol w:w="109"/>
        <w:gridCol w:w="109"/>
        <w:gridCol w:w="109"/>
        <w:gridCol w:w="196"/>
        <w:gridCol w:w="466"/>
        <w:gridCol w:w="314"/>
      </w:tblGrid>
      <w:tr>
        <w:trPr/>
        <w:tc>
          <w:tcPr>
            <w:tcW w:w="52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3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3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268.3 </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246.3 </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Total revenues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Income from operations generated during the thirteen weeks ended September 24, 2023 as compared to the thirteen weeks ended September 25, 2022 was primarily due to: (i) an increase in average check per person, (ii) the impact of certain cost saving and productivity initiatives, </w:t>
      </w:r>
      <w:bookmarkStart w:id="6" w:name="i9cf25a426fa24f88abf95bb6814fe55e_1401"/>
      <w:bookmarkEnd w:id="6"/>
      <w:r>
        <w:rPr>
          <w:rFonts w:ascii="Times New Roman;sans-serif" w:hAnsi="Times New Roman;sans-serif"/>
          <w:b w:val="false"/>
          <w:color w:val="000000"/>
          <w:sz w:val="22"/>
        </w:rPr>
        <w:t>(iii) a lease termination gain and (iv) value added tax exemptions in Brazil. These increases were partially offset by: (i) higher labor costs, primarily due to wage rate inflation, (ii) higher operating expenses, primarily due to inflation, (iii) commodity inflation and (iv) higher depreciation and advertising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Income from operations generated during the thirty-nine weeks ended September 24, 2023 as compared to the thirty-nine weeks ended September 25, 2022 was primarily due to: (i) an increase in average check per person, (ii) the impact of certain cost saving and productivity initiatives and (iii) </w:t>
      </w:r>
      <w:bookmarkStart w:id="7" w:name="i9cf25a426fa24f88abf95bb6814fe55e_1399"/>
      <w:bookmarkEnd w:id="7"/>
      <w:r>
        <w:rPr>
          <w:rFonts w:ascii="Times New Roman;sans-serif" w:hAnsi="Times New Roman;sans-serif"/>
          <w:b w:val="false"/>
          <w:color w:val="000000"/>
          <w:sz w:val="22"/>
        </w:rPr>
        <w:t>value added tax exemptions in Brazil. These increases were partially offset by: (i) higher labor costs, primarily due to wage rate inflation, (ii) commodity inflation, (iii) higher operating expenses including utilities, primarily due to inflation, and (iv) higher depreciation and advertising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Operating income margins d</w:t>
      </w:r>
      <w:bookmarkStart w:id="8" w:name="i9cf25a426fa24f88abf95bb6814fe55e_1400"/>
      <w:bookmarkEnd w:id="8"/>
      <w:r>
        <w:rPr>
          <w:rFonts w:ascii="Times New Roman;sans-serif" w:hAnsi="Times New Roman;sans-serif"/>
          <w:b w:val="false"/>
          <w:color w:val="000000"/>
          <w:sz w:val="22"/>
        </w:rPr>
        <w:t xml:space="preserve">uring both the thirteen and thirty-nine weeks ended September 24, 2023 include net increases of approximately 0.4% attributable to Brazil value added tax exemptions (PIS and COFINS) provided by Brazil tax legislation. See Note 14 -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regarding Brazil tax legislation.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Loss on extinguishment and modification of debt and Loss on fair value adjustment of derivatives,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2025 Notes Partial Repurchase, we recognized a loss on extinguishment of debt of $104.7 million and a loss on fair value adjustment of derivatives, net, of $17.7 million during the thirty-nine weeks ended September 25,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(Benefit) provision for income taxes</w:t>
      </w:r>
    </w:p>
    <w:tbl>
      <w:tblPr>
        <w:tblW w:w="10205" w:type="dxa"/>
        <w:jc w:val="left"/>
        <w:tblInd w:w="0" w:type="dxa"/>
        <w:tblLayout w:type="fixed"/>
        <w:tblCellMar>
          <w:top w:w="28" w:type="dxa"/>
          <w:left w:w="28" w:type="dxa"/>
          <w:bottom w:w="28" w:type="dxa"/>
          <w:right w:w="28" w:type="dxa"/>
        </w:tblCellMar>
      </w:tblPr>
      <w:tblGrid>
        <w:gridCol w:w="594"/>
        <w:gridCol w:w="473"/>
        <w:gridCol w:w="475"/>
        <w:gridCol w:w="272"/>
        <w:gridCol w:w="647"/>
        <w:gridCol w:w="356"/>
        <w:gridCol w:w="109"/>
        <w:gridCol w:w="109"/>
        <w:gridCol w:w="109"/>
        <w:gridCol w:w="272"/>
        <w:gridCol w:w="647"/>
        <w:gridCol w:w="356"/>
        <w:gridCol w:w="109"/>
        <w:gridCol w:w="109"/>
        <w:gridCol w:w="109"/>
        <w:gridCol w:w="196"/>
        <w:gridCol w:w="407"/>
        <w:gridCol w:w="256"/>
        <w:gridCol w:w="109"/>
        <w:gridCol w:w="109"/>
        <w:gridCol w:w="109"/>
        <w:gridCol w:w="249"/>
        <w:gridCol w:w="708"/>
        <w:gridCol w:w="317"/>
        <w:gridCol w:w="111"/>
        <w:gridCol w:w="111"/>
        <w:gridCol w:w="111"/>
        <w:gridCol w:w="272"/>
        <w:gridCol w:w="647"/>
        <w:gridCol w:w="356"/>
        <w:gridCol w:w="109"/>
        <w:gridCol w:w="109"/>
        <w:gridCol w:w="109"/>
        <w:gridCol w:w="196"/>
        <w:gridCol w:w="556"/>
        <w:gridCol w:w="312"/>
      </w:tblGrid>
      <w:tr>
        <w:trPr/>
        <w:tc>
          <w:tcPr>
            <w:tcW w:w="59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(benefit) provision for income taxes</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3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effective income tax rates for the thirteen and thirty-nine weeks ended September 24, 2023 decreased by 14.5 and 31.0 percentage points, respectively, as compared to the thirteen and thirty-nine weeks ended September 25, 2022. These decreases were primarily due to benefits of Brazil tax legislation and income tax exemptions on Brazil state VAT benefits. See Note 14 - </w:t>
      </w:r>
      <w:r>
        <w:rPr>
          <w:rFonts w:ascii="Times New Roman;sans-serif" w:hAnsi="Times New Roman;sans-serif"/>
          <w:b w:val="false"/>
          <w:i/>
          <w:color w:val="000000"/>
          <w:sz w:val="22"/>
        </w:rPr>
        <w:t>Income Taxes</w:t>
      </w:r>
      <w:r>
        <w:rPr>
          <w:color w:val="000000"/>
        </w:rPr>
        <w:t xml:space="preserve"> </w:t>
      </w:r>
      <w:r>
        <w:rPr>
          <w:rFonts w:ascii="Times New Roman;sans-serif" w:hAnsi="Times New Roman;sans-serif"/>
          <w:b w:val="false"/>
          <w:color w:val="000000"/>
          <w:sz w:val="22"/>
        </w:rPr>
        <w:t>of the Notes to Consolidated Financial Statements for further discussion. The decrease for the thirty-nine weeks ended September 24, 2023 was further impacted by the 2022 non-deductible losses associated with the 2025 Notes Partial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SEGMENT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reporting segments:</w:t>
      </w:r>
    </w:p>
    <w:tbl>
      <w:tblPr>
        <w:tblW w:w="8317"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1014"/>
        <w:gridCol w:w="1014"/>
        <w:gridCol w:w="1017"/>
        <w:gridCol w:w="109"/>
        <w:gridCol w:w="109"/>
        <w:gridCol w:w="109"/>
        <w:gridCol w:w="663"/>
        <w:gridCol w:w="663"/>
        <w:gridCol w:w="938"/>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354"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354"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Hong Kong/China</w:t>
            </w:r>
          </w:p>
        </w:tc>
      </w:tr>
      <w:tr>
        <w:trPr/>
        <w:tc>
          <w:tcPr>
            <w:tcW w:w="2354"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Refer to Note 16</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sans-serif" w:hAnsi="Times New Roman;sans-serif"/>
          <w:b w:val="false"/>
          <w:i/>
          <w:color w:val="000000"/>
          <w:sz w:val="22"/>
        </w:rPr>
        <w:t xml:space="preserve">Overview-Key Financial Performance Indicators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U.S. Segment</w:t>
      </w:r>
    </w:p>
    <w:tbl>
      <w:tblPr>
        <w:tblW w:w="10205" w:type="dxa"/>
        <w:jc w:val="center"/>
        <w:tblInd w:w="0" w:type="dxa"/>
        <w:tblLayout w:type="fixed"/>
        <w:tblCellMar>
          <w:top w:w="28" w:type="dxa"/>
          <w:left w:w="28" w:type="dxa"/>
          <w:bottom w:w="28" w:type="dxa"/>
          <w:right w:w="28" w:type="dxa"/>
        </w:tblCellMar>
      </w:tblPr>
      <w:tblGrid>
        <w:gridCol w:w="875"/>
        <w:gridCol w:w="700"/>
        <w:gridCol w:w="702"/>
        <w:gridCol w:w="273"/>
        <w:gridCol w:w="1027"/>
        <w:gridCol w:w="357"/>
        <w:gridCol w:w="109"/>
        <w:gridCol w:w="109"/>
        <w:gridCol w:w="109"/>
        <w:gridCol w:w="273"/>
        <w:gridCol w:w="1027"/>
        <w:gridCol w:w="357"/>
        <w:gridCol w:w="109"/>
        <w:gridCol w:w="109"/>
        <w:gridCol w:w="109"/>
        <w:gridCol w:w="249"/>
        <w:gridCol w:w="1108"/>
        <w:gridCol w:w="325"/>
        <w:gridCol w:w="109"/>
        <w:gridCol w:w="109"/>
        <w:gridCol w:w="109"/>
        <w:gridCol w:w="249"/>
        <w:gridCol w:w="1108"/>
        <w:gridCol w:w="325"/>
        <w:gridCol w:w="109"/>
        <w:gridCol w:w="160"/>
      </w:tblGrid>
      <w:tr>
        <w:trPr/>
        <w:tc>
          <w:tcPr>
            <w:tcW w:w="8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65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901,138 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910,679 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2,975,145 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2,920,241 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7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912,972 </w:t>
            </w:r>
          </w:p>
        </w:tc>
        <w:tc>
          <w:tcPr>
            <w:tcW w:w="3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922,521 </w:t>
            </w:r>
          </w:p>
        </w:tc>
        <w:tc>
          <w:tcPr>
            <w:tcW w:w="3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3,011,197 </w:t>
            </w:r>
          </w:p>
        </w:tc>
        <w:tc>
          <w:tcPr>
            <w:tcW w:w="3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2,957,555 </w:t>
            </w:r>
          </w:p>
        </w:tc>
        <w:tc>
          <w:tcPr>
            <w:tcW w:w="3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3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68,501 </w:t>
            </w:r>
          </w:p>
        </w:tc>
        <w:tc>
          <w:tcPr>
            <w:tcW w:w="3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304,265 </w:t>
            </w:r>
          </w:p>
        </w:tc>
        <w:tc>
          <w:tcPr>
            <w:tcW w:w="3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305,347 </w:t>
            </w:r>
          </w:p>
        </w:tc>
        <w:tc>
          <w:tcPr>
            <w:tcW w:w="3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457,533 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442,517 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U.S. segment Restaurant sales for the periods indicated:</w:t>
      </w:r>
    </w:p>
    <w:tbl>
      <w:tblPr>
        <w:tblW w:w="8417" w:type="dxa"/>
        <w:jc w:val="left"/>
        <w:tblInd w:w="0" w:type="dxa"/>
        <w:tblLayout w:type="fixed"/>
        <w:tblCellMar>
          <w:top w:w="28" w:type="dxa"/>
          <w:left w:w="28" w:type="dxa"/>
          <w:bottom w:w="28" w:type="dxa"/>
          <w:right w:w="28" w:type="dxa"/>
        </w:tblCellMar>
      </w:tblPr>
      <w:tblGrid>
        <w:gridCol w:w="1136"/>
        <w:gridCol w:w="997"/>
        <w:gridCol w:w="1001"/>
        <w:gridCol w:w="503"/>
        <w:gridCol w:w="1432"/>
        <w:gridCol w:w="284"/>
        <w:gridCol w:w="109"/>
        <w:gridCol w:w="109"/>
        <w:gridCol w:w="109"/>
        <w:gridCol w:w="486"/>
        <w:gridCol w:w="1716"/>
        <w:gridCol w:w="272"/>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25, 2022</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910.7 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2,920.2 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24, 2023</w:t>
            </w:r>
          </w:p>
        </w:tc>
        <w:tc>
          <w:tcPr>
            <w:tcW w:w="50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901.1 </w:t>
            </w:r>
          </w:p>
        </w:tc>
        <w:tc>
          <w:tcPr>
            <w:tcW w:w="2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2,975.1 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decrease in U.S. Restaurant sales during the thirteen weeks ended September 24, 2023 was primarily due to the closure of 16 restaurants since June 26, 2022 and lower comparable restaurant sales, primarily driven by lower traffic. The decrease was partially offset by the opening of 13 new restaurants not included in our comparable restaurant sales base.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U.S. Restaurant sales during the thirty-nine weeks ended September 24, 2023 was primarily due to higher comparable restaurant sales, primarily driven by increases in menu pricing, and the opening of 17 new restaurants not included in our comparable restaurant sales base. The increase in Restaurant sales was partially offset by the closure of 28 restaurants since December 26, 2021.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U.S. Income from operations generated during the thirteen weeks ended September 24, 2023 as compared to the thirteen weeks ended September 25, 2022 was flat primarily due to: (i) higher labor costs, primarily due to wage rate inflation, (ii) higher operating expenses, primarily due to inflation, (iii) commodity inflation and (iv) higher depreciation and advertising expense. These decreases were offset by: (i) an increase in average check per person, (ii) the impact of certain cost saving and productivity initiatives and (iii) a lease termination gain.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U.S. Income from operations generated during the thirty-nine weeks ended September 24, 2023 as compared to the thirty-nine weeks ended September 25, 2022 was flat primarily due to: (i) higher labor costs, primarily due to wage rate inflation, (ii) commodity inflation, (iii) higher operating expenses including utilities, primarily due to inflation, and (iv) higher depreciation and advertising expense. These decreases were offset by an increase in average check per person and the impact of certain cost 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International Segment</w:t>
      </w:r>
    </w:p>
    <w:tbl>
      <w:tblPr>
        <w:tblW w:w="10205" w:type="dxa"/>
        <w:jc w:val="center"/>
        <w:tblInd w:w="0" w:type="dxa"/>
        <w:tblLayout w:type="fixed"/>
        <w:tblCellMar>
          <w:top w:w="28" w:type="dxa"/>
          <w:left w:w="28" w:type="dxa"/>
          <w:bottom w:w="28" w:type="dxa"/>
          <w:right w:w="28" w:type="dxa"/>
        </w:tblCellMar>
      </w:tblPr>
      <w:tblGrid>
        <w:gridCol w:w="889"/>
        <w:gridCol w:w="740"/>
        <w:gridCol w:w="742"/>
        <w:gridCol w:w="280"/>
        <w:gridCol w:w="1054"/>
        <w:gridCol w:w="366"/>
        <w:gridCol w:w="109"/>
        <w:gridCol w:w="109"/>
        <w:gridCol w:w="109"/>
        <w:gridCol w:w="280"/>
        <w:gridCol w:w="1054"/>
        <w:gridCol w:w="366"/>
        <w:gridCol w:w="109"/>
        <w:gridCol w:w="109"/>
        <w:gridCol w:w="109"/>
        <w:gridCol w:w="280"/>
        <w:gridCol w:w="1054"/>
        <w:gridCol w:w="366"/>
        <w:gridCol w:w="109"/>
        <w:gridCol w:w="109"/>
        <w:gridCol w:w="109"/>
        <w:gridCol w:w="277"/>
        <w:gridCol w:w="1043"/>
        <w:gridCol w:w="433"/>
      </w:tblGrid>
      <w:tr>
        <w:trPr/>
        <w:tc>
          <w:tcPr>
            <w:tcW w:w="88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7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163,275 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129,696 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454,832 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352,627 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11,278 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166,861 </w:t>
            </w:r>
          </w:p>
        </w:tc>
        <w:tc>
          <w:tcPr>
            <w:tcW w:w="3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133,242 </w:t>
            </w:r>
          </w:p>
        </w:tc>
        <w:tc>
          <w:tcPr>
            <w:tcW w:w="3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466,076 </w:t>
            </w:r>
          </w:p>
        </w:tc>
        <w:tc>
          <w:tcPr>
            <w:tcW w:w="3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363,905 </w:t>
            </w:r>
          </w:p>
        </w:tc>
        <w:tc>
          <w:tcPr>
            <w:tcW w:w="4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22,034 </w:t>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15,849 </w:t>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67,028 </w:t>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38,859 </w:t>
            </w:r>
          </w:p>
        </w:tc>
        <w:tc>
          <w:tcPr>
            <w:tcW w:w="4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international segment Restaurant sales for the periods indicated:</w:t>
      </w:r>
    </w:p>
    <w:tbl>
      <w:tblPr>
        <w:tblW w:w="8199" w:type="dxa"/>
        <w:jc w:val="left"/>
        <w:tblInd w:w="0" w:type="dxa"/>
        <w:tblLayout w:type="fixed"/>
        <w:tblCellMar>
          <w:top w:w="28" w:type="dxa"/>
          <w:left w:w="28" w:type="dxa"/>
          <w:bottom w:w="28" w:type="dxa"/>
          <w:right w:w="28" w:type="dxa"/>
        </w:tblCellMar>
      </w:tblPr>
      <w:tblGrid>
        <w:gridCol w:w="1136"/>
        <w:gridCol w:w="997"/>
        <w:gridCol w:w="1001"/>
        <w:gridCol w:w="503"/>
        <w:gridCol w:w="1432"/>
        <w:gridCol w:w="284"/>
        <w:gridCol w:w="109"/>
        <w:gridCol w:w="109"/>
        <w:gridCol w:w="109"/>
        <w:gridCol w:w="543"/>
        <w:gridCol w:w="1545"/>
        <w:gridCol w:w="431"/>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25, 2022</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352.7 </w:t>
            </w:r>
          </w:p>
        </w:tc>
        <w:tc>
          <w:tcPr>
            <w:tcW w:w="4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Brazil value added tax exemptions (1)</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periods ended September 24, 2023</w:t>
            </w:r>
          </w:p>
        </w:tc>
        <w:tc>
          <w:tcPr>
            <w:tcW w:w="5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28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454.9 </w:t>
            </w:r>
          </w:p>
        </w:tc>
        <w:tc>
          <w:tcPr>
            <w:tcW w:w="4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bookmarkStart w:id="9" w:name="if8f97a710f1c47e1b0d17779e62ec935_1291"/>
      <w:bookmarkEnd w:id="9"/>
      <w:r>
        <w:rPr>
          <w:rFonts w:ascii="Times New Roman;sans-serif" w:hAnsi="Times New Roman;sans-serif"/>
          <w:b w:val="false"/>
          <w:color w:val="000000"/>
          <w:sz w:val="18"/>
        </w:rPr>
        <w:t xml:space="preserve">(1)See Note 14 -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of the Notes to Consolidated Financial Statements for details regarding value added tax exemptions in connection with Brazil tax legislation.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Restaurant sales during the thirteen weeks ended September 24, 2023 was primarily due to: (i) value added tax exemptions in Brazil, (ii) the opening of 34 new restaurants not included in our comparable restaurant sales base, (iii) the effect of foreign currency translation of the Brazilian Real relative to the U.S. dollar and (iv) higher comparable restaurant sales in Brazil.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Restaurant sales during the thirty-nine weeks ended September 24, 2023 was primarily due to: (i) higher comparable restaurant sales in Brazil and Hong Kong, primarily driven by the lapping of Q1 2022 COVID-19 related capacity restrictions, (ii) value added tax exemptions in Brazil, (iii) the opening of 44 new restaurants not included in our comparable restaurant sales base and (iv) the effect of foreign currency translation of the Brazilian Real relative to the U.S. dollar.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Income from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international Income from operations generated during the thirteen weeks ended September 24, 2023 as compared to the thirteen weeks ended September 25, 2022 was primarily due to value added tax exemptions in Brazil and an increase in average check per person. These increases were partially offset by decreases primarily due to: (i) higher operating costs, primarily due to inflation, (ii) higher advertising expense and (iii) commodity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increase in international Income from operations generated during the thirty-nine weeks ended September 24, 2023 as compared to the thirty-nine weeks ended September 25, 2022 was primarily due to value added tax exemptions in Brazil and an increase in restaurant sales, primarily driven by the recovery of in-restaurant dining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 increase in average check per person. These increases were partially offset by decreases primarily due to: (i) higher operating costs, primarily due to inflation, (ii) commodity inflation and (iii) higher a</w:t>
      </w:r>
      <w:bookmarkStart w:id="10" w:name="i8f114b2bfe4f48ba8ae006e51015b2c2_1003"/>
      <w:bookmarkEnd w:id="10"/>
      <w:r>
        <w:rPr>
          <w:rFonts w:ascii="Times New Roman;sans-serif" w:hAnsi="Times New Roman;sans-serif"/>
          <w:b w:val="false"/>
          <w:color w:val="000000"/>
          <w:sz w:val="22"/>
        </w:rPr>
        <w:t xml:space="preserve">dvertising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11" w:name="id432e6ba07ad45aa9f5c63af42d0fc2d_34"/>
      <w:bookmarkStart w:id="12" w:name="id432e6ba07ad45aa9f5c63af42d0fc2d_33"/>
      <w:bookmarkEnd w:id="11"/>
      <w:bookmarkEnd w:id="12"/>
      <w:r>
        <w:rPr>
          <w:rFonts w:ascii="Times New Roman;sans-serif" w:hAnsi="Times New Roman;sans-serif"/>
          <w:b/>
          <w:color w:val="000000"/>
          <w:sz w:val="22"/>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The following table reconciles consolidated Income from operations and the corresponding margin to restaurant-level operating income and adjusted restaurant-level operating income and the corresponding margins for the periods indicated:</w:t>
      </w:r>
    </w:p>
    <w:tbl>
      <w:tblPr>
        <w:tblW w:w="10205" w:type="dxa"/>
        <w:jc w:val="left"/>
        <w:tblInd w:w="0" w:type="dxa"/>
        <w:tblLayout w:type="fixed"/>
        <w:tblCellMar>
          <w:top w:w="28" w:type="dxa"/>
          <w:left w:w="28" w:type="dxa"/>
          <w:bottom w:w="28" w:type="dxa"/>
          <w:right w:w="28" w:type="dxa"/>
        </w:tblCellMar>
      </w:tblPr>
      <w:tblGrid>
        <w:gridCol w:w="1074"/>
        <w:gridCol w:w="928"/>
        <w:gridCol w:w="929"/>
        <w:gridCol w:w="257"/>
        <w:gridCol w:w="967"/>
        <w:gridCol w:w="336"/>
        <w:gridCol w:w="109"/>
        <w:gridCol w:w="109"/>
        <w:gridCol w:w="109"/>
        <w:gridCol w:w="257"/>
        <w:gridCol w:w="967"/>
        <w:gridCol w:w="336"/>
        <w:gridCol w:w="109"/>
        <w:gridCol w:w="109"/>
        <w:gridCol w:w="109"/>
        <w:gridCol w:w="257"/>
        <w:gridCol w:w="967"/>
        <w:gridCol w:w="336"/>
        <w:gridCol w:w="109"/>
        <w:gridCol w:w="109"/>
        <w:gridCol w:w="109"/>
        <w:gridCol w:w="255"/>
        <w:gridCol w:w="959"/>
        <w:gridCol w:w="399"/>
      </w:tblGrid>
      <w:tr>
        <w:trPr/>
        <w:tc>
          <w:tcPr>
            <w:tcW w:w="107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58,216 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51,309 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268,295 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246,284 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141,865 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191,408 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174,009 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147,032 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136,248 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553,415 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501,003 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3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compensation program changes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148,926 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136,248 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555,309 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501,003 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w:t>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Segment restaurant-level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The following tables reconcile segment Income from operations and the corresponding margin to segment restaurant-level operating income and adjusted restaurant-level operating income and the corresponding margins for the periods indicated:</w:t>
      </w:r>
    </w:p>
    <w:tbl>
      <w:tblPr>
        <w:tblW w:w="10205" w:type="dxa"/>
        <w:jc w:val="left"/>
        <w:tblInd w:w="0" w:type="dxa"/>
        <w:tblLayout w:type="fixed"/>
        <w:tblCellMar>
          <w:top w:w="28" w:type="dxa"/>
          <w:left w:w="28" w:type="dxa"/>
          <w:bottom w:w="28" w:type="dxa"/>
          <w:right w:w="28" w:type="dxa"/>
        </w:tblCellMar>
      </w:tblPr>
      <w:tblGrid>
        <w:gridCol w:w="1156"/>
        <w:gridCol w:w="878"/>
        <w:gridCol w:w="897"/>
        <w:gridCol w:w="257"/>
        <w:gridCol w:w="967"/>
        <w:gridCol w:w="336"/>
        <w:gridCol w:w="109"/>
        <w:gridCol w:w="109"/>
        <w:gridCol w:w="109"/>
        <w:gridCol w:w="257"/>
        <w:gridCol w:w="967"/>
        <w:gridCol w:w="336"/>
        <w:gridCol w:w="109"/>
        <w:gridCol w:w="109"/>
        <w:gridCol w:w="109"/>
        <w:gridCol w:w="257"/>
        <w:gridCol w:w="967"/>
        <w:gridCol w:w="336"/>
        <w:gridCol w:w="109"/>
        <w:gridCol w:w="109"/>
        <w:gridCol w:w="109"/>
        <w:gridCol w:w="255"/>
        <w:gridCol w:w="959"/>
        <w:gridCol w:w="399"/>
      </w:tblGrid>
      <w:tr>
        <w:trPr/>
        <w:tc>
          <w:tcPr>
            <w:tcW w:w="115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w:t>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68,501 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304,265 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305,347 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117,368 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69,432 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114,869 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115,498 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457,533 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442,517 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3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compensation program changes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116,763 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115,498 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459,427 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442,517 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w:t>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3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tbl>
      <w:tblPr>
        <w:tblW w:w="10205" w:type="dxa"/>
        <w:jc w:val="left"/>
        <w:tblInd w:w="0" w:type="dxa"/>
        <w:tblLayout w:type="fixed"/>
        <w:tblCellMar>
          <w:top w:w="28" w:type="dxa"/>
          <w:left w:w="28" w:type="dxa"/>
          <w:bottom w:w="28" w:type="dxa"/>
          <w:right w:w="28" w:type="dxa"/>
        </w:tblCellMar>
      </w:tblPr>
      <w:tblGrid>
        <w:gridCol w:w="1096"/>
        <w:gridCol w:w="949"/>
        <w:gridCol w:w="950"/>
        <w:gridCol w:w="276"/>
        <w:gridCol w:w="909"/>
        <w:gridCol w:w="360"/>
        <w:gridCol w:w="109"/>
        <w:gridCol w:w="109"/>
        <w:gridCol w:w="109"/>
        <w:gridCol w:w="276"/>
        <w:gridCol w:w="909"/>
        <w:gridCol w:w="360"/>
        <w:gridCol w:w="109"/>
        <w:gridCol w:w="109"/>
        <w:gridCol w:w="109"/>
        <w:gridCol w:w="276"/>
        <w:gridCol w:w="909"/>
        <w:gridCol w:w="360"/>
        <w:gridCol w:w="109"/>
        <w:gridCol w:w="109"/>
        <w:gridCol w:w="109"/>
        <w:gridCol w:w="272"/>
        <w:gridCol w:w="899"/>
        <w:gridCol w:w="423"/>
      </w:tblGrid>
      <w:tr>
        <w:trPr/>
        <w:tc>
          <w:tcPr>
            <w:tcW w:w="10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International</w:t>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22,034 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15,849 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67,028 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38,859 </w:t>
            </w:r>
          </w:p>
        </w:tc>
        <w:tc>
          <w:tcPr>
            <w:tcW w:w="4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18,275 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32,404 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62,881 </w:t>
            </w:r>
          </w:p>
        </w:tc>
        <w:tc>
          <w:tcPr>
            <w:tcW w:w="4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4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32,404 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96,092 </w:t>
            </w:r>
          </w:p>
        </w:tc>
        <w:tc>
          <w:tcPr>
            <w:tcW w:w="3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62,881 </w:t>
            </w:r>
          </w:p>
        </w:tc>
        <w:tc>
          <w:tcPr>
            <w:tcW w:w="4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w:t>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4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Adjusted restaurant-level operating margin non-GAAP reconciliations (continued) - </w:t>
      </w:r>
      <w:r>
        <w:rPr>
          <w:rFonts w:ascii="Times New Roman;sans-serif" w:hAnsi="Times New Roman;sans-serif"/>
          <w:b w:val="false"/>
          <w:color w:val="000000"/>
          <w:sz w:val="22"/>
        </w:rPr>
        <w:t>The following tables present the percentages of certain operating cost financial statement line items in relation to Restaurant sales for the periods indicated:</w:t>
      </w:r>
    </w:p>
    <w:tbl>
      <w:tblPr>
        <w:tblW w:w="9055" w:type="dxa"/>
        <w:jc w:val="left"/>
        <w:tblInd w:w="0" w:type="dxa"/>
        <w:tblLayout w:type="fixed"/>
        <w:tblCellMar>
          <w:top w:w="28" w:type="dxa"/>
          <w:left w:w="28" w:type="dxa"/>
          <w:bottom w:w="28" w:type="dxa"/>
          <w:right w:w="28" w:type="dxa"/>
        </w:tblCellMar>
      </w:tblPr>
      <w:tblGrid>
        <w:gridCol w:w="906"/>
        <w:gridCol w:w="798"/>
        <w:gridCol w:w="800"/>
        <w:gridCol w:w="278"/>
        <w:gridCol w:w="278"/>
        <w:gridCol w:w="553"/>
        <w:gridCol w:w="151"/>
        <w:gridCol w:w="151"/>
        <w:gridCol w:w="151"/>
        <w:gridCol w:w="282"/>
        <w:gridCol w:w="282"/>
        <w:gridCol w:w="666"/>
        <w:gridCol w:w="109"/>
        <w:gridCol w:w="109"/>
        <w:gridCol w:w="109"/>
        <w:gridCol w:w="278"/>
        <w:gridCol w:w="278"/>
        <w:gridCol w:w="553"/>
        <w:gridCol w:w="211"/>
        <w:gridCol w:w="211"/>
        <w:gridCol w:w="211"/>
        <w:gridCol w:w="214"/>
        <w:gridCol w:w="109"/>
        <w:gridCol w:w="109"/>
        <w:gridCol w:w="109"/>
        <w:gridCol w:w="278"/>
        <w:gridCol w:w="278"/>
        <w:gridCol w:w="593"/>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476"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476"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4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6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1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476"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476"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4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6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the restaurant-level operating margin adjustments. All restaurant-level operating margin adjustments for the periods presented were recorded within Labor and other 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Adjusted income from operations non-GAAP reconciliations</w:t>
      </w:r>
      <w:r>
        <w:rPr>
          <w:color w:val="000000"/>
        </w:rPr>
        <w:t xml:space="preserve"> </w:t>
      </w:r>
      <w:r>
        <w:rPr>
          <w:rFonts w:ascii="Times New Roman;sans-serif" w:hAnsi="Times New Roman;sans-serif"/>
          <w:b w:val="false"/>
          <w:color w:val="000000"/>
          <w:sz w:val="22"/>
        </w:rPr>
        <w:t>- The following table reconciles Income from operations and the corresponding margin to adjusted income from operations and the corresponding margin for the periods indicated:</w:t>
      </w:r>
    </w:p>
    <w:tbl>
      <w:tblPr>
        <w:tblW w:w="10205" w:type="dxa"/>
        <w:jc w:val="left"/>
        <w:tblInd w:w="0" w:type="dxa"/>
        <w:tblLayout w:type="fixed"/>
        <w:tblCellMar>
          <w:top w:w="28" w:type="dxa"/>
          <w:left w:w="28" w:type="dxa"/>
          <w:bottom w:w="28" w:type="dxa"/>
          <w:right w:w="28" w:type="dxa"/>
        </w:tblCellMar>
      </w:tblPr>
      <w:tblGrid>
        <w:gridCol w:w="1166"/>
        <w:gridCol w:w="914"/>
        <w:gridCol w:w="917"/>
        <w:gridCol w:w="272"/>
        <w:gridCol w:w="899"/>
        <w:gridCol w:w="356"/>
        <w:gridCol w:w="109"/>
        <w:gridCol w:w="109"/>
        <w:gridCol w:w="109"/>
        <w:gridCol w:w="272"/>
        <w:gridCol w:w="899"/>
        <w:gridCol w:w="356"/>
        <w:gridCol w:w="109"/>
        <w:gridCol w:w="109"/>
        <w:gridCol w:w="109"/>
        <w:gridCol w:w="257"/>
        <w:gridCol w:w="967"/>
        <w:gridCol w:w="336"/>
        <w:gridCol w:w="109"/>
        <w:gridCol w:w="109"/>
        <w:gridCol w:w="109"/>
        <w:gridCol w:w="255"/>
        <w:gridCol w:w="959"/>
        <w:gridCol w:w="399"/>
      </w:tblGrid>
      <w:tr>
        <w:trPr/>
        <w:tc>
          <w:tcPr>
            <w:tcW w:w="11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2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5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58,216 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51,309 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268,295 </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246,284 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 (1)</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and asset impairments and closing costs (2)</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9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 adjustments</w:t>
            </w:r>
          </w:p>
        </w:tc>
        <w:tc>
          <w:tcPr>
            <w:tcW w:w="11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w:t>
            </w:r>
          </w:p>
        </w:tc>
        <w:tc>
          <w:tcPr>
            <w:tcW w:w="2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56,960 </w:t>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51,309 </w:t>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267,039 </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246,284 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w:t>
            </w:r>
          </w:p>
        </w:tc>
        <w:tc>
          <w:tcPr>
            <w:tcW w:w="11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the restaurant-level operating income adjustments.</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(2)Includes a lease termination gain and related restaurant closure costs.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(3)Primarily includes professional fees, severance and other costs not correlated to our core operating performance during the period.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13" w:name="i15a45a7b934643c6b64a0c8680de5e3a_1058"/>
      <w:bookmarkEnd w:id="13"/>
      <w:r>
        <w:rPr>
          <w:rFonts w:ascii="Times New Roman;sans-serif" w:hAnsi="Times New Roman;sans-serif"/>
          <w:b w:val="false"/>
          <w:i/>
          <w:color w:val="000000"/>
          <w:sz w:val="22"/>
        </w:rPr>
        <w:t xml:space="preserve">Adjusted net income and adjusted diluted earnings per share non-GAAP reconciliations </w:t>
      </w:r>
      <w:r>
        <w:rPr>
          <w:rFonts w:ascii="Times New Roman;sans-serif" w:hAnsi="Times New Roman;sans-serif"/>
          <w:b w:val="false"/>
          <w:color w:val="000000"/>
          <w:sz w:val="22"/>
        </w:rPr>
        <w:t>- The following table reconciles Net income attributable to Bloomin’ Brands to adjusted net income and adjusted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270"/>
        <w:gridCol w:w="995"/>
        <w:gridCol w:w="998"/>
        <w:gridCol w:w="303"/>
        <w:gridCol w:w="1003"/>
        <w:gridCol w:w="171"/>
        <w:gridCol w:w="109"/>
        <w:gridCol w:w="109"/>
        <w:gridCol w:w="109"/>
        <w:gridCol w:w="303"/>
        <w:gridCol w:w="1003"/>
        <w:gridCol w:w="171"/>
        <w:gridCol w:w="109"/>
        <w:gridCol w:w="109"/>
        <w:gridCol w:w="109"/>
        <w:gridCol w:w="277"/>
        <w:gridCol w:w="1043"/>
        <w:gridCol w:w="156"/>
        <w:gridCol w:w="110"/>
        <w:gridCol w:w="110"/>
        <w:gridCol w:w="110"/>
        <w:gridCol w:w="273"/>
        <w:gridCol w:w="1031"/>
        <w:gridCol w:w="224"/>
      </w:tblGrid>
      <w:tr>
        <w:trPr/>
        <w:tc>
          <w:tcPr>
            <w:tcW w:w="12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4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44,528 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31,986 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204,116 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43,862 </w:t>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adjustments (1)</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 (2)</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 (2)</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3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125,315 </w:t>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(3)</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w:t>
            </w:r>
          </w:p>
        </w:tc>
        <w:tc>
          <w:tcPr>
            <w:tcW w:w="13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126,637 </w:t>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40,622 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31,986 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200,210 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170,499 </w:t>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(4)</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(4)</w:t>
            </w:r>
          </w:p>
        </w:tc>
        <w:tc>
          <w:tcPr>
            <w:tcW w:w="130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93,181 </w:t>
            </w:r>
          </w:p>
        </w:tc>
        <w:tc>
          <w:tcPr>
            <w:tcW w:w="1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91,046 </w:t>
            </w:r>
          </w:p>
        </w:tc>
        <w:tc>
          <w:tcPr>
            <w:tcW w:w="1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92,920 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92,877 </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Adjusted income from operations non-GAAP reconciliations</w:t>
      </w:r>
      <w:r>
        <w:rPr>
          <w:color w:val="000000"/>
        </w:rPr>
        <w:t xml:space="preserve"> </w:t>
      </w:r>
      <w:r>
        <w:rPr>
          <w:rFonts w:ascii="Times New Roman;sans-serif" w:hAnsi="Times New Roman;sans-serif"/>
          <w:b w:val="false"/>
          <w:color w:val="000000"/>
          <w:sz w:val="18"/>
        </w:rPr>
        <w:t>table above for details regarding Income from operations adjustments.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thirty-nine weeks ended September 25, 2022 includes losses primarily in connection with the 2025 Notes Partial Repurchase, including settlements of the related convertible senior note hedges and warrants.</w:t>
      </w:r>
    </w:p>
    <w:p>
      <w:pPr>
        <w:pStyle w:val="TextBody"/>
        <w:bidi w:val="0"/>
        <w:spacing w:lineRule="auto" w:line="288" w:before="0" w:after="0"/>
        <w:ind w:left="0" w:right="0" w:hanging="720"/>
        <w:jc w:val="both"/>
        <w:rPr/>
      </w:pPr>
      <w:bookmarkStart w:id="14" w:name="i15a45a7b934643c6b64a0c8680de5e3a_4399"/>
      <w:bookmarkEnd w:id="14"/>
      <w:r>
        <w:rPr>
          <w:rFonts w:ascii="Times New Roman;sans-serif" w:hAnsi="Times New Roman;sans-serif"/>
          <w:b w:val="false"/>
          <w:color w:val="000000"/>
          <w:sz w:val="18"/>
        </w:rPr>
        <w:t xml:space="preserve">(3)Includes a $2.9 million adjustment during the thirteen and thirty-nine weeks ended September 24, 2023 related to a Brazil federal income tax exemption on certain state VAT benefits. See Note 14 - </w:t>
      </w:r>
      <w:r>
        <w:rPr>
          <w:rFonts w:ascii="Times New Roman;sans-serif" w:hAnsi="Times New Roman;sans-serif"/>
          <w:b w:val="false"/>
          <w:i/>
          <w:color w:val="000000"/>
          <w:sz w:val="18"/>
        </w:rPr>
        <w:t>Income Taxes</w:t>
      </w:r>
      <w:r>
        <w:rPr>
          <w:color w:val="000000"/>
        </w:rPr>
        <w:t xml:space="preserve"> </w:t>
      </w:r>
      <w:r>
        <w:rPr>
          <w:rFonts w:ascii="Times New Roman;sans-serif" w:hAnsi="Times New Roman;sans-serif"/>
          <w:b w:val="false"/>
          <w:color w:val="000000"/>
          <w:sz w:val="18"/>
        </w:rPr>
        <w:t xml:space="preserve">for details regarding the Brazil federal income tax exemption. Also includes the tax effects of non-GAAP adjustments determined based on the nature of the underlying non-GAAP adjustments and their relevant jurisdictional tax rates. For the thirty-nine weeks ended September 25, 2022, the primary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between GAAP and adjusted effective income tax rates relates to certain non-deductible losses and other tax costs associated with the 2025 N</w:t>
      </w:r>
      <w:bookmarkStart w:id="15" w:name="i15a45a7b934643c6b64a0c8680de5e3a_4400"/>
      <w:bookmarkEnd w:id="15"/>
      <w:r>
        <w:rPr>
          <w:rFonts w:ascii="Times New Roman;sans-serif" w:hAnsi="Times New Roman;sans-serif"/>
          <w:b w:val="false"/>
          <w:color w:val="000000"/>
          <w:sz w:val="18"/>
        </w:rPr>
        <w:t>otes Partial Repurchase.</w:t>
      </w:r>
    </w:p>
    <w:p>
      <w:pPr>
        <w:pStyle w:val="TextBody"/>
        <w:bidi w:val="0"/>
        <w:spacing w:lineRule="auto" w:line="288" w:before="0" w:after="0"/>
        <w:ind w:left="0" w:right="0" w:hanging="720"/>
        <w:jc w:val="both"/>
        <w:rPr>
          <w:rFonts w:ascii="Times New Roman;sans-serif" w:hAnsi="Times New Roman;sans-serif"/>
          <w:b w:val="false"/>
          <w:color w:val="000000"/>
          <w:sz w:val="18"/>
        </w:rPr>
      </w:pPr>
      <w:bookmarkStart w:id="16" w:name="i15a45a7b934643c6b64a0c8680de5e3a_1057"/>
      <w:bookmarkEnd w:id="16"/>
      <w:r>
        <w:rPr>
          <w:rFonts w:ascii="Times New Roman;sans-serif" w:hAnsi="Times New Roman;sans-serif"/>
          <w:b w:val="false"/>
          <w:color w:val="000000"/>
          <w:sz w:val="18"/>
        </w:rPr>
        <w:t xml:space="preserve">(4)Adjusted diluted weighted average common shares outstanding was calculated excluding the dilutive effect of 5,367 and 3,690 shares for the thirteen weeks ended September 24, 2023 and September 25, 2022, respectively, and 5,067 and 6,732 shares for the thirty-nine weeks ended September 24, 2023 and September 25, 2022, respectively, to be issued upon conversion of the 2025 Notes to satisfy the amount in excess of the principal since our convertible note hedge offsets the dilutive impact of the shares underlying the 2025 Notes.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Revenue Recognition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tbl>
      <w:tblPr>
        <w:tblW w:w="10205" w:type="dxa"/>
        <w:jc w:val="left"/>
        <w:tblInd w:w="0" w:type="dxa"/>
        <w:tblLayout w:type="fixed"/>
        <w:tblCellMar>
          <w:top w:w="28" w:type="dxa"/>
          <w:left w:w="28" w:type="dxa"/>
          <w:bottom w:w="28" w:type="dxa"/>
          <w:right w:w="28" w:type="dxa"/>
        </w:tblCellMar>
      </w:tblPr>
      <w:tblGrid>
        <w:gridCol w:w="872"/>
        <w:gridCol w:w="704"/>
        <w:gridCol w:w="707"/>
        <w:gridCol w:w="437"/>
        <w:gridCol w:w="943"/>
        <w:gridCol w:w="246"/>
        <w:gridCol w:w="130"/>
        <w:gridCol w:w="130"/>
        <w:gridCol w:w="130"/>
        <w:gridCol w:w="437"/>
        <w:gridCol w:w="943"/>
        <w:gridCol w:w="246"/>
        <w:gridCol w:w="109"/>
        <w:gridCol w:w="109"/>
        <w:gridCol w:w="109"/>
        <w:gridCol w:w="437"/>
        <w:gridCol w:w="943"/>
        <w:gridCol w:w="246"/>
        <w:gridCol w:w="142"/>
        <w:gridCol w:w="142"/>
        <w:gridCol w:w="142"/>
        <w:gridCol w:w="437"/>
        <w:gridCol w:w="943"/>
        <w:gridCol w:w="246"/>
        <w:gridCol w:w="109"/>
        <w:gridCol w:w="166"/>
      </w:tblGrid>
      <w:tr>
        <w:trPr/>
        <w:tc>
          <w:tcPr>
            <w:tcW w:w="8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6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4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total</w:t>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 (2)</w:t>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2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sales for off-premises only kitchens in South Korea.</w:t>
      </w:r>
    </w:p>
    <w:p>
      <w:pPr>
        <w:pStyle w:val="TextBody"/>
        <w:bidi w:val="0"/>
        <w:spacing w:lineRule="auto" w:line="288" w:before="0" w:after="0"/>
        <w:ind w:left="0" w:right="0" w:hanging="720"/>
        <w:jc w:val="left"/>
        <w:rPr>
          <w:rFonts w:ascii="Times New Roman;sans-serif" w:hAnsi="Times New Roman;sans-serif"/>
          <w:b w:val="false"/>
          <w:color w:val="000000"/>
          <w:sz w:val="18"/>
        </w:rPr>
      </w:pPr>
      <w:bookmarkStart w:id="17" w:name="i5d333a0128e149589776d38267b79394_1170"/>
      <w:bookmarkEnd w:id="17"/>
      <w:r>
        <w:rPr>
          <w:rFonts w:ascii="Times New Roman;sans-serif" w:hAnsi="Times New Roman;sans-serif"/>
          <w:b w:val="false"/>
          <w:color w:val="000000"/>
          <w:sz w:val="18"/>
        </w:rPr>
        <w:t>(2)Franchise sales are not included in Total revenues in the Consolidated Statements of Operations and Comprehensive Income.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September 24, 2023, we had $86.6 million in cash and cash equivalents, of which $32.0 million was held by foreign affiliates. The international jurisdictions in which we have significant cash do not have any known restrictions that would prohibit repatriation.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24, 2023, we had aggregate undistributed foreign earnings of approximately $34.9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not considered indefinitely reinvested in our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719"/>
        <w:gridCol w:w="620"/>
        <w:gridCol w:w="623"/>
        <w:gridCol w:w="109"/>
        <w:gridCol w:w="109"/>
        <w:gridCol w:w="343"/>
        <w:gridCol w:w="1289"/>
        <w:gridCol w:w="448"/>
        <w:gridCol w:w="109"/>
        <w:gridCol w:w="109"/>
        <w:gridCol w:w="109"/>
        <w:gridCol w:w="109"/>
        <w:gridCol w:w="109"/>
        <w:gridCol w:w="109"/>
        <w:gridCol w:w="109"/>
        <w:gridCol w:w="196"/>
        <w:gridCol w:w="736"/>
        <w:gridCol w:w="256"/>
        <w:gridCol w:w="109"/>
        <w:gridCol w:w="109"/>
        <w:gridCol w:w="109"/>
        <w:gridCol w:w="284"/>
        <w:gridCol w:w="1069"/>
        <w:gridCol w:w="372"/>
        <w:gridCol w:w="283"/>
        <w:gridCol w:w="283"/>
        <w:gridCol w:w="284"/>
        <w:gridCol w:w="196"/>
        <w:gridCol w:w="736"/>
        <w:gridCol w:w="160"/>
      </w:tblGrid>
      <w:tr>
        <w:trPr/>
        <w:tc>
          <w:tcPr>
            <w:tcW w:w="7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1942" w:type="dxa"/>
            <w:gridSpan w:val="6"/>
            <w:tcBorders/>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25,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4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new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(768,214)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24,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390,000 </w:t>
            </w:r>
          </w:p>
        </w:tc>
        <w:tc>
          <w:tcPr>
            <w:tcW w:w="4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794,786 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September 24, 2023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for revolving credit facility represents the weighted average interest rate as of September 24,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September 24, 2023, we had $590.2 million in available unused borrowing capacity under our revolving credit facility, net of letters of credit of $19.8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See Note 13 - </w:t>
      </w:r>
      <w:r>
        <w:rPr>
          <w:rFonts w:ascii="Times New Roman;sans-serif" w:hAnsi="Times New Roman;sans-serif"/>
          <w:b w:val="false"/>
          <w:i/>
          <w:color w:val="000000"/>
          <w:sz w:val="22"/>
        </w:rPr>
        <w:t>Long-term Debt, Net</w:t>
      </w:r>
      <w:r>
        <w:rPr>
          <w:color w:val="000000"/>
        </w:rPr>
        <w:t xml:space="preserve"> </w:t>
      </w:r>
      <w:r>
        <w:rPr>
          <w:rFonts w:ascii="Times New Roman;sans-serif" w:hAnsi="Times New Roman;sans-serif"/>
          <w:b w:val="false"/>
          <w:color w:val="000000"/>
          <w:sz w:val="22"/>
        </w:rPr>
        <w:t>in our Annual Report on Form 10-K for the year ended December 25, 2022 for further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September 24, 2023 and December 25, 2022,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Use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remodeling or relocating older restaurants, development of new restaurants, investments in technology, dividend payments, debt payments, and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Capital Expenditures </w:t>
      </w:r>
      <w:r>
        <w:rPr>
          <w:rFonts w:ascii="Times New Roman;sans-serif" w:hAnsi="Times New Roman;sans-serif"/>
          <w:b w:val="false"/>
          <w:color w:val="000000"/>
          <w:sz w:val="22"/>
        </w:rPr>
        <w:t xml:space="preserve">- We estimate that our capital expenditures will total approximately $260 million to $280 million in 2023. The amount of actual capital expenditures may be affected by general economic, financial, competitive, legislative and regulatory factors, among other things, including raw material constraints.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w:t>
      </w:r>
      <w:bookmarkStart w:id="18" w:name="i303db59a5503447fb42e48f63aadd36d_1999"/>
      <w:bookmarkEnd w:id="18"/>
      <w:r>
        <w:rPr>
          <w:rFonts w:ascii="Times New Roman;sans-serif" w:hAnsi="Times New Roman;sans-serif"/>
          <w:b w:val="false"/>
          <w:color w:val="000000"/>
          <w:sz w:val="22"/>
        </w:rPr>
        <w:t xml:space="preserve"> In October 2023, our Board declared a quarterly cash dividend of $0.24 per share, payable on November 29, 2023.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bookmarkStart w:id="19" w:name="i303db59a5503447fb42e48f63aadd36d_2000"/>
      <w:bookmarkEnd w:id="19"/>
      <w:r>
        <w:rPr>
          <w:rFonts w:ascii="Times New Roman;sans-serif" w:hAnsi="Times New Roman;sans-serif"/>
          <w:b w:val="false"/>
          <w:color w:val="000000"/>
          <w:sz w:val="22"/>
        </w:rPr>
        <w:t>On February 7, 2023, our Board approved the 2023 Share Repurchase Program under which we are authorized to repurchase up to $125.0 million of our outstanding common stock. The 2023 Share Repurchase Program will expire on August 7, 2024. As of September 24, 2023, we had $87.9 million remaining available for repurchase under the 2023 Share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dividends and share repurchases from fiscal year 2022 through September 24, 2023:</w:t>
      </w:r>
    </w:p>
    <w:tbl>
      <w:tblPr>
        <w:tblW w:w="7168" w:type="dxa"/>
        <w:jc w:val="center"/>
        <w:tblInd w:w="0" w:type="dxa"/>
        <w:tblLayout w:type="fixed"/>
        <w:tblCellMar>
          <w:top w:w="28" w:type="dxa"/>
          <w:left w:w="28" w:type="dxa"/>
          <w:bottom w:w="28" w:type="dxa"/>
          <w:right w:w="28" w:type="dxa"/>
        </w:tblCellMar>
      </w:tblPr>
      <w:tblGrid>
        <w:gridCol w:w="727"/>
        <w:gridCol w:w="640"/>
        <w:gridCol w:w="642"/>
        <w:gridCol w:w="276"/>
        <w:gridCol w:w="1040"/>
        <w:gridCol w:w="154"/>
        <w:gridCol w:w="109"/>
        <w:gridCol w:w="109"/>
        <w:gridCol w:w="109"/>
        <w:gridCol w:w="366"/>
        <w:gridCol w:w="1378"/>
        <w:gridCol w:w="205"/>
        <w:gridCol w:w="109"/>
        <w:gridCol w:w="109"/>
        <w:gridCol w:w="109"/>
        <w:gridCol w:w="196"/>
        <w:gridCol w:w="73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2022</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109,999 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2023</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 2023</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fiscal quarter 2023</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112,641 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162,139 </w:t>
            </w:r>
          </w:p>
        </w:tc>
        <w:tc>
          <w:tcPr>
            <w:tcW w:w="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274,780 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(1)Subsequent to September 24, 2023, we repurchased $8.6 million of our common stock through October 31, 2023 under a Rule 10b5-1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table presents a summary of our cash flows provided by (used in) operating, investing and financing activities for the periods indicated:</w:t>
      </w:r>
    </w:p>
    <w:tbl>
      <w:tblPr>
        <w:tblW w:w="8357" w:type="dxa"/>
        <w:jc w:val="left"/>
        <w:tblInd w:w="0" w:type="dxa"/>
        <w:tblLayout w:type="fixed"/>
        <w:tblCellMar>
          <w:top w:w="28" w:type="dxa"/>
          <w:left w:w="28" w:type="dxa"/>
          <w:bottom w:w="28" w:type="dxa"/>
          <w:right w:w="28" w:type="dxa"/>
        </w:tblCellMar>
      </w:tblPr>
      <w:tblGrid>
        <w:gridCol w:w="1605"/>
        <w:gridCol w:w="1415"/>
        <w:gridCol w:w="1420"/>
        <w:gridCol w:w="332"/>
        <w:gridCol w:w="1250"/>
        <w:gridCol w:w="187"/>
        <w:gridCol w:w="111"/>
        <w:gridCol w:w="111"/>
        <w:gridCol w:w="111"/>
        <w:gridCol w:w="326"/>
        <w:gridCol w:w="1230"/>
        <w:gridCol w:w="259"/>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THIRTY-NINE WEEKS ENDED</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25, 2022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373,553 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292,579 </w:t>
            </w:r>
          </w:p>
        </w:tc>
        <w:tc>
          <w:tcPr>
            <w:tcW w:w="2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(121,455)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(147,505)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(170,760)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1,764 </w:t>
            </w:r>
          </w:p>
        </w:tc>
        <w:tc>
          <w:tcPr>
            <w:tcW w:w="2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Operating Activities</w:t>
      </w:r>
      <w:r>
        <w:rPr>
          <w:color w:val="000000"/>
        </w:rPr>
        <w:t xml:space="preserve"> </w:t>
      </w:r>
      <w:r>
        <w:rPr>
          <w:rFonts w:ascii="Times New Roman;sans-serif" w:hAnsi="Times New Roman;sans-serif"/>
          <w:b w:val="false"/>
          <w:color w:val="000000"/>
          <w:sz w:val="22"/>
        </w:rPr>
        <w:t>- The increase in net cash provided by operating activities during the thirty-nine weeks ended September 24, 2023 as compared to the thirty-nine weeks ended September 25, 2022 was primarily due to: (i) higher operational receipts, net of payments, (ii) decreased employee compensation payments and (iii) lower inventory purchases.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Investing Activities - </w:t>
      </w:r>
      <w:r>
        <w:rPr>
          <w:rFonts w:ascii="Times New Roman;sans-serif" w:hAnsi="Times New Roman;sans-serif"/>
          <w:b w:val="false"/>
          <w:color w:val="000000"/>
          <w:sz w:val="22"/>
        </w:rPr>
        <w:t>The increase in net cash used in investing activities during the thirty-nine weeks ended September 24, 2023 as compared to the thirty-nine weeks ended September 25, 2022 was primarily due to higher capital expenditures.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The decrease in net cash used in financing activities during the thirty-nine weeks ended September 24, 2023 as compared to the thirty-nine weeks ended September 25, 2022 was primarily due to: (i) a decrease in repurchases of common stock, (ii) higher net proceeds from share-based compensation and (iii) partner equity plan payments during 2022. These decreases were partially offset by higher payments of cash dividends on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695" w:type="dxa"/>
        <w:jc w:val="left"/>
        <w:tblInd w:w="0" w:type="dxa"/>
        <w:tblLayout w:type="fixed"/>
        <w:tblCellMar>
          <w:top w:w="28" w:type="dxa"/>
          <w:left w:w="28" w:type="dxa"/>
          <w:bottom w:w="28" w:type="dxa"/>
          <w:right w:w="28" w:type="dxa"/>
        </w:tblCellMar>
      </w:tblPr>
      <w:tblGrid>
        <w:gridCol w:w="667"/>
        <w:gridCol w:w="588"/>
        <w:gridCol w:w="590"/>
        <w:gridCol w:w="311"/>
        <w:gridCol w:w="1286"/>
        <w:gridCol w:w="172"/>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261,125 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346,577 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(658,696)</w:t>
            </w:r>
          </w:p>
        </w:tc>
        <w:tc>
          <w:tcPr>
            <w:tcW w:w="1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(632,290)</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Working capital (deficit) includes: (i) Unearned revenue primarily from unredeemed gift cards of $294.1 million and $394.2 million as of September 24, 2023 and December 25, 2022, respectively, and (ii) current operating lease liabilities of $185.7 million and $183.5 million as of September 24, 2023 and December 25, 2022,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during the thirteen weeks ended September 24, 2023 and, that are applicable to us and likely to have material effect on our consolidated financial statements, but have not yet been adopted, see Note 1 - </w:t>
      </w:r>
      <w:r>
        <w:rPr>
          <w:rFonts w:ascii="Times New Roman;sans-serif" w:hAnsi="Times New Roman;sans-serif"/>
          <w:b w:val="false"/>
          <w:i/>
          <w:color w:val="000000"/>
          <w:sz w:val="22"/>
        </w:rPr>
        <w:t>Description of the Business and Basis of Presentation</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exposed to market risk from changes in commodity prices, labor inflation and foreign currency exchange rates and interest rates. We believe that there have been no material changes in our market risk since December 25, 2022. See Part II, Item 7A., “Quantitative and Qualitative Disclosures about Market Risk,” in our Annual Report on Form 10-K for the year ended December 25, 2022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September 24,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the thirteen weeks ended September 24, 2023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our legal proceedings, see Note 15 -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discussed in this report, please consider the factors described in Part I, Item 1A., “Risk Factors,” in our 2022 Form 10-K which could materially affect our business, financial condition or future results. There have not been any material changes to the risk factors described in our 2022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sales of equity securities during the thirteen weeks ended September 24, 2023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The following table provides information regarding our purchases of common stock during the thirteen weeks ended September 24, 2023:</w:t>
      </w:r>
    </w:p>
    <w:tbl>
      <w:tblPr>
        <w:tblW w:w="10205" w:type="dxa"/>
        <w:jc w:val="left"/>
        <w:tblInd w:w="0" w:type="dxa"/>
        <w:tblLayout w:type="fixed"/>
        <w:tblCellMar>
          <w:top w:w="28" w:type="dxa"/>
          <w:left w:w="28" w:type="dxa"/>
          <w:bottom w:w="28" w:type="dxa"/>
          <w:right w:w="28" w:type="dxa"/>
        </w:tblCellMar>
      </w:tblPr>
      <w:tblGrid>
        <w:gridCol w:w="519"/>
        <w:gridCol w:w="455"/>
        <w:gridCol w:w="458"/>
        <w:gridCol w:w="109"/>
        <w:gridCol w:w="109"/>
        <w:gridCol w:w="109"/>
        <w:gridCol w:w="487"/>
        <w:gridCol w:w="487"/>
        <w:gridCol w:w="488"/>
        <w:gridCol w:w="109"/>
        <w:gridCol w:w="109"/>
        <w:gridCol w:w="109"/>
        <w:gridCol w:w="272"/>
        <w:gridCol w:w="776"/>
        <w:gridCol w:w="153"/>
        <w:gridCol w:w="109"/>
        <w:gridCol w:w="109"/>
        <w:gridCol w:w="109"/>
        <w:gridCol w:w="724"/>
        <w:gridCol w:w="724"/>
        <w:gridCol w:w="726"/>
        <w:gridCol w:w="109"/>
        <w:gridCol w:w="109"/>
        <w:gridCol w:w="109"/>
        <w:gridCol w:w="109"/>
        <w:gridCol w:w="374"/>
        <w:gridCol w:w="1840"/>
        <w:gridCol w:w="305"/>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REPORTING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 (1)</w:t>
            </w:r>
          </w:p>
        </w:tc>
      </w:tr>
      <w:tr>
        <w:trPr/>
        <w:tc>
          <w:tcPr>
            <w:tcW w:w="143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26, 2023 through July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209,996 </w:t>
            </w:r>
          </w:p>
        </w:tc>
        <w:tc>
          <w:tcPr>
            <w:tcW w:w="4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209,996 </w:t>
            </w:r>
          </w:p>
        </w:tc>
        <w:tc>
          <w:tcPr>
            <w:tcW w:w="7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98,143,201 </w:t>
            </w:r>
          </w:p>
        </w:tc>
        <w:tc>
          <w:tcPr>
            <w:tcW w:w="3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24, 2023 through August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95,577 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95,577 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95,540,716 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21, 2023 through September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284,763 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284,763 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87,861,050 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590,336 </w:t>
            </w:r>
          </w:p>
        </w:tc>
        <w:tc>
          <w:tcPr>
            <w:tcW w:w="4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590,336 </w:t>
            </w:r>
          </w:p>
        </w:tc>
        <w:tc>
          <w:tcPr>
            <w:tcW w:w="7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On February 7, 2023, our Board approved a share repurchase authorization of up to $125.0 million of our outstanding common stock as announced in our press release issued February 16, 2023 (the “2023 Share Repurchase Program”). The 2023 Share Repurchase Program will expire on August 7,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bookmarkStart w:id="20" w:name="i543d8d51bd264d788d0eeead36144b13_31"/>
      <w:bookmarkEnd w:id="20"/>
      <w:r>
        <w:rPr>
          <w:rFonts w:ascii="Times New Roman;sans-serif" w:hAnsi="Times New Roman;sans-serif"/>
          <w:b/>
          <w:color w:val="000000"/>
          <w:sz w:val="22"/>
        </w:rPr>
        <w:t>Item 5.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Rule 10b5-1 Trading Plans - </w:t>
      </w:r>
      <w:r>
        <w:rPr>
          <w:rFonts w:ascii="Times New Roman;sans-serif" w:hAnsi="Times New Roman;sans-serif"/>
          <w:b w:val="false"/>
          <w:color w:val="000000"/>
          <w:sz w:val="22"/>
        </w:rPr>
        <w:t>During the thirteen weeks ended September 24,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88"/>
        <w:gridCol w:w="341"/>
        <w:gridCol w:w="343"/>
        <w:gridCol w:w="123"/>
        <w:gridCol w:w="123"/>
        <w:gridCol w:w="123"/>
        <w:gridCol w:w="2153"/>
        <w:gridCol w:w="1980"/>
        <w:gridCol w:w="1821"/>
        <w:gridCol w:w="123"/>
        <w:gridCol w:w="123"/>
        <w:gridCol w:w="123"/>
        <w:gridCol w:w="712"/>
        <w:gridCol w:w="712"/>
        <w:gridCol w:w="1017"/>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FILINGS REFERENCED FOR</w:t>
              <w:br/>
              <w:t xml:space="preserve">INCORPORATION BY REFERENCE </w:t>
            </w:r>
          </w:p>
        </w:tc>
      </w:tr>
      <w:tr>
        <w:trPr/>
        <w:tc>
          <w:tcPr>
            <w:tcW w:w="10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423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423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423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423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9133" w:type="dxa"/>
            <w:gridSpan w:val="12"/>
            <w:tcBorders/>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595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c5829ec4cca48979e7639efcc645466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840" w:type="dxa"/>
        <w:jc w:val="left"/>
        <w:tblInd w:w="0" w:type="dxa"/>
        <w:tblLayout w:type="fixed"/>
        <w:tblCellMar>
          <w:top w:w="28" w:type="dxa"/>
          <w:left w:w="28" w:type="dxa"/>
          <w:bottom w:w="28" w:type="dxa"/>
          <w:right w:w="28" w:type="dxa"/>
        </w:tblCellMar>
      </w:tblPr>
      <w:tblGrid>
        <w:gridCol w:w="222"/>
        <w:gridCol w:w="196"/>
        <w:gridCol w:w="197"/>
        <w:gridCol w:w="624"/>
        <w:gridCol w:w="624"/>
        <w:gridCol w:w="626"/>
        <w:gridCol w:w="208"/>
        <w:gridCol w:w="208"/>
        <w:gridCol w:w="210"/>
        <w:gridCol w:w="1381"/>
        <w:gridCol w:w="1381"/>
        <w:gridCol w:w="196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4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David J. Deno,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5324"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Christopher Meyer,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588"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1493"/>
        <w:gridCol w:w="1493"/>
        <w:gridCol w:w="211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September 24, 2023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5324"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J. Deno</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September 24, 2023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588"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1493"/>
        <w:gridCol w:w="1493"/>
        <w:gridCol w:w="211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Christopher Meyer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18954</Words>
  <Characters>107506</Characters>
  <CharactersWithSpaces>124192</CharactersWithSpaces>
  <Paragraphs>4435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