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800735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748665</wp:posOffset>
            </wp:positionV>
            <wp:extent cx="708914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3429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7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5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 xml:space="preserve">Date of Report (Date of earliest event reported): </w:t>
      </w:r>
      <w:r>
        <w:rPr>
          <w:rFonts w:ascii="Times New Roman" w:cs="Times New Roman" w:eastAsia="Times New Roman" w:hAnsi="Times New Roman"/>
          <w:sz w:val="20"/>
          <w:szCs w:val="20"/>
          <w:b w:val="1"/>
          <w:bCs w:val="1"/>
          <w:color w:val="auto"/>
        </w:rPr>
        <w:t>February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170815</wp:posOffset>
            </wp:positionV>
            <wp:extent cx="865505" cy="1380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5505" cy="1380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BLOOMIN’ BRANDS, INC.</w:t>
      </w:r>
    </w:p>
    <w:p>
      <w:pPr>
        <w:spacing w:after="0" w:line="6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352" w:lineRule="exact"/>
        <w:rPr>
          <w:sz w:val="24"/>
          <w:szCs w:val="24"/>
          <w:color w:val="auto"/>
        </w:rPr>
      </w:pPr>
    </w:p>
    <w:tbl>
      <w:tblPr>
        <w:tblLayout w:type="fixed"/>
        <w:tblInd w:w="1200" w:type="dxa"/>
        <w:tblCellMar>
          <w:top w:w="0" w:type="dxa"/>
          <w:left w:w="0" w:type="dxa"/>
          <w:bottom w:w="0" w:type="dxa"/>
          <w:right w:w="0" w:type="dxa"/>
        </w:tblCellMar>
      </w:tblPr>
      <w:tr>
        <w:trPr>
          <w:trHeight w:val="260"/>
        </w:trPr>
        <w:tc>
          <w:tcPr>
            <w:tcW w:w="2800" w:type="dxa"/>
            <w:vAlign w:val="bottom"/>
          </w:tcPr>
          <w:p>
            <w:pPr>
              <w:jc w:val="center"/>
              <w:ind w:right="421"/>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3440" w:type="dxa"/>
            <w:vAlign w:val="bottom"/>
          </w:tcPr>
          <w:p>
            <w:pPr>
              <w:jc w:val="right"/>
              <w:ind w:right="1301"/>
              <w:spacing w:after="0"/>
              <w:rPr>
                <w:sz w:val="20"/>
                <w:szCs w:val="20"/>
                <w:color w:val="auto"/>
              </w:rPr>
            </w:pPr>
            <w:r>
              <w:rPr>
                <w:rFonts w:ascii="Times New Roman" w:cs="Times New Roman" w:eastAsia="Times New Roman" w:hAnsi="Times New Roman"/>
                <w:sz w:val="20"/>
                <w:szCs w:val="20"/>
                <w:b w:val="1"/>
                <w:bCs w:val="1"/>
                <w:color w:val="auto"/>
              </w:rPr>
              <w:t>001-35625</w:t>
            </w:r>
          </w:p>
        </w:tc>
        <w:tc>
          <w:tcPr>
            <w:tcW w:w="2200" w:type="dxa"/>
            <w:vAlign w:val="bottom"/>
          </w:tcPr>
          <w:p>
            <w:pPr>
              <w:jc w:val="center"/>
              <w:ind w:left="621"/>
              <w:spacing w:after="0"/>
              <w:rPr>
                <w:sz w:val="20"/>
                <w:szCs w:val="20"/>
                <w:color w:val="auto"/>
              </w:rPr>
            </w:pPr>
            <w:r>
              <w:rPr>
                <w:rFonts w:ascii="Times New Roman" w:cs="Times New Roman" w:eastAsia="Times New Roman" w:hAnsi="Times New Roman"/>
                <w:sz w:val="20"/>
                <w:szCs w:val="20"/>
                <w:b w:val="1"/>
                <w:bCs w:val="1"/>
                <w:color w:val="auto"/>
                <w:w w:val="99"/>
              </w:rPr>
              <w:t>20-8023465</w:t>
            </w:r>
          </w:p>
        </w:tc>
      </w:tr>
      <w:tr>
        <w:trPr>
          <w:trHeight w:val="198"/>
        </w:trPr>
        <w:tc>
          <w:tcPr>
            <w:tcW w:w="2800" w:type="dxa"/>
            <w:vAlign w:val="bottom"/>
          </w:tcPr>
          <w:p>
            <w:pPr>
              <w:jc w:val="center"/>
              <w:ind w:right="401"/>
              <w:spacing w:after="0" w:line="198" w:lineRule="exact"/>
              <w:rPr>
                <w:sz w:val="20"/>
                <w:szCs w:val="20"/>
                <w:color w:val="auto"/>
              </w:rPr>
            </w:pPr>
            <w:r>
              <w:rPr>
                <w:rFonts w:ascii="Times New Roman" w:cs="Times New Roman" w:eastAsia="Times New Roman" w:hAnsi="Times New Roman"/>
                <w:sz w:val="20"/>
                <w:szCs w:val="20"/>
                <w:color w:val="auto"/>
                <w:w w:val="99"/>
              </w:rPr>
              <w:t>(State or other jurisdiction of</w:t>
            </w:r>
          </w:p>
        </w:tc>
        <w:tc>
          <w:tcPr>
            <w:tcW w:w="3440" w:type="dxa"/>
            <w:vAlign w:val="bottom"/>
          </w:tcPr>
          <w:p>
            <w:pPr>
              <w:jc w:val="center"/>
              <w:ind w:right="101"/>
              <w:spacing w:after="0" w:line="198" w:lineRule="exact"/>
              <w:rPr>
                <w:sz w:val="20"/>
                <w:szCs w:val="20"/>
                <w:color w:val="auto"/>
              </w:rPr>
            </w:pPr>
            <w:r>
              <w:rPr>
                <w:rFonts w:ascii="Times New Roman" w:cs="Times New Roman" w:eastAsia="Times New Roman" w:hAnsi="Times New Roman"/>
                <w:sz w:val="20"/>
                <w:szCs w:val="20"/>
                <w:color w:val="auto"/>
                <w:w w:val="99"/>
              </w:rPr>
              <w:t>(Commission File Number)</w:t>
            </w:r>
          </w:p>
        </w:tc>
        <w:tc>
          <w:tcPr>
            <w:tcW w:w="2200" w:type="dxa"/>
            <w:vAlign w:val="bottom"/>
          </w:tcPr>
          <w:p>
            <w:pPr>
              <w:jc w:val="center"/>
              <w:ind w:left="621"/>
              <w:spacing w:after="0" w:line="198" w:lineRule="exact"/>
              <w:rPr>
                <w:sz w:val="20"/>
                <w:szCs w:val="20"/>
                <w:color w:val="auto"/>
              </w:rPr>
            </w:pPr>
            <w:r>
              <w:rPr>
                <w:rFonts w:ascii="Times New Roman" w:cs="Times New Roman" w:eastAsia="Times New Roman" w:hAnsi="Times New Roman"/>
                <w:sz w:val="20"/>
                <w:szCs w:val="20"/>
                <w:color w:val="auto"/>
                <w:w w:val="98"/>
              </w:rPr>
              <w:t>(IRS Employer</w:t>
            </w:r>
          </w:p>
        </w:tc>
      </w:tr>
      <w:tr>
        <w:trPr>
          <w:trHeight w:val="258"/>
        </w:trPr>
        <w:tc>
          <w:tcPr>
            <w:tcW w:w="2800" w:type="dxa"/>
            <w:vAlign w:val="bottom"/>
          </w:tcPr>
          <w:p>
            <w:pPr>
              <w:jc w:val="center"/>
              <w:ind w:right="421"/>
              <w:spacing w:after="0"/>
              <w:rPr>
                <w:sz w:val="20"/>
                <w:szCs w:val="20"/>
                <w:color w:val="auto"/>
              </w:rPr>
            </w:pPr>
            <w:r>
              <w:rPr>
                <w:rFonts w:ascii="Times New Roman" w:cs="Times New Roman" w:eastAsia="Times New Roman" w:hAnsi="Times New Roman"/>
                <w:sz w:val="20"/>
                <w:szCs w:val="20"/>
                <w:color w:val="auto"/>
                <w:w w:val="97"/>
              </w:rPr>
              <w:t>incorporation)</w:t>
            </w:r>
          </w:p>
        </w:tc>
        <w:tc>
          <w:tcPr>
            <w:tcW w:w="3440" w:type="dxa"/>
            <w:vAlign w:val="bottom"/>
          </w:tcPr>
          <w:p>
            <w:pPr>
              <w:spacing w:after="0"/>
              <w:rPr>
                <w:sz w:val="22"/>
                <w:szCs w:val="22"/>
                <w:color w:val="auto"/>
              </w:rPr>
            </w:pPr>
          </w:p>
        </w:tc>
        <w:tc>
          <w:tcPr>
            <w:tcW w:w="2200" w:type="dxa"/>
            <w:vAlign w:val="bottom"/>
          </w:tcPr>
          <w:p>
            <w:pPr>
              <w:jc w:val="center"/>
              <w:ind w:left="621"/>
              <w:spacing w:after="0"/>
              <w:rPr>
                <w:sz w:val="20"/>
                <w:szCs w:val="20"/>
                <w:color w:val="auto"/>
              </w:rPr>
            </w:pPr>
            <w:r>
              <w:rPr>
                <w:rFonts w:ascii="Times New Roman" w:cs="Times New Roman" w:eastAsia="Times New Roman" w:hAnsi="Times New Roman"/>
                <w:sz w:val="20"/>
                <w:szCs w:val="20"/>
                <w:color w:val="auto"/>
                <w:w w:val="99"/>
              </w:rPr>
              <w:t>Identification No.)</w:t>
            </w:r>
          </w:p>
        </w:tc>
      </w:tr>
    </w:tbl>
    <w:p>
      <w:pPr>
        <w:spacing w:after="0" w:line="29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 xml:space="preserve">2202 North West Shore Boulevard, Suite 500, Tampa, </w:t>
      </w:r>
      <w:r>
        <w:rPr>
          <w:rFonts w:ascii="Times New Roman" w:cs="Times New Roman" w:eastAsia="Times New Roman" w:hAnsi="Times New Roman"/>
          <w:sz w:val="17"/>
          <w:szCs w:val="17"/>
          <w:b w:val="1"/>
          <w:bCs w:val="1"/>
          <w:color w:val="auto"/>
        </w:rPr>
        <w:t>FL</w:t>
      </w:r>
      <w:r>
        <w:rPr>
          <w:rFonts w:ascii="Times New Roman" w:cs="Times New Roman" w:eastAsia="Times New Roman" w:hAnsi="Times New Roman"/>
          <w:sz w:val="20"/>
          <w:szCs w:val="20"/>
          <w:b w:val="1"/>
          <w:bCs w:val="1"/>
          <w:color w:val="auto"/>
        </w:rPr>
        <w:t xml:space="preserve"> 33607</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7"/>
          <w:szCs w:val="17"/>
          <w:b w:val="1"/>
          <w:bCs w:val="1"/>
          <w:color w:val="auto"/>
        </w:rPr>
        <w:t>813</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b w:val="1"/>
          <w:bCs w:val="1"/>
          <w:color w:val="auto"/>
        </w:rPr>
        <w:t>282-1225</w:t>
      </w:r>
    </w:p>
    <w:p>
      <w:pPr>
        <w:spacing w:after="0" w:line="24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N/A</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23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35"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13"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ind w:left="380" w:hanging="372"/>
        <w:spacing w:after="0"/>
        <w:tabs>
          <w:tab w:leader="none" w:pos="3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080"/>
          </w:cols>
          <w:pgMar w:left="320" w:top="1440" w:right="499" w:bottom="48" w:gutter="0" w:footer="0" w:header="0"/>
        </w:sectPr>
      </w:pPr>
    </w:p>
    <w:p>
      <w:pPr>
        <w:spacing w:after="0" w:line="140"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3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6"/>
          <w:szCs w:val="16"/>
          <w:color w:val="auto"/>
        </w:rPr>
        <w:t>Trading Symbol(s)</w:t>
      </w:r>
    </w:p>
    <w:p>
      <w:pPr>
        <w:spacing w:after="0" w:line="30"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6"/>
          <w:szCs w:val="16"/>
          <w:b w:val="1"/>
          <w:bCs w:val="1"/>
          <w:color w:val="auto"/>
        </w:rPr>
        <w:t>BLMN</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160"/>
        <w:spacing w:after="0" w:line="263" w:lineRule="auto"/>
        <w:rPr>
          <w:sz w:val="20"/>
          <w:szCs w:val="20"/>
          <w:color w:val="auto"/>
        </w:rPr>
      </w:pPr>
      <w:r>
        <w:rPr>
          <w:rFonts w:ascii="Times New Roman" w:cs="Times New Roman" w:eastAsia="Times New Roman" w:hAnsi="Times New Roman"/>
          <w:sz w:val="16"/>
          <w:szCs w:val="16"/>
          <w:color w:val="auto"/>
        </w:rPr>
        <w:t xml:space="preserve">Name of each exchange on which registered </w:t>
      </w:r>
      <w:r>
        <w:rPr>
          <w:rFonts w:ascii="Times New Roman" w:cs="Times New Roman" w:eastAsia="Times New Roman" w:hAnsi="Times New Roman"/>
          <w:sz w:val="16"/>
          <w:szCs w:val="16"/>
          <w:b w:val="1"/>
          <w:bCs w:val="1"/>
          <w:color w:val="auto"/>
        </w:rPr>
        <w:t>The Nasdaq Stock Market LLC (Nasdaq Global Select Market)</w:t>
      </w:r>
    </w:p>
    <w:p>
      <w:pPr>
        <w:spacing w:after="0" w:line="200" w:lineRule="exact"/>
        <w:rPr>
          <w:sz w:val="24"/>
          <w:szCs w:val="24"/>
          <w:color w:val="auto"/>
        </w:rPr>
      </w:pPr>
    </w:p>
    <w:p>
      <w:pPr>
        <w:sectPr>
          <w:pgSz w:w="11900" w:h="16838" w:orient="portrait"/>
          <w:cols w:equalWidth="0" w:num="3">
            <w:col w:w="4580" w:space="720"/>
            <w:col w:w="2040" w:space="720"/>
            <w:col w:w="3020"/>
          </w:cols>
          <w:pgMar w:left="320" w:top="1440" w:right="499" w:bottom="48" w:gutter="0" w:footer="0" w:header="0"/>
          <w:type w:val="continuous"/>
        </w:sectPr>
      </w:pPr>
    </w:p>
    <w:p>
      <w:pPr>
        <w:spacing w:after="0" w:line="17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317"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72390</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55245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1440" w:right="499" w:bottom="48"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813435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7.01</w:t>
      </w:r>
      <w:r>
        <w:rPr>
          <w:sz w:val="20"/>
          <w:szCs w:val="20"/>
          <w:color w:val="auto"/>
        </w:rPr>
        <w:tab/>
      </w:r>
      <w:r>
        <w:rPr>
          <w:rFonts w:ascii="Times New Roman" w:cs="Times New Roman" w:eastAsia="Times New Roman" w:hAnsi="Times New Roman"/>
          <w:sz w:val="19"/>
          <w:szCs w:val="19"/>
          <w:b w:val="1"/>
          <w:bCs w:val="1"/>
          <w:color w:val="auto"/>
        </w:rPr>
        <w:t>Regulation FD Disclosure</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February 20, 2025, Bloomin’ Brands, Inc. (the “Company”) announced that, following a comprehensive analysis of the appropriate team size and structure, it is implementing a workforce reduction at its Restaurant Support Center in Tampa, Florida. The reduction will impact approximately 100 employees across various operational units that support corporate administration and restaurant operations, or about 17% of the Restaurant Support Center team members, as of February 20, 2025.</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This action is intended to align the Company’s cost structure with the current size of its business following the strategic re-franchising of its Brazil operations in December 2024, ongoing challenging industry trends, and increased focus on high priority growth opportunities and operational efficiency. The Company believes this will further support its long-term strategy and path to sustainable growth in traffic, comparable sales, and profitability.</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currently estimates that it will incur charges of approximately $7.5 million in aggregate pre-tax costs in connection with the reduction, consisting of one-time severance and other termination benefit costs under its established severance plans. The Company expects that the majority of these charges will be incurred in the first quarter of fiscal 2025. The Company expects that these workforce reductions, coupled with other recent administrative changes, will deliver annualized cost savings of approximately $22 million.</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part of the restructuring, the Company is also making changes to its Executive Leadership Team to realign with and support the new operating model.</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Lissette Gonzalez, who has been serving as Executive Vice President, Chief Supply Chain &amp; Operations Excellence Officer </w:t>
      </w:r>
      <w:r>
        <w:rPr>
          <w:rFonts w:ascii="Times New Roman" w:cs="Times New Roman" w:eastAsia="Times New Roman" w:hAnsi="Times New Roman"/>
          <w:sz w:val="20"/>
          <w:szCs w:val="20"/>
          <w:color w:val="212529"/>
        </w:rPr>
        <w:t>since October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12529"/>
        </w:rPr>
        <w:t xml:space="preserve">2023 and previously served as Senior Vice President, Global Supply Chain Officer, was appointed to serve as </w:t>
      </w:r>
      <w:r>
        <w:rPr>
          <w:rFonts w:ascii="Times New Roman" w:cs="Times New Roman" w:eastAsia="Times New Roman" w:hAnsi="Times New Roman"/>
          <w:sz w:val="20"/>
          <w:szCs w:val="20"/>
          <w:color w:val="000000"/>
        </w:rPr>
        <w:t>Executive Vice President, and</w:t>
      </w:r>
      <w:r>
        <w:rPr>
          <w:rFonts w:ascii="Times New Roman" w:cs="Times New Roman" w:eastAsia="Times New Roman" w:hAnsi="Times New Roman"/>
          <w:sz w:val="20"/>
          <w:szCs w:val="20"/>
          <w:color w:val="212529"/>
        </w:rPr>
        <w:t xml:space="preserve"> Chief Commercial Officer and Kelia Bazile, former Vice President of Operations for Bonefish Grill was promoted to President of Carrabba’s Italian Grill. These changes follow the Company’s promotion of Patrick Hafner to serve as Executive Vice President and President of Outback Steakhouse, effective January 20, 2025.</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11111F"/>
        </w:rPr>
        <w:t>As previously announced, the Company will release results for the fiscal fourth quarter ended December 29, 2024, on Wednesday, February 26, 2025, at approximately 7:00 AM EST, which will be followed by a conference call to review its financial results at 8:30 AM EST the same day. The call will be webcast live from the Company’s website at http://www.bloominbrands.com under the Investors section. A replay of this webcast will be available on the Company’s website after the call.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This Current Report on Form 8-K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w:t>
      </w:r>
    </w:p>
    <w:p>
      <w:pPr>
        <w:spacing w:after="0" w:line="2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By their nature, forward-looking statements involve risks and uncertainties that could cause actual results to differ materially from the Company’s forward-looking statements. These risks and uncertainties include, but are not limited to: our ability to execute and achieve the expected benefits of our restructuring actions and other cost-saving measures; our ability to attract, train, and retain key personnel; consumer reaction to public health and food safety issues; increases in labor costs and fluctuations in the availability of employees; increases in unemployment rates and taxes; competition; interruption or breach of our systems or loss of consumer or employee information;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 w:name="page4"/>
    <w:bookmarkEnd w:id="3"/>
    <w:p>
      <w:pPr>
        <w:jc w:val="both"/>
        <w:spacing w:after="0" w:line="250" w:lineRule="auto"/>
        <w:rPr>
          <w:sz w:val="20"/>
          <w:szCs w:val="20"/>
          <w:color w:val="auto"/>
        </w:rPr>
      </w:pPr>
      <w:r>
        <w:rPr>
          <w:rFonts w:ascii="Times New Roman" w:cs="Times New Roman" w:eastAsia="Times New Roman" w:hAnsi="Times New Roman"/>
          <w:sz w:val="20"/>
          <w:szCs w:val="20"/>
          <w:color w:val="auto"/>
        </w:rPr>
        <w:t>and availability of commodities and other impacts of inflation; our dependence on a limited number of suppliers and distributors; political, social and legal conditions in international markets and their effects on foreign operations and foreign currency exchange rates; the impact of our Brazil franchise partnership transaction on our future results; our ability to address corporate citizenship and sustainability matters and investor expectations; local, regional, national and international economic conditions; changes in patterns of consumer traffic, consumer tastes and dietary habits; the effects of changes in tax laws; costs, diversion of management attention and reputational damage from any claims or litigation; government actions and policies; challenges associated with our remodeling, relocation and expansion plans; our ability to preserve the value of and grow our brands; consumer confidence and spending patterns; the effects of a health pandemic, weather, acts of God and other disasters and the ability or success in executing related business continuity plans; the Company’s ability to make debt payments and planned investments and the Company’s compliance with debt covenants; the cost and availability of credit; interest rate changes; and any impairments in the carrying value of goodwill and other assets. Further information on potential factors that could affect the financial results of the Company and its forward-looking statements is included in its most recent Form 10-K and subsequent filings with the Securities and Exchange Commission. The Company assumes no obligation to update any forward-looking statement, except as may be required by law. These forward-looking statements speak only as of the date of this release. All forward-looking statements are qualified in their entirety by this cautionary statement.</w:t>
      </w:r>
    </w:p>
    <w:p>
      <w:pPr>
        <w:spacing w:after="0" w:line="20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w:t>
            </w:r>
          </w:p>
        </w:tc>
        <w:tc>
          <w:tcPr>
            <w:tcW w:w="9240" w:type="dxa"/>
            <w:vAlign w:val="bottom"/>
            <w:gridSpan w:val="3"/>
            <w:vMerge w:val="restart"/>
          </w:tcPr>
          <w:p>
            <w:pPr>
              <w:ind w:left="820"/>
              <w:spacing w:after="0"/>
              <w:rPr>
                <w:sz w:val="20"/>
                <w:szCs w:val="20"/>
                <w:color w:val="auto"/>
              </w:rPr>
            </w:pPr>
            <w:r>
              <w:rPr>
                <w:rFonts w:ascii="Times New Roman" w:cs="Times New Roman" w:eastAsia="Times New Roman" w:hAnsi="Times New Roman"/>
                <w:sz w:val="20"/>
                <w:szCs w:val="20"/>
                <w:color w:val="auto"/>
              </w:rPr>
              <w:t>Description</w:t>
            </w:r>
          </w:p>
        </w:tc>
        <w:tc>
          <w:tcPr>
            <w:tcW w:w="0" w:type="dxa"/>
            <w:vAlign w:val="bottom"/>
          </w:tcPr>
          <w:p>
            <w:pPr>
              <w:spacing w:after="0"/>
              <w:rPr>
                <w:sz w:val="1"/>
                <w:szCs w:val="1"/>
                <w:color w:val="auto"/>
              </w:rPr>
            </w:pPr>
          </w:p>
        </w:tc>
      </w:tr>
      <w:tr>
        <w:trPr>
          <w:trHeight w:val="212"/>
        </w:trPr>
        <w:tc>
          <w:tcPr>
            <w:tcW w:w="540" w:type="dxa"/>
            <w:vAlign w:val="bottom"/>
          </w:tcPr>
          <w:p>
            <w:pPr>
              <w:spacing w:after="0"/>
              <w:rPr>
                <w:sz w:val="18"/>
                <w:szCs w:val="18"/>
                <w:color w:val="auto"/>
              </w:rPr>
            </w:pPr>
          </w:p>
        </w:tc>
        <w:tc>
          <w:tcPr>
            <w:tcW w:w="66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w w:val="97"/>
              </w:rPr>
              <w:t>Number</w:t>
            </w:r>
          </w:p>
        </w:tc>
        <w:tc>
          <w:tcPr>
            <w:tcW w:w="800" w:type="dxa"/>
            <w:vAlign w:val="bottom"/>
          </w:tcPr>
          <w:p>
            <w:pPr>
              <w:spacing w:after="0"/>
              <w:rPr>
                <w:sz w:val="18"/>
                <w:szCs w:val="18"/>
                <w:color w:val="auto"/>
              </w:rPr>
            </w:pPr>
          </w:p>
        </w:tc>
        <w:tc>
          <w:tcPr>
            <w:tcW w:w="92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40" w:type="dxa"/>
            <w:vAlign w:val="bottom"/>
          </w:tcPr>
          <w:p>
            <w:pPr>
              <w:spacing w:after="0"/>
              <w:rPr>
                <w:sz w:val="23"/>
                <w:szCs w:val="23"/>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00" w:type="dxa"/>
            <w:vAlign w:val="bottom"/>
          </w:tcPr>
          <w:p>
            <w:pPr>
              <w:spacing w:after="0"/>
              <w:rPr>
                <w:sz w:val="23"/>
                <w:szCs w:val="23"/>
                <w:color w:val="auto"/>
              </w:rPr>
            </w:pPr>
          </w:p>
        </w:tc>
        <w:tc>
          <w:tcPr>
            <w:tcW w:w="924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0" w:type="dxa"/>
            <w:vAlign w:val="bottom"/>
          </w:tcPr>
          <w:p>
            <w:pPr>
              <w:spacing w:after="0"/>
              <w:rPr>
                <w:sz w:val="1"/>
                <w:szCs w:val="1"/>
                <w:color w:val="auto"/>
              </w:rPr>
            </w:pPr>
          </w:p>
        </w:tc>
      </w:tr>
      <w:tr>
        <w:trPr>
          <w:trHeight w:val="987"/>
        </w:trPr>
        <w:tc>
          <w:tcPr>
            <w:tcW w:w="5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32"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200"/>
        <w:spacing w:after="0"/>
        <w:tabs>
          <w:tab w:leader="none" w:pos="5180" w:val="left"/>
          <w:tab w:leader="none" w:pos="5660" w:val="left"/>
        </w:tabs>
        <w:rPr>
          <w:sz w:val="20"/>
          <w:szCs w:val="20"/>
          <w:color w:val="auto"/>
        </w:rPr>
      </w:pPr>
      <w:r>
        <w:rPr>
          <w:rFonts w:ascii="Times New Roman" w:cs="Times New Roman" w:eastAsia="Times New Roman" w:hAnsi="Times New Roman"/>
          <w:sz w:val="20"/>
          <w:szCs w:val="20"/>
          <w:color w:val="auto"/>
        </w:rPr>
        <w:t>Date: February 20, 2025</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Kelly Lefferts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22860</wp:posOffset>
            </wp:positionV>
            <wp:extent cx="34544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54400" cy="17145"/>
                    </a:xfrm>
                    <a:prstGeom prst="rect">
                      <a:avLst/>
                    </a:prstGeom>
                    <a:noFill/>
                  </pic:spPr>
                </pic:pic>
              </a:graphicData>
            </a:graphic>
          </wp:anchor>
        </w:drawing>
      </w:r>
    </w:p>
    <w:p>
      <w:pPr>
        <w:spacing w:after="0" w:line="3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color w:val="auto"/>
        </w:rPr>
        <w:t>Kelly Lefferts</w:t>
      </w:r>
    </w:p>
    <w:p>
      <w:pPr>
        <w:spacing w:after="0" w:line="2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color w:val="auto"/>
        </w:rPr>
        <w:t>Executive Vice President and Chief Legal Officer</w:t>
      </w:r>
    </w:p>
    <w:sectPr>
      <w:pgSz w:w="11900" w:h="16838" w:orient="portrait"/>
      <w:cols w:equalWidth="0" w:num="1">
        <w:col w:w="11080"/>
      </w:cols>
      <w:pgMar w:left="320" w:top="923"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2025-02-20T07:14:01Z</dcterms:created>
  <dcterms:modified xsi:type="dcterms:W3CDTF">2025-02-20T07:14:01Z</dcterms:modified>
</cp:coreProperties>
</file>