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77"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54" w:lineRule="exact"/>
        <w:rPr>
          <w:sz w:val="24"/>
          <w:szCs w:val="24"/>
          <w:color w:val="auto"/>
        </w:rPr>
      </w:pPr>
    </w:p>
    <w:p>
      <w:pPr>
        <w:ind w:left="1700" w:right="840" w:hanging="801"/>
        <w:spacing w:after="0"/>
        <w:tabs>
          <w:tab w:leader="none" w:pos="1700" w:val="left"/>
        </w:tabs>
        <w:numPr>
          <w:ilvl w:val="0"/>
          <w:numId w:val="1"/>
        </w:numPr>
        <w:rPr>
          <w:rFonts w:ascii="MS PGothic" w:cs="MS PGothic" w:eastAsia="MS PGothic" w:hAnsi="MS PGothic"/>
          <w:sz w:val="49"/>
          <w:szCs w:val="49"/>
          <w:color w:val="auto"/>
          <w:vertAlign w:val="sub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7" w:lineRule="exact"/>
        <w:rPr>
          <w:rFonts w:ascii="MS PGothic" w:cs="MS PGothic" w:eastAsia="MS PGothic" w:hAnsi="MS PGothic"/>
          <w:sz w:val="49"/>
          <w:szCs w:val="49"/>
          <w:color w:val="auto"/>
          <w:vertAlign w:val="subscript"/>
        </w:rPr>
      </w:pPr>
    </w:p>
    <w:p>
      <w:pPr>
        <w:ind w:left="2100"/>
        <w:spacing w:after="0"/>
        <w:rPr>
          <w:rFonts w:ascii="MS PGothic" w:cs="MS PGothic" w:eastAsia="MS PGothic" w:hAnsi="MS PGothic"/>
          <w:sz w:val="49"/>
          <w:szCs w:val="49"/>
          <w:color w:val="auto"/>
          <w:vertAlign w:val="subscript"/>
        </w:rPr>
      </w:pPr>
      <w:r>
        <w:rPr>
          <w:rFonts w:ascii="Times New Roman" w:cs="Times New Roman" w:eastAsia="Times New Roman" w:hAnsi="Times New Roman"/>
          <w:sz w:val="20"/>
          <w:szCs w:val="20"/>
          <w:color w:val="auto"/>
        </w:rPr>
        <w:t>For the quarterly period ended June 30, 2019</w:t>
      </w:r>
    </w:p>
    <w:p>
      <w:pPr>
        <w:spacing w:after="0" w:line="54" w:lineRule="exact"/>
        <w:rPr>
          <w:sz w:val="24"/>
          <w:szCs w:val="24"/>
          <w:color w:val="auto"/>
        </w:rPr>
      </w:pPr>
    </w:p>
    <w:p>
      <w:pPr>
        <w:ind w:left="6240"/>
        <w:spacing w:after="0"/>
        <w:rPr>
          <w:sz w:val="20"/>
          <w:szCs w:val="20"/>
          <w:color w:val="auto"/>
        </w:rPr>
      </w:pPr>
      <w:r>
        <w:rPr>
          <w:rFonts w:ascii="Times New Roman" w:cs="Times New Roman" w:eastAsia="Times New Roman" w:hAnsi="Times New Roman"/>
          <w:sz w:val="20"/>
          <w:szCs w:val="20"/>
          <w:color w:val="auto"/>
        </w:rPr>
        <w:t>or</w:t>
      </w:r>
    </w:p>
    <w:p>
      <w:pPr>
        <w:spacing w:after="0" w:line="50" w:lineRule="exact"/>
        <w:rPr>
          <w:sz w:val="24"/>
          <w:szCs w:val="24"/>
          <w:color w:val="auto"/>
        </w:rPr>
      </w:pPr>
    </w:p>
    <w:p>
      <w:pPr>
        <w:ind w:left="1700" w:right="840" w:hanging="801"/>
        <w:spacing w:after="0"/>
        <w:tabs>
          <w:tab w:leader="none" w:pos="1700" w:val="left"/>
        </w:tabs>
        <w:numPr>
          <w:ilvl w:val="0"/>
          <w:numId w:val="2"/>
        </w:numPr>
        <w:rPr>
          <w:rFonts w:ascii="MS PGothic" w:cs="MS PGothic" w:eastAsia="MS PGothic" w:hAnsi="MS PGothic"/>
          <w:sz w:val="49"/>
          <w:szCs w:val="49"/>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7"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20"/>
          <w:szCs w:val="20"/>
          <w:color w:val="auto"/>
        </w:rPr>
        <w:t>For the transition period from ______ to ______</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158750</wp:posOffset>
            </wp:positionV>
            <wp:extent cx="866140" cy="1380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1380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BLOOMIN’ BRANDS, INC.</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380"/>
          </w:cols>
          <w:pgMar w:left="240" w:top="720" w:right="279" w:bottom="0" w:gutter="0" w:footer="0" w:header="0"/>
        </w:sectPr>
      </w:pPr>
    </w:p>
    <w:p>
      <w:pPr>
        <w:spacing w:after="0" w:line="147"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20-8023465</w:t>
      </w:r>
    </w:p>
    <w:p>
      <w:pPr>
        <w:spacing w:after="0" w:line="88" w:lineRule="exact"/>
        <w:rPr>
          <w:sz w:val="24"/>
          <w:szCs w:val="24"/>
          <w:color w:val="auto"/>
        </w:rPr>
      </w:pPr>
    </w:p>
    <w:p>
      <w:pPr>
        <w:sectPr>
          <w:pgSz w:w="11900" w:h="16838" w:orient="portrait"/>
          <w:cols w:equalWidth="0" w:num="2">
            <w:col w:w="7420" w:space="720"/>
            <w:col w:w="3240"/>
          </w:cols>
          <w:pgMar w:left="240" w:top="720" w:right="279" w:bottom="0" w:gutter="0" w:footer="0" w:header="0"/>
          <w:type w:val="continuous"/>
        </w:sectPr>
      </w:pPr>
    </w:p>
    <w:p>
      <w:pPr>
        <w:ind w:left="9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6" w:lineRule="exact"/>
        <w:rPr>
          <w:sz w:val="24"/>
          <w:szCs w:val="24"/>
          <w:color w:val="auto"/>
        </w:rPr>
      </w:pPr>
    </w:p>
    <w:p>
      <w:pPr>
        <w:sectPr>
          <w:pgSz w:w="11900" w:h="16838" w:orient="portrait"/>
          <w:cols w:equalWidth="0" w:num="2">
            <w:col w:w="6700" w:space="720"/>
            <w:col w:w="3960"/>
          </w:cols>
          <w:pgMar w:left="240" w:top="720" w:right="279" w:bottom="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2202 North West Shore Boulevard, Suite 500, Tampa, Florida 33607</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ectPr>
          <w:pgSz w:w="11900" w:h="16838" w:orient="portrait"/>
          <w:cols w:equalWidth="0" w:num="1">
            <w:col w:w="11380"/>
          </w:cols>
          <w:pgMar w:left="240" w:top="720" w:right="279" w:bottom="0" w:gutter="0" w:footer="0" w:header="0"/>
          <w:type w:val="continuous"/>
        </w:sectPr>
      </w:pPr>
    </w:p>
    <w:p>
      <w:pPr>
        <w:spacing w:after="0" w:line="1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(813) 282-1225</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N/A</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ectPr>
          <w:pgSz w:w="11900" w:h="16838" w:orient="portrait"/>
          <w:cols w:equalWidth="0" w:num="1">
            <w:col w:w="11380"/>
          </w:cols>
          <w:pgMar w:left="240" w:top="720" w:right="279" w:bottom="0" w:gutter="0" w:footer="0" w:header="0"/>
          <w:type w:val="continuous"/>
        </w:sectPr>
      </w:pPr>
    </w:p>
    <w:p>
      <w:pPr>
        <w:spacing w:after="0" w:line="200" w:lineRule="exact"/>
        <w:rPr>
          <w:sz w:val="24"/>
          <w:szCs w:val="24"/>
          <w:color w:val="auto"/>
        </w:rPr>
      </w:pPr>
    </w:p>
    <w:p>
      <w:pPr>
        <w:spacing w:after="0" w:line="327"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67"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84" w:lineRule="exact"/>
        <w:rPr>
          <w:sz w:val="24"/>
          <w:szCs w:val="24"/>
          <w:color w:val="auto"/>
        </w:rPr>
      </w:pPr>
    </w:p>
    <w:p>
      <w:pPr>
        <w:sectPr>
          <w:pgSz w:w="11900" w:h="16838" w:orient="portrait"/>
          <w:cols w:equalWidth="0" w:num="3">
            <w:col w:w="3120" w:space="720"/>
            <w:col w:w="3740" w:space="340"/>
            <w:col w:w="3460"/>
          </w:cols>
          <w:pgMar w:left="240" w:top="720" w:right="279" w:bottom="0" w:gutter="0" w:footer="0" w:header="0"/>
          <w:type w:val="continuous"/>
        </w:sectPr>
      </w:pPr>
    </w:p>
    <w:p>
      <w:pPr>
        <w:ind w:left="114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p>
      <w:pPr>
        <w:spacing w:after="0" w:line="20" w:lineRule="exact"/>
        <w:rPr>
          <w:sz w:val="24"/>
          <w:szCs w:val="24"/>
          <w:color w:val="auto"/>
        </w:rPr>
      </w:pPr>
      <w:r>
        <w:rPr>
          <w:sz w:val="24"/>
          <w:szCs w:val="24"/>
          <w:color w:val="auto"/>
        </w:rPr>
        <w:br w:type="column"/>
      </w:r>
    </w:p>
    <w:p>
      <w:pPr>
        <w:jc w:val="center"/>
        <w:ind w:right="1380"/>
        <w:spacing w:after="0"/>
        <w:rPr>
          <w:sz w:val="20"/>
          <w:szCs w:val="20"/>
          <w:color w:val="auto"/>
        </w:rPr>
      </w:pPr>
      <w:r>
        <w:rPr>
          <w:rFonts w:ascii="Times New Roman" w:cs="Times New Roman" w:eastAsia="Times New Roman" w:hAnsi="Times New Roman"/>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p>
      <w:pPr>
        <w:spacing w:after="0" w:line="200" w:lineRule="exact"/>
        <w:rPr>
          <w:sz w:val="24"/>
          <w:szCs w:val="24"/>
          <w:color w:val="auto"/>
        </w:rPr>
      </w:pPr>
    </w:p>
    <w:p>
      <w:pPr>
        <w:sectPr>
          <w:pgSz w:w="11900" w:h="16838" w:orient="portrait"/>
          <w:cols w:equalWidth="0" w:num="3">
            <w:col w:w="4920" w:space="720"/>
            <w:col w:w="1880" w:space="720"/>
            <w:col w:w="3140"/>
          </w:cols>
          <w:pgMar w:left="240" w:top="720" w:right="279" w:bottom="0" w:gutter="0" w:footer="0" w:header="0"/>
          <w:type w:val="continuous"/>
        </w:sectPr>
      </w:pPr>
    </w:p>
    <w:p>
      <w:pPr>
        <w:spacing w:after="0" w:line="90" w:lineRule="exact"/>
        <w:rPr>
          <w:sz w:val="24"/>
          <w:szCs w:val="24"/>
          <w:color w:val="auto"/>
        </w:rPr>
      </w:pPr>
    </w:p>
    <w:p>
      <w:pPr>
        <w:ind w:right="440"/>
        <w:spacing w:after="0" w:line="30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25"/>
          <w:szCs w:val="25"/>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31" w:lineRule="exact"/>
        <w:rPr>
          <w:sz w:val="24"/>
          <w:szCs w:val="24"/>
          <w:color w:val="auto"/>
        </w:rPr>
      </w:pPr>
    </w:p>
    <w:p>
      <w:pPr>
        <w:ind w:right="500"/>
        <w:spacing w:after="0" w:line="30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25"/>
          <w:szCs w:val="25"/>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p>
      <w:pPr>
        <w:ind w:left="3440" w:right="1720" w:firstLine="263"/>
        <w:spacing w:after="0" w:line="361" w:lineRule="exact"/>
        <w:rPr>
          <w:sz w:val="20"/>
          <w:szCs w:val="20"/>
          <w:color w:val="auto"/>
        </w:rPr>
      </w:pPr>
      <w:r>
        <w:rPr>
          <w:rFonts w:ascii="Times New Roman" w:cs="Times New Roman" w:eastAsia="Times New Roman" w:hAnsi="Times New Roman"/>
          <w:sz w:val="25"/>
          <w:szCs w:val="25"/>
          <w:color w:val="auto"/>
        </w:rPr>
        <w:t xml:space="preserve">Large accelerated filer </w:t>
      </w:r>
      <w:r>
        <w:rPr>
          <w:rFonts w:ascii="MS PGothic" w:cs="MS PGothic" w:eastAsia="MS PGothic" w:hAnsi="MS PGothic"/>
          <w:sz w:val="25"/>
          <w:szCs w:val="25"/>
          <w:color w:val="auto"/>
        </w:rPr>
        <w:t>☒</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8"/>
          <w:szCs w:val="18"/>
          <w:color w:val="auto"/>
        </w:rPr>
        <w:t>Accelerated filer</w:t>
      </w:r>
      <w:r>
        <w:rPr>
          <w:rFonts w:ascii="Times New Roman" w:cs="Times New Roman" w:eastAsia="Times New Roman" w:hAnsi="Times New Roman"/>
          <w:sz w:val="25"/>
          <w:szCs w:val="25"/>
          <w:color w:val="auto"/>
        </w:rPr>
        <w:t xml:space="preserve"> </w:t>
      </w:r>
      <w:r>
        <w:rPr>
          <w:rFonts w:ascii="MS PGothic" w:cs="MS PGothic" w:eastAsia="MS PGothic" w:hAnsi="MS PGothic"/>
          <w:sz w:val="25"/>
          <w:szCs w:val="25"/>
          <w:color w:val="auto"/>
        </w:rPr>
        <w:t>☐</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8"/>
          <w:szCs w:val="18"/>
          <w:color w:val="auto"/>
        </w:rPr>
        <w:t>Non-accelerated filer</w:t>
      </w:r>
      <w:r>
        <w:rPr>
          <w:rFonts w:ascii="Times New Roman" w:cs="Times New Roman" w:eastAsia="Times New Roman" w:hAnsi="Times New Roman"/>
          <w:sz w:val="25"/>
          <w:szCs w:val="25"/>
          <w:color w:val="auto"/>
        </w:rPr>
        <w:t xml:space="preserve"> </w:t>
      </w:r>
      <w:r>
        <w:rPr>
          <w:rFonts w:ascii="MS PGothic" w:cs="MS PGothic" w:eastAsia="MS PGothic" w:hAnsi="MS PGothic"/>
          <w:sz w:val="25"/>
          <w:szCs w:val="25"/>
          <w:color w:val="auto"/>
        </w:rPr>
        <w:t>☐</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25"/>
          <w:szCs w:val="25"/>
          <w:color w:val="auto"/>
        </w:rPr>
        <w:t>☐</w:t>
      </w:r>
    </w:p>
    <w:p>
      <w:pPr>
        <w:spacing w:after="0" w:line="230" w:lineRule="exact"/>
        <w:rPr>
          <w:sz w:val="24"/>
          <w:szCs w:val="24"/>
          <w:color w:val="auto"/>
        </w:rPr>
      </w:pPr>
    </w:p>
    <w:p>
      <w:pPr>
        <w:ind w:right="100"/>
        <w:spacing w:after="0" w:line="30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5"/>
          <w:szCs w:val="25"/>
          <w:color w:val="auto"/>
        </w:rPr>
        <w:t>☐</w:t>
      </w:r>
    </w:p>
    <w:p>
      <w:pPr>
        <w:sectPr>
          <w:pgSz w:w="11900" w:h="16838" w:orient="portrait"/>
          <w:cols w:equalWidth="0" w:num="1">
            <w:col w:w="11380"/>
          </w:cols>
          <w:pgMar w:left="240" w:top="720" w:right="279" w:bottom="0" w:gutter="0" w:footer="0" w:header="0"/>
          <w:type w:val="continuous"/>
        </w:sectPr>
      </w:pPr>
    </w:p>
    <w:bookmarkStart w:id="1" w:name="page2"/>
    <w:bookmarkEnd w:id="1"/>
    <w:p>
      <w:pPr>
        <w:spacing w:after="0" w:line="28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30, 2019, 86,832,208 shares of common stock of the registrant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5" w:right="1440" w:bottom="1440" w:gutter="0" w:footer="0" w:header="0"/>
        </w:sectPr>
      </w:pPr>
    </w:p>
    <w:bookmarkStart w:id="2" w:name="page3"/>
    <w:bookmarkEnd w:id="2"/>
    <w:p>
      <w:pPr>
        <w:spacing w:after="0"/>
        <w:rPr>
          <w:rFonts w:ascii="Times New Roman" w:cs="Times New Roman" w:eastAsia="Times New Roman" w:hAnsi="Times New Roman"/>
          <w:sz w:val="14"/>
          <w:szCs w:val="14"/>
          <w:color w:val="0000FF"/>
        </w:rPr>
      </w:pPr>
      <w:hyperlink w:anchor="page3">
        <w:r>
          <w:rPr>
            <w:rFonts w:ascii="Times New Roman" w:cs="Times New Roman" w:eastAsia="Times New Roman" w:hAnsi="Times New Roman"/>
            <w:sz w:val="14"/>
            <w:szCs w:val="14"/>
            <w:color w:val="0000FF"/>
          </w:rPr>
          <w:t>Table of Contents</w:t>
        </w:r>
      </w:hyperlink>
    </w:p>
    <w:tbl>
      <w:tblPr>
        <w:tblLayout w:type="fixed"/>
        <w:tblInd w:w="0" w:type="dxa"/>
        <w:tblCellMar>
          <w:top w:w="0" w:type="dxa"/>
          <w:left w:w="0" w:type="dxa"/>
          <w:bottom w:w="0" w:type="dxa"/>
          <w:right w:w="0" w:type="dxa"/>
        </w:tblCellMar>
      </w:tblPr>
      <w:tr>
        <w:trPr>
          <w:trHeight w:val="282"/>
        </w:trPr>
        <w:tc>
          <w:tcPr>
            <w:tcW w:w="10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gridSpan w:val="11"/>
          </w:tcPr>
          <w:p>
            <w:pPr>
              <w:jc w:val="center"/>
              <w:ind w:right="2520"/>
              <w:spacing w:after="0"/>
              <w:rPr>
                <w:sz w:val="20"/>
                <w:szCs w:val="20"/>
                <w:color w:val="auto"/>
              </w:rPr>
            </w:pPr>
            <w:r>
              <w:rPr>
                <w:rFonts w:ascii="Times New Roman" w:cs="Times New Roman" w:eastAsia="Times New Roman" w:hAnsi="Times New Roman"/>
                <w:sz w:val="20"/>
                <w:szCs w:val="20"/>
                <w:b w:val="1"/>
                <w:bCs w:val="1"/>
                <w:color w:val="auto"/>
                <w:w w:val="98"/>
              </w:rPr>
              <w:t>BLOOMIN’ BRANDS, INC.</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50"/>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00" w:type="dxa"/>
            <w:vAlign w:val="bottom"/>
            <w:gridSpan w:val="15"/>
          </w:tcPr>
          <w:p>
            <w:pPr>
              <w:jc w:val="center"/>
              <w:ind w:right="1520"/>
              <w:spacing w:after="0"/>
              <w:rPr>
                <w:sz w:val="20"/>
                <w:szCs w:val="20"/>
                <w:color w:val="auto"/>
              </w:rPr>
            </w:pPr>
            <w:r>
              <w:rPr>
                <w:rFonts w:ascii="Times New Roman" w:cs="Times New Roman" w:eastAsia="Times New Roman" w:hAnsi="Times New Roman"/>
                <w:sz w:val="20"/>
                <w:szCs w:val="20"/>
                <w:color w:val="auto"/>
                <w:w w:val="97"/>
              </w:rPr>
              <w:t>INDEX TO QUARTERLY REPORT ON FORM 10-Q</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980" w:type="dxa"/>
            <w:vAlign w:val="bottom"/>
            <w:gridSpan w:val="13"/>
          </w:tcPr>
          <w:p>
            <w:pPr>
              <w:jc w:val="center"/>
              <w:ind w:right="2240"/>
              <w:spacing w:after="0"/>
              <w:rPr>
                <w:sz w:val="20"/>
                <w:szCs w:val="20"/>
                <w:color w:val="auto"/>
              </w:rPr>
            </w:pPr>
            <w:r>
              <w:rPr>
                <w:rFonts w:ascii="Times New Roman" w:cs="Times New Roman" w:eastAsia="Times New Roman" w:hAnsi="Times New Roman"/>
                <w:sz w:val="20"/>
                <w:szCs w:val="20"/>
                <w:color w:val="auto"/>
                <w:w w:val="99"/>
              </w:rPr>
              <w:t>For the Quarterly Period Ended June 30, 2019</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8"/>
        </w:trPr>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20" w:type="dxa"/>
            <w:vAlign w:val="bottom"/>
            <w:gridSpan w:val="10"/>
          </w:tcPr>
          <w:p>
            <w:pPr>
              <w:jc w:val="center"/>
              <w:ind w:right="3380"/>
              <w:spacing w:after="0"/>
              <w:rPr>
                <w:sz w:val="20"/>
                <w:szCs w:val="20"/>
                <w:color w:val="auto"/>
              </w:rPr>
            </w:pPr>
            <w:r>
              <w:rPr>
                <w:rFonts w:ascii="Times New Roman" w:cs="Times New Roman" w:eastAsia="Times New Roman" w:hAnsi="Times New Roman"/>
                <w:sz w:val="20"/>
                <w:szCs w:val="20"/>
                <w:color w:val="auto"/>
                <w:w w:val="99"/>
              </w:rPr>
              <w:t>(Unaudited)</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446"/>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gridSpan w:val="11"/>
          </w:tcPr>
          <w:p>
            <w:pPr>
              <w:jc w:val="center"/>
              <w:ind w:right="2500"/>
              <w:spacing w:after="0"/>
              <w:rPr>
                <w:sz w:val="20"/>
                <w:szCs w:val="20"/>
                <w:color w:val="auto"/>
              </w:rPr>
            </w:pPr>
            <w:r>
              <w:rPr>
                <w:rFonts w:ascii="Times New Roman" w:cs="Times New Roman" w:eastAsia="Times New Roman" w:hAnsi="Times New Roman"/>
                <w:sz w:val="20"/>
                <w:szCs w:val="20"/>
                <w:color w:val="auto"/>
                <w:w w:val="97"/>
              </w:rPr>
              <w:t>TABLE OF CONTENTS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6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00" w:type="dxa"/>
            <w:vAlign w:val="bottom"/>
            <w:gridSpan w:val="15"/>
          </w:tcPr>
          <w:p>
            <w:pPr>
              <w:jc w:val="center"/>
              <w:ind w:right="1960"/>
              <w:spacing w:after="0"/>
              <w:rPr>
                <w:rFonts w:ascii="Times New Roman" w:cs="Times New Roman" w:eastAsia="Times New Roman" w:hAnsi="Times New Roman"/>
                <w:sz w:val="20"/>
                <w:szCs w:val="20"/>
                <w:color w:val="0000FF"/>
                <w:w w:val="97"/>
              </w:rPr>
            </w:pPr>
            <w:hyperlink w:anchor="page4">
              <w:r>
                <w:rPr>
                  <w:rFonts w:ascii="Times New Roman" w:cs="Times New Roman" w:eastAsia="Times New Roman" w:hAnsi="Times New Roman"/>
                  <w:sz w:val="20"/>
                  <w:szCs w:val="20"/>
                  <w:color w:val="0000FF"/>
                  <w:w w:val="97"/>
                </w:rPr>
                <w:t>PART I — FINANCIAL INFORMATION</w:t>
              </w:r>
            </w:hyperlink>
          </w:p>
        </w:tc>
        <w:tc>
          <w:tcPr>
            <w:tcW w:w="160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rPr>
              <w:t>Page No.</w:t>
            </w:r>
          </w:p>
        </w:tc>
      </w:tr>
      <w:tr>
        <w:trPr>
          <w:trHeight w:val="55"/>
        </w:trPr>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338"/>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w:t>
            </w:r>
          </w:p>
        </w:tc>
        <w:tc>
          <w:tcPr>
            <w:tcW w:w="160" w:type="dxa"/>
            <w:vAlign w:val="bottom"/>
          </w:tcPr>
          <w:p>
            <w:pPr>
              <w:spacing w:after="0"/>
              <w:rPr>
                <w:sz w:val="24"/>
                <w:szCs w:val="24"/>
                <w:color w:val="auto"/>
              </w:rPr>
            </w:pPr>
          </w:p>
        </w:tc>
        <w:tc>
          <w:tcPr>
            <w:tcW w:w="8640" w:type="dxa"/>
            <w:vAlign w:val="bottom"/>
            <w:gridSpan w:val="22"/>
          </w:tcPr>
          <w:p>
            <w:pPr>
              <w:spacing w:after="0"/>
              <w:rPr>
                <w:rFonts w:ascii="Times New Roman" w:cs="Times New Roman" w:eastAsia="Times New Roman" w:hAnsi="Times New Roman"/>
                <w:sz w:val="20"/>
                <w:szCs w:val="20"/>
                <w:color w:val="0000EE"/>
              </w:rPr>
            </w:pPr>
            <w:hyperlink w:anchor="page4">
              <w:r>
                <w:rPr>
                  <w:rFonts w:ascii="Times New Roman" w:cs="Times New Roman" w:eastAsia="Times New Roman" w:hAnsi="Times New Roman"/>
                  <w:sz w:val="20"/>
                  <w:szCs w:val="20"/>
                  <w:color w:val="0000EE"/>
                </w:rPr>
                <w:t>Financial Statements (Unaudited)</w:t>
              </w:r>
            </w:hyperlink>
          </w:p>
        </w:tc>
        <w:tc>
          <w:tcPr>
            <w:tcW w:w="860" w:type="dxa"/>
            <w:vAlign w:val="bottom"/>
            <w:gridSpan w:val="2"/>
          </w:tcPr>
          <w:p>
            <w:pPr>
              <w:jc w:val="center"/>
              <w:ind w:left="661"/>
              <w:spacing w:after="0"/>
              <w:rPr>
                <w:rFonts w:ascii="Times New Roman" w:cs="Times New Roman" w:eastAsia="Times New Roman" w:hAnsi="Times New Roman"/>
                <w:sz w:val="20"/>
                <w:szCs w:val="20"/>
                <w:color w:val="0000EE"/>
                <w:w w:val="99"/>
              </w:rPr>
            </w:pPr>
            <w:hyperlink w:anchor="page4">
              <w:r>
                <w:rPr>
                  <w:rFonts w:ascii="Times New Roman" w:cs="Times New Roman" w:eastAsia="Times New Roman" w:hAnsi="Times New Roman"/>
                  <w:sz w:val="20"/>
                  <w:szCs w:val="20"/>
                  <w:color w:val="0000EE"/>
                  <w:w w:val="99"/>
                </w:rPr>
                <w:t>3</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40" w:type="dxa"/>
            <w:vAlign w:val="bottom"/>
            <w:gridSpan w:val="22"/>
          </w:tcPr>
          <w:p>
            <w:pPr>
              <w:ind w:left="140"/>
              <w:spacing w:after="0"/>
              <w:rPr>
                <w:rFonts w:ascii="Times New Roman" w:cs="Times New Roman" w:eastAsia="Times New Roman" w:hAnsi="Times New Roman"/>
                <w:sz w:val="20"/>
                <w:szCs w:val="20"/>
                <w:color w:val="0000EE"/>
              </w:rPr>
            </w:pPr>
            <w:hyperlink w:anchor="page4">
              <w:r>
                <w:rPr>
                  <w:rFonts w:ascii="Times New Roman" w:cs="Times New Roman" w:eastAsia="Times New Roman" w:hAnsi="Times New Roman"/>
                  <w:sz w:val="20"/>
                  <w:szCs w:val="20"/>
                  <w:color w:val="0000EE"/>
                </w:rPr>
                <w:t>Consolidated Financial Statements:</w:t>
              </w:r>
            </w:hyperlink>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40" w:type="dxa"/>
            <w:vAlign w:val="bottom"/>
            <w:gridSpan w:val="15"/>
          </w:tcPr>
          <w:p>
            <w:pPr>
              <w:spacing w:after="0"/>
              <w:rPr>
                <w:rFonts w:ascii="Times New Roman" w:cs="Times New Roman" w:eastAsia="Times New Roman" w:hAnsi="Times New Roman"/>
                <w:sz w:val="20"/>
                <w:szCs w:val="20"/>
                <w:color w:val="0000EE"/>
                <w:w w:val="98"/>
              </w:rPr>
            </w:pPr>
            <w:hyperlink w:anchor="page4">
              <w:r>
                <w:rPr>
                  <w:rFonts w:ascii="Times New Roman" w:cs="Times New Roman" w:eastAsia="Times New Roman" w:hAnsi="Times New Roman"/>
                  <w:sz w:val="20"/>
                  <w:szCs w:val="20"/>
                  <w:color w:val="0000EE"/>
                  <w:w w:val="98"/>
                </w:rPr>
                <w:t>Consolidated Balance Sheets — June 30, 2019 and December 30, 2018</w:t>
              </w:r>
            </w:hyperlink>
          </w:p>
        </w:tc>
        <w:tc>
          <w:tcPr>
            <w:tcW w:w="2640" w:type="dxa"/>
            <w:vAlign w:val="bottom"/>
            <w:gridSpan w:val="5"/>
          </w:tcPr>
          <w:p>
            <w:pPr>
              <w:spacing w:after="0"/>
              <w:rPr>
                <w:sz w:val="24"/>
                <w:szCs w:val="24"/>
                <w:color w:val="auto"/>
              </w:rPr>
            </w:pPr>
          </w:p>
        </w:tc>
        <w:tc>
          <w:tcPr>
            <w:tcW w:w="860" w:type="dxa"/>
            <w:vAlign w:val="bottom"/>
            <w:gridSpan w:val="2"/>
          </w:tcPr>
          <w:p>
            <w:pPr>
              <w:jc w:val="center"/>
              <w:ind w:left="661"/>
              <w:spacing w:after="0"/>
              <w:rPr>
                <w:rFonts w:ascii="Times New Roman" w:cs="Times New Roman" w:eastAsia="Times New Roman" w:hAnsi="Times New Roman"/>
                <w:sz w:val="20"/>
                <w:szCs w:val="20"/>
                <w:color w:val="0000EE"/>
                <w:w w:val="99"/>
              </w:rPr>
            </w:pPr>
            <w:hyperlink w:anchor="page4">
              <w:r>
                <w:rPr>
                  <w:rFonts w:ascii="Times New Roman" w:cs="Times New Roman" w:eastAsia="Times New Roman" w:hAnsi="Times New Roman"/>
                  <w:sz w:val="20"/>
                  <w:szCs w:val="20"/>
                  <w:color w:val="0000EE"/>
                  <w:w w:val="99"/>
                </w:rPr>
                <w:t>3</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80" w:type="dxa"/>
            <w:vAlign w:val="bottom"/>
            <w:gridSpan w:val="20"/>
          </w:tcPr>
          <w:p>
            <w:pPr>
              <w:spacing w:after="0"/>
              <w:rPr>
                <w:rFonts w:ascii="Times New Roman" w:cs="Times New Roman" w:eastAsia="Times New Roman" w:hAnsi="Times New Roman"/>
                <w:sz w:val="20"/>
                <w:szCs w:val="20"/>
                <w:color w:val="0000EE"/>
              </w:rPr>
            </w:pPr>
            <w:hyperlink w:anchor="page5">
              <w:r>
                <w:rPr>
                  <w:rFonts w:ascii="Times New Roman" w:cs="Times New Roman" w:eastAsia="Times New Roman" w:hAnsi="Times New Roman"/>
                  <w:sz w:val="20"/>
                  <w:szCs w:val="20"/>
                  <w:color w:val="0000EE"/>
                </w:rPr>
                <w:t>Consolidated Statements of Operations and Comprehensive Income (Loss) —</w:t>
              </w:r>
            </w:hyperlink>
          </w:p>
        </w:tc>
        <w:tc>
          <w:tcPr>
            <w:tcW w:w="860" w:type="dxa"/>
            <w:vAlign w:val="bottom"/>
            <w:gridSpan w:val="2"/>
          </w:tcPr>
          <w:p>
            <w:pPr>
              <w:jc w:val="center"/>
              <w:ind w:left="661"/>
              <w:spacing w:after="0"/>
              <w:rPr>
                <w:rFonts w:ascii="Times New Roman" w:cs="Times New Roman" w:eastAsia="Times New Roman" w:hAnsi="Times New Roman"/>
                <w:sz w:val="20"/>
                <w:szCs w:val="20"/>
                <w:color w:val="0000EE"/>
                <w:w w:val="99"/>
              </w:rPr>
            </w:pPr>
            <w:hyperlink w:anchor="page5">
              <w:r>
                <w:rPr>
                  <w:rFonts w:ascii="Times New Roman" w:cs="Times New Roman" w:eastAsia="Times New Roman" w:hAnsi="Times New Roman"/>
                  <w:sz w:val="20"/>
                  <w:szCs w:val="20"/>
                  <w:color w:val="0000EE"/>
                  <w:w w:val="99"/>
                </w:rPr>
                <w:t>4</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80" w:type="dxa"/>
            <w:vAlign w:val="bottom"/>
            <w:gridSpan w:val="20"/>
          </w:tcPr>
          <w:p>
            <w:pPr>
              <w:spacing w:after="0" w:line="209" w:lineRule="exact"/>
              <w:rPr>
                <w:rFonts w:ascii="Times New Roman" w:cs="Times New Roman" w:eastAsia="Times New Roman" w:hAnsi="Times New Roman"/>
                <w:sz w:val="20"/>
                <w:szCs w:val="20"/>
                <w:color w:val="0000EE"/>
              </w:rPr>
            </w:pPr>
            <w:hyperlink w:anchor="page5">
              <w:r>
                <w:rPr>
                  <w:rFonts w:ascii="Times New Roman" w:cs="Times New Roman" w:eastAsia="Times New Roman" w:hAnsi="Times New Roman"/>
                  <w:sz w:val="20"/>
                  <w:szCs w:val="20"/>
                  <w:color w:val="0000EE"/>
                </w:rPr>
                <w:t>For the Thirteen and Twenty-Six Weeks Ended June 30, 2019 and July 1, 2018</w:t>
              </w:r>
            </w:hyperlink>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Borders>
              <w:top w:val="single" w:sz="8" w:color="0000EE"/>
            </w:tcBorders>
            <w:gridSpan w:val="12"/>
          </w:tcPr>
          <w:p>
            <w:pPr>
              <w:spacing w:after="0"/>
              <w:rPr>
                <w:rFonts w:ascii="Times New Roman" w:cs="Times New Roman" w:eastAsia="Times New Roman" w:hAnsi="Times New Roman"/>
                <w:sz w:val="20"/>
                <w:szCs w:val="20"/>
                <w:color w:val="0000EE"/>
                <w:w w:val="98"/>
              </w:rPr>
            </w:pPr>
            <w:hyperlink w:anchor="page6">
              <w:r>
                <w:rPr>
                  <w:rFonts w:ascii="Times New Roman" w:cs="Times New Roman" w:eastAsia="Times New Roman" w:hAnsi="Times New Roman"/>
                  <w:sz w:val="20"/>
                  <w:szCs w:val="20"/>
                  <w:color w:val="0000EE"/>
                  <w:w w:val="98"/>
                </w:rPr>
                <w:t>Consolidated Statements of Changes in Stockholders’ Equity —</w:t>
              </w:r>
            </w:hyperlink>
          </w:p>
        </w:tc>
        <w:tc>
          <w:tcPr>
            <w:tcW w:w="1140" w:type="dxa"/>
            <w:vAlign w:val="bottom"/>
            <w:tcBorders>
              <w:top w:val="single" w:sz="8" w:color="0000EE"/>
            </w:tcBorders>
            <w:gridSpan w:val="6"/>
          </w:tcPr>
          <w:p>
            <w:pPr>
              <w:spacing w:after="0"/>
              <w:rPr>
                <w:sz w:val="24"/>
                <w:szCs w:val="24"/>
                <w:color w:val="auto"/>
              </w:rPr>
            </w:pPr>
          </w:p>
        </w:tc>
        <w:tc>
          <w:tcPr>
            <w:tcW w:w="2060" w:type="dxa"/>
            <w:vAlign w:val="bottom"/>
            <w:gridSpan w:val="2"/>
          </w:tcPr>
          <w:p>
            <w:pPr>
              <w:spacing w:after="0"/>
              <w:rPr>
                <w:sz w:val="24"/>
                <w:szCs w:val="24"/>
                <w:color w:val="auto"/>
              </w:rPr>
            </w:pPr>
          </w:p>
        </w:tc>
        <w:tc>
          <w:tcPr>
            <w:tcW w:w="860" w:type="dxa"/>
            <w:vAlign w:val="bottom"/>
            <w:gridSpan w:val="2"/>
          </w:tcPr>
          <w:p>
            <w:pPr>
              <w:jc w:val="center"/>
              <w:ind w:left="661"/>
              <w:spacing w:after="0"/>
              <w:rPr>
                <w:rFonts w:ascii="Times New Roman" w:cs="Times New Roman" w:eastAsia="Times New Roman" w:hAnsi="Times New Roman"/>
                <w:sz w:val="20"/>
                <w:szCs w:val="20"/>
                <w:color w:val="0000EE"/>
                <w:w w:val="99"/>
              </w:rPr>
            </w:pPr>
            <w:hyperlink w:anchor="page6">
              <w:r>
                <w:rPr>
                  <w:rFonts w:ascii="Times New Roman" w:cs="Times New Roman" w:eastAsia="Times New Roman" w:hAnsi="Times New Roman"/>
                  <w:sz w:val="20"/>
                  <w:szCs w:val="20"/>
                  <w:color w:val="0000EE"/>
                  <w:w w:val="99"/>
                </w:rPr>
                <w:t>5</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80" w:type="dxa"/>
            <w:vAlign w:val="bottom"/>
            <w:gridSpan w:val="20"/>
          </w:tcPr>
          <w:p>
            <w:pPr>
              <w:spacing w:after="0" w:line="209" w:lineRule="exact"/>
              <w:rPr>
                <w:rFonts w:ascii="Times New Roman" w:cs="Times New Roman" w:eastAsia="Times New Roman" w:hAnsi="Times New Roman"/>
                <w:sz w:val="20"/>
                <w:szCs w:val="20"/>
                <w:color w:val="0000EE"/>
              </w:rPr>
            </w:pPr>
            <w:hyperlink w:anchor="page6">
              <w:r>
                <w:rPr>
                  <w:rFonts w:ascii="Times New Roman" w:cs="Times New Roman" w:eastAsia="Times New Roman" w:hAnsi="Times New Roman"/>
                  <w:sz w:val="20"/>
                  <w:szCs w:val="20"/>
                  <w:color w:val="0000EE"/>
                </w:rPr>
                <w:t>For the Thirteen and Twenty-Six Weeks Ended June 30, 2019 and July 1, 2018</w:t>
              </w:r>
            </w:hyperlink>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tcBorders>
              <w:top w:val="single" w:sz="8" w:color="0000EE"/>
            </w:tcBorders>
            <w:gridSpan w:val="11"/>
          </w:tcPr>
          <w:p>
            <w:pPr>
              <w:spacing w:after="0"/>
              <w:rPr>
                <w:rFonts w:ascii="Times New Roman" w:cs="Times New Roman" w:eastAsia="Times New Roman" w:hAnsi="Times New Roman"/>
                <w:sz w:val="20"/>
                <w:szCs w:val="20"/>
                <w:color w:val="0000EE"/>
                <w:w w:val="99"/>
              </w:rPr>
            </w:pPr>
            <w:hyperlink w:anchor="page8">
              <w:r>
                <w:rPr>
                  <w:rFonts w:ascii="Times New Roman" w:cs="Times New Roman" w:eastAsia="Times New Roman" w:hAnsi="Times New Roman"/>
                  <w:sz w:val="20"/>
                  <w:szCs w:val="20"/>
                  <w:color w:val="0000EE"/>
                  <w:w w:val="99"/>
                </w:rPr>
                <w:t>Condensed Consolidated Statements of Cash Flows —</w:t>
              </w:r>
            </w:hyperlink>
          </w:p>
        </w:tc>
        <w:tc>
          <w:tcPr>
            <w:tcW w:w="1840" w:type="dxa"/>
            <w:vAlign w:val="bottom"/>
            <w:tcBorders>
              <w:top w:val="single" w:sz="8" w:color="0000EE"/>
            </w:tcBorders>
            <w:gridSpan w:val="7"/>
          </w:tcPr>
          <w:p>
            <w:pPr>
              <w:spacing w:after="0"/>
              <w:rPr>
                <w:sz w:val="24"/>
                <w:szCs w:val="24"/>
                <w:color w:val="auto"/>
              </w:rPr>
            </w:pPr>
          </w:p>
        </w:tc>
        <w:tc>
          <w:tcPr>
            <w:tcW w:w="2060" w:type="dxa"/>
            <w:vAlign w:val="bottom"/>
            <w:gridSpan w:val="2"/>
          </w:tcPr>
          <w:p>
            <w:pPr>
              <w:spacing w:after="0"/>
              <w:rPr>
                <w:sz w:val="24"/>
                <w:szCs w:val="24"/>
                <w:color w:val="auto"/>
              </w:rPr>
            </w:pPr>
          </w:p>
        </w:tc>
        <w:tc>
          <w:tcPr>
            <w:tcW w:w="860" w:type="dxa"/>
            <w:vAlign w:val="bottom"/>
            <w:gridSpan w:val="2"/>
          </w:tcPr>
          <w:p>
            <w:pPr>
              <w:jc w:val="center"/>
              <w:ind w:left="661"/>
              <w:spacing w:after="0"/>
              <w:rPr>
                <w:rFonts w:ascii="Times New Roman" w:cs="Times New Roman" w:eastAsia="Times New Roman" w:hAnsi="Times New Roman"/>
                <w:sz w:val="20"/>
                <w:szCs w:val="20"/>
                <w:color w:val="0000EE"/>
                <w:w w:val="99"/>
              </w:rPr>
            </w:pPr>
            <w:hyperlink w:anchor="page8">
              <w:r>
                <w:rPr>
                  <w:rFonts w:ascii="Times New Roman" w:cs="Times New Roman" w:eastAsia="Times New Roman" w:hAnsi="Times New Roman"/>
                  <w:sz w:val="20"/>
                  <w:szCs w:val="20"/>
                  <w:color w:val="0000EE"/>
                  <w:w w:val="99"/>
                </w:rPr>
                <w:t>7</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Borders>
              <w:bottom w:val="single" w:sz="8" w:color="0000EE"/>
            </w:tcBorders>
            <w:gridSpan w:val="13"/>
          </w:tcPr>
          <w:p>
            <w:pPr>
              <w:spacing w:after="0" w:line="209" w:lineRule="exact"/>
              <w:rPr>
                <w:rFonts w:ascii="Times New Roman" w:cs="Times New Roman" w:eastAsia="Times New Roman" w:hAnsi="Times New Roman"/>
                <w:sz w:val="20"/>
                <w:szCs w:val="20"/>
                <w:color w:val="0000EE"/>
                <w:w w:val="98"/>
              </w:rPr>
            </w:pPr>
            <w:hyperlink w:anchor="page8">
              <w:r>
                <w:rPr>
                  <w:rFonts w:ascii="Times New Roman" w:cs="Times New Roman" w:eastAsia="Times New Roman" w:hAnsi="Times New Roman"/>
                  <w:sz w:val="20"/>
                  <w:szCs w:val="20"/>
                  <w:color w:val="0000EE"/>
                  <w:w w:val="98"/>
                </w:rPr>
                <w:t>For the Twenty-Six Weeks Ended June 30, 2019 and July 1, 2018</w:t>
              </w:r>
            </w:hyperlink>
          </w:p>
        </w:tc>
        <w:tc>
          <w:tcPr>
            <w:tcW w:w="3100" w:type="dxa"/>
            <w:vAlign w:val="bottom"/>
            <w:gridSpan w:val="7"/>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gridSpan w:val="10"/>
          </w:tcPr>
          <w:p>
            <w:pPr>
              <w:spacing w:after="0"/>
              <w:rPr>
                <w:rFonts w:ascii="Times New Roman" w:cs="Times New Roman" w:eastAsia="Times New Roman" w:hAnsi="Times New Roman"/>
                <w:sz w:val="20"/>
                <w:szCs w:val="20"/>
                <w:color w:val="0000EE"/>
                <w:w w:val="98"/>
              </w:rPr>
            </w:pPr>
            <w:hyperlink w:anchor="page10">
              <w:r>
                <w:rPr>
                  <w:rFonts w:ascii="Times New Roman" w:cs="Times New Roman" w:eastAsia="Times New Roman" w:hAnsi="Times New Roman"/>
                  <w:sz w:val="20"/>
                  <w:szCs w:val="20"/>
                  <w:color w:val="0000EE"/>
                  <w:w w:val="98"/>
                </w:rPr>
                <w:t>Notes to Consolidated Financial Statements</w:t>
              </w:r>
            </w:hyperlink>
          </w:p>
        </w:tc>
        <w:tc>
          <w:tcPr>
            <w:tcW w:w="4820" w:type="dxa"/>
            <w:vAlign w:val="bottom"/>
            <w:gridSpan w:val="10"/>
          </w:tcPr>
          <w:p>
            <w:pPr>
              <w:spacing w:after="0"/>
              <w:rPr>
                <w:sz w:val="24"/>
                <w:szCs w:val="24"/>
                <w:color w:val="auto"/>
              </w:rPr>
            </w:pPr>
          </w:p>
        </w:tc>
        <w:tc>
          <w:tcPr>
            <w:tcW w:w="860" w:type="dxa"/>
            <w:vAlign w:val="bottom"/>
            <w:gridSpan w:val="2"/>
          </w:tcPr>
          <w:p>
            <w:pPr>
              <w:jc w:val="center"/>
              <w:ind w:left="661"/>
              <w:spacing w:after="0"/>
              <w:rPr>
                <w:rFonts w:ascii="Times New Roman" w:cs="Times New Roman" w:eastAsia="Times New Roman" w:hAnsi="Times New Roman"/>
                <w:sz w:val="20"/>
                <w:szCs w:val="20"/>
                <w:color w:val="0000EE"/>
                <w:w w:val="99"/>
              </w:rPr>
            </w:pPr>
            <w:hyperlink w:anchor="page10">
              <w:r>
                <w:rPr>
                  <w:rFonts w:ascii="Times New Roman" w:cs="Times New Roman" w:eastAsia="Times New Roman" w:hAnsi="Times New Roman"/>
                  <w:sz w:val="20"/>
                  <w:szCs w:val="20"/>
                  <w:color w:val="0000EE"/>
                  <w:w w:val="99"/>
                </w:rPr>
                <w:t>9</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2.</w:t>
            </w:r>
          </w:p>
        </w:tc>
        <w:tc>
          <w:tcPr>
            <w:tcW w:w="160" w:type="dxa"/>
            <w:vAlign w:val="bottom"/>
          </w:tcPr>
          <w:p>
            <w:pPr>
              <w:spacing w:after="0"/>
              <w:rPr>
                <w:sz w:val="24"/>
                <w:szCs w:val="24"/>
                <w:color w:val="auto"/>
              </w:rPr>
            </w:pPr>
          </w:p>
        </w:tc>
        <w:tc>
          <w:tcPr>
            <w:tcW w:w="8640" w:type="dxa"/>
            <w:vAlign w:val="bottom"/>
            <w:gridSpan w:val="22"/>
          </w:tcPr>
          <w:p>
            <w:pPr>
              <w:spacing w:after="0"/>
              <w:rPr>
                <w:rFonts w:ascii="Times New Roman" w:cs="Times New Roman" w:eastAsia="Times New Roman" w:hAnsi="Times New Roman"/>
                <w:sz w:val="20"/>
                <w:szCs w:val="20"/>
                <w:color w:val="0000EE"/>
              </w:rPr>
            </w:pPr>
            <w:hyperlink w:anchor="page28">
              <w:r>
                <w:rPr>
                  <w:rFonts w:ascii="Times New Roman" w:cs="Times New Roman" w:eastAsia="Times New Roman" w:hAnsi="Times New Roman"/>
                  <w:sz w:val="20"/>
                  <w:szCs w:val="20"/>
                  <w:color w:val="0000EE"/>
                </w:rPr>
                <w:t>Management’s Discussion and Analysis of Financial Condition and Results of Operations</w:t>
              </w:r>
            </w:hyperlink>
          </w:p>
        </w:tc>
        <w:tc>
          <w:tcPr>
            <w:tcW w:w="1600" w:type="dxa"/>
            <w:vAlign w:val="bottom"/>
            <w:gridSpan w:val="3"/>
          </w:tcPr>
          <w:p>
            <w:pPr>
              <w:jc w:val="center"/>
              <w:spacing w:after="0"/>
              <w:rPr>
                <w:rFonts w:ascii="Times New Roman" w:cs="Times New Roman" w:eastAsia="Times New Roman" w:hAnsi="Times New Roman"/>
                <w:sz w:val="20"/>
                <w:szCs w:val="20"/>
                <w:color w:val="0000EE"/>
                <w:w w:val="99"/>
              </w:rPr>
            </w:pPr>
            <w:hyperlink w:anchor="page28">
              <w:r>
                <w:rPr>
                  <w:rFonts w:ascii="Times New Roman" w:cs="Times New Roman" w:eastAsia="Times New Roman" w:hAnsi="Times New Roman"/>
                  <w:sz w:val="20"/>
                  <w:szCs w:val="20"/>
                  <w:color w:val="0000EE"/>
                  <w:w w:val="99"/>
                </w:rPr>
                <w:t>27</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3.</w:t>
            </w:r>
          </w:p>
        </w:tc>
        <w:tc>
          <w:tcPr>
            <w:tcW w:w="160" w:type="dxa"/>
            <w:vAlign w:val="bottom"/>
          </w:tcPr>
          <w:p>
            <w:pPr>
              <w:spacing w:after="0"/>
              <w:rPr>
                <w:sz w:val="24"/>
                <w:szCs w:val="24"/>
                <w:color w:val="auto"/>
              </w:rPr>
            </w:pPr>
          </w:p>
        </w:tc>
        <w:tc>
          <w:tcPr>
            <w:tcW w:w="4740" w:type="dxa"/>
            <w:vAlign w:val="bottom"/>
            <w:gridSpan w:val="13"/>
          </w:tcPr>
          <w:p>
            <w:pPr>
              <w:spacing w:after="0"/>
              <w:rPr>
                <w:rFonts w:ascii="Times New Roman" w:cs="Times New Roman" w:eastAsia="Times New Roman" w:hAnsi="Times New Roman"/>
                <w:sz w:val="20"/>
                <w:szCs w:val="20"/>
                <w:color w:val="0000EE"/>
                <w:w w:val="97"/>
              </w:rPr>
            </w:pPr>
            <w:hyperlink w:anchor="page48">
              <w:r>
                <w:rPr>
                  <w:rFonts w:ascii="Times New Roman" w:cs="Times New Roman" w:eastAsia="Times New Roman" w:hAnsi="Times New Roman"/>
                  <w:sz w:val="20"/>
                  <w:szCs w:val="20"/>
                  <w:color w:val="0000EE"/>
                  <w:w w:val="97"/>
                </w:rPr>
                <w:t>Quantitative and Qualitative Disclosures About Market Risk</w:t>
              </w:r>
            </w:hyperlink>
          </w:p>
        </w:tc>
        <w:tc>
          <w:tcPr>
            <w:tcW w:w="2360" w:type="dxa"/>
            <w:vAlign w:val="bottom"/>
            <w:gridSpan w:val="8"/>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Times New Roman" w:cs="Times New Roman" w:eastAsia="Times New Roman" w:hAnsi="Times New Roman"/>
                <w:sz w:val="19"/>
                <w:szCs w:val="19"/>
                <w:color w:val="0000EE"/>
                <w:w w:val="73"/>
              </w:rPr>
            </w:pPr>
            <w:hyperlink w:anchor="page48">
              <w:r>
                <w:rPr>
                  <w:rFonts w:ascii="Times New Roman" w:cs="Times New Roman" w:eastAsia="Times New Roman" w:hAnsi="Times New Roman"/>
                  <w:sz w:val="19"/>
                  <w:szCs w:val="19"/>
                  <w:color w:val="0000EE"/>
                  <w:w w:val="73"/>
                </w:rPr>
                <w:t>47</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4.</w:t>
            </w:r>
          </w:p>
        </w:tc>
        <w:tc>
          <w:tcPr>
            <w:tcW w:w="160" w:type="dxa"/>
            <w:vAlign w:val="bottom"/>
          </w:tcPr>
          <w:p>
            <w:pPr>
              <w:spacing w:after="0"/>
              <w:rPr>
                <w:sz w:val="24"/>
                <w:szCs w:val="24"/>
                <w:color w:val="auto"/>
              </w:rPr>
            </w:pPr>
          </w:p>
        </w:tc>
        <w:tc>
          <w:tcPr>
            <w:tcW w:w="4740" w:type="dxa"/>
            <w:vAlign w:val="bottom"/>
            <w:gridSpan w:val="13"/>
          </w:tcPr>
          <w:p>
            <w:pPr>
              <w:spacing w:after="0"/>
              <w:rPr>
                <w:rFonts w:ascii="Times New Roman" w:cs="Times New Roman" w:eastAsia="Times New Roman" w:hAnsi="Times New Roman"/>
                <w:sz w:val="20"/>
                <w:szCs w:val="20"/>
                <w:color w:val="0000FF"/>
              </w:rPr>
            </w:pPr>
            <w:hyperlink w:anchor="page48">
              <w:r>
                <w:rPr>
                  <w:rFonts w:ascii="Times New Roman" w:cs="Times New Roman" w:eastAsia="Times New Roman" w:hAnsi="Times New Roman"/>
                  <w:sz w:val="20"/>
                  <w:szCs w:val="20"/>
                  <w:color w:val="0000FF"/>
                </w:rPr>
                <w:t>Controls and Procedures</w:t>
              </w:r>
            </w:hyperlink>
          </w:p>
        </w:tc>
        <w:tc>
          <w:tcPr>
            <w:tcW w:w="3900" w:type="dxa"/>
            <w:vAlign w:val="bottom"/>
            <w:gridSpan w:val="9"/>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Times New Roman" w:cs="Times New Roman" w:eastAsia="Times New Roman" w:hAnsi="Times New Roman"/>
                <w:sz w:val="19"/>
                <w:szCs w:val="19"/>
                <w:color w:val="0000EE"/>
                <w:w w:val="73"/>
              </w:rPr>
            </w:pPr>
            <w:hyperlink w:anchor="page48">
              <w:r>
                <w:rPr>
                  <w:rFonts w:ascii="Times New Roman" w:cs="Times New Roman" w:eastAsia="Times New Roman" w:hAnsi="Times New Roman"/>
                  <w:sz w:val="19"/>
                  <w:szCs w:val="19"/>
                  <w:color w:val="0000EE"/>
                  <w:w w:val="73"/>
                </w:rPr>
                <w:t>47</w:t>
              </w:r>
            </w:hyperlink>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40" w:type="dxa"/>
            <w:vAlign w:val="bottom"/>
            <w:gridSpan w:val="12"/>
          </w:tcPr>
          <w:p>
            <w:pPr>
              <w:jc w:val="center"/>
              <w:ind w:right="2820"/>
              <w:spacing w:after="0"/>
              <w:rPr>
                <w:rFonts w:ascii="Times New Roman" w:cs="Times New Roman" w:eastAsia="Times New Roman" w:hAnsi="Times New Roman"/>
                <w:sz w:val="20"/>
                <w:szCs w:val="20"/>
                <w:color w:val="0000FF"/>
                <w:w w:val="97"/>
              </w:rPr>
            </w:pPr>
            <w:hyperlink w:anchor="page49">
              <w:r>
                <w:rPr>
                  <w:rFonts w:ascii="Times New Roman" w:cs="Times New Roman" w:eastAsia="Times New Roman" w:hAnsi="Times New Roman"/>
                  <w:sz w:val="20"/>
                  <w:szCs w:val="20"/>
                  <w:color w:val="0000FF"/>
                  <w:w w:val="97"/>
                </w:rPr>
                <w:t>PART II — OTHER INFORMATION</w:t>
              </w:r>
            </w:hyperlink>
          </w:p>
        </w:tc>
        <w:tc>
          <w:tcPr>
            <w:tcW w:w="7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r>
      <w:tr>
        <w:trPr>
          <w:trHeight w:val="264"/>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w:t>
            </w:r>
          </w:p>
        </w:tc>
        <w:tc>
          <w:tcPr>
            <w:tcW w:w="160" w:type="dxa"/>
            <w:vAlign w:val="bottom"/>
          </w:tcPr>
          <w:p>
            <w:pPr>
              <w:spacing w:after="0"/>
              <w:rPr>
                <w:sz w:val="22"/>
                <w:szCs w:val="22"/>
                <w:color w:val="auto"/>
              </w:rPr>
            </w:pPr>
          </w:p>
        </w:tc>
        <w:tc>
          <w:tcPr>
            <w:tcW w:w="1440" w:type="dxa"/>
            <w:vAlign w:val="bottom"/>
            <w:gridSpan w:val="6"/>
          </w:tcPr>
          <w:p>
            <w:pPr>
              <w:spacing w:after="0"/>
              <w:rPr>
                <w:rFonts w:ascii="Times New Roman" w:cs="Times New Roman" w:eastAsia="Times New Roman" w:hAnsi="Times New Roman"/>
                <w:sz w:val="20"/>
                <w:szCs w:val="20"/>
                <w:color w:val="0000FF"/>
                <w:w w:val="94"/>
              </w:rPr>
            </w:pPr>
            <w:hyperlink w:anchor="page49">
              <w:r>
                <w:rPr>
                  <w:rFonts w:ascii="Times New Roman" w:cs="Times New Roman" w:eastAsia="Times New Roman" w:hAnsi="Times New Roman"/>
                  <w:sz w:val="20"/>
                  <w:szCs w:val="20"/>
                  <w:color w:val="0000FF"/>
                  <w:w w:val="94"/>
                </w:rPr>
                <w:t>Legal Proceedings</w:t>
              </w:r>
            </w:hyperlink>
          </w:p>
        </w:tc>
        <w:tc>
          <w:tcPr>
            <w:tcW w:w="1360" w:type="dxa"/>
            <w:vAlign w:val="bottom"/>
            <w:gridSpan w:val="4"/>
          </w:tcPr>
          <w:p>
            <w:pPr>
              <w:spacing w:after="0"/>
              <w:rPr>
                <w:sz w:val="22"/>
                <w:szCs w:val="22"/>
                <w:color w:val="auto"/>
              </w:rPr>
            </w:pPr>
          </w:p>
        </w:tc>
        <w:tc>
          <w:tcPr>
            <w:tcW w:w="3020" w:type="dxa"/>
            <w:vAlign w:val="bottom"/>
            <w:tcBorders>
              <w:top w:val="single" w:sz="8" w:color="0000FF"/>
            </w:tcBorders>
            <w:gridSpan w:val="6"/>
          </w:tcPr>
          <w:p>
            <w:pPr>
              <w:spacing w:after="0"/>
              <w:rPr>
                <w:sz w:val="22"/>
                <w:szCs w:val="22"/>
                <w:color w:val="auto"/>
              </w:rPr>
            </w:pPr>
          </w:p>
        </w:tc>
        <w:tc>
          <w:tcPr>
            <w:tcW w:w="2820" w:type="dxa"/>
            <w:vAlign w:val="bottom"/>
            <w:gridSpan w:val="6"/>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gridSpan w:val="2"/>
          </w:tcPr>
          <w:p>
            <w:pPr>
              <w:jc w:val="center"/>
              <w:ind w:right="700"/>
              <w:spacing w:after="0"/>
              <w:rPr>
                <w:rFonts w:ascii="Times New Roman" w:cs="Times New Roman" w:eastAsia="Times New Roman" w:hAnsi="Times New Roman"/>
                <w:sz w:val="19"/>
                <w:szCs w:val="19"/>
                <w:color w:val="0000EE"/>
                <w:w w:val="73"/>
              </w:rPr>
            </w:pPr>
            <w:hyperlink w:anchor="page49">
              <w:r>
                <w:rPr>
                  <w:rFonts w:ascii="Times New Roman" w:cs="Times New Roman" w:eastAsia="Times New Roman" w:hAnsi="Times New Roman"/>
                  <w:sz w:val="19"/>
                  <w:szCs w:val="19"/>
                  <w:color w:val="0000EE"/>
                  <w:w w:val="73"/>
                </w:rPr>
                <w:t>48</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1A.</w:t>
            </w:r>
          </w:p>
        </w:tc>
        <w:tc>
          <w:tcPr>
            <w:tcW w:w="160" w:type="dxa"/>
            <w:vAlign w:val="bottom"/>
          </w:tcPr>
          <w:p>
            <w:pPr>
              <w:spacing w:after="0"/>
              <w:rPr>
                <w:sz w:val="24"/>
                <w:szCs w:val="24"/>
                <w:color w:val="auto"/>
              </w:rPr>
            </w:pPr>
          </w:p>
        </w:tc>
        <w:tc>
          <w:tcPr>
            <w:tcW w:w="1000" w:type="dxa"/>
            <w:vAlign w:val="bottom"/>
            <w:gridSpan w:val="5"/>
          </w:tcPr>
          <w:p>
            <w:pPr>
              <w:spacing w:after="0"/>
              <w:rPr>
                <w:rFonts w:ascii="Times New Roman" w:cs="Times New Roman" w:eastAsia="Times New Roman" w:hAnsi="Times New Roman"/>
                <w:sz w:val="20"/>
                <w:szCs w:val="20"/>
                <w:color w:val="0000FF"/>
                <w:w w:val="97"/>
              </w:rPr>
            </w:pPr>
            <w:hyperlink w:anchor="page49">
              <w:r>
                <w:rPr>
                  <w:rFonts w:ascii="Times New Roman" w:cs="Times New Roman" w:eastAsia="Times New Roman" w:hAnsi="Times New Roman"/>
                  <w:sz w:val="20"/>
                  <w:szCs w:val="20"/>
                  <w:color w:val="0000FF"/>
                  <w:w w:val="97"/>
                </w:rPr>
                <w:t>Risk Factors</w:t>
              </w:r>
            </w:hyperlink>
          </w:p>
        </w:tc>
        <w:tc>
          <w:tcPr>
            <w:tcW w:w="440" w:type="dxa"/>
            <w:vAlign w:val="bottom"/>
          </w:tcPr>
          <w:p>
            <w:pPr>
              <w:spacing w:after="0"/>
              <w:rPr>
                <w:sz w:val="24"/>
                <w:szCs w:val="24"/>
                <w:color w:val="auto"/>
              </w:rPr>
            </w:pPr>
          </w:p>
        </w:tc>
        <w:tc>
          <w:tcPr>
            <w:tcW w:w="7200" w:type="dxa"/>
            <w:vAlign w:val="bottom"/>
            <w:gridSpan w:val="16"/>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Times New Roman" w:cs="Times New Roman" w:eastAsia="Times New Roman" w:hAnsi="Times New Roman"/>
                <w:sz w:val="19"/>
                <w:szCs w:val="19"/>
                <w:color w:val="0000EE"/>
                <w:w w:val="73"/>
              </w:rPr>
            </w:pPr>
            <w:hyperlink w:anchor="page49">
              <w:r>
                <w:rPr>
                  <w:rFonts w:ascii="Times New Roman" w:cs="Times New Roman" w:eastAsia="Times New Roman" w:hAnsi="Times New Roman"/>
                  <w:sz w:val="19"/>
                  <w:szCs w:val="19"/>
                  <w:color w:val="0000EE"/>
                  <w:w w:val="73"/>
                </w:rPr>
                <w:t>48</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2.</w:t>
            </w:r>
          </w:p>
        </w:tc>
        <w:tc>
          <w:tcPr>
            <w:tcW w:w="160" w:type="dxa"/>
            <w:vAlign w:val="bottom"/>
          </w:tcPr>
          <w:p>
            <w:pPr>
              <w:spacing w:after="0"/>
              <w:rPr>
                <w:sz w:val="24"/>
                <w:szCs w:val="24"/>
                <w:color w:val="auto"/>
              </w:rPr>
            </w:pPr>
          </w:p>
        </w:tc>
        <w:tc>
          <w:tcPr>
            <w:tcW w:w="8640" w:type="dxa"/>
            <w:vAlign w:val="bottom"/>
            <w:gridSpan w:val="22"/>
          </w:tcPr>
          <w:p>
            <w:pPr>
              <w:spacing w:after="0"/>
              <w:rPr>
                <w:rFonts w:ascii="Times New Roman" w:cs="Times New Roman" w:eastAsia="Times New Roman" w:hAnsi="Times New Roman"/>
                <w:sz w:val="20"/>
                <w:szCs w:val="20"/>
                <w:color w:val="0000FF"/>
              </w:rPr>
            </w:pPr>
            <w:hyperlink w:anchor="page49">
              <w:r>
                <w:rPr>
                  <w:rFonts w:ascii="Times New Roman" w:cs="Times New Roman" w:eastAsia="Times New Roman" w:hAnsi="Times New Roman"/>
                  <w:sz w:val="20"/>
                  <w:szCs w:val="20"/>
                  <w:color w:val="0000FF"/>
                </w:rPr>
                <w:t>Unregistered Sales of Equity Securities and Use of Proceeds</w:t>
              </w:r>
            </w:hyperlink>
          </w:p>
        </w:tc>
        <w:tc>
          <w:tcPr>
            <w:tcW w:w="1600" w:type="dxa"/>
            <w:vAlign w:val="bottom"/>
            <w:gridSpan w:val="3"/>
          </w:tcPr>
          <w:p>
            <w:pPr>
              <w:jc w:val="center"/>
              <w:spacing w:after="0"/>
              <w:rPr>
                <w:rFonts w:ascii="Times New Roman" w:cs="Times New Roman" w:eastAsia="Times New Roman" w:hAnsi="Times New Roman"/>
                <w:sz w:val="20"/>
                <w:szCs w:val="20"/>
                <w:color w:val="0000EE"/>
                <w:w w:val="99"/>
              </w:rPr>
            </w:pPr>
            <w:hyperlink w:anchor="page49">
              <w:r>
                <w:rPr>
                  <w:rFonts w:ascii="Times New Roman" w:cs="Times New Roman" w:eastAsia="Times New Roman" w:hAnsi="Times New Roman"/>
                  <w:sz w:val="20"/>
                  <w:szCs w:val="20"/>
                  <w:color w:val="0000EE"/>
                  <w:w w:val="99"/>
                </w:rPr>
                <w:t>48</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5.</w:t>
            </w:r>
          </w:p>
        </w:tc>
        <w:tc>
          <w:tcPr>
            <w:tcW w:w="160" w:type="dxa"/>
            <w:vAlign w:val="bottom"/>
          </w:tcPr>
          <w:p>
            <w:pPr>
              <w:spacing w:after="0"/>
              <w:rPr>
                <w:sz w:val="24"/>
                <w:szCs w:val="24"/>
                <w:color w:val="auto"/>
              </w:rPr>
            </w:pPr>
          </w:p>
        </w:tc>
        <w:tc>
          <w:tcPr>
            <w:tcW w:w="4740" w:type="dxa"/>
            <w:vAlign w:val="bottom"/>
            <w:gridSpan w:val="13"/>
          </w:tcPr>
          <w:p>
            <w:pPr>
              <w:spacing w:after="0"/>
              <w:rPr>
                <w:rFonts w:ascii="Times New Roman" w:cs="Times New Roman" w:eastAsia="Times New Roman" w:hAnsi="Times New Roman"/>
                <w:sz w:val="20"/>
                <w:szCs w:val="20"/>
                <w:color w:val="0000EE"/>
              </w:rPr>
            </w:pPr>
            <w:hyperlink w:anchor="page49">
              <w:r>
                <w:rPr>
                  <w:rFonts w:ascii="Times New Roman" w:cs="Times New Roman" w:eastAsia="Times New Roman" w:hAnsi="Times New Roman"/>
                  <w:sz w:val="20"/>
                  <w:szCs w:val="20"/>
                  <w:color w:val="0000EE"/>
                </w:rPr>
                <w:t>Other Information</w:t>
              </w:r>
            </w:hyperlink>
          </w:p>
        </w:tc>
        <w:tc>
          <w:tcPr>
            <w:tcW w:w="3900" w:type="dxa"/>
            <w:vAlign w:val="bottom"/>
            <w:gridSpan w:val="9"/>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Times New Roman" w:cs="Times New Roman" w:eastAsia="Times New Roman" w:hAnsi="Times New Roman"/>
                <w:sz w:val="19"/>
                <w:szCs w:val="19"/>
                <w:color w:val="0000EE"/>
                <w:w w:val="73"/>
              </w:rPr>
            </w:pPr>
            <w:hyperlink w:anchor="page49">
              <w:r>
                <w:rPr>
                  <w:rFonts w:ascii="Times New Roman" w:cs="Times New Roman" w:eastAsia="Times New Roman" w:hAnsi="Times New Roman"/>
                  <w:sz w:val="19"/>
                  <w:szCs w:val="19"/>
                  <w:color w:val="0000EE"/>
                  <w:w w:val="73"/>
                </w:rPr>
                <w:t>48</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200" w:type="dxa"/>
            <w:vAlign w:val="bottom"/>
            <w:gridSpan w:val="16"/>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6.</w:t>
            </w:r>
          </w:p>
        </w:tc>
        <w:tc>
          <w:tcPr>
            <w:tcW w:w="160" w:type="dxa"/>
            <w:vAlign w:val="bottom"/>
          </w:tcPr>
          <w:p>
            <w:pPr>
              <w:spacing w:after="0"/>
              <w:rPr>
                <w:sz w:val="24"/>
                <w:szCs w:val="24"/>
                <w:color w:val="auto"/>
              </w:rPr>
            </w:pPr>
          </w:p>
        </w:tc>
        <w:tc>
          <w:tcPr>
            <w:tcW w:w="1440" w:type="dxa"/>
            <w:vAlign w:val="bottom"/>
            <w:gridSpan w:val="6"/>
          </w:tcPr>
          <w:p>
            <w:pPr>
              <w:spacing w:after="0"/>
              <w:rPr>
                <w:rFonts w:ascii="Times New Roman" w:cs="Times New Roman" w:eastAsia="Times New Roman" w:hAnsi="Times New Roman"/>
                <w:sz w:val="20"/>
                <w:szCs w:val="20"/>
                <w:color w:val="0000FF"/>
              </w:rPr>
            </w:pPr>
            <w:hyperlink w:anchor="page50">
              <w:r>
                <w:rPr>
                  <w:rFonts w:ascii="Times New Roman" w:cs="Times New Roman" w:eastAsia="Times New Roman" w:hAnsi="Times New Roman"/>
                  <w:sz w:val="20"/>
                  <w:szCs w:val="20"/>
                  <w:color w:val="0000FF"/>
                </w:rPr>
                <w:t>Exhibits</w:t>
              </w:r>
            </w:hyperlink>
          </w:p>
        </w:tc>
        <w:tc>
          <w:tcPr>
            <w:tcW w:w="7200" w:type="dxa"/>
            <w:vAlign w:val="bottom"/>
            <w:gridSpan w:val="16"/>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Times New Roman" w:cs="Times New Roman" w:eastAsia="Times New Roman" w:hAnsi="Times New Roman"/>
                <w:sz w:val="19"/>
                <w:szCs w:val="19"/>
                <w:color w:val="0000EE"/>
                <w:w w:val="73"/>
              </w:rPr>
            </w:pPr>
            <w:hyperlink w:anchor="page50">
              <w:r>
                <w:rPr>
                  <w:rFonts w:ascii="Times New Roman" w:cs="Times New Roman" w:eastAsia="Times New Roman" w:hAnsi="Times New Roman"/>
                  <w:sz w:val="19"/>
                  <w:szCs w:val="19"/>
                  <w:color w:val="0000EE"/>
                  <w:w w:val="73"/>
                </w:rPr>
                <w:t>49</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80" w:type="dxa"/>
            <w:vAlign w:val="bottom"/>
            <w:gridSpan w:val="18"/>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40" w:type="dxa"/>
            <w:vAlign w:val="bottom"/>
            <w:gridSpan w:val="22"/>
          </w:tcPr>
          <w:p>
            <w:pPr>
              <w:spacing w:after="0"/>
              <w:rPr>
                <w:rFonts w:ascii="Times New Roman" w:cs="Times New Roman" w:eastAsia="Times New Roman" w:hAnsi="Times New Roman"/>
                <w:sz w:val="20"/>
                <w:szCs w:val="20"/>
                <w:color w:val="0000FF"/>
              </w:rPr>
            </w:pPr>
            <w:hyperlink w:anchor="page51">
              <w:r>
                <w:rPr>
                  <w:rFonts w:ascii="Times New Roman" w:cs="Times New Roman" w:eastAsia="Times New Roman" w:hAnsi="Times New Roman"/>
                  <w:sz w:val="20"/>
                  <w:szCs w:val="20"/>
                  <w:color w:val="0000FF"/>
                </w:rPr>
                <w:t>Signature</w:t>
              </w:r>
            </w:hyperlink>
          </w:p>
        </w:tc>
        <w:tc>
          <w:tcPr>
            <w:tcW w:w="1600" w:type="dxa"/>
            <w:vAlign w:val="bottom"/>
            <w:gridSpan w:val="3"/>
          </w:tcPr>
          <w:p>
            <w:pPr>
              <w:jc w:val="center"/>
              <w:spacing w:after="0"/>
              <w:rPr>
                <w:rFonts w:ascii="Times New Roman" w:cs="Times New Roman" w:eastAsia="Times New Roman" w:hAnsi="Times New Roman"/>
                <w:sz w:val="20"/>
                <w:szCs w:val="20"/>
                <w:color w:val="0000EE"/>
                <w:w w:val="99"/>
              </w:rPr>
            </w:pPr>
            <w:hyperlink w:anchor="page51">
              <w:r>
                <w:rPr>
                  <w:rFonts w:ascii="Times New Roman" w:cs="Times New Roman" w:eastAsia="Times New Roman" w:hAnsi="Times New Roman"/>
                  <w:sz w:val="20"/>
                  <w:szCs w:val="20"/>
                  <w:color w:val="0000EE"/>
                  <w:w w:val="99"/>
                </w:rPr>
                <w:t>50</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4"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 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30, 2018</w:t>
            </w:r>
          </w:p>
        </w:tc>
      </w:tr>
      <w:tr>
        <w:trPr>
          <w:trHeight w:val="237"/>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64,653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71,823</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69,238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72,812</w:t>
            </w:r>
          </w:p>
        </w:tc>
      </w:tr>
      <w:tr>
        <w:trPr>
          <w:trHeight w:val="270"/>
        </w:trPr>
        <w:tc>
          <w:tcPr>
            <w:tcW w:w="7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current assets, net</w:t>
            </w: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97,821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190,848</w:t>
            </w:r>
          </w:p>
        </w:tc>
      </w:tr>
      <w:tr>
        <w:trPr>
          <w:trHeight w:val="230"/>
        </w:trPr>
        <w:tc>
          <w:tcPr>
            <w:tcW w:w="7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233,899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335,483</w:t>
            </w:r>
          </w:p>
        </w:tc>
      </w:tr>
      <w:tr>
        <w:trPr>
          <w:trHeight w:val="237"/>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1,058,938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1,115,929</w:t>
            </w:r>
          </w:p>
        </w:tc>
      </w:tr>
      <w:tr>
        <w:trPr>
          <w:trHeight w:val="33"/>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1,275,303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294,292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295,427</w:t>
            </w:r>
          </w:p>
        </w:tc>
      </w:tr>
      <w:tr>
        <w:trPr>
          <w:trHeight w:val="33"/>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476,470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503,972</w:t>
            </w:r>
          </w:p>
        </w:tc>
      </w:tr>
      <w:tr>
        <w:trPr>
          <w:trHeight w:val="237"/>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56,499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92,990</w:t>
            </w:r>
          </w:p>
        </w:tc>
      </w:tr>
      <w:tr>
        <w:trPr>
          <w:trHeight w:val="33"/>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 net</w:t>
            </w:r>
          </w:p>
        </w:tc>
        <w:tc>
          <w:tcPr>
            <w:tcW w:w="34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116,325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120,973</w:t>
            </w:r>
          </w:p>
        </w:tc>
      </w:tr>
      <w:tr>
        <w:trPr>
          <w:trHeight w:val="290"/>
        </w:trPr>
        <w:tc>
          <w:tcPr>
            <w:tcW w:w="73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3,511,726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2,464,774</w:t>
            </w:r>
          </w:p>
        </w:tc>
      </w:tr>
      <w:tr>
        <w:trPr>
          <w:trHeight w:val="224"/>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3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r>
      <w:tr>
        <w:trPr>
          <w:trHeight w:val="237"/>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151,495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174,488</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371,079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246,653</w:t>
            </w:r>
          </w:p>
        </w:tc>
      </w:tr>
      <w:tr>
        <w:trPr>
          <w:trHeight w:val="33"/>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Unearned revenue</w:t>
            </w:r>
          </w:p>
        </w:tc>
        <w:tc>
          <w:tcPr>
            <w:tcW w:w="3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237,304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342,708</w:t>
            </w:r>
          </w:p>
        </w:tc>
      </w:tr>
      <w:tr>
        <w:trPr>
          <w:trHeight w:val="270"/>
        </w:trPr>
        <w:tc>
          <w:tcPr>
            <w:tcW w:w="7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26,706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27,190</w:t>
            </w:r>
          </w:p>
        </w:tc>
      </w:tr>
      <w:tr>
        <w:trPr>
          <w:trHeight w:val="230"/>
        </w:trPr>
        <w:tc>
          <w:tcPr>
            <w:tcW w:w="7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786,584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791,039</w:t>
            </w:r>
          </w:p>
        </w:tc>
      </w:tr>
      <w:tr>
        <w:trPr>
          <w:trHeight w:val="237"/>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1,284,574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rent</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167,027</w:t>
            </w:r>
          </w:p>
        </w:tc>
      </w:tr>
      <w:tr>
        <w:trPr>
          <w:trHeight w:val="237"/>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14,790</w:t>
            </w:r>
          </w:p>
        </w:tc>
      </w:tr>
      <w:tr>
        <w:trPr>
          <w:trHeight w:val="33"/>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net</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1,122,189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1,067,585</w:t>
            </w:r>
          </w:p>
        </w:tc>
      </w:tr>
      <w:tr>
        <w:trPr>
          <w:trHeight w:val="237"/>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portion of deferred gain on sale-leaseback transactions, net</w:t>
            </w:r>
          </w:p>
        </w:tc>
        <w:tc>
          <w:tcPr>
            <w:tcW w:w="340" w:type="dxa"/>
            <w:vAlign w:val="bottom"/>
          </w:tcPr>
          <w:p>
            <w:pPr>
              <w:spacing w:after="0"/>
              <w:rPr>
                <w:sz w:val="20"/>
                <w:szCs w:val="20"/>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177,983</w:t>
            </w:r>
          </w:p>
        </w:tc>
      </w:tr>
      <w:tr>
        <w:trPr>
          <w:trHeight w:val="33"/>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34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146,118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191,533</w:t>
            </w:r>
          </w:p>
        </w:tc>
      </w:tr>
      <w:tr>
        <w:trPr>
          <w:trHeight w:val="270"/>
        </w:trPr>
        <w:tc>
          <w:tcPr>
            <w:tcW w:w="73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3,353,133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2,409,957</w:t>
            </w: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3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37"/>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Bloomin’ Brands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Preferred stock, $0.01 par value, 25,000,000 shares authorized; no shares issued and outstanding as of</w:t>
            </w: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June 30, 2019 and December 30, 2018</w:t>
            </w:r>
          </w:p>
        </w:tc>
        <w:tc>
          <w:tcPr>
            <w:tcW w:w="34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6"/>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shd w:val="clear" w:color="auto" w:fill="CCEEFF"/>
              </w:rPr>
              <w:t>Common stock, $0.01 par value, 475,000,000 shares authorized; 86,826,650 and 91,271,825 shares issued</w:t>
            </w: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3"/>
        </w:trPr>
        <w:tc>
          <w:tcPr>
            <w:tcW w:w="7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shd w:val="clear" w:color="auto" w:fill="CCEEFF"/>
              </w:rPr>
              <w:t>and outstanding as of June 30, 2019 and December 30, 2018, respectively</w:t>
            </w:r>
          </w:p>
        </w:tc>
        <w:tc>
          <w:tcPr>
            <w:tcW w:w="3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913</w:t>
            </w:r>
          </w:p>
        </w:tc>
      </w:tr>
      <w:tr>
        <w:trPr>
          <w:trHeight w:val="237"/>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1,099,598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1,107,582</w:t>
            </w:r>
          </w:p>
        </w:tc>
      </w:tr>
      <w:tr>
        <w:trPr>
          <w:trHeight w:val="33"/>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(920,010)</w:t>
            </w:r>
          </w:p>
        </w:tc>
      </w:tr>
      <w:tr>
        <w:trPr>
          <w:trHeight w:val="270"/>
        </w:trPr>
        <w:tc>
          <w:tcPr>
            <w:tcW w:w="73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(157,346)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(142,755)</w:t>
            </w:r>
          </w:p>
        </w:tc>
      </w:tr>
      <w:tr>
        <w:trPr>
          <w:trHeight w:val="230"/>
        </w:trPr>
        <w:tc>
          <w:tcPr>
            <w:tcW w:w="73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Bloomin’ Brands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150,779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45,730</w:t>
            </w:r>
          </w:p>
        </w:tc>
      </w:tr>
      <w:tr>
        <w:trPr>
          <w:trHeight w:val="270"/>
        </w:trPr>
        <w:tc>
          <w:tcPr>
            <w:tcW w:w="7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7,814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9,087</w:t>
            </w:r>
          </w:p>
        </w:tc>
      </w:tr>
      <w:tr>
        <w:trPr>
          <w:trHeight w:val="257"/>
        </w:trPr>
        <w:tc>
          <w:tcPr>
            <w:tcW w:w="73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158,593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54,817</w:t>
            </w:r>
          </w:p>
        </w:tc>
      </w:tr>
      <w:tr>
        <w:trPr>
          <w:trHeight w:val="250"/>
        </w:trPr>
        <w:tc>
          <w:tcPr>
            <w:tcW w:w="73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3,511,726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2,464,774</w:t>
            </w:r>
          </w:p>
        </w:tc>
      </w:tr>
      <w:tr>
        <w:trPr>
          <w:trHeight w:val="20"/>
        </w:trPr>
        <w:tc>
          <w:tcPr>
            <w:tcW w:w="7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Restaurant sales</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1,005,687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1,015,484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2,117,329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2,114,487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16,243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32,732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33,792</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1,021,930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1,031,814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2,150,061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2,148,279</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Costs and expenses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312,679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322,790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664,790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674,922</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Labor and other related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301,213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301,921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620,228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612,983</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240,895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238,379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491,749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491,724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49,788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50,782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100,902</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71,955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76,129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142,544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144,825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11,628</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978,470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998,890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2,024,107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2,036,984</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43,460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32,924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125,954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111,295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(21,629)</w:t>
            </w:r>
          </w:p>
        </w:tc>
        <w:tc>
          <w:tcPr>
            <w:tcW w:w="0" w:type="dxa"/>
            <w:vAlign w:val="bottom"/>
          </w:tcPr>
          <w:p>
            <w:pPr>
              <w:spacing w:after="0"/>
              <w:rPr>
                <w:sz w:val="1"/>
                <w:szCs w:val="1"/>
                <w:color w:val="auto"/>
              </w:rPr>
            </w:pPr>
          </w:p>
        </w:tc>
      </w:tr>
      <w:tr>
        <w:trPr>
          <w:trHeight w:val="224"/>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before provision (benefit) for income taxes</w:t>
            </w:r>
          </w:p>
        </w:tc>
        <w:tc>
          <w:tcPr>
            <w:tcW w:w="16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31,024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21,599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102,169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89,661</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0" w:type="dxa"/>
            <w:vAlign w:val="bottom"/>
          </w:tcPr>
          <w:p>
            <w:pPr>
              <w:spacing w:after="0"/>
              <w:rPr>
                <w:sz w:val="1"/>
                <w:szCs w:val="1"/>
                <w:color w:val="auto"/>
              </w:rPr>
            </w:pPr>
          </w:p>
        </w:tc>
      </w:tr>
      <w:tr>
        <w:trPr>
          <w:trHeight w:val="224"/>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29,809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95,458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92,860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741</w:t>
            </w:r>
          </w:p>
        </w:tc>
        <w:tc>
          <w:tcPr>
            <w:tcW w:w="0" w:type="dxa"/>
            <w:vAlign w:val="bottom"/>
          </w:tcPr>
          <w:p>
            <w:pPr>
              <w:spacing w:after="0"/>
              <w:rPr>
                <w:sz w:val="1"/>
                <w:szCs w:val="1"/>
                <w:color w:val="auto"/>
              </w:rPr>
            </w:pPr>
          </w:p>
        </w:tc>
      </w:tr>
      <w:tr>
        <w:trPr>
          <w:trHeight w:val="290"/>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attributable to Bloomin’ Brands</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29,021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93,321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92,119</w:t>
            </w:r>
          </w:p>
        </w:tc>
        <w:tc>
          <w:tcPr>
            <w:tcW w:w="0" w:type="dxa"/>
            <w:vAlign w:val="bottom"/>
          </w:tcPr>
          <w:p>
            <w:pPr>
              <w:spacing w:after="0"/>
              <w:rPr>
                <w:sz w:val="1"/>
                <w:szCs w:val="1"/>
                <w:color w:val="auto"/>
              </w:rPr>
            </w:pPr>
          </w:p>
        </w:tc>
      </w:tr>
      <w:tr>
        <w:trPr>
          <w:trHeight w:val="271"/>
        </w:trPr>
        <w:tc>
          <w:tcPr>
            <w:tcW w:w="56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29,809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95,458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92,860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(loss) gain on derivatives,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1,184</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Reclassification of adjustment for loss (gain) on derivatives included in Net</w:t>
            </w:r>
          </w:p>
        </w:tc>
        <w:tc>
          <w:tcPr>
            <w:tcW w:w="160" w:type="dxa"/>
            <w:vAlign w:val="bottom"/>
          </w:tcPr>
          <w:p>
            <w:pPr>
              <w:spacing w:after="0"/>
              <w:rPr>
                <w:sz w:val="18"/>
                <w:szCs w:val="18"/>
                <w:color w:val="auto"/>
              </w:rPr>
            </w:pPr>
          </w:p>
        </w:tc>
        <w:tc>
          <w:tcPr>
            <w:tcW w:w="12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net of tax</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14,224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80,883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65,728</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896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2,153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1,081</w:t>
            </w:r>
          </w:p>
        </w:tc>
        <w:tc>
          <w:tcPr>
            <w:tcW w:w="0" w:type="dxa"/>
            <w:vAlign w:val="bottom"/>
          </w:tcPr>
          <w:p>
            <w:pPr>
              <w:spacing w:after="0"/>
              <w:rPr>
                <w:sz w:val="1"/>
                <w:szCs w:val="1"/>
                <w:color w:val="auto"/>
              </w:rPr>
            </w:pPr>
          </w:p>
        </w:tc>
      </w:tr>
      <w:tr>
        <w:trPr>
          <w:trHeight w:val="244"/>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 attributable to Bloomin’ Brands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13,328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78,730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64,647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7"/>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0.32</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w:t>
            </w:r>
          </w:p>
        </w:tc>
        <w:tc>
          <w:tcPr>
            <w:tcW w:w="3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0.97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90,194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90,805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92,194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90,953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94,361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91,807</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95,072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 UNAUDITED)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BLOOMIN’ BRANDS, INC.</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300" w:type="dxa"/>
            <w:vAlign w:val="bottom"/>
          </w:tcPr>
          <w:p>
            <w:pPr>
              <w:spacing w:after="0"/>
              <w:rPr>
                <w:sz w:val="13"/>
                <w:szCs w:val="13"/>
                <w:color w:val="auto"/>
              </w:rPr>
            </w:pPr>
          </w:p>
        </w:tc>
        <w:tc>
          <w:tcPr>
            <w:tcW w:w="1980" w:type="dxa"/>
            <w:vAlign w:val="bottom"/>
            <w:gridSpan w:val="4"/>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300" w:type="dxa"/>
            <w:vAlign w:val="bottom"/>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300" w:type="dxa"/>
            <w:vAlign w:val="bottom"/>
          </w:tcPr>
          <w:p>
            <w:pPr>
              <w:spacing w:after="0"/>
              <w:rPr>
                <w:sz w:val="9"/>
                <w:szCs w:val="9"/>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9"/>
                <w:szCs w:val="9"/>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9"/>
                <w:szCs w:val="9"/>
                <w:color w:val="auto"/>
              </w:rPr>
            </w:pPr>
          </w:p>
        </w:tc>
        <w:tc>
          <w:tcPr>
            <w:tcW w:w="1340" w:type="dxa"/>
            <w:vAlign w:val="bottom"/>
            <w:gridSpan w:val="2"/>
          </w:tcPr>
          <w:p>
            <w:pPr>
              <w:jc w:val="center"/>
              <w:ind w:right="280"/>
              <w:spacing w:after="0" w:line="110"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200" w:type="dxa"/>
            <w:vAlign w:val="bottom"/>
          </w:tcPr>
          <w:p>
            <w:pPr>
              <w:spacing w:after="0"/>
              <w:rPr>
                <w:sz w:val="9"/>
                <w:szCs w:val="9"/>
                <w:color w:val="auto"/>
              </w:rPr>
            </w:pPr>
          </w:p>
        </w:tc>
        <w:tc>
          <w:tcPr>
            <w:tcW w:w="104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2"/>
                <w:szCs w:val="12"/>
                <w:b w:val="1"/>
                <w:bCs w:val="1"/>
                <w:color w:val="auto"/>
              </w:rPr>
              <w:t>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0"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23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Balance, March 31, 2019</w:t>
            </w:r>
          </w:p>
        </w:tc>
        <w:tc>
          <w:tcPr>
            <w:tcW w:w="9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91,647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1,099,346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252,363</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29,809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net of tax</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(15,585)</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dividends declared, $0.10</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 common share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and retirement of</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(106,937)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(106,992)</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5,137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stock issued under stock</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plans (1)</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4,499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4,506</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 of noncontrolling</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Distributions to noncontrolling</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Contributions from noncontrolling</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June 30, 2019</w:t>
            </w:r>
          </w:p>
        </w:tc>
        <w:tc>
          <w:tcPr>
            <w:tcW w:w="9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86,827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1,099,598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158,593</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3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December 30, 2018</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91,272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1,107,582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(920,010)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54,817</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Cumulative-effect from a change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 accounting principle, net of tax</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141,285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141,285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95,458</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net of tax</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dividends declared, $0.20</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 common share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(18,367)</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and retirement of</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(106,992)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9,130</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issued under stock</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plans (1)</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of noncontrolling</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to noncontrolling</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Contributions from noncontrolling</w:t>
            </w:r>
          </w:p>
        </w:tc>
        <w:tc>
          <w:tcPr>
            <w:tcW w:w="10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37"/>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10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30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Balance, June 30, 2019</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86,827</w:t>
            </w: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868</w:t>
            </w:r>
          </w:p>
        </w:tc>
        <w:tc>
          <w:tcPr>
            <w:tcW w:w="14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1,099,598</w:t>
            </w: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(792,341)</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(157,346)</w:t>
            </w: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7,814</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158,593</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6"/>
          <w:szCs w:val="16"/>
          <w:color w:val="auto"/>
        </w:rPr>
        <w:t>(CONTINUED...)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 UNAUDITED)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BLOOMIN’ BRANDS, INC.</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300" w:type="dxa"/>
            <w:vAlign w:val="bottom"/>
          </w:tcPr>
          <w:p>
            <w:pPr>
              <w:spacing w:after="0"/>
              <w:rPr>
                <w:sz w:val="13"/>
                <w:szCs w:val="13"/>
                <w:color w:val="auto"/>
              </w:rPr>
            </w:pPr>
          </w:p>
        </w:tc>
        <w:tc>
          <w:tcPr>
            <w:tcW w:w="1980" w:type="dxa"/>
            <w:vAlign w:val="bottom"/>
            <w:gridSpan w:val="4"/>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300" w:type="dxa"/>
            <w:vAlign w:val="bottom"/>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300" w:type="dxa"/>
            <w:vAlign w:val="bottom"/>
          </w:tcPr>
          <w:p>
            <w:pPr>
              <w:spacing w:after="0"/>
              <w:rPr>
                <w:sz w:val="9"/>
                <w:szCs w:val="9"/>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9"/>
                <w:szCs w:val="9"/>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9"/>
                <w:szCs w:val="9"/>
                <w:color w:val="auto"/>
              </w:rPr>
            </w:pPr>
          </w:p>
        </w:tc>
        <w:tc>
          <w:tcPr>
            <w:tcW w:w="1340" w:type="dxa"/>
            <w:vAlign w:val="bottom"/>
            <w:gridSpan w:val="2"/>
          </w:tcPr>
          <w:p>
            <w:pPr>
              <w:jc w:val="center"/>
              <w:ind w:right="280"/>
              <w:spacing w:after="0" w:line="110"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200" w:type="dxa"/>
            <w:vAlign w:val="bottom"/>
          </w:tcPr>
          <w:p>
            <w:pPr>
              <w:spacing w:after="0"/>
              <w:rPr>
                <w:sz w:val="9"/>
                <w:szCs w:val="9"/>
                <w:color w:val="auto"/>
              </w:rPr>
            </w:pPr>
          </w:p>
        </w:tc>
        <w:tc>
          <w:tcPr>
            <w:tcW w:w="104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2"/>
                <w:szCs w:val="12"/>
                <w:b w:val="1"/>
                <w:bCs w:val="1"/>
                <w:color w:val="auto"/>
              </w:rPr>
              <w:t>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0"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23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April 1, 2018</w:t>
            </w:r>
          </w:p>
        </w:tc>
        <w:tc>
          <w:tcPr>
            <w:tcW w:w="9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91,416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1,092,147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(898,768)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108,435</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26,721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26,966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net of tax</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(29,677)</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dividends declared, $0.09</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 common share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(8,363)</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and retirement of</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(30,004)</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6,057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stock issued under stock</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plans (1)</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2,309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19,417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19,440</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the redemption value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redeemable interests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Distributions to noncontrolling</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Contributions from noncontrolling</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1,162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1,162</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July 1, 2018</w:t>
            </w:r>
          </w:p>
        </w:tc>
        <w:tc>
          <w:tcPr>
            <w:tcW w:w="9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92,437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1,109,015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91,470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3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December 31, 2017</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91,913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919</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1,081,813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(913,191)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81,231</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92,119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93,182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net of tax</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(27,132)</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dividends declared, $0.18</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 common share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and retirement of</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(80,966)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(81,000)</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11,178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11,178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stock issued under stock</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plans (1)</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3,928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33,080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33,119</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the redemption value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redeemable interests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Distributions to noncontrolling</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Contributions from noncontrolling</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1,320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10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July 1, 2018</w:t>
            </w:r>
          </w:p>
        </w:tc>
        <w:tc>
          <w:tcPr>
            <w:tcW w:w="9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92,437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1,109,015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91,470</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30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forfeitures and shares withheld for employee taxes.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(DOLLARS IN THOUSANDS, 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64"/>
        </w:trPr>
        <w:tc>
          <w:tcPr>
            <w:tcW w:w="7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320" w:type="dxa"/>
            <w:vAlign w:val="bottom"/>
          </w:tcPr>
          <w:p>
            <w:pPr>
              <w:spacing w:after="0"/>
              <w:rPr>
                <w:sz w:val="22"/>
                <w:szCs w:val="22"/>
                <w:color w:val="auto"/>
              </w:rPr>
            </w:pPr>
          </w:p>
        </w:tc>
        <w:tc>
          <w:tcPr>
            <w:tcW w:w="16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37"/>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7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95,458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92,860</w:t>
            </w: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20"/>
                <w:szCs w:val="20"/>
                <w:color w:val="auto"/>
              </w:rPr>
            </w:pP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99,270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100,902</w:t>
            </w: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deferred discounts and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1,288</w:t>
            </w: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deferred gift card sales commissions</w:t>
            </w:r>
          </w:p>
        </w:tc>
        <w:tc>
          <w:tcPr>
            <w:tcW w:w="320" w:type="dxa"/>
            <w:vAlign w:val="bottom"/>
          </w:tcPr>
          <w:p>
            <w:pPr>
              <w:spacing w:after="0"/>
              <w:rPr>
                <w:sz w:val="20"/>
                <w:szCs w:val="20"/>
                <w:color w:val="auto"/>
              </w:rPr>
            </w:pP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14,089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15,219</w:t>
            </w: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11,628</w:t>
            </w: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320" w:type="dxa"/>
            <w:vAlign w:val="bottom"/>
          </w:tcPr>
          <w:p>
            <w:pPr>
              <w:spacing w:after="0"/>
              <w:rPr>
                <w:sz w:val="20"/>
                <w:szCs w:val="20"/>
                <w:color w:val="auto"/>
              </w:rPr>
            </w:pP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36,096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and other non-cash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12,854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13,263</w:t>
            </w: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 on sale of a business or subsidiary</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Recognition of deferred gain on sale-leaseback transactions</w:t>
            </w:r>
          </w:p>
        </w:tc>
        <w:tc>
          <w:tcPr>
            <w:tcW w:w="320" w:type="dxa"/>
            <w:vAlign w:val="bottom"/>
          </w:tcPr>
          <w:p>
            <w:pPr>
              <w:spacing w:after="0"/>
              <w:rPr>
                <w:sz w:val="20"/>
                <w:szCs w:val="20"/>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(6,142)</w:t>
            </w: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1,257</w:t>
            </w:r>
          </w:p>
        </w:tc>
      </w:tr>
      <w:tr>
        <w:trPr>
          <w:trHeight w:val="270"/>
        </w:trPr>
        <w:tc>
          <w:tcPr>
            <w:tcW w:w="74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3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(127,075)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(129,928)</w:t>
            </w:r>
          </w:p>
        </w:tc>
      </w:tr>
      <w:tr>
        <w:trPr>
          <w:trHeight w:val="264"/>
        </w:trPr>
        <w:tc>
          <w:tcPr>
            <w:tcW w:w="740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132,443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100,083</w:t>
            </w:r>
          </w:p>
        </w:tc>
      </w:tr>
      <w:tr>
        <w:trPr>
          <w:trHeight w:val="217"/>
        </w:trPr>
        <w:tc>
          <w:tcPr>
            <w:tcW w:w="7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disposal of property, fixtures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6,164</w:t>
            </w: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sale-leaseback transactions, net</w:t>
            </w:r>
          </w:p>
        </w:tc>
        <w:tc>
          <w:tcPr>
            <w:tcW w:w="320" w:type="dxa"/>
            <w:vAlign w:val="bottom"/>
          </w:tcPr>
          <w:p>
            <w:pPr>
              <w:spacing w:after="0"/>
              <w:rPr>
                <w:sz w:val="20"/>
                <w:szCs w:val="20"/>
                <w:color w:val="auto"/>
              </w:rPr>
            </w:pP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3,052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4,695</w:t>
            </w: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(92,528)</w:t>
            </w:r>
          </w:p>
        </w:tc>
      </w:tr>
      <w:tr>
        <w:trPr>
          <w:trHeight w:val="270"/>
        </w:trPr>
        <w:tc>
          <w:tcPr>
            <w:tcW w:w="74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Other investments, net</w:t>
            </w:r>
          </w:p>
        </w:tc>
        <w:tc>
          <w:tcPr>
            <w:tcW w:w="3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2,150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57"/>
        </w:trPr>
        <w:tc>
          <w:tcPr>
            <w:tcW w:w="740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(81,944)</w:t>
            </w:r>
          </w:p>
        </w:tc>
      </w:tr>
    </w:tbl>
    <w:p>
      <w:pPr>
        <w:spacing w:after="0" w:line="324"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auto"/>
        </w:rPr>
        <w:t>(CONTINUED...)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18" w:right="25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(DOLLARS IN THOUSANDS, 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64"/>
        </w:trPr>
        <w:tc>
          <w:tcPr>
            <w:tcW w:w="7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320" w:type="dxa"/>
            <w:vAlign w:val="bottom"/>
          </w:tcPr>
          <w:p>
            <w:pPr>
              <w:spacing w:after="0"/>
              <w:rPr>
                <w:sz w:val="22"/>
                <w:szCs w:val="22"/>
                <w:color w:val="auto"/>
              </w:rPr>
            </w:pPr>
          </w:p>
        </w:tc>
        <w:tc>
          <w:tcPr>
            <w:tcW w:w="16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50"/>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(14,031)</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(12,876)</w:t>
            </w: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 net</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408,000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266,829</w:t>
            </w: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(321,200)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(234,500)</w:t>
            </w: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the exercise of share-based compensation, net</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33,119</w:t>
            </w: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w:t>
            </w: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1,320</w:t>
            </w: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of limited partnership and noncontrolling interests</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w:t>
            </w: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Repayments of partner deposits and accrued partner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(9,646)</w:t>
            </w: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(81,000)</w:t>
            </w: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3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(16,734)</w:t>
            </w:r>
          </w:p>
        </w:tc>
      </w:tr>
      <w:tr>
        <w:trPr>
          <w:trHeight w:val="270"/>
        </w:trPr>
        <w:tc>
          <w:tcPr>
            <w:tcW w:w="7400" w:type="dxa"/>
            <w:vAlign w:val="bottom"/>
            <w:tcBorders>
              <w:bottom w:val="single" w:sz="8" w:color="CCEEFF"/>
            </w:tcBorders>
          </w:tcPr>
          <w:p>
            <w:pPr>
              <w:ind w:left="10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(63,415)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(58,303)</w:t>
            </w: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w:t>
            </w:r>
          </w:p>
        </w:tc>
      </w:tr>
      <w:tr>
        <w:trPr>
          <w:trHeight w:val="224"/>
        </w:trPr>
        <w:tc>
          <w:tcPr>
            <w:tcW w:w="7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(43,328)</w:t>
            </w: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as of the beginning of the period</w:t>
            </w:r>
          </w:p>
        </w:tc>
        <w:tc>
          <w:tcPr>
            <w:tcW w:w="3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71,823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129,543</w:t>
            </w:r>
          </w:p>
        </w:tc>
      </w:tr>
      <w:tr>
        <w:trPr>
          <w:trHeight w:val="290"/>
        </w:trPr>
        <w:tc>
          <w:tcPr>
            <w:tcW w:w="7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as of the end of the period</w:t>
            </w: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66,840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86,215</w:t>
            </w:r>
          </w:p>
        </w:tc>
      </w:tr>
      <w:tr>
        <w:trPr>
          <w:trHeight w:val="210"/>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for interest</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25,263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20,488</w:t>
            </w: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6,675</w:t>
            </w:r>
          </w:p>
        </w:tc>
      </w:tr>
      <w:tr>
        <w:trPr>
          <w:trHeight w:val="237"/>
        </w:trPr>
        <w:tc>
          <w:tcPr>
            <w:tcW w:w="7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33,679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320" w:type="dxa"/>
            <w:vAlign w:val="bottom"/>
          </w:tcPr>
          <w:p>
            <w:pPr>
              <w:spacing w:after="0"/>
              <w:rPr>
                <w:sz w:val="20"/>
                <w:szCs w:val="20"/>
                <w:color w:val="auto"/>
              </w:rPr>
            </w:pP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(Decrease) increase in liabilities from the acquisition of property, fixtures and equipment or capital leases</w:t>
            </w:r>
          </w:p>
        </w:tc>
        <w:tc>
          <w:tcPr>
            <w:tcW w:w="3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1,430</w:t>
            </w:r>
          </w:p>
        </w:tc>
      </w:tr>
      <w:tr>
        <w:trPr>
          <w:trHeight w:val="33"/>
        </w:trPr>
        <w:tc>
          <w:tcPr>
            <w:tcW w:w="7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Description of the Business and Basis of Presentation</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Description of the Business - </w:t>
      </w:r>
      <w:r>
        <w:rPr>
          <w:rFonts w:ascii="Times New Roman" w:cs="Times New Roman" w:eastAsia="Times New Roman" w:hAnsi="Times New Roman"/>
          <w:sz w:val="20"/>
          <w:szCs w:val="20"/>
          <w:color w:val="auto"/>
        </w:rPr>
        <w:t>Bloomin’ Brands (“Bloomin’ Brands” or the “Company”) owns and operates casual, upscale casual and fine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dining 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Basis of Presentation - </w:t>
      </w:r>
      <w:r>
        <w:rPr>
          <w:rFonts w:ascii="Times New Roman" w:cs="Times New Roman" w:eastAsia="Times New Roman" w:hAnsi="Times New Roman"/>
          <w:sz w:val="20"/>
          <w:szCs w:val="20"/>
          <w:color w:val="auto"/>
        </w:rPr>
        <w:t>The accompanying interim unaudited consolidated financial statements have been prepared by the Company pursuant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rules and regulations of the Securities and Exchange Commission.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30, 2018.</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Recently Adopted Financial Accounting Standards </w:t>
      </w:r>
      <w:r>
        <w:rPr>
          <w:rFonts w:ascii="Times New Roman" w:cs="Times New Roman" w:eastAsia="Times New Roman" w:hAnsi="Times New Roman"/>
          <w:sz w:val="20"/>
          <w:szCs w:val="20"/>
          <w:color w:val="auto"/>
        </w:rPr>
        <w:t>- On December 31, 2018, the Company adopted Accounting Standards Update (“ASU”) No.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2016-02: Leases (Topic 842) (“ASU No. 2016-02”), ASU No. 2018-01: Leases (Topic 842): Land Easement Practical Expedient for Transition to Topic 842 (“ASU No. 2018-01”), and ASU No. 2018-11: Leases (Topic 842): Targeted Improvements (“ASU No. 2018-11”). ASU No. 2016-02 requires the lease rights and obligations arising from lease contracts, including existing and new arrangements, to be recognized as assets and liabilities on the balance sheet. ASU No. 2018-01 allows an entity to elect an optional transition practical expedient to not evaluate land easements that exist or expired before the Company’s adoption of ASU No. 2016-02. ASU No. 2018-11 allows for an additional transition method, which permits use of the effective date of adoption as the date of initial application of ASU No. 2016-02 without restating comparative period financial statements and provides entities with a practical expedient that allows entities to elect not to separate lease and non-lease components when certain conditions are met.</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adopted ASU No. 2016-02 using December 31, 2018 as the date of initial application. Consequently, financial information and the disclosures required under the new standard were not provided for dates and periods before December 31, 2018. The Company also elected a transition package including practical expedients that permitted it not to reassess the classification and initial direct costs of expired or existing contracts and leases, to not separate lease and non-lease components of restaurant facility leases executed subsequent to adoption, and to not evaluate land easements that exist or expired before the adoption. In preparation for adoption, the Company implemented a new lease accounting system.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Adoption resulted in the following, as of December 31, 2018:</w:t>
      </w:r>
    </w:p>
    <w:p>
      <w:pPr>
        <w:spacing w:after="0" w:line="229" w:lineRule="exact"/>
        <w:rPr>
          <w:sz w:val="20"/>
          <w:szCs w:val="20"/>
          <w:color w:val="auto"/>
        </w:rPr>
      </w:pPr>
    </w:p>
    <w:p>
      <w:pPr>
        <w:ind w:left="660" w:hanging="490"/>
        <w:spacing w:after="0"/>
        <w:tabs>
          <w:tab w:leader="none" w:pos="6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recording of right-of-use assets of $1.3 billion and lease liabilities of $1.5 billion;</w:t>
      </w:r>
    </w:p>
    <w:p>
      <w:pPr>
        <w:spacing w:after="0" w:line="21" w:lineRule="exact"/>
        <w:rPr>
          <w:rFonts w:ascii="Times New Roman" w:cs="Times New Roman" w:eastAsia="Times New Roman" w:hAnsi="Times New Roman"/>
          <w:sz w:val="20"/>
          <w:szCs w:val="20"/>
          <w:color w:val="auto"/>
        </w:rPr>
      </w:pPr>
    </w:p>
    <w:p>
      <w:pPr>
        <w:ind w:left="660" w:hanging="490"/>
        <w:spacing w:after="0" w:line="252" w:lineRule="auto"/>
        <w:tabs>
          <w:tab w:leader="none" w:pos="6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credit to the beginning balance of Accumulated Deficit of $190.4 million to derecognize deferred gains on sale-leaseback transactions and a debit to the beginning balance of Accumulated Deficit of $49.2 million to derecognize the related deferred tax assets; and</w:t>
      </w:r>
    </w:p>
    <w:p>
      <w:pPr>
        <w:jc w:val="both"/>
        <w:ind w:left="660" w:hanging="490"/>
        <w:spacing w:after="0" w:line="242" w:lineRule="auto"/>
        <w:tabs>
          <w:tab w:leader="none" w:pos="6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derecognition of existing debt obligations of $19.6 million and existing fixed assets of $16.1 million related to restaurant properties sold and leased back from third parties that previously did not qualify for sale accounting, with gains or losses associated with this change recognized in Accumulated Deficit.</w:t>
      </w:r>
    </w:p>
    <w:p>
      <w:pPr>
        <w:spacing w:after="0" w:line="20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Other restaurant operating expense increased during the thirteen and twenty-six weeks ended June 30, 2019 from the adoption of ASU No. 2016-02 since the Company no longer recognizes the benefit of deferred gains on sale-leaseback</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transactions through its statements of operations over the corresponding lease term. During the thirteen and twenty-six weeks ended July 1, 2018, the Company recognized $3.0 million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20"/>
          <w:szCs w:val="20"/>
          <w:color w:val="auto"/>
        </w:rPr>
        <w:t xml:space="preserve"> $6.1 million, respectively, of sale-leaseback deferred gain amortization.</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a result of adoption of ASU No. 2016-02, the Company recorded reclassification adjustments to certain balances that were recorded under Accounting Standards Codification Topic 840, “Leases” (“ASC 840”) in its Consolidated Balance Sheet as of December 30, 2018. The following table summarizes accounts with material reclassification adjustments which impacted Operating lease right-of-use assets as a part of the adoption of ASU No. 2016-02: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20" w:type="dxa"/>
            <w:vAlign w:val="bottom"/>
            <w:tcBorders>
              <w:bottom w:val="single" w:sz="8" w:color="CCEEFF"/>
            </w:tcBorders>
          </w:tcPr>
          <w:p>
            <w:pPr>
              <w:spacing w:after="0"/>
              <w:rPr>
                <w:sz w:val="18"/>
                <w:szCs w:val="18"/>
                <w:color w:val="auto"/>
              </w:rPr>
            </w:pPr>
          </w:p>
        </w:tc>
        <w:tc>
          <w:tcPr>
            <w:tcW w:w="65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CONSOLIDATED BALANCE SHEET CLASSIFICATION UNDER ASC 840</w:t>
            </w:r>
          </w:p>
        </w:tc>
      </w:tr>
      <w:tr>
        <w:trPr>
          <w:trHeight w:val="23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Favorable leases</w:t>
            </w:r>
          </w:p>
        </w:tc>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r>
      <w:tr>
        <w:trPr>
          <w:trHeight w:val="237"/>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Deferred rent</w:t>
            </w:r>
          </w:p>
        </w:tc>
        <w:tc>
          <w:tcPr>
            <w:tcW w:w="6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rent</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Unfavorable leases</w:t>
            </w:r>
          </w:p>
        </w:tc>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 net</w:t>
            </w:r>
          </w:p>
        </w:tc>
      </w:tr>
      <w:tr>
        <w:trPr>
          <w:trHeight w:val="237"/>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Exit-related lease accruals</w:t>
            </w:r>
          </w:p>
        </w:tc>
        <w:tc>
          <w:tcPr>
            <w:tcW w:w="6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 net</w:t>
            </w:r>
          </w:p>
        </w:tc>
      </w:tr>
    </w:tbl>
    <w:p>
      <w:pPr>
        <w:spacing w:after="0" w:line="200" w:lineRule="exact"/>
        <w:rPr>
          <w:sz w:val="20"/>
          <w:szCs w:val="20"/>
          <w:color w:val="auto"/>
        </w:rPr>
      </w:pPr>
    </w:p>
    <w:p>
      <w:pPr>
        <w:spacing w:after="0" w:line="2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addition, rent payments that were recorded within prepaid assets under ASC 840 are now recorded as a reduction of the current portion of operating lease liabilities.</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Recently Issued Financial Accounting Standards Not Yet Adopted </w:t>
      </w:r>
      <w:r>
        <w:rPr>
          <w:rFonts w:ascii="Times New Roman" w:cs="Times New Roman" w:eastAsia="Times New Roman" w:hAnsi="Times New Roman"/>
          <w:sz w:val="20"/>
          <w:szCs w:val="20"/>
          <w:color w:val="auto"/>
        </w:rPr>
        <w:t>- In June 2016, the Financial Accounting Standards Board (“FASB”) issued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ASU No. 2016-13, “Financial Instruments – Credit Losses (Topic 326): Measurement of Credit Losses on Financial Instruments,” (“ASU No. 2016-13”), which requires measurement and recognition of expected versus incurred losses for financial instruments. ASU No. 2016-13 is effective for the Company in the first quarter of 2020, with early adoption permitted. The Company is currently evaluating the impact of the adoption of ASU No. 2016-13 on its consolidated financial statements.</w:t>
      </w:r>
    </w:p>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August 2018, the FASB issued ASU No. 2018-15, “Intangibles-Goodwill and Other-Internal-Use Software (Subtopic 350-40): Customer’s Accounting for Implementation Costs Incurred in a Cloud Computing Arrangement That Is a Service Contract,” (“ASU No. 2018-15”), which clarifies the accounting for implementation costs in cloud computing arrangements. ASU No. 2018-15 is effective for the Company in the first quarter of 2020, and early adoption is permitted. The Company is currently evaluating the impact of the adoption of ASU No. 2018-15 on its consolidated financial statements.</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Reclassifications - </w:t>
      </w:r>
      <w:r>
        <w:rPr>
          <w:rFonts w:ascii="Times New Roman" w:cs="Times New Roman" w:eastAsia="Times New Roman" w:hAnsi="Times New Roman"/>
          <w:sz w:val="20"/>
          <w:szCs w:val="20"/>
          <w:color w:val="auto"/>
        </w:rPr>
        <w:t>The Company reclassified certain items in the accompanying Consolidated Financial Statements for prior periods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comparable with the classification for the current period. These reclassifications had no effect on previously reported net income.</w:t>
      </w:r>
    </w:p>
    <w:p>
      <w:pPr>
        <w:spacing w:after="0" w:line="17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Revenue Recognition</w:t>
      </w:r>
    </w:p>
    <w:p>
      <w:pPr>
        <w:spacing w:after="0" w:line="22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includes the categories of revenue included in the Company’s Consolidated Statements of Operations and Comprehensive Income (Loss)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64"/>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220" w:type="dxa"/>
            <w:vAlign w:val="bottom"/>
          </w:tcPr>
          <w:p>
            <w:pPr>
              <w:spacing w:after="0"/>
              <w:rPr>
                <w:sz w:val="22"/>
                <w:szCs w:val="22"/>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40" w:type="dxa"/>
            <w:vAlign w:val="bottom"/>
          </w:tcPr>
          <w:p>
            <w:pPr>
              <w:spacing w:after="0"/>
              <w:rPr>
                <w:sz w:val="22"/>
                <w:szCs w:val="22"/>
                <w:color w:val="auto"/>
              </w:rPr>
            </w:pPr>
          </w:p>
        </w:tc>
        <w:tc>
          <w:tcPr>
            <w:tcW w:w="134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Restaurant sales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1,005,687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1,015,484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2,117,329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2,114,487</w:t>
            </w:r>
          </w:p>
        </w:tc>
      </w:tr>
      <w:tr>
        <w:trPr>
          <w:trHeight w:val="33"/>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Franchise revenue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12,792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13,134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26,554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27,349</w:t>
            </w:r>
          </w:p>
        </w:tc>
      </w:tr>
      <w:tr>
        <w:trPr>
          <w:trHeight w:val="33"/>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revenue</w:t>
            </w: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3,451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6,178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6,443</w:t>
            </w:r>
          </w:p>
        </w:tc>
      </w:tr>
      <w:tr>
        <w:trPr>
          <w:trHeight w:val="270"/>
        </w:trPr>
        <w:tc>
          <w:tcPr>
            <w:tcW w:w="47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Franchise and other revenues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16,243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16,330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32,732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33,792</w:t>
            </w:r>
          </w:p>
        </w:tc>
      </w:tr>
      <w:tr>
        <w:trPr>
          <w:trHeight w:val="244"/>
        </w:trPr>
        <w:tc>
          <w:tcPr>
            <w:tcW w:w="47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1,021,930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1,031,814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2,150,061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2,148,279</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tables include the disaggregation of Restaurant sales and Franchise revenue, by restaurant concept and major international markets,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1121"/>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4"/>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0" w:type="dxa"/>
            <w:vAlign w:val="bottom"/>
          </w:tcPr>
          <w:p>
            <w:pPr>
              <w:spacing w:after="0"/>
              <w:rPr>
                <w:sz w:val="1"/>
                <w:szCs w:val="1"/>
                <w:color w:val="auto"/>
              </w:rPr>
            </w:pPr>
          </w:p>
        </w:tc>
      </w:tr>
      <w:tr>
        <w:trPr>
          <w:trHeight w:val="151"/>
        </w:trPr>
        <w:tc>
          <w:tcPr>
            <w:tcW w:w="4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0" w:type="dxa"/>
            <w:vAlign w:val="bottom"/>
          </w:tcPr>
          <w:p>
            <w:pPr>
              <w:spacing w:after="0"/>
              <w:rPr>
                <w:sz w:val="1"/>
                <w:szCs w:val="1"/>
                <w:color w:val="auto"/>
              </w:rPr>
            </w:pPr>
          </w:p>
        </w:tc>
      </w:tr>
      <w:tr>
        <w:trPr>
          <w:trHeight w:val="207"/>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RESTAURANT SALES</w:t>
            </w: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RESTAURANT SALES</w:t>
            </w:r>
          </w:p>
        </w:tc>
        <w:tc>
          <w:tcPr>
            <w:tcW w:w="240" w:type="dxa"/>
            <w:vAlign w:val="bottom"/>
          </w:tcPr>
          <w:p>
            <w:pPr>
              <w:spacing w:after="0"/>
              <w:rPr>
                <w:sz w:val="18"/>
                <w:szCs w:val="18"/>
                <w:color w:val="auto"/>
              </w:rPr>
            </w:pPr>
          </w:p>
        </w:tc>
        <w:tc>
          <w:tcPr>
            <w:tcW w:w="13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Outback Steakhouse</w:t>
            </w:r>
          </w:p>
        </w:tc>
        <w:tc>
          <w:tcPr>
            <w:tcW w:w="4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527,049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9,586</w:t>
            </w:r>
          </w:p>
        </w:tc>
        <w:tc>
          <w:tcPr>
            <w:tcW w:w="120" w:type="dxa"/>
            <w:vAlign w:val="bottom"/>
          </w:tcPr>
          <w:p>
            <w:pPr>
              <w:spacing w:after="0"/>
              <w:rPr>
                <w:sz w:val="20"/>
                <w:szCs w:val="20"/>
                <w:color w:val="auto"/>
              </w:rPr>
            </w:pPr>
          </w:p>
        </w:tc>
        <w:tc>
          <w:tcPr>
            <w:tcW w:w="4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521,719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10,157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Carrabba’s Italian Grill (1)</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163,454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Bonefish Grill</w:t>
            </w:r>
          </w:p>
        </w:tc>
        <w:tc>
          <w:tcPr>
            <w:tcW w:w="48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148,065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149,054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74,397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73,312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48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1,105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47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U.S. Total</w:t>
            </w:r>
          </w:p>
        </w:tc>
        <w:tc>
          <w:tcPr>
            <w:tcW w:w="480" w:type="dxa"/>
            <w:vAlign w:val="bottom"/>
            <w:tcBorders>
              <w:top w:val="single" w:sz="8" w:color="auto"/>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900,616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10,412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908,937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10,547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Outback Steakhouse-Brazil</w:t>
            </w: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83,985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87,809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4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21,086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2,380</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18,738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2,587</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International Total</w:t>
            </w: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105,071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2,380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106,547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2,587</w:t>
            </w:r>
          </w:p>
        </w:tc>
        <w:tc>
          <w:tcPr>
            <w:tcW w:w="0" w:type="dxa"/>
            <w:vAlign w:val="bottom"/>
          </w:tcPr>
          <w:p>
            <w:pPr>
              <w:spacing w:after="0"/>
              <w:rPr>
                <w:sz w:val="1"/>
                <w:szCs w:val="1"/>
                <w:color w:val="auto"/>
              </w:rPr>
            </w:pPr>
          </w:p>
        </w:tc>
      </w:tr>
      <w:tr>
        <w:trPr>
          <w:trHeight w:val="250"/>
        </w:trPr>
        <w:tc>
          <w:tcPr>
            <w:tcW w:w="4700" w:type="dxa"/>
            <w:vAlign w:val="bottom"/>
          </w:tcPr>
          <w:p>
            <w:pPr>
              <w:jc w:val="center"/>
              <w:ind w:right="3300"/>
              <w:spacing w:after="0"/>
              <w:rPr>
                <w:sz w:val="20"/>
                <w:szCs w:val="20"/>
                <w:color w:val="auto"/>
              </w:rPr>
            </w:pPr>
            <w:r>
              <w:rPr>
                <w:rFonts w:ascii="Times New Roman" w:cs="Times New Roman" w:eastAsia="Times New Roman" w:hAnsi="Times New Roman"/>
                <w:sz w:val="16"/>
                <w:szCs w:val="16"/>
                <w:color w:val="auto"/>
                <w:w w:val="94"/>
              </w:rPr>
              <w:t>Total</w:t>
            </w:r>
          </w:p>
        </w:tc>
        <w:tc>
          <w:tcPr>
            <w:tcW w:w="4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1,005,687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12,792</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1,015,484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13,134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7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1121"/>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4"/>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0" w:type="dxa"/>
            <w:vAlign w:val="bottom"/>
          </w:tcPr>
          <w:p>
            <w:pPr>
              <w:spacing w:after="0"/>
              <w:rPr>
                <w:sz w:val="1"/>
                <w:szCs w:val="1"/>
                <w:color w:val="auto"/>
              </w:rPr>
            </w:pPr>
          </w:p>
        </w:tc>
      </w:tr>
      <w:tr>
        <w:trPr>
          <w:trHeight w:val="151"/>
        </w:trPr>
        <w:tc>
          <w:tcPr>
            <w:tcW w:w="4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0" w:type="dxa"/>
            <w:vAlign w:val="bottom"/>
          </w:tcPr>
          <w:p>
            <w:pPr>
              <w:spacing w:after="0"/>
              <w:rPr>
                <w:sz w:val="1"/>
                <w:szCs w:val="1"/>
                <w:color w:val="auto"/>
              </w:rPr>
            </w:pPr>
          </w:p>
        </w:tc>
      </w:tr>
      <w:tr>
        <w:trPr>
          <w:trHeight w:val="207"/>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RESTAURANT SALES</w:t>
            </w: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RESTAURANT SALES</w:t>
            </w:r>
          </w:p>
        </w:tc>
        <w:tc>
          <w:tcPr>
            <w:tcW w:w="240" w:type="dxa"/>
            <w:vAlign w:val="bottom"/>
          </w:tcPr>
          <w:p>
            <w:pPr>
              <w:spacing w:after="0"/>
              <w:rPr>
                <w:sz w:val="18"/>
                <w:szCs w:val="18"/>
                <w:color w:val="auto"/>
              </w:rPr>
            </w:pPr>
          </w:p>
        </w:tc>
        <w:tc>
          <w:tcPr>
            <w:tcW w:w="13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Outback Steakhouse</w:t>
            </w:r>
          </w:p>
        </w:tc>
        <w:tc>
          <w:tcPr>
            <w:tcW w:w="4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1,113,820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20,187</w:t>
            </w:r>
          </w:p>
        </w:tc>
        <w:tc>
          <w:tcPr>
            <w:tcW w:w="120" w:type="dxa"/>
            <w:vAlign w:val="bottom"/>
          </w:tcPr>
          <w:p>
            <w:pPr>
              <w:spacing w:after="0"/>
              <w:rPr>
                <w:sz w:val="20"/>
                <w:szCs w:val="20"/>
                <w:color w:val="auto"/>
              </w:rPr>
            </w:pPr>
          </w:p>
        </w:tc>
        <w:tc>
          <w:tcPr>
            <w:tcW w:w="4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1,093,198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21,231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Carrabba’s Italian Grill (1)</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323,475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337,381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Bonefish Grill</w:t>
            </w:r>
          </w:p>
        </w:tc>
        <w:tc>
          <w:tcPr>
            <w:tcW w:w="48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304,499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305,903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157,423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154,302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48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2,497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47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U.S. Total</w:t>
            </w:r>
          </w:p>
        </w:tc>
        <w:tc>
          <w:tcPr>
            <w:tcW w:w="480" w:type="dxa"/>
            <w:vAlign w:val="bottom"/>
            <w:tcBorders>
              <w:top w:val="single" w:sz="8" w:color="auto"/>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1,901,429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21,394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1,893,281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22,008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Outback Steakhouse-Brazil</w:t>
            </w: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173,550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182,932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4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42,350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5,160</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38,274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5,341</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International Total</w:t>
            </w: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215,900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5,160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221,206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5,341</w:t>
            </w:r>
          </w:p>
        </w:tc>
        <w:tc>
          <w:tcPr>
            <w:tcW w:w="0" w:type="dxa"/>
            <w:vAlign w:val="bottom"/>
          </w:tcPr>
          <w:p>
            <w:pPr>
              <w:spacing w:after="0"/>
              <w:rPr>
                <w:sz w:val="1"/>
                <w:szCs w:val="1"/>
                <w:color w:val="auto"/>
              </w:rPr>
            </w:pPr>
          </w:p>
        </w:tc>
      </w:tr>
      <w:tr>
        <w:trPr>
          <w:trHeight w:val="250"/>
        </w:trPr>
        <w:tc>
          <w:tcPr>
            <w:tcW w:w="4700" w:type="dxa"/>
            <w:vAlign w:val="bottom"/>
          </w:tcPr>
          <w:p>
            <w:pPr>
              <w:jc w:val="center"/>
              <w:ind w:right="3300"/>
              <w:spacing w:after="0"/>
              <w:rPr>
                <w:sz w:val="20"/>
                <w:szCs w:val="20"/>
                <w:color w:val="auto"/>
              </w:rPr>
            </w:pPr>
            <w:r>
              <w:rPr>
                <w:rFonts w:ascii="Times New Roman" w:cs="Times New Roman" w:eastAsia="Times New Roman" w:hAnsi="Times New Roman"/>
                <w:sz w:val="16"/>
                <w:szCs w:val="16"/>
                <w:color w:val="auto"/>
                <w:w w:val="94"/>
              </w:rPr>
              <w:t>Total</w:t>
            </w:r>
          </w:p>
        </w:tc>
        <w:tc>
          <w:tcPr>
            <w:tcW w:w="4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2,117,329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26,554</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2,114,487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27,349</w:t>
            </w:r>
          </w:p>
        </w:tc>
        <w:tc>
          <w:tcPr>
            <w:tcW w:w="0" w:type="dxa"/>
            <w:vAlign w:val="bottom"/>
          </w:tcPr>
          <w:p>
            <w:pPr>
              <w:spacing w:after="0"/>
              <w:rPr>
                <w:sz w:val="1"/>
                <w:szCs w:val="1"/>
                <w:color w:val="auto"/>
              </w:rPr>
            </w:pPr>
          </w:p>
        </w:tc>
      </w:tr>
      <w:tr>
        <w:trPr>
          <w:trHeight w:val="20"/>
        </w:trPr>
        <w:tc>
          <w:tcPr>
            <w:tcW w:w="4700" w:type="dxa"/>
            <w:vAlign w:val="bottom"/>
            <w:vMerge w:val="restart"/>
          </w:tcPr>
          <w:p>
            <w:pPr>
              <w:jc w:val="center"/>
              <w:ind w:right="3320"/>
              <w:spacing w:after="0"/>
              <w:rPr>
                <w:sz w:val="20"/>
                <w:szCs w:val="20"/>
                <w:color w:val="auto"/>
              </w:rPr>
            </w:pPr>
            <w:r>
              <w:rPr>
                <w:rFonts w:ascii="Times New Roman" w:cs="Times New Roman" w:eastAsia="Times New Roman" w:hAnsi="Times New Roman"/>
                <w:sz w:val="16"/>
                <w:szCs w:val="16"/>
                <w:color w:val="auto"/>
              </w:rPr>
              <w:t>________________</w:t>
            </w: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840" w:hanging="832"/>
        <w:spacing w:after="0"/>
        <w:tabs>
          <w:tab w:leader="none" w:pos="8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March 2019, the Company sold </w:t>
      </w:r>
      <w:r>
        <w:rPr>
          <w:rFonts w:ascii="Times New Roman" w:cs="Times New Roman" w:eastAsia="Times New Roman" w:hAnsi="Times New Roman"/>
          <w:sz w:val="16"/>
          <w:szCs w:val="16"/>
          <w:color w:val="252525"/>
        </w:rPr>
        <w:t>18</w:t>
      </w:r>
      <w:r>
        <w:rPr>
          <w:rFonts w:ascii="Times New Roman" w:cs="Times New Roman" w:eastAsia="Times New Roman" w:hAnsi="Times New Roman"/>
          <w:sz w:val="16"/>
          <w:szCs w:val="16"/>
          <w:color w:val="auto"/>
        </w:rPr>
        <w:t xml:space="preserve"> Carrabba’s Italian Grill locations, which are now operated as franchises.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9" w:lineRule="exact"/>
        <w:rPr>
          <w:rFonts w:ascii="Times New Roman" w:cs="Times New Roman" w:eastAsia="Times New Roman" w:hAnsi="Times New Roman"/>
          <w:sz w:val="16"/>
          <w:szCs w:val="16"/>
          <w:color w:val="auto"/>
        </w:rPr>
      </w:pPr>
    </w:p>
    <w:p>
      <w:pPr>
        <w:ind w:left="5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includes a detail of assets and liabilities from contracts with customers included on the Company’s Consolidated Balance Sheets as of the periods indicated: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00" w:type="dxa"/>
            <w:vAlign w:val="bottom"/>
          </w:tcPr>
          <w:p>
            <w:pPr>
              <w:spacing w:after="0"/>
              <w:rPr>
                <w:sz w:val="18"/>
                <w:szCs w:val="18"/>
                <w:color w:val="auto"/>
              </w:rPr>
            </w:pPr>
          </w:p>
        </w:tc>
        <w:tc>
          <w:tcPr>
            <w:tcW w:w="17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30, 2018</w:t>
            </w:r>
          </w:p>
        </w:tc>
      </w:tr>
      <w:tr>
        <w:trPr>
          <w:trHeight w:val="250"/>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gift card sales commissions</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10,488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16,431</w:t>
            </w: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97"/>
        </w:trPr>
        <w:tc>
          <w:tcPr>
            <w:tcW w:w="7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37"/>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Unearned revenue</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227,372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333,794</w:t>
            </w:r>
          </w:p>
        </w:tc>
      </w:tr>
      <w:tr>
        <w:trPr>
          <w:trHeight w:val="237"/>
        </w:trPr>
        <w:tc>
          <w:tcPr>
            <w:tcW w:w="7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loyalty revenue</w:t>
            </w:r>
          </w:p>
        </w:tc>
        <w:tc>
          <w:tcPr>
            <w:tcW w:w="320" w:type="dxa"/>
            <w:vAlign w:val="bottom"/>
          </w:tcPr>
          <w:p>
            <w:pPr>
              <w:spacing w:after="0"/>
              <w:rPr>
                <w:sz w:val="20"/>
                <w:szCs w:val="20"/>
                <w:color w:val="auto"/>
              </w:rPr>
            </w:pP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9,448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8,424</w:t>
            </w: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franchise fees - current</w:t>
            </w:r>
          </w:p>
        </w:tc>
        <w:tc>
          <w:tcPr>
            <w:tcW w:w="3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490</w:t>
            </w:r>
          </w:p>
        </w:tc>
      </w:tr>
      <w:tr>
        <w:trPr>
          <w:trHeight w:val="290"/>
        </w:trPr>
        <w:tc>
          <w:tcPr>
            <w:tcW w:w="74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Unearned revenue</w:t>
            </w: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237,304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342,708</w:t>
            </w:r>
          </w:p>
        </w:tc>
      </w:tr>
      <w:tr>
        <w:trPr>
          <w:trHeight w:val="284"/>
        </w:trPr>
        <w:tc>
          <w:tcPr>
            <w:tcW w:w="7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37"/>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franchise fees - non-current</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4,531</w:t>
            </w:r>
          </w:p>
        </w:tc>
      </w:tr>
      <w:tr>
        <w:trPr>
          <w:trHeight w:val="33"/>
        </w:trPr>
        <w:tc>
          <w:tcPr>
            <w:tcW w:w="7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rollforward of deferred gift card sales commissions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64"/>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220" w:type="dxa"/>
            <w:vAlign w:val="bottom"/>
          </w:tcPr>
          <w:p>
            <w:pPr>
              <w:spacing w:after="0"/>
              <w:rPr>
                <w:sz w:val="22"/>
                <w:szCs w:val="22"/>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40" w:type="dxa"/>
            <w:vAlign w:val="bottom"/>
          </w:tcPr>
          <w:p>
            <w:pPr>
              <w:spacing w:after="0"/>
              <w:rPr>
                <w:sz w:val="22"/>
                <w:szCs w:val="22"/>
                <w:color w:val="auto"/>
              </w:rPr>
            </w:pPr>
          </w:p>
        </w:tc>
        <w:tc>
          <w:tcPr>
            <w:tcW w:w="134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37"/>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11,195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16,431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16,231</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gift card sales commissions amortization</w:t>
            </w:r>
          </w:p>
        </w:tc>
        <w:tc>
          <w:tcPr>
            <w:tcW w:w="220" w:type="dxa"/>
            <w:vAlign w:val="bottom"/>
          </w:tcPr>
          <w:p>
            <w:pPr>
              <w:spacing w:after="0"/>
              <w:rPr>
                <w:sz w:val="20"/>
                <w:szCs w:val="20"/>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(15,219)</w:t>
            </w:r>
          </w:p>
        </w:tc>
      </w:tr>
      <w:tr>
        <w:trPr>
          <w:trHeight w:val="33"/>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gift card sales commissions capitalization</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5,399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9,258</w:t>
            </w:r>
          </w:p>
        </w:tc>
      </w:tr>
      <w:tr>
        <w:trPr>
          <w:trHeight w:val="270"/>
        </w:trPr>
        <w:tc>
          <w:tcPr>
            <w:tcW w:w="4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10,488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10,488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9,175</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rollforward of unearned gift card revenue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64"/>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220" w:type="dxa"/>
            <w:vAlign w:val="bottom"/>
          </w:tcPr>
          <w:p>
            <w:pPr>
              <w:spacing w:after="0"/>
              <w:rPr>
                <w:sz w:val="22"/>
                <w:szCs w:val="22"/>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40" w:type="dxa"/>
            <w:vAlign w:val="bottom"/>
          </w:tcPr>
          <w:p>
            <w:pPr>
              <w:spacing w:after="0"/>
              <w:rPr>
                <w:sz w:val="22"/>
                <w:szCs w:val="22"/>
                <w:color w:val="auto"/>
              </w:rPr>
            </w:pPr>
          </w:p>
        </w:tc>
        <w:tc>
          <w:tcPr>
            <w:tcW w:w="134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37"/>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240,923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227,783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333,794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323,628</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Gift card sales</w:t>
            </w:r>
          </w:p>
        </w:tc>
        <w:tc>
          <w:tcPr>
            <w:tcW w:w="220" w:type="dxa"/>
            <w:vAlign w:val="bottom"/>
          </w:tcPr>
          <w:p>
            <w:pPr>
              <w:spacing w:after="0"/>
              <w:rPr>
                <w:sz w:val="20"/>
                <w:szCs w:val="20"/>
                <w:color w:val="auto"/>
              </w:rPr>
            </w:pPr>
          </w:p>
        </w:tc>
        <w:tc>
          <w:tcPr>
            <w:tcW w:w="14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75,658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78,837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131,130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135,122</w:t>
            </w:r>
          </w:p>
        </w:tc>
      </w:tr>
      <w:tr>
        <w:trPr>
          <w:trHeight w:val="33"/>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Gift card redemptions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(84,942)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(233,052)</w:t>
            </w:r>
          </w:p>
        </w:tc>
      </w:tr>
      <w:tr>
        <w:trPr>
          <w:trHeight w:val="270"/>
        </w:trPr>
        <w:tc>
          <w:tcPr>
            <w:tcW w:w="4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Gift card breakage</w:t>
            </w:r>
          </w:p>
        </w:tc>
        <w:tc>
          <w:tcPr>
            <w:tcW w:w="2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(4,267)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(12,412)</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227,372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213,286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227,372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213,286</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color w:val="auto"/>
        </w:rPr>
        <w:t>Disposals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252525"/>
        </w:rPr>
        <w:t xml:space="preserve">Refranchising </w:t>
      </w:r>
      <w:r>
        <w:rPr>
          <w:rFonts w:ascii="Times New Roman" w:cs="Times New Roman" w:eastAsia="Times New Roman" w:hAnsi="Times New Roman"/>
          <w:sz w:val="20"/>
          <w:szCs w:val="20"/>
          <w:color w:val="252525"/>
        </w:rPr>
        <w:t>- During the thirteen weeks ended March 31, 2019, the Company completed the sale of 18 of its existing U.S. Company-owned</w:t>
      </w:r>
      <w:r>
        <w:rPr>
          <w:rFonts w:ascii="Times New Roman" w:cs="Times New Roman" w:eastAsia="Times New Roman" w:hAnsi="Times New Roman"/>
          <w:sz w:val="20"/>
          <w:szCs w:val="20"/>
          <w:i w:val="1"/>
          <w:iCs w:val="1"/>
          <w:color w:val="252525"/>
        </w:rPr>
        <w:t xml:space="preserve"> </w:t>
      </w:r>
      <w:r>
        <w:rPr>
          <w:rFonts w:ascii="Times New Roman" w:cs="Times New Roman" w:eastAsia="Times New Roman" w:hAnsi="Times New Roman"/>
          <w:sz w:val="20"/>
          <w:szCs w:val="20"/>
          <w:color w:val="252525"/>
        </w:rPr>
        <w:t>Carrabba’s Italian Grill locations to an existing franchisee (the “Buyer”) for aggregate cash proceeds of $3.6 million, net of certain purchase price adjustments.</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252525"/>
        </w:rPr>
        <w:t xml:space="preserve">The Company remains contingently liable on certain real estate lease agreements assigned to the Buyer. See Note </w:t>
      </w:r>
      <w:r>
        <w:rPr>
          <w:rFonts w:ascii="Times New Roman" w:cs="Times New Roman" w:eastAsia="Times New Roman" w:hAnsi="Times New Roman"/>
          <w:sz w:val="20"/>
          <w:szCs w:val="20"/>
          <w:color w:val="000000"/>
        </w:rPr>
        <w:t>16 -</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i w:val="1"/>
          <w:iCs w:val="1"/>
          <w:color w:val="000000"/>
        </w:rPr>
        <w:t>Commitments and</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i w:val="1"/>
          <w:iCs w:val="1"/>
          <w:color w:val="000000"/>
        </w:rPr>
        <w:t xml:space="preserve">Contingencies </w:t>
      </w:r>
      <w:r>
        <w:rPr>
          <w:rFonts w:ascii="Times New Roman" w:cs="Times New Roman" w:eastAsia="Times New Roman" w:hAnsi="Times New Roman"/>
          <w:sz w:val="20"/>
          <w:szCs w:val="20"/>
          <w:color w:val="000000"/>
        </w:rPr>
        <w:t>for additional details regarding lease guarantees.</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Surplus Property Disposals </w:t>
      </w:r>
      <w:r>
        <w:rPr>
          <w:rFonts w:ascii="Times New Roman" w:cs="Times New Roman" w:eastAsia="Times New Roman" w:hAnsi="Times New Roman"/>
          <w:sz w:val="20"/>
          <w:szCs w:val="20"/>
          <w:color w:val="auto"/>
        </w:rPr>
        <w:t>- In March 2019, the Company signed a purchase agreement to sell five of its U.S. surplus properties to an Outback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Steakhouse franchisee for $12.8 million, less certain purchase price adjustments. These properties were reclassified from Property, fixtures and equipment, net to Assets held for sale during the thirteen weeks ended March 31, 2019. The sale of these properties is expected to be completed during 2019.</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19"/>
          <w:szCs w:val="19"/>
          <w:color w:val="auto"/>
        </w:rPr>
        <w:t>Impairments and Exit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Provision for impaired assets and restaurant closings are as follows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64"/>
        </w:trPr>
        <w:tc>
          <w:tcPr>
            <w:tcW w:w="4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6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220" w:type="dxa"/>
            <w:vAlign w:val="bottom"/>
          </w:tcPr>
          <w:p>
            <w:pPr>
              <w:spacing w:after="0"/>
              <w:rPr>
                <w:sz w:val="22"/>
                <w:szCs w:val="22"/>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2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Impairment losses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U.S.</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3,629</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395</w:t>
            </w:r>
          </w:p>
        </w:tc>
      </w:tr>
      <w:tr>
        <w:trPr>
          <w:trHeight w:val="33"/>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International</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6,597</w:t>
            </w:r>
          </w:p>
        </w:tc>
      </w:tr>
      <w:tr>
        <w:trPr>
          <w:trHeight w:val="270"/>
        </w:trPr>
        <w:tc>
          <w:tcPr>
            <w:tcW w:w="48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impairment losses</w:t>
            </w: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1,932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4,721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5,414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6,992</w:t>
            </w: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Restaurant closure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4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U.S.</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674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1,022</w:t>
            </w:r>
          </w:p>
        </w:tc>
      </w:tr>
      <w:tr>
        <w:trPr>
          <w:trHeight w:val="33"/>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4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International</w:t>
            </w:r>
          </w:p>
        </w:tc>
        <w:tc>
          <w:tcPr>
            <w:tcW w:w="2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3,494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3,614</w:t>
            </w:r>
          </w:p>
        </w:tc>
      </w:tr>
      <w:tr>
        <w:trPr>
          <w:trHeight w:val="270"/>
        </w:trPr>
        <w:tc>
          <w:tcPr>
            <w:tcW w:w="4800" w:type="dxa"/>
            <w:vAlign w:val="bottom"/>
            <w:tcBorders>
              <w:top w:val="single" w:sz="8" w:color="CCEEFF"/>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restaurant closure expenses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top w:val="single" w:sz="8" w:color="CCEEFF"/>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4,168</w:t>
            </w:r>
          </w:p>
        </w:tc>
        <w:tc>
          <w:tcPr>
            <w:tcW w:w="120" w:type="dxa"/>
            <w:vAlign w:val="bottom"/>
            <w:tcBorders>
              <w:top w:val="single" w:sz="8" w:color="CCEEFF"/>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top w:val="single" w:sz="8" w:color="CCEEFF"/>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4,636</w:t>
            </w: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11,628</w:t>
            </w: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International Restructuring </w:t>
      </w:r>
      <w:r>
        <w:rPr>
          <w:rFonts w:ascii="Times New Roman" w:cs="Times New Roman" w:eastAsia="Times New Roman" w:hAnsi="Times New Roman"/>
          <w:sz w:val="20"/>
          <w:szCs w:val="20"/>
          <w:color w:val="auto"/>
        </w:rPr>
        <w:t>- During the thirteen and twenty-six weeks ended June 30, 2019, the Company recognized asset impairment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closure charges of $1.8 million related to the restructuring of certain international markets, including Puerto Rico. During the thirteen and twenty-six weeks ended July 1, 2018, the Company recognized asset impairment and closure charges of $6.9 million and $9.2 million, respectively, related to the restructuring of certain international markets, including China.</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impairment and closing charges for the periods presented resulted primarily from approved store closure initiatives, locations identified for remodel, relocation or closure and certain other assets.</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Accrued Facility Closure and Other Costs Rollforward </w:t>
      </w:r>
      <w:r>
        <w:rPr>
          <w:rFonts w:ascii="Times New Roman" w:cs="Times New Roman" w:eastAsia="Times New Roman" w:hAnsi="Times New Roman"/>
          <w:sz w:val="20"/>
          <w:szCs w:val="20"/>
          <w:color w:val="auto"/>
        </w:rPr>
        <w:t>- The following table summarizes the Company’s accrual activity related to facility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closure and other costs, associated with certain closure initiatives, for the period indicated: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20"/>
        </w:trPr>
        <w:tc>
          <w:tcPr>
            <w:tcW w:w="8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ind w:right="941"/>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18,094</w:t>
            </w:r>
          </w:p>
        </w:tc>
        <w:tc>
          <w:tcPr>
            <w:tcW w:w="0" w:type="dxa"/>
            <w:vAlign w:val="bottom"/>
          </w:tcPr>
          <w:p>
            <w:pPr>
              <w:spacing w:after="0"/>
              <w:rPr>
                <w:sz w:val="1"/>
                <w:szCs w:val="1"/>
                <w:color w:val="auto"/>
              </w:rPr>
            </w:pPr>
          </w:p>
        </w:tc>
      </w:tr>
      <w:tr>
        <w:trPr>
          <w:trHeight w:val="224"/>
        </w:trPr>
        <w:tc>
          <w:tcPr>
            <w:tcW w:w="8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Additions (1)</w:t>
            </w:r>
          </w:p>
        </w:tc>
        <w:tc>
          <w:tcPr>
            <w:tcW w:w="300" w:type="dxa"/>
            <w:vAlign w:val="bottom"/>
          </w:tcPr>
          <w:p>
            <w:pPr>
              <w:spacing w:after="0"/>
              <w:rPr>
                <w:sz w:val="19"/>
                <w:szCs w:val="19"/>
                <w:color w:val="auto"/>
              </w:rPr>
            </w:pPr>
          </w:p>
        </w:tc>
        <w:tc>
          <w:tcPr>
            <w:tcW w:w="2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1,288</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30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0" w:type="dxa"/>
            <w:vAlign w:val="bottom"/>
          </w:tcPr>
          <w:p>
            <w:pPr>
              <w:spacing w:after="0"/>
              <w:rPr>
                <w:sz w:val="1"/>
                <w:szCs w:val="1"/>
                <w:color w:val="auto"/>
              </w:rPr>
            </w:pPr>
          </w:p>
        </w:tc>
      </w:tr>
      <w:tr>
        <w:trPr>
          <w:trHeight w:val="224"/>
        </w:trPr>
        <w:tc>
          <w:tcPr>
            <w:tcW w:w="8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Accretion</w:t>
            </w:r>
          </w:p>
        </w:tc>
        <w:tc>
          <w:tcPr>
            <w:tcW w:w="300" w:type="dxa"/>
            <w:vAlign w:val="bottom"/>
          </w:tcPr>
          <w:p>
            <w:pPr>
              <w:spacing w:after="0"/>
              <w:rPr>
                <w:sz w:val="19"/>
                <w:szCs w:val="19"/>
                <w:color w:val="auto"/>
              </w:rPr>
            </w:pPr>
          </w:p>
        </w:tc>
        <w:tc>
          <w:tcPr>
            <w:tcW w:w="2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300" w:type="dxa"/>
            <w:vAlign w:val="bottom"/>
            <w:tcBorders>
              <w:bottom w:val="single" w:sz="8" w:color="auto"/>
            </w:tcBorders>
            <w:shd w:val="clear" w:color="auto" w:fill="CCEEFF"/>
          </w:tcPr>
          <w:p>
            <w:pPr>
              <w:spacing w:after="0"/>
              <w:rPr>
                <w:sz w:val="22"/>
                <w:szCs w:val="22"/>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50"/>
        </w:trPr>
        <w:tc>
          <w:tcPr>
            <w:tcW w:w="8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end of the period (2)</w:t>
            </w:r>
          </w:p>
        </w:tc>
        <w:tc>
          <w:tcPr>
            <w:tcW w:w="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16,045</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30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84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closure initiative related lease liabilities recognized as a result of the adoption of ASU No. 2016-02.</w:t>
      </w:r>
    </w:p>
    <w:p>
      <w:pPr>
        <w:spacing w:after="0" w:line="5" w:lineRule="exact"/>
        <w:rPr>
          <w:rFonts w:ascii="Times New Roman" w:cs="Times New Roman" w:eastAsia="Times New Roman" w:hAnsi="Times New Roman"/>
          <w:sz w:val="16"/>
          <w:szCs w:val="16"/>
          <w:color w:val="auto"/>
        </w:rPr>
      </w:pPr>
    </w:p>
    <w:p>
      <w:pPr>
        <w:ind w:left="660" w:right="20" w:hanging="652"/>
        <w:spacing w:after="0" w:line="257"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2019, the Company had exit-related accruals related to certain closure initiatives of $3.3 million recorded in Accrued and other current liabilities and $12.7 million recorded in Non-current operating lease liabilities on its Consolidated Balance Sheet.</w:t>
      </w:r>
    </w:p>
    <w:p>
      <w:pPr>
        <w:spacing w:after="0" w:line="18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i w:val="1"/>
          <w:iCs w:val="1"/>
          <w:color w:val="auto"/>
        </w:rPr>
        <w:t xml:space="preserve">Annual Goodwill and Intangible Asset Impairment Assessment </w:t>
      </w:r>
      <w:r>
        <w:rPr>
          <w:rFonts w:ascii="Times New Roman" w:cs="Times New Roman" w:eastAsia="Times New Roman" w:hAnsi="Times New Roman"/>
          <w:sz w:val="19"/>
          <w:szCs w:val="19"/>
          <w:color w:val="auto"/>
        </w:rPr>
        <w:t>- The Company performs its annual assessment for impairment of goodwill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indefinite-lived intangible assets during its second fiscal quarter. The Company’s 2019 assessment utilized a qualitative assessment and its 2018 assessment utilized a quantitative approach. In connection with these assessments, the Company did not record any impairment charges.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5.</w:t>
      </w:r>
      <w:r>
        <w:rPr>
          <w:sz w:val="20"/>
          <w:szCs w:val="20"/>
          <w:color w:val="auto"/>
        </w:rPr>
        <w:tab/>
      </w:r>
      <w:r>
        <w:rPr>
          <w:rFonts w:ascii="Times New Roman" w:cs="Times New Roman" w:eastAsia="Times New Roman" w:hAnsi="Times New Roman"/>
          <w:sz w:val="19"/>
          <w:szCs w:val="19"/>
          <w:color w:val="auto"/>
        </w:rPr>
        <w:t>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computation of basic and diluted earnings per share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64"/>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8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2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Bloomin’ Brands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29,021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26,721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93,321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92,119</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71"/>
        </w:trPr>
        <w:tc>
          <w:tcPr>
            <w:tcW w:w="5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90,194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90,805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92,194</w:t>
            </w:r>
          </w:p>
        </w:tc>
      </w:tr>
      <w:tr>
        <w:trPr>
          <w:trHeight w:val="28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diluted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2,406</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Nonvested restricted stock units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452</w:t>
            </w:r>
          </w:p>
        </w:tc>
      </w:tr>
      <w:tr>
        <w:trPr>
          <w:trHeight w:val="270"/>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Nonvested performance-based share units</w:t>
            </w:r>
          </w:p>
        </w:tc>
        <w:tc>
          <w:tcPr>
            <w:tcW w:w="20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r>
      <w:tr>
        <w:trPr>
          <w:trHeight w:val="24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90,953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94,361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91,807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95,072</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71"/>
        </w:trPr>
        <w:tc>
          <w:tcPr>
            <w:tcW w:w="5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0.97</w:t>
            </w:r>
          </w:p>
        </w:tc>
      </w:tr>
    </w:tbl>
    <w:p>
      <w:pPr>
        <w:spacing w:after="0" w:line="200" w:lineRule="exact"/>
        <w:rPr>
          <w:sz w:val="20"/>
          <w:szCs w:val="20"/>
          <w:color w:val="auto"/>
        </w:rPr>
      </w:pPr>
    </w:p>
    <w:p>
      <w:pPr>
        <w:spacing w:after="0" w:line="2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Securities outstanding not included in the computation of earnings per share because their effect was antidilutive were as follows,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3100" w:type="dxa"/>
            <w:vAlign w:val="bottom"/>
            <w:tcBorders>
              <w:bottom w:val="single" w:sz="8" w:color="auto"/>
            </w:tcBorders>
            <w:gridSpan w:val="3"/>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8"/>
                <w:szCs w:val="18"/>
                <w:color w:val="auto"/>
              </w:rPr>
            </w:pPr>
          </w:p>
        </w:tc>
        <w:tc>
          <w:tcPr>
            <w:tcW w:w="3060" w:type="dxa"/>
            <w:vAlign w:val="bottom"/>
            <w:tcBorders>
              <w:bottom w:val="single" w:sz="8" w:color="auto"/>
            </w:tcBorders>
            <w:gridSpan w:val="3"/>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64"/>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48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Stock options</w:t>
            </w:r>
          </w:p>
        </w:tc>
        <w:tc>
          <w:tcPr>
            <w:tcW w:w="15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4,214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3,799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2,041</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Nonvested restricted stock units</w:t>
            </w:r>
          </w:p>
        </w:tc>
        <w:tc>
          <w:tcPr>
            <w:tcW w:w="1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20"/>
                <w:szCs w:val="20"/>
                <w:color w:val="auto"/>
              </w:rPr>
            </w:pPr>
          </w:p>
        </w:tc>
        <w:tc>
          <w:tcPr>
            <w:tcW w:w="14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14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20"/>
                <w:szCs w:val="20"/>
                <w:color w:val="auto"/>
              </w:rPr>
            </w:pPr>
          </w:p>
        </w:tc>
        <w:tc>
          <w:tcPr>
            <w:tcW w:w="14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63</w:t>
            </w: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Nonvested performance-based share units</w:t>
            </w:r>
          </w:p>
        </w:tc>
        <w:tc>
          <w:tcPr>
            <w:tcW w:w="15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180</w:t>
            </w:r>
          </w:p>
        </w:tc>
      </w:tr>
      <w:tr>
        <w:trPr>
          <w:trHeight w:val="41"/>
        </w:trPr>
        <w:tc>
          <w:tcPr>
            <w:tcW w:w="51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6.</w:t>
      </w:r>
      <w:r>
        <w:rPr>
          <w:sz w:val="20"/>
          <w:szCs w:val="20"/>
          <w:color w:val="auto"/>
        </w:rPr>
        <w:tab/>
      </w:r>
      <w:r>
        <w:rPr>
          <w:rFonts w:ascii="Times New Roman" w:cs="Times New Roman" w:eastAsia="Times New Roman" w:hAnsi="Times New Roman"/>
          <w:sz w:val="19"/>
          <w:szCs w:val="19"/>
          <w:color w:val="auto"/>
        </w:rPr>
        <w:t>Stock-based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recognized stock-based compensation expense as follows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64"/>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8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2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options</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3,526</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units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2,410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4,159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4,787</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Performance-based share units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2,470</w:t>
            </w:r>
          </w:p>
        </w:tc>
      </w:tr>
      <w:tr>
        <w:trPr>
          <w:trHeight w:val="224"/>
        </w:trPr>
        <w:tc>
          <w:tcPr>
            <w:tcW w:w="516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5,077</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5,957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8,988</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10,783</w:t>
            </w: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twenty-six weeks ended June 30, 2019, the Company made grants of 1.2 million stock options, 0.5 million time-based restricted stock units and 0.2 million performance-based share units.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Assumptions used in the Black-Scholes option pricing model and the weighted-average fair value of option awards granted were as follows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50"/>
        </w:trPr>
        <w:tc>
          <w:tcPr>
            <w:tcW w:w="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340" w:type="dxa"/>
            <w:vAlign w:val="bottom"/>
          </w:tcPr>
          <w:p>
            <w:pPr>
              <w:spacing w:after="0"/>
              <w:rPr>
                <w:sz w:val="21"/>
                <w:szCs w:val="21"/>
                <w:color w:val="auto"/>
              </w:rPr>
            </w:pPr>
          </w:p>
        </w:tc>
        <w:tc>
          <w:tcPr>
            <w:tcW w:w="164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50"/>
        </w:trPr>
        <w:tc>
          <w:tcPr>
            <w:tcW w:w="20" w:type="dxa"/>
            <w:vAlign w:val="bottom"/>
          </w:tcPr>
          <w:p>
            <w:pPr>
              <w:spacing w:after="0"/>
              <w:rPr>
                <w:sz w:val="21"/>
                <w:szCs w:val="21"/>
                <w:color w:val="auto"/>
              </w:rPr>
            </w:pPr>
          </w:p>
        </w:tc>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Assumptions: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Weighted-average risk-free interest rate (1)</w:t>
            </w:r>
          </w:p>
        </w:tc>
        <w:tc>
          <w:tcPr>
            <w:tcW w:w="3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33"/>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Dividend yield (2)</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37"/>
        </w:trPr>
        <w:tc>
          <w:tcPr>
            <w:tcW w:w="20" w:type="dxa"/>
            <w:vAlign w:val="bottom"/>
          </w:tcPr>
          <w:p>
            <w:pPr>
              <w:spacing w:after="0"/>
              <w:rPr>
                <w:sz w:val="20"/>
                <w:szCs w:val="20"/>
                <w:color w:val="auto"/>
              </w:rPr>
            </w:pPr>
          </w:p>
        </w:tc>
        <w:tc>
          <w:tcPr>
            <w:tcW w:w="7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Expected term (3)</w:t>
            </w:r>
          </w:p>
        </w:tc>
        <w:tc>
          <w:tcPr>
            <w:tcW w:w="320" w:type="dxa"/>
            <w:vAlign w:val="bottom"/>
          </w:tcPr>
          <w:p>
            <w:pPr>
              <w:spacing w:after="0"/>
              <w:rPr>
                <w:sz w:val="20"/>
                <w:szCs w:val="20"/>
                <w:color w:val="auto"/>
              </w:rPr>
            </w:pPr>
          </w:p>
        </w:tc>
        <w:tc>
          <w:tcPr>
            <w:tcW w:w="17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4.7 years</w:t>
            </w:r>
          </w:p>
        </w:tc>
        <w:tc>
          <w:tcPr>
            <w:tcW w:w="340" w:type="dxa"/>
            <w:vAlign w:val="bottom"/>
          </w:tcPr>
          <w:p>
            <w:pPr>
              <w:spacing w:after="0"/>
              <w:rPr>
                <w:sz w:val="20"/>
                <w:szCs w:val="20"/>
                <w:color w:val="auto"/>
              </w:rPr>
            </w:pPr>
          </w:p>
        </w:tc>
        <w:tc>
          <w:tcPr>
            <w:tcW w:w="16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5.8 years</w:t>
            </w:r>
          </w:p>
        </w:tc>
      </w:tr>
      <w:tr>
        <w:trPr>
          <w:trHeight w:val="33"/>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Weighted-average volatility (4)</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w:t>
            </w:r>
          </w:p>
        </w:tc>
      </w:tr>
      <w:tr>
        <w:trPr>
          <w:trHeight w:val="297"/>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grant date fair value per option</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7.23</w:t>
            </w:r>
          </w:p>
        </w:tc>
      </w:tr>
      <w:tr>
        <w:trPr>
          <w:trHeight w:val="193"/>
        </w:trPr>
        <w:tc>
          <w:tcPr>
            <w:tcW w:w="2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r>
    </w:tbl>
    <w:p>
      <w:pPr>
        <w:ind w:left="660" w:hanging="65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is the U.S. Treasury yield curve in effect as of the grant date for periods within the expected term of the option.</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yield is the level of dividends expected to be paid on the Company’s common stock over the expected term of the option.</w:t>
      </w:r>
    </w:p>
    <w:p>
      <w:pPr>
        <w:spacing w:after="0" w:line="5" w:lineRule="exact"/>
        <w:rPr>
          <w:rFonts w:ascii="Times New Roman" w:cs="Times New Roman" w:eastAsia="Times New Roman" w:hAnsi="Times New Roman"/>
          <w:sz w:val="16"/>
          <w:szCs w:val="16"/>
          <w:color w:val="auto"/>
        </w:rPr>
      </w:pPr>
    </w:p>
    <w:p>
      <w:pPr>
        <w:ind w:left="660" w:hanging="652"/>
        <w:spacing w:after="0" w:line="246"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term represents the period of time that the options are expected to be outstanding. The Company estimates the expected term based on historical exercise experience for its stock options.</w:t>
      </w:r>
    </w:p>
    <w:p>
      <w:pPr>
        <w:ind w:left="660" w:hanging="65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historical volatility of the Company’s stock.</w:t>
      </w:r>
    </w:p>
    <w:p>
      <w:pPr>
        <w:spacing w:after="0" w:line="20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Restricted stock units granted prior to 2019 generally vest over a period of four years and restricted stock units granted after 2018 generally vest over a period of three years, in an equal number of shares each year.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represents unrecognized stock compensation expense and the remaining weighted-average vesting period as of June 30, 2019: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WEIGHTED-</w:t>
            </w:r>
          </w:p>
        </w:tc>
      </w:tr>
      <w:tr>
        <w:trPr>
          <w:trHeight w:val="149"/>
        </w:trPr>
        <w:tc>
          <w:tcPr>
            <w:tcW w:w="7400" w:type="dxa"/>
            <w:vAlign w:val="bottom"/>
          </w:tcPr>
          <w:p>
            <w:pPr>
              <w:spacing w:after="0"/>
              <w:rPr>
                <w:sz w:val="12"/>
                <w:szCs w:val="12"/>
                <w:color w:val="auto"/>
              </w:rPr>
            </w:pPr>
          </w:p>
        </w:tc>
        <w:tc>
          <w:tcPr>
            <w:tcW w:w="20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EXPENSE</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VESTING</w:t>
            </w:r>
          </w:p>
        </w:tc>
      </w:tr>
      <w:tr>
        <w:trPr>
          <w:trHeight w:val="207"/>
        </w:trPr>
        <w:tc>
          <w:tcPr>
            <w:tcW w:w="7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(in years)</w:t>
            </w:r>
          </w:p>
        </w:tc>
      </w:tr>
      <w:tr>
        <w:trPr>
          <w:trHeight w:val="237"/>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options</w:t>
            </w: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10,583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7"/>
        </w:trPr>
        <w:tc>
          <w:tcPr>
            <w:tcW w:w="7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units</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19,055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Performance-based share units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8,601</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7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7.</w:t>
      </w:r>
      <w:r>
        <w:rPr>
          <w:sz w:val="20"/>
          <w:szCs w:val="20"/>
          <w:color w:val="auto"/>
        </w:rPr>
        <w:tab/>
      </w:r>
      <w:r>
        <w:rPr>
          <w:rFonts w:ascii="Times New Roman" w:cs="Times New Roman" w:eastAsia="Times New Roman" w:hAnsi="Times New Roman"/>
          <w:sz w:val="19"/>
          <w:szCs w:val="19"/>
          <w:color w:val="auto"/>
        </w:rPr>
        <w:t>Other Current Assets, Net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current assets, net, consisted of the following as of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8"/>
                <w:szCs w:val="18"/>
                <w:color w:val="auto"/>
              </w:rPr>
            </w:pPr>
          </w:p>
        </w:tc>
        <w:tc>
          <w:tcPr>
            <w:tcW w:w="18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18"/>
                <w:szCs w:val="18"/>
                <w:color w:val="auto"/>
              </w:rPr>
            </w:pPr>
          </w:p>
        </w:tc>
        <w:tc>
          <w:tcPr>
            <w:tcW w:w="182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30, 2018</w:t>
            </w:r>
          </w:p>
        </w:tc>
      </w:tr>
      <w:tr>
        <w:trPr>
          <w:trHeight w:val="237"/>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Prepaid expenses</w:t>
            </w:r>
          </w:p>
        </w:tc>
        <w:tc>
          <w:tcPr>
            <w:tcW w:w="34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21,213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38,117</w:t>
            </w: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Accounts receivable - gift cards, net</w:t>
            </w:r>
          </w:p>
        </w:tc>
        <w:tc>
          <w:tcPr>
            <w:tcW w:w="340" w:type="dxa"/>
            <w:vAlign w:val="bottom"/>
          </w:tcPr>
          <w:p>
            <w:pPr>
              <w:spacing w:after="0"/>
              <w:rPr>
                <w:sz w:val="20"/>
                <w:szCs w:val="20"/>
                <w:color w:val="auto"/>
              </w:rPr>
            </w:pPr>
          </w:p>
        </w:tc>
        <w:tc>
          <w:tcPr>
            <w:tcW w:w="1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16,485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91,242</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receivable - vendors, net</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10,029</w:t>
            </w: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Accounts receivable - franchisees, net</w:t>
            </w:r>
          </w:p>
        </w:tc>
        <w:tc>
          <w:tcPr>
            <w:tcW w:w="340" w:type="dxa"/>
            <w:vAlign w:val="bottom"/>
          </w:tcPr>
          <w:p>
            <w:pPr>
              <w:spacing w:after="0"/>
              <w:rPr>
                <w:sz w:val="20"/>
                <w:szCs w:val="20"/>
                <w:color w:val="auto"/>
              </w:rPr>
            </w:pPr>
          </w:p>
        </w:tc>
        <w:tc>
          <w:tcPr>
            <w:tcW w:w="1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1,303</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receivable - other, net</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19,688</w:t>
            </w: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gift card sales commissions</w:t>
            </w:r>
          </w:p>
        </w:tc>
        <w:tc>
          <w:tcPr>
            <w:tcW w:w="340" w:type="dxa"/>
            <w:vAlign w:val="bottom"/>
          </w:tcPr>
          <w:p>
            <w:pPr>
              <w:spacing w:after="0"/>
              <w:rPr>
                <w:sz w:val="20"/>
                <w:szCs w:val="20"/>
                <w:color w:val="auto"/>
              </w:rPr>
            </w:pPr>
          </w:p>
        </w:tc>
        <w:tc>
          <w:tcPr>
            <w:tcW w:w="1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10,488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16,431</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 held for sale</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5,143</w:t>
            </w:r>
          </w:p>
        </w:tc>
      </w:tr>
      <w:tr>
        <w:trPr>
          <w:trHeight w:val="270"/>
        </w:trPr>
        <w:tc>
          <w:tcPr>
            <w:tcW w:w="7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Other current assets, net</w:t>
            </w: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8,895</w:t>
            </w:r>
          </w:p>
        </w:tc>
      </w:tr>
      <w:tr>
        <w:trPr>
          <w:trHeight w:val="255"/>
        </w:trPr>
        <w:tc>
          <w:tcPr>
            <w:tcW w:w="7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97,821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190,848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8.</w:t>
      </w:r>
      <w:r>
        <w:rPr>
          <w:sz w:val="20"/>
          <w:szCs w:val="20"/>
          <w:color w:val="auto"/>
        </w:rPr>
        <w:tab/>
      </w:r>
      <w:r>
        <w:rPr>
          <w:rFonts w:ascii="Times New Roman" w:cs="Times New Roman" w:eastAsia="Times New Roman" w:hAnsi="Times New Roman"/>
          <w:sz w:val="19"/>
          <w:szCs w:val="19"/>
          <w:color w:val="auto"/>
        </w:rPr>
        <w:t>Accrued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and other current liabilities consisted of the following as of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8"/>
                <w:szCs w:val="18"/>
                <w:color w:val="auto"/>
              </w:rPr>
            </w:pPr>
          </w:p>
        </w:tc>
        <w:tc>
          <w:tcPr>
            <w:tcW w:w="18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18"/>
                <w:szCs w:val="18"/>
                <w:color w:val="auto"/>
              </w:rPr>
            </w:pPr>
          </w:p>
        </w:tc>
        <w:tc>
          <w:tcPr>
            <w:tcW w:w="182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30, 2018</w:t>
            </w:r>
          </w:p>
        </w:tc>
      </w:tr>
      <w:tr>
        <w:trPr>
          <w:trHeight w:val="237"/>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rent and current operating lease liabilities</w:t>
            </w:r>
          </w:p>
        </w:tc>
        <w:tc>
          <w:tcPr>
            <w:tcW w:w="34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173,335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2,850</w:t>
            </w: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payroll and other compensation</w:t>
            </w:r>
          </w:p>
        </w:tc>
        <w:tc>
          <w:tcPr>
            <w:tcW w:w="340" w:type="dxa"/>
            <w:vAlign w:val="bottom"/>
          </w:tcPr>
          <w:p>
            <w:pPr>
              <w:spacing w:after="0"/>
              <w:rPr>
                <w:sz w:val="20"/>
                <w:szCs w:val="20"/>
                <w:color w:val="auto"/>
              </w:rPr>
            </w:pPr>
          </w:p>
        </w:tc>
        <w:tc>
          <w:tcPr>
            <w:tcW w:w="1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88,121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101,249</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22,055</w:t>
            </w:r>
          </w:p>
        </w:tc>
      </w:tr>
      <w:tr>
        <w:trPr>
          <w:trHeight w:val="224"/>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40" w:type="dxa"/>
            <w:vAlign w:val="bottom"/>
          </w:tcPr>
          <w:p>
            <w:pPr>
              <w:spacing w:after="0"/>
              <w:rPr>
                <w:sz w:val="19"/>
                <w:szCs w:val="19"/>
                <w:color w:val="auto"/>
              </w:rPr>
            </w:pPr>
          </w:p>
        </w:tc>
        <w:tc>
          <w:tcPr>
            <w:tcW w:w="1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85,370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120,499</w:t>
            </w:r>
          </w:p>
        </w:tc>
      </w:tr>
      <w:tr>
        <w:trPr>
          <w:trHeight w:val="40"/>
        </w:trPr>
        <w:tc>
          <w:tcPr>
            <w:tcW w:w="7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62"/>
        </w:trPr>
        <w:tc>
          <w:tcPr>
            <w:tcW w:w="7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371,079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246,653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9.</w:t>
      </w:r>
      <w:r>
        <w:rPr>
          <w:sz w:val="20"/>
          <w:szCs w:val="20"/>
          <w:color w:val="auto"/>
        </w:rPr>
        <w:tab/>
      </w:r>
      <w:r>
        <w:rPr>
          <w:rFonts w:ascii="Times New Roman" w:cs="Times New Roman" w:eastAsia="Times New Roman" w:hAnsi="Times New Roman"/>
          <w:sz w:val="19"/>
          <w:szCs w:val="19"/>
          <w:color w:val="auto"/>
        </w:rPr>
        <w:t>Long-term Debt,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outstanding long-term debt, as of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18"/>
                <w:szCs w:val="18"/>
                <w:color w:val="auto"/>
              </w:rPr>
            </w:pPr>
          </w:p>
        </w:tc>
        <w:tc>
          <w:tcPr>
            <w:tcW w:w="3140" w:type="dxa"/>
            <w:vAlign w:val="bottom"/>
            <w:gridSpan w:val="3"/>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DECEMBER 30, 2018</w:t>
            </w:r>
          </w:p>
        </w:tc>
        <w:tc>
          <w:tcPr>
            <w:tcW w:w="0" w:type="dxa"/>
            <w:vAlign w:val="bottom"/>
          </w:tcPr>
          <w:p>
            <w:pPr>
              <w:spacing w:after="0"/>
              <w:rPr>
                <w:sz w:val="1"/>
                <w:szCs w:val="1"/>
                <w:color w:val="auto"/>
              </w:rPr>
            </w:pPr>
          </w:p>
        </w:tc>
      </w:tr>
      <w:tr>
        <w:trPr>
          <w:trHeight w:val="151"/>
        </w:trPr>
        <w:tc>
          <w:tcPr>
            <w:tcW w:w="46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81"/>
              <w:spacing w:after="0" w:line="15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81"/>
              <w:spacing w:after="0" w:line="15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8"/>
                <w:szCs w:val="18"/>
                <w:color w:val="auto"/>
              </w:rPr>
            </w:pPr>
          </w:p>
        </w:tc>
        <w:tc>
          <w:tcPr>
            <w:tcW w:w="13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8"/>
                <w:szCs w:val="18"/>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 w:type="dxa"/>
            <w:vAlign w:val="bottom"/>
          </w:tcPr>
          <w:p>
            <w:pPr>
              <w:spacing w:after="0"/>
              <w:rPr>
                <w:sz w:val="18"/>
                <w:szCs w:val="18"/>
                <w:color w:val="auto"/>
              </w:rPr>
            </w:pPr>
          </w:p>
        </w:tc>
        <w:tc>
          <w:tcPr>
            <w:tcW w:w="14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8"/>
                <w:szCs w:val="18"/>
                <w:color w:val="auto"/>
              </w:rPr>
            </w:pPr>
          </w:p>
        </w:tc>
        <w:tc>
          <w:tcPr>
            <w:tcW w:w="16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Secured Credit Facility:</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Term loan A (1)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462,500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475,000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Revolving credit facility (1)</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686,300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599,500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Total Senior Secured Credit Facility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1,148,800</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1,074,500</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3,127</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Financing obligations</w:t>
            </w: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19,562</w:t>
            </w:r>
          </w:p>
        </w:tc>
        <w:tc>
          <w:tcPr>
            <w:tcW w:w="100" w:type="dxa"/>
            <w:vAlign w:val="bottom"/>
          </w:tcPr>
          <w:p>
            <w:pPr>
              <w:spacing w:after="0"/>
              <w:rPr>
                <w:sz w:val="20"/>
                <w:szCs w:val="20"/>
                <w:color w:val="auto"/>
              </w:rPr>
            </w:pPr>
          </w:p>
        </w:tc>
        <w:tc>
          <w:tcPr>
            <w:tcW w:w="16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7.58% to 7.82%</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3,297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20"/>
                <w:szCs w:val="20"/>
                <w:color w:val="auto"/>
              </w:rPr>
            </w:pPr>
          </w:p>
        </w:tc>
        <w:tc>
          <w:tcPr>
            <w:tcW w:w="16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0.00% to 2.18%</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unamortized debt discount and issuance costs</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debt, net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1,148,895</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1,094,775</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(26,706)</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(27,190)</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1,122,189</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1,067,585</w:t>
            </w: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represents the weighted-average interest rate for the respective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Debt Covenants - </w:t>
      </w:r>
      <w:r>
        <w:rPr>
          <w:rFonts w:ascii="Times New Roman" w:cs="Times New Roman" w:eastAsia="Times New Roman" w:hAnsi="Times New Roman"/>
          <w:sz w:val="20"/>
          <w:szCs w:val="20"/>
          <w:color w:val="auto"/>
        </w:rPr>
        <w:t>As of June 30, 2019 and December 30, 2018, the Company was in compliance with its debt covenants.</w:t>
      </w:r>
    </w:p>
    <w:p>
      <w:pPr>
        <w:spacing w:after="0" w:line="23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10.</w:t>
        <w:tab/>
        <w:t>Other Long-term Liabilities,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long-term liabilities, net, consisted of the following, as of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8"/>
                <w:szCs w:val="18"/>
                <w:color w:val="auto"/>
              </w:rPr>
            </w:pPr>
          </w:p>
        </w:tc>
        <w:tc>
          <w:tcPr>
            <w:tcW w:w="18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18"/>
                <w:szCs w:val="18"/>
                <w:color w:val="auto"/>
              </w:rPr>
            </w:pPr>
          </w:p>
        </w:tc>
        <w:tc>
          <w:tcPr>
            <w:tcW w:w="182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30, 2018</w:t>
            </w:r>
          </w:p>
        </w:tc>
      </w:tr>
      <w:tr>
        <w:trPr>
          <w:trHeight w:val="237"/>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insurance liability</w:t>
            </w:r>
          </w:p>
        </w:tc>
        <w:tc>
          <w:tcPr>
            <w:tcW w:w="34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33,617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33,771</w:t>
            </w: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Unfavorable leases (1)</w:t>
            </w:r>
          </w:p>
        </w:tc>
        <w:tc>
          <w:tcPr>
            <w:tcW w:w="340" w:type="dxa"/>
            <w:vAlign w:val="bottom"/>
          </w:tcPr>
          <w:p>
            <w:pPr>
              <w:spacing w:after="0"/>
              <w:rPr>
                <w:sz w:val="20"/>
                <w:szCs w:val="20"/>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32,120</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Chef and Restaurant Managing Partner deferred compensation obligations and deposits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53,614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64,766</w:t>
            </w:r>
          </w:p>
        </w:tc>
      </w:tr>
      <w:tr>
        <w:trPr>
          <w:trHeight w:val="224"/>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Pr>
          <w:p>
            <w:pPr>
              <w:spacing w:after="0"/>
              <w:rPr>
                <w:sz w:val="19"/>
                <w:szCs w:val="19"/>
                <w:color w:val="auto"/>
              </w:rPr>
            </w:pPr>
          </w:p>
        </w:tc>
        <w:tc>
          <w:tcPr>
            <w:tcW w:w="1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58,887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60,876</w:t>
            </w:r>
          </w:p>
        </w:tc>
      </w:tr>
      <w:tr>
        <w:trPr>
          <w:trHeight w:val="40"/>
        </w:trPr>
        <w:tc>
          <w:tcPr>
            <w:tcW w:w="7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62"/>
        </w:trPr>
        <w:tc>
          <w:tcPr>
            <w:tcW w:w="7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146,118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191,533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23"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accumulated amortization of $36.2 million as of December 30, 2018.</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Equity</w:t>
      </w:r>
    </w:p>
    <w:p>
      <w:pPr>
        <w:spacing w:after="0" w:line="2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Share Repurchases </w:t>
      </w:r>
      <w:r>
        <w:rPr>
          <w:rFonts w:ascii="Times New Roman" w:cs="Times New Roman" w:eastAsia="Times New Roman" w:hAnsi="Times New Roman"/>
          <w:sz w:val="20"/>
          <w:szCs w:val="20"/>
          <w:color w:val="auto"/>
        </w:rPr>
        <w:t>- On February 12, 2019, the Company’s Board of Directors (the “Board”) canceled the remaining $36.0 million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authorization under the 2018 Share Repurchase Program and approved a new $150.0 million authorization (the “2019 Share Repurchase Program”). The 2019 Share Repurchase Program will expire on August 12, 2020. As of June 30, 2019, $43.0 million remained available for repurchase under the 2019 Share Repurchase Program. Following is a summary of the shares repurchased under the Company’s share repurchase program during fiscal year 2019:</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AVERAGE</w:t>
            </w: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49"/>
        </w:trPr>
        <w:tc>
          <w:tcPr>
            <w:tcW w:w="6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REPURCHASE PRICE</w:t>
            </w: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7"/>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00" w:type="dxa"/>
            <w:vAlign w:val="bottom"/>
          </w:tcPr>
          <w:p>
            <w:pPr>
              <w:spacing w:after="0"/>
              <w:rPr>
                <w:sz w:val="18"/>
                <w:szCs w:val="18"/>
                <w:color w:val="auto"/>
              </w:rPr>
            </w:pPr>
          </w:p>
        </w:tc>
        <w:tc>
          <w:tcPr>
            <w:tcW w:w="138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4"/>
        </w:trPr>
        <w:tc>
          <w:tcPr>
            <w:tcW w:w="60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Second fiscal quarter</w:t>
            </w:r>
          </w:p>
        </w:tc>
        <w:tc>
          <w:tcPr>
            <w:tcW w:w="17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5,469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19.56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106,992</w:t>
            </w:r>
          </w:p>
        </w:tc>
      </w:tr>
      <w:tr>
        <w:trPr>
          <w:trHeight w:val="33"/>
        </w:trPr>
        <w:tc>
          <w:tcPr>
            <w:tcW w:w="60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Dividends - </w:t>
      </w:r>
      <w:r>
        <w:rPr>
          <w:rFonts w:ascii="Times New Roman" w:cs="Times New Roman" w:eastAsia="Times New Roman" w:hAnsi="Times New Roman"/>
          <w:sz w:val="20"/>
          <w:szCs w:val="20"/>
          <w:color w:val="auto"/>
        </w:rPr>
        <w:t>The Company declared and paid dividends per share during fiscal year 2019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7"/>
        </w:trPr>
        <w:tc>
          <w:tcPr>
            <w:tcW w:w="8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40" w:type="dxa"/>
            <w:vAlign w:val="bottom"/>
          </w:tcPr>
          <w:p>
            <w:pPr>
              <w:spacing w:after="0"/>
              <w:rPr>
                <w:sz w:val="18"/>
                <w:szCs w:val="18"/>
                <w:color w:val="auto"/>
              </w:rPr>
            </w:pPr>
          </w:p>
        </w:tc>
        <w:tc>
          <w:tcPr>
            <w:tcW w:w="146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7"/>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First fiscal quarter</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9,140</w:t>
            </w:r>
          </w:p>
        </w:tc>
      </w:tr>
      <w:tr>
        <w:trPr>
          <w:trHeight w:val="270"/>
        </w:trPr>
        <w:tc>
          <w:tcPr>
            <w:tcW w:w="8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Second fiscal quarter</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9,227</w:t>
            </w: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cash dividends declared and paid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18,367</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July 2019, the Board declared a quarterly cash dividend of $0.10 per share, payable on August 21, 2019, to shareholders of record at the close of business on August 12, 2019.</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Accumulated Other Comprehensive Loss (“AOCL”) - </w:t>
      </w:r>
      <w:r>
        <w:rPr>
          <w:rFonts w:ascii="Times New Roman" w:cs="Times New Roman" w:eastAsia="Times New Roman" w:hAnsi="Times New Roman"/>
          <w:sz w:val="20"/>
          <w:szCs w:val="20"/>
          <w:color w:val="auto"/>
        </w:rPr>
        <w:t>Following are the components of AOCL as of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0" w:type="dxa"/>
            <w:vAlign w:val="bottom"/>
          </w:tcPr>
          <w:p>
            <w:pPr>
              <w:spacing w:after="0"/>
              <w:rPr>
                <w:sz w:val="18"/>
                <w:szCs w:val="18"/>
                <w:color w:val="auto"/>
              </w:rPr>
            </w:pPr>
          </w:p>
        </w:tc>
        <w:tc>
          <w:tcPr>
            <w:tcW w:w="2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18"/>
                <w:szCs w:val="18"/>
                <w:color w:val="auto"/>
              </w:rPr>
            </w:pPr>
          </w:p>
        </w:tc>
        <w:tc>
          <w:tcPr>
            <w:tcW w:w="182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30, 2018</w:t>
            </w:r>
          </w:p>
        </w:tc>
      </w:tr>
      <w:tr>
        <w:trPr>
          <w:trHeight w:val="237"/>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40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(135,149)</w:t>
            </w:r>
          </w:p>
        </w:tc>
      </w:tr>
      <w:tr>
        <w:trPr>
          <w:trHeight w:val="270"/>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Unrealized loss on derivatives, net of tax</w:t>
            </w:r>
          </w:p>
        </w:tc>
        <w:tc>
          <w:tcPr>
            <w:tcW w:w="40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(19,460)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(7,606)</w:t>
            </w: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(142,755)</w:t>
            </w:r>
          </w:p>
        </w:tc>
      </w:tr>
      <w:tr>
        <w:trPr>
          <w:trHeight w:val="20"/>
        </w:trPr>
        <w:tc>
          <w:tcPr>
            <w:tcW w:w="6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are the components of Other comprehensive loss attributable to Bloomin’ Brands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8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2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(29,036)</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Unrealized (loss) gain on derivatives, net of tax (1)</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1,184</w:t>
            </w:r>
          </w:p>
        </w:tc>
        <w:tc>
          <w:tcPr>
            <w:tcW w:w="0" w:type="dxa"/>
            <w:vAlign w:val="bottom"/>
          </w:tcPr>
          <w:p>
            <w:pPr>
              <w:spacing w:after="0"/>
              <w:rPr>
                <w:sz w:val="1"/>
                <w:szCs w:val="1"/>
                <w:color w:val="auto"/>
              </w:rPr>
            </w:pPr>
          </w:p>
        </w:tc>
      </w:tr>
      <w:tr>
        <w:trPr>
          <w:trHeight w:val="216"/>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Reclassification of adjustments for loss (gain) on derivatives included in Net</w:t>
            </w:r>
          </w:p>
        </w:tc>
        <w:tc>
          <w:tcPr>
            <w:tcW w:w="200" w:type="dxa"/>
            <w:vAlign w:val="bottom"/>
          </w:tcPr>
          <w:p>
            <w:pPr>
              <w:spacing w:after="0"/>
              <w:rPr>
                <w:sz w:val="18"/>
                <w:szCs w:val="18"/>
                <w:color w:val="auto"/>
              </w:rPr>
            </w:pPr>
          </w:p>
        </w:tc>
        <w:tc>
          <w:tcPr>
            <w:tcW w:w="130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income, net of tax (2)</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unrealized (loss) gain on derivatives, net of tax</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1,563</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attributable to Bloomin’ Brands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(15,693)</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(30,035)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(27,473)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46"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Unrealized (loss) gain on derivatives is net of tax of $(2.5) million and $0.1 million for the thirteen weeks ended June 30, 2019 and July 1, 2018, respectively, and $(4.0) million and $0.4 million for the twenty-six weeks ended June 30, 2019 and July 1, 2018, respectively.</w:t>
      </w:r>
    </w:p>
    <w:p>
      <w:pPr>
        <w:ind w:left="660" w:hanging="652"/>
        <w:spacing w:after="0" w:line="257"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Reclassifications of adjustments for loss (gain) on derivatives are net of tax. See Note 12 - </w:t>
      </w:r>
      <w:r>
        <w:rPr>
          <w:rFonts w:ascii="Times New Roman" w:cs="Times New Roman" w:eastAsia="Times New Roman" w:hAnsi="Times New Roman"/>
          <w:sz w:val="16"/>
          <w:szCs w:val="16"/>
          <w:i w:val="1"/>
          <w:iCs w:val="1"/>
          <w:color w:val="auto"/>
        </w:rPr>
        <w:t>Derivative Instruments and Hedging Activities</w:t>
      </w:r>
      <w:r>
        <w:rPr>
          <w:rFonts w:ascii="Times New Roman" w:cs="Times New Roman" w:eastAsia="Times New Roman" w:hAnsi="Times New Roman"/>
          <w:sz w:val="16"/>
          <w:szCs w:val="16"/>
          <w:color w:val="auto"/>
        </w:rPr>
        <w:t xml:space="preserve"> for discussion of the tax impact of reclassifications.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Derivative Instruments and Hedging Activities</w:t>
      </w:r>
    </w:p>
    <w:p>
      <w:pPr>
        <w:spacing w:after="0" w:line="2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Cash Flow Hedges of Interest Rate Risk - </w:t>
      </w:r>
      <w:r>
        <w:rPr>
          <w:rFonts w:ascii="Times New Roman" w:cs="Times New Roman" w:eastAsia="Times New Roman" w:hAnsi="Times New Roman"/>
          <w:sz w:val="20"/>
          <w:szCs w:val="20"/>
          <w:color w:val="252525"/>
        </w:rPr>
        <w:t>On October 24, 2018 and October 25, 2018, the Company entered into variable-to-fixed interest 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252525"/>
        </w:rPr>
        <w:t xml:space="preserve">swap agreements with 12 counterparties to hedge a portion of the cash flows of the Company’s variable rate debt. The swap agreements have an aggregate notional amount of $550.0 million and mature on November 30, 2022. Under the terms of the swap agreements, the Company pays a weighted-average fixed rate of 3.04% on the notional amount and receives payments from the counterparty based on the </w:t>
      </w:r>
      <w:r>
        <w:rPr>
          <w:rFonts w:ascii="Times New Roman" w:cs="Times New Roman" w:eastAsia="Times New Roman" w:hAnsi="Times New Roman"/>
          <w:sz w:val="20"/>
          <w:szCs w:val="20"/>
          <w:color w:val="000000"/>
        </w:rPr>
        <w:t>one-month LIBOR</w:t>
      </w:r>
      <w:r>
        <w:rPr>
          <w:rFonts w:ascii="Times New Roman" w:cs="Times New Roman" w:eastAsia="Times New Roman" w:hAnsi="Times New Roman"/>
          <w:sz w:val="20"/>
          <w:szCs w:val="20"/>
          <w:color w:val="252525"/>
        </w:rPr>
        <w:t xml:space="preserve"> rate.</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52525"/>
        </w:rPr>
        <w:t xml:space="preserve">The Company’s swap agreements have been designated and qualify as cash flow hedges, are recognized on its Consolidated Balance Sheets at fair value and are classified based on the instruments’ maturity dates. The Company estimates $6.5 million will be reclassified to interest expense over the next 12 months. The following table presents the fair value and classification of the Company’s swap agreements, as of </w:t>
      </w:r>
      <w:r>
        <w:rPr>
          <w:rFonts w:ascii="Times New Roman" w:cs="Times New Roman" w:eastAsia="Times New Roman" w:hAnsi="Times New Roman"/>
          <w:sz w:val="20"/>
          <w:szCs w:val="20"/>
          <w:color w:val="000000"/>
        </w:rPr>
        <w:t>the</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periods indicated</w:t>
      </w:r>
      <w:r>
        <w:rPr>
          <w:rFonts w:ascii="Times New Roman" w:cs="Times New Roman" w:eastAsia="Times New Roman" w:hAnsi="Times New Roman"/>
          <w:sz w:val="20"/>
          <w:szCs w:val="20"/>
          <w:color w:val="252525"/>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30, 2018</w:t>
            </w:r>
          </w:p>
        </w:tc>
        <w:tc>
          <w:tcPr>
            <w:tcW w:w="100" w:type="dxa"/>
            <w:vAlign w:val="bottom"/>
            <w:tcBorders>
              <w:bottom w:val="single" w:sz="8" w:color="CCEEFF"/>
            </w:tcBorders>
          </w:tcPr>
          <w:p>
            <w:pPr>
              <w:spacing w:after="0"/>
              <w:rPr>
                <w:sz w:val="18"/>
                <w:szCs w:val="18"/>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swaps - asset (1)</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swaps - liability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6,524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Interest rate swaps - liability</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19,803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9,723</w:t>
            </w:r>
          </w:p>
        </w:tc>
        <w:tc>
          <w:tcPr>
            <w:tcW w:w="100" w:type="dxa"/>
            <w:vAlign w:val="bottom"/>
            <w:tcBorders>
              <w:bottom w:val="single" w:sz="8" w:color="CCEEFF"/>
            </w:tcBorders>
          </w:tcPr>
          <w:p>
            <w:pPr>
              <w:spacing w:after="0"/>
              <w:rPr>
                <w:sz w:val="23"/>
                <w:szCs w:val="23"/>
                <w:color w:val="auto"/>
              </w:rPr>
            </w:pPr>
          </w:p>
        </w:tc>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fair value of derivative instruments - liabilities (1)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26,327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11,116</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52525"/>
        </w:rPr>
        <w:t xml:space="preserve">See Note </w:t>
      </w:r>
      <w:r>
        <w:rPr>
          <w:rFonts w:ascii="Times New Roman" w:cs="Times New Roman" w:eastAsia="Times New Roman" w:hAnsi="Times New Roman"/>
          <w:sz w:val="16"/>
          <w:szCs w:val="16"/>
          <w:color w:val="000000"/>
        </w:rPr>
        <w:t>14</w:t>
      </w:r>
      <w:r>
        <w:rPr>
          <w:rFonts w:ascii="Times New Roman" w:cs="Times New Roman" w:eastAsia="Times New Roman" w:hAnsi="Times New Roman"/>
          <w:sz w:val="16"/>
          <w:szCs w:val="16"/>
          <w:color w:val="252525"/>
        </w:rPr>
        <w:t xml:space="preserve"> - </w:t>
      </w:r>
      <w:r>
        <w:rPr>
          <w:rFonts w:ascii="Times New Roman" w:cs="Times New Roman" w:eastAsia="Times New Roman" w:hAnsi="Times New Roman"/>
          <w:sz w:val="16"/>
          <w:szCs w:val="16"/>
          <w:i w:val="1"/>
          <w:iCs w:val="1"/>
          <w:color w:val="000000"/>
        </w:rPr>
        <w:t>Fair Value Measurements</w:t>
      </w:r>
      <w:r>
        <w:rPr>
          <w:rFonts w:ascii="Times New Roman" w:cs="Times New Roman" w:eastAsia="Times New Roman" w:hAnsi="Times New Roman"/>
          <w:sz w:val="16"/>
          <w:szCs w:val="16"/>
          <w:color w:val="252525"/>
        </w:rPr>
        <w:t xml:space="preserve"> for fair value discussion of the interest rate swaps.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52525"/>
        </w:rPr>
        <w:t>The following table summarizes the effects of the swap agreements on Net income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2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swap (expense) benefit recognized in Interest expense, net</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16"/>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benefit (expense) recognized in Provision (benefit) for income</w:t>
            </w:r>
          </w:p>
        </w:tc>
        <w:tc>
          <w:tcPr>
            <w:tcW w:w="200" w:type="dxa"/>
            <w:vAlign w:val="bottom"/>
          </w:tcPr>
          <w:p>
            <w:pPr>
              <w:spacing w:after="0"/>
              <w:rPr>
                <w:sz w:val="18"/>
                <w:szCs w:val="18"/>
                <w:color w:val="auto"/>
              </w:rPr>
            </w:pPr>
          </w:p>
        </w:tc>
        <w:tc>
          <w:tcPr>
            <w:tcW w:w="130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taxes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effects of the interest rate swaps on Net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252525"/>
        </w:rPr>
        <w:t xml:space="preserve">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w:t>
      </w:r>
      <w:r>
        <w:rPr>
          <w:rFonts w:ascii="Times New Roman" w:cs="Times New Roman" w:eastAsia="Times New Roman" w:hAnsi="Times New Roman"/>
          <w:sz w:val="20"/>
          <w:szCs w:val="20"/>
          <w:color w:val="000000"/>
        </w:rPr>
        <w:t>June 30, 2019</w:t>
      </w:r>
      <w:r>
        <w:rPr>
          <w:rFonts w:ascii="Times New Roman" w:cs="Times New Roman" w:eastAsia="Times New Roman" w:hAnsi="Times New Roman"/>
          <w:sz w:val="20"/>
          <w:szCs w:val="20"/>
          <w:color w:val="252525"/>
        </w:rPr>
        <w:t>, all counterparties to the interest rate swaps had performed in accordance with their contractual obligations.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252525"/>
        </w:rPr>
        <w:t>The Company has agreements with each of its derivative counterparties that contain a provision where the Company could be declared in default on its derivative obligations if the repayment of the underlying indebtedness is accelerated by the lender due to the Company’s default on indebtedness.</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52525"/>
        </w:rPr>
        <w:t xml:space="preserve">As of </w:t>
      </w:r>
      <w:r>
        <w:rPr>
          <w:rFonts w:ascii="Times New Roman" w:cs="Times New Roman" w:eastAsia="Times New Roman" w:hAnsi="Times New Roman"/>
          <w:sz w:val="20"/>
          <w:szCs w:val="20"/>
          <w:color w:val="000000"/>
        </w:rPr>
        <w:t>June 30, 2019</w:t>
      </w:r>
      <w:r>
        <w:rPr>
          <w:rFonts w:ascii="Times New Roman" w:cs="Times New Roman" w:eastAsia="Times New Roman" w:hAnsi="Times New Roman"/>
          <w:sz w:val="20"/>
          <w:szCs w:val="20"/>
          <w:color w:val="252525"/>
        </w:rPr>
        <w:t xml:space="preserve"> and </w:t>
      </w:r>
      <w:r>
        <w:rPr>
          <w:rFonts w:ascii="Times New Roman" w:cs="Times New Roman" w:eastAsia="Times New Roman" w:hAnsi="Times New Roman"/>
          <w:sz w:val="20"/>
          <w:szCs w:val="20"/>
          <w:color w:val="000000"/>
        </w:rPr>
        <w:t>December 30, 2018</w:t>
      </w:r>
      <w:r>
        <w:rPr>
          <w:rFonts w:ascii="Times New Roman" w:cs="Times New Roman" w:eastAsia="Times New Roman" w:hAnsi="Times New Roman"/>
          <w:sz w:val="20"/>
          <w:szCs w:val="20"/>
          <w:color w:val="252525"/>
        </w:rPr>
        <w:t xml:space="preserve">, the fair value of the Company’s interest rate swaps was in a net liability position, including accrued interest but excluding any adjustment for nonperformance risk, of $26.6 million and $10.5 million, respectively. As of </w:t>
      </w:r>
      <w:r>
        <w:rPr>
          <w:rFonts w:ascii="Times New Roman" w:cs="Times New Roman" w:eastAsia="Times New Roman" w:hAnsi="Times New Roman"/>
          <w:sz w:val="20"/>
          <w:szCs w:val="20"/>
          <w:color w:val="000000"/>
        </w:rPr>
        <w:t>June 30, 2019</w:t>
      </w:r>
      <w:r>
        <w:rPr>
          <w:rFonts w:ascii="Times New Roman" w:cs="Times New Roman" w:eastAsia="Times New Roman" w:hAnsi="Times New Roman"/>
          <w:sz w:val="20"/>
          <w:szCs w:val="20"/>
          <w:color w:val="252525"/>
        </w:rPr>
        <w:t xml:space="preserve"> and </w:t>
      </w:r>
      <w:r>
        <w:rPr>
          <w:rFonts w:ascii="Times New Roman" w:cs="Times New Roman" w:eastAsia="Times New Roman" w:hAnsi="Times New Roman"/>
          <w:sz w:val="20"/>
          <w:szCs w:val="20"/>
          <w:color w:val="000000"/>
        </w:rPr>
        <w:t>December 30, 2018</w:t>
      </w:r>
      <w:r>
        <w:rPr>
          <w:rFonts w:ascii="Times New Roman" w:cs="Times New Roman" w:eastAsia="Times New Roman" w:hAnsi="Times New Roman"/>
          <w:sz w:val="20"/>
          <w:szCs w:val="20"/>
          <w:color w:val="252525"/>
        </w:rPr>
        <w:t xml:space="preserve">, the Company has not posted any collateral related to these agreements. If the Company had breached any of these provisions as of </w:t>
      </w:r>
      <w:r>
        <w:rPr>
          <w:rFonts w:ascii="Times New Roman" w:cs="Times New Roman" w:eastAsia="Times New Roman" w:hAnsi="Times New Roman"/>
          <w:sz w:val="20"/>
          <w:szCs w:val="20"/>
          <w:color w:val="000000"/>
        </w:rPr>
        <w:t>June 30, 2019</w:t>
      </w:r>
      <w:r>
        <w:rPr>
          <w:rFonts w:ascii="Times New Roman" w:cs="Times New Roman" w:eastAsia="Times New Roman" w:hAnsi="Times New Roman"/>
          <w:sz w:val="20"/>
          <w:szCs w:val="20"/>
          <w:color w:val="252525"/>
        </w:rPr>
        <w:t xml:space="preserve"> and </w:t>
      </w:r>
      <w:r>
        <w:rPr>
          <w:rFonts w:ascii="Times New Roman" w:cs="Times New Roman" w:eastAsia="Times New Roman" w:hAnsi="Times New Roman"/>
          <w:sz w:val="20"/>
          <w:szCs w:val="20"/>
          <w:color w:val="000000"/>
        </w:rPr>
        <w:t>December 30, 2018</w:t>
      </w:r>
      <w:r>
        <w:rPr>
          <w:rFonts w:ascii="Times New Roman" w:cs="Times New Roman" w:eastAsia="Times New Roman" w:hAnsi="Times New Roman"/>
          <w:sz w:val="20"/>
          <w:szCs w:val="20"/>
          <w:color w:val="252525"/>
        </w:rPr>
        <w:t>, it could have been required to settle its obligations under the agreements at their termination value of $26.6 million and $10.5 million, respectively.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Company’s determination of whether an arrangement contains a lease is based on an evaluation of whether the arrangement conveys the right to use and control specific property or equipment. The Company leases restaurant and office facilities and certain equipment under operating leases primarily having initial terms expiring between one and 20 years. Restaurant facility leases generally have renewal periods totaling five to 20 years, exercisable at the option of the Company. Contingent rentals represent payment of variable lease obligations based on a percentage of gross revenues, as defined by the terms of the applicable lease agreement for certain restaurant facility leases. The Company also has certain leases, which reset periodically based on a specified index. Such leases are recorded using the index that existed at lease commencement. Subsequent changes in the index are recorded as variable rental payments. Variable rental payments are expensed as incurred in the Company’s Consolidated Statements of Operations and Comprehensive Income (Loss) and future variable rent obligations are not included within the lease liabilities in the Consolidated Balance Sheet. The depreciable life of lease assets and leasehold improvements are limited by the expected lease term. None of the Company’s leases contain any material residual value guarantees or material restrictive covenants.</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For restaurant facility leases executed subsequent to the adoption of ASU No. 2016-02, the Company accounts for fixed lease and non-lease components as a single lease component. Additionally, for certain equipment leases, the Company applies a portfolio approach to account for the lease assets and liabilities. Leases with an initial term of 12 months or less are not recorded on its Consolidated Balance Sheet, they are recognized on a straight-line basis over the lease term within Other restaurant operating expense in the Company’s Consolidated Statements of Operations and Comprehensive Income (Loss).</w:t>
      </w:r>
    </w:p>
    <w:p>
      <w:pPr>
        <w:spacing w:after="0" w:line="194"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The following table includes a detail of lease assets and liabilities included on the Company’s Consolidated Balance Sheet as of the period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2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CONSOLIDATED BALANCE SHEET CLASSIFICATION</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JUNE 30, 2019</w:t>
            </w: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1,275,303</w:t>
            </w:r>
          </w:p>
        </w:tc>
      </w:tr>
      <w:tr>
        <w:trPr>
          <w:trHeight w:val="270"/>
        </w:trPr>
        <w:tc>
          <w:tcPr>
            <w:tcW w:w="4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Finance lease right-of-use assets (1)</w:t>
            </w:r>
          </w:p>
        </w:tc>
        <w:tc>
          <w:tcPr>
            <w:tcW w:w="53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3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2,821</w:t>
            </w:r>
          </w:p>
        </w:tc>
      </w:tr>
      <w:tr>
        <w:trPr>
          <w:trHeight w:val="255"/>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lease assets, net</w:t>
            </w:r>
          </w:p>
        </w:tc>
        <w:tc>
          <w:tcPr>
            <w:tcW w:w="5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1,278,124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3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 operating lease liabilities (2)</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 finance lease liabilities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Non-current operating lease liabilities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Non-current finance lease liabilities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accumulated amortization of $0.7 million.</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accrued contingent percentage rent.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6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171,263</w:t>
            </w: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64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1,656</w:t>
            </w: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64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1,284,574</w:t>
            </w:r>
          </w:p>
        </w:tc>
      </w:tr>
      <w:tr>
        <w:trPr>
          <w:trHeight w:val="297"/>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1,471</w:t>
            </w:r>
          </w:p>
        </w:tc>
      </w:tr>
      <w:tr>
        <w:trPr>
          <w:trHeight w:val="224"/>
        </w:trPr>
        <w:tc>
          <w:tcPr>
            <w:tcW w:w="5340" w:type="dxa"/>
            <w:vAlign w:val="bottom"/>
          </w:tcPr>
          <w:p>
            <w:pPr>
              <w:spacing w:after="0"/>
              <w:rPr>
                <w:sz w:val="19"/>
                <w:szCs w:val="19"/>
                <w:color w:val="auto"/>
              </w:rPr>
            </w:pPr>
          </w:p>
        </w:tc>
        <w:tc>
          <w:tcPr>
            <w:tcW w:w="6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1,458,964</w:t>
            </w:r>
          </w:p>
        </w:tc>
      </w:tr>
      <w:tr>
        <w:trPr>
          <w:trHeight w:val="33"/>
        </w:trPr>
        <w:tc>
          <w:tcPr>
            <w:tcW w:w="53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-539750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-196850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66" w:lineRule="exact"/>
        <w:rPr>
          <w:sz w:val="20"/>
          <w:szCs w:val="20"/>
          <w:color w:val="auto"/>
        </w:rPr>
      </w:pPr>
    </w:p>
    <w:p>
      <w:pPr>
        <w:sectPr>
          <w:pgSz w:w="11900" w:h="16838" w:orient="portrait"/>
          <w:cols w:equalWidth="0" w:num="2">
            <w:col w:w="3840" w:space="320"/>
            <w:col w:w="7260"/>
          </w:cols>
          <w:pgMar w:left="240" w:top="118" w:right="239" w:bottom="1440" w:gutter="0" w:footer="0" w:header="0"/>
          <w:type w:val="continuous"/>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type w:val="continuous"/>
        </w:sectPr>
      </w:pPr>
    </w:p>
    <w:bookmarkStart w:id="20" w:name="page21"/>
    <w:bookmarkEnd w:id="20"/>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expenses and income related to leases recognized in the Company’s Consolidated Statements of Operations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Comprehensive Income (Loss) for the periods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3"/>
                <w:szCs w:val="13"/>
                <w:color w:val="auto"/>
              </w:rPr>
            </w:pPr>
          </w:p>
        </w:tc>
        <w:tc>
          <w:tcPr>
            <w:tcW w:w="17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40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CONSOLIDATED INCOME STATEMENT</w:t>
            </w:r>
          </w:p>
        </w:tc>
        <w:tc>
          <w:tcPr>
            <w:tcW w:w="20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66"/>
        </w:trPr>
        <w:tc>
          <w:tcPr>
            <w:tcW w:w="3440" w:type="dxa"/>
            <w:vAlign w:val="bottom"/>
          </w:tcPr>
          <w:p>
            <w:pPr>
              <w:spacing w:after="0"/>
              <w:rPr>
                <w:sz w:val="5"/>
                <w:szCs w:val="5"/>
                <w:color w:val="auto"/>
              </w:rPr>
            </w:pPr>
          </w:p>
        </w:tc>
        <w:tc>
          <w:tcPr>
            <w:tcW w:w="40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3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leases (1)</w:t>
            </w: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45,079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90,312</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Variable lease cost</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320" w:type="dxa"/>
            <w:vAlign w:val="bottom"/>
          </w:tcPr>
          <w:p>
            <w:pPr>
              <w:spacing w:after="0"/>
              <w:rPr>
                <w:sz w:val="20"/>
                <w:szCs w:val="20"/>
                <w:color w:val="auto"/>
              </w:rPr>
            </w:pP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1,565</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Finance leases</w:t>
            </w:r>
          </w:p>
        </w:tc>
        <w:tc>
          <w:tcPr>
            <w:tcW w:w="3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20"/>
                <w:szCs w:val="20"/>
                <w:color w:val="auto"/>
              </w:rPr>
            </w:pP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Sublease revenue (2)</w:t>
            </w:r>
          </w:p>
        </w:tc>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3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Lease costs, net (3)</w:t>
            </w:r>
          </w:p>
        </w:tc>
        <w:tc>
          <w:tcPr>
            <w:tcW w:w="3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44,465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89,600</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40" w:type="dxa"/>
            <w:vAlign w:val="bottom"/>
            <w:vMerge w:val="continue"/>
          </w:tcPr>
          <w:p>
            <w:pPr>
              <w:spacing w:after="0"/>
              <w:rPr>
                <w:sz w:val="15"/>
                <w:szCs w:val="15"/>
                <w:color w:val="auto"/>
              </w:rPr>
            </w:pPr>
          </w:p>
        </w:tc>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660" w:hanging="652"/>
        <w:spacing w:after="0" w:line="246"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rent expense for office facilities and Company-owned closed or subleased properties for the thirteen and twenty-six weeks ended June 30, 2019 of $3.7 million and $7.2 million, respectively, which is included in General and administrative expense and certain supply chain related rent expense of $0.3 million and $0.6 million, respectively, which is included in Cost of sales.</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rental income from Company-owned properties for the thirteen and twenty-six weeks ended June 30, 2019 of $0.7 million and $1.4 million, respectively.</w:t>
      </w:r>
    </w:p>
    <w:p>
      <w:pPr>
        <w:spacing w:after="0" w:line="5" w:lineRule="exact"/>
        <w:rPr>
          <w:rFonts w:ascii="Times New Roman" w:cs="Times New Roman" w:eastAsia="Times New Roman" w:hAnsi="Times New Roman"/>
          <w:sz w:val="16"/>
          <w:szCs w:val="16"/>
          <w:color w:val="auto"/>
        </w:rPr>
      </w:pPr>
    </w:p>
    <w:p>
      <w:pPr>
        <w:ind w:left="660" w:hanging="652"/>
        <w:spacing w:after="0" w:line="257"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thirteen and twenty-six weeks ended July 1, 2018, the Company recorded rent expense of $45.7 million and $93.0 million, respectively, including variable rent expense of $1.0 million and $2.3 million, respectively, and sublease revenue of $1.5 million and $3.1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June 30, 2019, future minimum lease payments and sublease revenues under non-cancelable leases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3"/>
                <w:szCs w:val="13"/>
                <w:color w:val="auto"/>
              </w:rPr>
            </w:pPr>
          </w:p>
        </w:tc>
        <w:tc>
          <w:tcPr>
            <w:tcW w:w="10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SUBLEASE</w:t>
            </w:r>
          </w:p>
        </w:tc>
        <w:tc>
          <w:tcPr>
            <w:tcW w:w="0" w:type="dxa"/>
            <w:vAlign w:val="bottom"/>
          </w:tcPr>
          <w:p>
            <w:pPr>
              <w:spacing w:after="0"/>
              <w:rPr>
                <w:sz w:val="1"/>
                <w:szCs w:val="1"/>
                <w:color w:val="auto"/>
              </w:rPr>
            </w:pPr>
          </w:p>
        </w:tc>
      </w:tr>
      <w:tr>
        <w:trPr>
          <w:trHeight w:val="207"/>
        </w:trPr>
        <w:tc>
          <w:tcPr>
            <w:tcW w:w="7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1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178,680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1,705</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(5,956)</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Year 2</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192,056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(6,050)</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187,827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Year 4</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184,545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(5,967)</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5</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179,329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w:t>
            </w:r>
          </w:p>
        </w:tc>
        <w:tc>
          <w:tcPr>
            <w:tcW w:w="0" w:type="dxa"/>
            <w:vAlign w:val="bottom"/>
          </w:tcPr>
          <w:p>
            <w:pPr>
              <w:spacing w:after="0"/>
              <w:rPr>
                <w:sz w:val="1"/>
                <w:szCs w:val="1"/>
                <w:color w:val="auto"/>
              </w:rPr>
            </w:pPr>
          </w:p>
        </w:tc>
      </w:tr>
      <w:tr>
        <w:trPr>
          <w:trHeight w:val="270"/>
        </w:trPr>
        <w:tc>
          <w:tcPr>
            <w:tcW w:w="7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1,753,411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(66,453)</w:t>
            </w:r>
          </w:p>
        </w:tc>
        <w:tc>
          <w:tcPr>
            <w:tcW w:w="0" w:type="dxa"/>
            <w:vAlign w:val="bottom"/>
          </w:tcPr>
          <w:p>
            <w:pPr>
              <w:spacing w:after="0"/>
              <w:rPr>
                <w:sz w:val="1"/>
                <w:szCs w:val="1"/>
                <w:color w:val="auto"/>
              </w:rPr>
            </w:pPr>
          </w:p>
        </w:tc>
      </w:tr>
      <w:tr>
        <w:trPr>
          <w:trHeight w:val="284"/>
        </w:trPr>
        <w:tc>
          <w:tcPr>
            <w:tcW w:w="7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minimum lease payments (receipts) (2)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2,675,848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3,443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(96,314)</w:t>
            </w:r>
          </w:p>
        </w:tc>
        <w:tc>
          <w:tcPr>
            <w:tcW w:w="0" w:type="dxa"/>
            <w:vAlign w:val="bottom"/>
          </w:tcPr>
          <w:p>
            <w:pPr>
              <w:spacing w:after="0"/>
              <w:rPr>
                <w:sz w:val="1"/>
                <w:szCs w:val="1"/>
                <w:color w:val="auto"/>
              </w:rPr>
            </w:pPr>
          </w:p>
        </w:tc>
      </w:tr>
      <w:tr>
        <w:trPr>
          <w:trHeight w:val="257"/>
        </w:trPr>
        <w:tc>
          <w:tcPr>
            <w:tcW w:w="7540" w:type="dxa"/>
            <w:vAlign w:val="bottom"/>
            <w:tcBorders>
              <w:top w:val="single" w:sz="8" w:color="CCEEFF"/>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(1,220,011)</w:t>
            </w:r>
          </w:p>
        </w:tc>
        <w:tc>
          <w:tcPr>
            <w:tcW w:w="1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Present value of future lease payments (receipts)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1,455,837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operating lease prepaid rent of $14.7 million.</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 billion related to options to extend operating lease terms and excludes $112.3 million of signed operating leases that have not yet commenced.</w:t>
      </w:r>
    </w:p>
    <w:p>
      <w:pPr>
        <w:spacing w:after="0" w:line="16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is a summary of the weighted-average remaining lease terms and weighted-average discount rates of the Company’s leases as of the period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2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JUNE 30, 2019</w:t>
            </w: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2100" w:type="dxa"/>
            <w:vAlign w:val="bottom"/>
            <w:tcBorders>
              <w:bottom w:val="single" w:sz="8" w:color="CCEEFF"/>
            </w:tcBorders>
            <w:shd w:val="clear" w:color="auto" w:fill="CCEEFF"/>
          </w:tcPr>
          <w:p>
            <w:pPr>
              <w:spacing w:after="0"/>
              <w:rPr>
                <w:sz w:val="21"/>
                <w:szCs w:val="21"/>
                <w:color w:val="auto"/>
              </w:rPr>
            </w:pPr>
          </w:p>
        </w:tc>
      </w:tr>
      <w:tr>
        <w:trPr>
          <w:trHeight w:val="224"/>
        </w:trPr>
        <w:tc>
          <w:tcPr>
            <w:tcW w:w="9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leases</w:t>
            </w:r>
          </w:p>
        </w:tc>
        <w:tc>
          <w:tcPr>
            <w:tcW w:w="21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14.6 years</w:t>
            </w:r>
          </w:p>
        </w:tc>
      </w:tr>
      <w:tr>
        <w:trPr>
          <w:trHeight w:val="33"/>
        </w:trPr>
        <w:tc>
          <w:tcPr>
            <w:tcW w:w="93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7"/>
        </w:trPr>
        <w:tc>
          <w:tcPr>
            <w:tcW w:w="9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Finance leases</w:t>
            </w:r>
          </w:p>
        </w:tc>
        <w:tc>
          <w:tcPr>
            <w:tcW w:w="21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2.3 years</w:t>
            </w:r>
          </w:p>
        </w:tc>
      </w:tr>
      <w:tr>
        <w:trPr>
          <w:trHeight w:val="237"/>
        </w:trPr>
        <w:tc>
          <w:tcPr>
            <w:tcW w:w="9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discount rate (1):</w:t>
            </w:r>
          </w:p>
        </w:tc>
        <w:tc>
          <w:tcPr>
            <w:tcW w:w="2100" w:type="dxa"/>
            <w:vAlign w:val="bottom"/>
          </w:tcPr>
          <w:p>
            <w:pPr>
              <w:spacing w:after="0"/>
              <w:rPr>
                <w:sz w:val="20"/>
                <w:szCs w:val="20"/>
                <w:color w:val="auto"/>
              </w:rPr>
            </w:pPr>
          </w:p>
        </w:tc>
      </w:tr>
      <w:tr>
        <w:trPr>
          <w:trHeight w:val="33"/>
        </w:trPr>
        <w:tc>
          <w:tcPr>
            <w:tcW w:w="93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7"/>
        </w:trPr>
        <w:tc>
          <w:tcPr>
            <w:tcW w:w="9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leases</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r>
      <w:tr>
        <w:trPr>
          <w:trHeight w:val="224"/>
        </w:trPr>
        <w:tc>
          <w:tcPr>
            <w:tcW w:w="9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Finance leases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r>
      <w:tr>
        <w:trPr>
          <w:trHeight w:val="226"/>
        </w:trPr>
        <w:tc>
          <w:tcPr>
            <w:tcW w:w="93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2100" w:type="dxa"/>
            <w:vAlign w:val="bottom"/>
          </w:tcPr>
          <w:p>
            <w:pPr>
              <w:spacing w:after="0"/>
              <w:rPr>
                <w:sz w:val="19"/>
                <w:szCs w:val="19"/>
                <w:color w:val="auto"/>
              </w:rPr>
            </w:pPr>
          </w:p>
        </w:tc>
      </w:tr>
    </w:tbl>
    <w:p>
      <w:pPr>
        <w:ind w:left="660" w:hanging="652"/>
        <w:spacing w:after="0"/>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Company’s incremental borrowing rate at lease commencement.</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type w:val="continuous"/>
        </w:sectPr>
      </w:pPr>
    </w:p>
    <w:bookmarkStart w:id="21" w:name="page22"/>
    <w:bookmarkEnd w:id="21"/>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is a summary of other impacts to the Company’s Consolidated Financial Statements related to its leases for the period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20"/>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JUNE 30, 2019</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r>
      <w:tr>
        <w:trPr>
          <w:trHeight w:val="224"/>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4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95,532</w:t>
            </w:r>
          </w:p>
        </w:tc>
      </w:tr>
    </w:tbl>
    <w:p>
      <w:pPr>
        <w:spacing w:after="0" w:line="200" w:lineRule="exact"/>
        <w:rPr>
          <w:sz w:val="20"/>
          <w:szCs w:val="20"/>
          <w:color w:val="auto"/>
        </w:rPr>
      </w:pPr>
    </w:p>
    <w:p>
      <w:pPr>
        <w:spacing w:after="0" w:line="2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Properties Leased to Third Parties </w:t>
      </w:r>
      <w:r>
        <w:rPr>
          <w:rFonts w:ascii="Times New Roman" w:cs="Times New Roman" w:eastAsia="Times New Roman" w:hAnsi="Times New Roman"/>
          <w:sz w:val="20"/>
          <w:szCs w:val="20"/>
          <w:color w:val="auto"/>
        </w:rPr>
        <w:t>- The Company leases certain land and buildings to third parties, generally related to closed or refranchised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restaurants. The following table is a summary of assets leased to third parties as of the period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JUNE 30, 2019</w:t>
            </w: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Land (1)</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15,247</w:t>
            </w:r>
          </w:p>
        </w:tc>
      </w:tr>
      <w:tr>
        <w:trPr>
          <w:trHeight w:val="297"/>
        </w:trPr>
        <w:tc>
          <w:tcPr>
            <w:tcW w:w="9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Buildings and building improvements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23,120</w:t>
            </w:r>
          </w:p>
        </w:tc>
      </w:tr>
      <w:tr>
        <w:trPr>
          <w:trHeight w:val="270"/>
        </w:trPr>
        <w:tc>
          <w:tcPr>
            <w:tcW w:w="9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(10,210)</w:t>
            </w: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Buildings and building improvements, net (1)</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12,910</w:t>
            </w:r>
          </w:p>
        </w:tc>
      </w:tr>
      <w:tr>
        <w:trPr>
          <w:trHeight w:val="20"/>
        </w:trPr>
        <w:tc>
          <w:tcPr>
            <w:tcW w:w="9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$5.6 million of Land and $6.5 million of Building and building improvements, net recorded within assets held for sale as of June 30, 2019.</w:t>
      </w:r>
    </w:p>
    <w:p>
      <w:pPr>
        <w:spacing w:after="0" w:line="16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Fair Value Measurements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10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Unadjusted quoted market prices in active markets for identical assets or liabilities</w:t>
            </w:r>
          </w:p>
        </w:tc>
      </w:tr>
      <w:tr>
        <w:trPr>
          <w:trHeight w:val="224"/>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2</w:t>
            </w:r>
          </w:p>
        </w:tc>
        <w:tc>
          <w:tcPr>
            <w:tcW w:w="10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Observable inputs available at measurement date other than quoted prices included in Level 1</w:t>
            </w:r>
          </w:p>
        </w:tc>
      </w:tr>
      <w:tr>
        <w:trPr>
          <w:trHeight w:val="47"/>
        </w:trPr>
        <w:tc>
          <w:tcPr>
            <w:tcW w:w="860" w:type="dxa"/>
            <w:vAlign w:val="bottom"/>
          </w:tcPr>
          <w:p>
            <w:pPr>
              <w:spacing w:after="0"/>
              <w:rPr>
                <w:sz w:val="4"/>
                <w:szCs w:val="4"/>
                <w:color w:val="auto"/>
              </w:rPr>
            </w:pPr>
          </w:p>
        </w:tc>
        <w:tc>
          <w:tcPr>
            <w:tcW w:w="10520" w:type="dxa"/>
            <w:vAlign w:val="bottom"/>
          </w:tcPr>
          <w:p>
            <w:pPr>
              <w:spacing w:after="0"/>
              <w:rPr>
                <w:sz w:val="4"/>
                <w:szCs w:val="4"/>
                <w:color w:val="auto"/>
              </w:rPr>
            </w:pPr>
          </w:p>
        </w:tc>
      </w:tr>
      <w:tr>
        <w:trPr>
          <w:trHeight w:val="224"/>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3</w:t>
            </w:r>
          </w:p>
        </w:tc>
        <w:tc>
          <w:tcPr>
            <w:tcW w:w="10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Unobservable inputs that cannot be corroborated by observable market data</w:t>
            </w:r>
          </w:p>
        </w:tc>
      </w:tr>
      <w:tr>
        <w:trPr>
          <w:trHeight w:val="47"/>
        </w:trPr>
        <w:tc>
          <w:tcPr>
            <w:tcW w:w="860" w:type="dxa"/>
            <w:vAlign w:val="bottom"/>
            <w:shd w:val="clear" w:color="auto" w:fill="CCEEFF"/>
          </w:tcPr>
          <w:p>
            <w:pPr>
              <w:spacing w:after="0"/>
              <w:rPr>
                <w:sz w:val="4"/>
                <w:szCs w:val="4"/>
                <w:color w:val="auto"/>
              </w:rPr>
            </w:pPr>
          </w:p>
        </w:tc>
        <w:tc>
          <w:tcPr>
            <w:tcW w:w="1052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1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Fair Value Measurements on a Recurring Basis - </w:t>
      </w:r>
      <w:r>
        <w:rPr>
          <w:rFonts w:ascii="Times New Roman" w:cs="Times New Roman" w:eastAsia="Times New Roman" w:hAnsi="Times New Roman"/>
          <w:sz w:val="20"/>
          <w:szCs w:val="20"/>
          <w:color w:val="auto"/>
        </w:rPr>
        <w:t>The following table summarizes the Company’s financial assets and liabilities measured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fair value by hierarchy level on a recurring basis as of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6"/>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30, 2018</w:t>
            </w:r>
          </w:p>
        </w:tc>
        <w:tc>
          <w:tcPr>
            <w:tcW w:w="940" w:type="dxa"/>
            <w:vAlign w:val="bottom"/>
            <w:tcBorders>
              <w:bottom w:val="single" w:sz="8" w:color="auto"/>
            </w:tcBorders>
          </w:tcPr>
          <w:p>
            <w:pPr>
              <w:spacing w:after="0"/>
              <w:rPr>
                <w:sz w:val="18"/>
                <w:szCs w:val="18"/>
                <w:color w:val="auto"/>
              </w:rPr>
            </w:pPr>
          </w:p>
        </w:tc>
      </w:tr>
      <w:tr>
        <w:trPr>
          <w:trHeight w:val="264"/>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22"/>
                <w:szCs w:val="22"/>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22"/>
                <w:szCs w:val="2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LEVEL 1</w:t>
            </w:r>
          </w:p>
        </w:tc>
        <w:tc>
          <w:tcPr>
            <w:tcW w:w="180" w:type="dxa"/>
            <w:vAlign w:val="bottom"/>
          </w:tcPr>
          <w:p>
            <w:pPr>
              <w:spacing w:after="0"/>
              <w:rPr>
                <w:sz w:val="22"/>
                <w:szCs w:val="22"/>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22"/>
                <w:szCs w:val="22"/>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LEVEL 1</w:t>
            </w:r>
          </w:p>
        </w:tc>
        <w:tc>
          <w:tcPr>
            <w:tcW w:w="180" w:type="dxa"/>
            <w:vAlign w:val="bottom"/>
          </w:tcPr>
          <w:p>
            <w:pPr>
              <w:spacing w:after="0"/>
              <w:rPr>
                <w:sz w:val="22"/>
                <w:szCs w:val="22"/>
                <w:color w:val="auto"/>
              </w:rPr>
            </w:pPr>
          </w:p>
        </w:tc>
        <w:tc>
          <w:tcPr>
            <w:tcW w:w="9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Fixed income funds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6,655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6,655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17,827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2,187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84"/>
        </w:trPr>
        <w:tc>
          <w:tcPr>
            <w:tcW w:w="40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Derivative instruments - interest rate swaps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765</w:t>
            </w:r>
          </w:p>
        </w:tc>
      </w:tr>
      <w:tr>
        <w:trPr>
          <w:trHeight w:val="244"/>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 recurring fair value measurements</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9,353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9,353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19,219</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18,454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Derivative instruments - interest rate swaps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1,393</w:t>
            </w: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Derivative instruments - interest rate swaps</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19,803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19,803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9,723</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9,723</w:t>
            </w:r>
          </w:p>
        </w:tc>
      </w:tr>
      <w:tr>
        <w:trPr>
          <w:trHeight w:val="250"/>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liability recurring fair value measurements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26,327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26,327</w:t>
            </w: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11,116</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11,116</w:t>
            </w:r>
          </w:p>
        </w:tc>
      </w:tr>
      <w:tr>
        <w:trPr>
          <w:trHeight w:val="20"/>
        </w:trPr>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Fair value of each class of financial instrument is determined based on the following:</w:t>
      </w:r>
    </w:p>
    <w:p>
      <w:pPr>
        <w:spacing w:after="0" w:line="160" w:lineRule="exact"/>
        <w:rPr>
          <w:sz w:val="20"/>
          <w:szCs w:val="20"/>
          <w:color w:val="auto"/>
        </w:rPr>
      </w:pPr>
    </w:p>
    <w:p>
      <w:pPr>
        <w:ind w:left="40"/>
        <w:spacing w:after="0"/>
        <w:tabs>
          <w:tab w:leader="none" w:pos="2520" w:val="left"/>
        </w:tabs>
        <w:rPr>
          <w:sz w:val="20"/>
          <w:szCs w:val="20"/>
          <w:color w:val="auto"/>
        </w:rPr>
      </w:pPr>
      <w:r>
        <w:rPr>
          <w:rFonts w:ascii="Times New Roman" w:cs="Times New Roman" w:eastAsia="Times New Roman" w:hAnsi="Times New Roman"/>
          <w:sz w:val="14"/>
          <w:szCs w:val="14"/>
          <w:b w:val="1"/>
          <w:bCs w:val="1"/>
          <w:color w:val="auto"/>
        </w:rPr>
        <w:t>FINANCIAL INSTRUMENT</w:t>
      </w:r>
      <w:r>
        <w:rPr>
          <w:sz w:val="20"/>
          <w:szCs w:val="20"/>
          <w:color w:val="auto"/>
        </w:rPr>
        <w:tab/>
      </w:r>
      <w:r>
        <w:rPr>
          <w:rFonts w:ascii="Times New Roman" w:cs="Times New Roman" w:eastAsia="Times New Roman" w:hAnsi="Times New Roman"/>
          <w:sz w:val="14"/>
          <w:szCs w:val="14"/>
          <w:b w:val="1"/>
          <w:bCs w:val="1"/>
          <w:color w:val="auto"/>
        </w:rPr>
        <w:t>METHODS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134" w:lineRule="exact"/>
        <w:rPr>
          <w:sz w:val="20"/>
          <w:szCs w:val="20"/>
          <w:color w:val="auto"/>
        </w:rPr>
      </w:pPr>
    </w:p>
    <w:p>
      <w:pPr>
        <w:ind w:left="40"/>
        <w:spacing w:after="0" w:line="298" w:lineRule="auto"/>
        <w:rPr>
          <w:sz w:val="20"/>
          <w:szCs w:val="20"/>
          <w:color w:val="auto"/>
        </w:rPr>
      </w:pPr>
      <w:r>
        <w:rPr>
          <w:rFonts w:ascii="Times New Roman" w:cs="Times New Roman" w:eastAsia="Times New Roman" w:hAnsi="Times New Roman"/>
          <w:sz w:val="16"/>
          <w:szCs w:val="16"/>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Carrying value approximates fair value because maturities are less than three months.</w:t>
      </w:r>
    </w:p>
    <w:p>
      <w:pPr>
        <w:spacing w:after="0" w:line="274" w:lineRule="exact"/>
        <w:rPr>
          <w:sz w:val="20"/>
          <w:szCs w:val="20"/>
          <w:color w:val="auto"/>
        </w:rPr>
      </w:pPr>
    </w:p>
    <w:p>
      <w:pPr>
        <w:sectPr>
          <w:pgSz w:w="11900" w:h="16838" w:orient="portrait"/>
          <w:cols w:equalWidth="0" w:num="2">
            <w:col w:w="2100" w:space="440"/>
            <w:col w:w="8880"/>
          </w:cols>
          <w:pgMar w:left="240" w:top="118" w:right="239" w:bottom="1440" w:gutter="0" w:footer="0" w:header="0"/>
          <w:type w:val="continuous"/>
        </w:sectPr>
      </w:pPr>
    </w:p>
    <w:p>
      <w:pPr>
        <w:ind w:left="40"/>
        <w:spacing w:after="0"/>
        <w:tabs>
          <w:tab w:leader="none" w:pos="2520" w:val="left"/>
        </w:tabs>
        <w:rPr>
          <w:sz w:val="20"/>
          <w:szCs w:val="20"/>
          <w:color w:val="auto"/>
        </w:rPr>
      </w:pPr>
      <w:r>
        <w:rPr>
          <w:rFonts w:ascii="Times New Roman" w:cs="Times New Roman" w:eastAsia="Times New Roman" w:hAnsi="Times New Roman"/>
          <w:sz w:val="16"/>
          <w:szCs w:val="16"/>
          <w:color w:val="auto"/>
        </w:rPr>
        <w:t>Derivative instruments</w:t>
      </w:r>
      <w:r>
        <w:rPr>
          <w:sz w:val="20"/>
          <w:szCs w:val="20"/>
          <w:color w:val="auto"/>
        </w:rPr>
        <w:tab/>
      </w:r>
      <w:r>
        <w:rPr>
          <w:rFonts w:ascii="Times New Roman" w:cs="Times New Roman" w:eastAsia="Times New Roman" w:hAnsi="Times New Roman"/>
          <w:sz w:val="16"/>
          <w:szCs w:val="16"/>
          <w:color w:val="auto"/>
        </w:rPr>
        <w:t>The Company’s derivative instruments include interest rate swaps. Fair value measurements are based on the contractual terms of the</w:t>
      </w:r>
    </w:p>
    <w:p>
      <w:pPr>
        <w:spacing w:after="0" w:line="2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derivatives and use observable market-based inputs. The interest rate swaps are valued using a discounted cash flow analysis on the</w:t>
      </w:r>
    </w:p>
    <w:p>
      <w:pPr>
        <w:spacing w:after="0" w:line="1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color w:val="auto"/>
        </w:rPr>
        <w:t>expected cash flows of each derivative using observable inputs including interest rate curves and credit spreads. The Company also</w:t>
      </w:r>
    </w:p>
    <w:p>
      <w:pPr>
        <w:spacing w:after="0" w:line="1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color w:val="auto"/>
        </w:rPr>
        <w:t>considers its own nonperformance risk and the respective counterparty’s nonperformance risk in the fair value measurements. As of</w:t>
      </w:r>
    </w:p>
    <w:p>
      <w:pPr>
        <w:spacing w:after="0" w:line="1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color w:val="auto"/>
        </w:rPr>
        <w:t>June 30, 2019 and December 30, 2018, the Company has determined that the credit valuation adjustments are not significant to the</w:t>
      </w:r>
    </w:p>
    <w:p>
      <w:pPr>
        <w:spacing w:after="0" w:line="1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color w:val="auto"/>
        </w:rPr>
        <w:t>overall valuation of its derivatives.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type w:val="continuous"/>
        </w:sectPr>
      </w:pPr>
    </w:p>
    <w:bookmarkStart w:id="23" w:name="page24"/>
    <w:bookmarkEnd w:id="23"/>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Fair Value Measurements on a Nonrecurring Basis - </w:t>
      </w:r>
      <w:r>
        <w:rPr>
          <w:rFonts w:ascii="Times New Roman" w:cs="Times New Roman" w:eastAsia="Times New Roman" w:hAnsi="Times New Roman"/>
          <w:sz w:val="20"/>
          <w:szCs w:val="20"/>
          <w:color w:val="auto"/>
        </w:rPr>
        <w:t>Assets and liabilities that are measured at fair value on a nonrecurring basis relate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to property, fixtures and equipment, operating lease right-of-use assets, goodwill and other intangible assets, which are remeasured when carrying value exceeds fair value. The following table summarizes the Company’s assets measured at fair value by hierarchy level on a nonrecurring basis, for the periods indicated:</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Operating lease right-of-use assets </w:t>
      </w:r>
      <w:r>
        <w:rPr>
          <w:rFonts w:ascii="Times New Roman" w:cs="Times New Roman" w:eastAsia="Times New Roman" w:hAnsi="Times New Roman"/>
          <w:sz w:val="14"/>
          <w:szCs w:val="14"/>
          <w:color w:val="auto"/>
        </w:rPr>
        <w:t>(1)</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Property, fixtures and equipment </w:t>
      </w: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36874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903"/>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903"/>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0" w:type="dxa"/>
            <w:vAlign w:val="bottom"/>
          </w:tcPr>
          <w:p>
            <w:pPr>
              <w:spacing w:after="0"/>
              <w:rPr>
                <w:sz w:val="1"/>
                <w:szCs w:val="1"/>
                <w:color w:val="auto"/>
              </w:rPr>
            </w:pPr>
          </w:p>
        </w:tc>
      </w:tr>
      <w:tr>
        <w:trPr>
          <w:trHeight w:val="151"/>
        </w:trPr>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ind w:left="280"/>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260" w:type="dxa"/>
            <w:vAlign w:val="bottom"/>
            <w:gridSpan w:val="2"/>
          </w:tcPr>
          <w:p>
            <w:pPr>
              <w:ind w:left="100"/>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3"/>
                <w:szCs w:val="13"/>
                <w:color w:val="auto"/>
              </w:rPr>
            </w:pPr>
          </w:p>
        </w:tc>
        <w:tc>
          <w:tcPr>
            <w:tcW w:w="1200" w:type="dxa"/>
            <w:vAlign w:val="bottom"/>
          </w:tcPr>
          <w:p>
            <w:pPr>
              <w:jc w:val="right"/>
              <w:ind w:right="343"/>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1380" w:type="dxa"/>
            <w:vAlign w:val="bottom"/>
            <w:tcBorders>
              <w:bottom w:val="single" w:sz="8" w:color="auto"/>
            </w:tcBorders>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VALUE (2)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0" w:type="dxa"/>
            <w:vAlign w:val="bottom"/>
          </w:tcPr>
          <w:p>
            <w:pPr>
              <w:spacing w:after="0"/>
              <w:rPr>
                <w:sz w:val="1"/>
                <w:szCs w:val="1"/>
                <w:color w:val="auto"/>
              </w:rPr>
            </w:pPr>
          </w:p>
        </w:tc>
      </w:tr>
      <w:tr>
        <w:trPr>
          <w:trHeight w:val="224"/>
        </w:trPr>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1,770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540" w:type="dxa"/>
            <w:vAlign w:val="bottom"/>
          </w:tcPr>
          <w:p>
            <w:pPr>
              <w:spacing w:after="0"/>
              <w:rPr>
                <w:sz w:val="22"/>
                <w:szCs w:val="22"/>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4,721</w:t>
            </w:r>
          </w:p>
        </w:tc>
        <w:tc>
          <w:tcPr>
            <w:tcW w:w="0" w:type="dxa"/>
            <w:vAlign w:val="bottom"/>
          </w:tcPr>
          <w:p>
            <w:pPr>
              <w:spacing w:after="0"/>
              <w:rPr>
                <w:sz w:val="1"/>
                <w:szCs w:val="1"/>
                <w:color w:val="auto"/>
              </w:rPr>
            </w:pPr>
          </w:p>
        </w:tc>
      </w:tr>
      <w:tr>
        <w:trPr>
          <w:trHeight w:val="40"/>
        </w:trPr>
        <w:tc>
          <w:tcPr>
            <w:tcW w:w="5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1,932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4,721</w:t>
            </w:r>
          </w:p>
        </w:tc>
        <w:tc>
          <w:tcPr>
            <w:tcW w:w="0" w:type="dxa"/>
            <w:vAlign w:val="bottom"/>
          </w:tcPr>
          <w:p>
            <w:pPr>
              <w:spacing w:after="0"/>
              <w:rPr>
                <w:sz w:val="1"/>
                <w:szCs w:val="1"/>
                <w:color w:val="auto"/>
              </w:rPr>
            </w:pPr>
          </w:p>
        </w:tc>
      </w:tr>
      <w:tr>
        <w:trPr>
          <w:trHeight w:val="33"/>
        </w:trPr>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-539750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-196850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TWENTY-SIX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36874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4900" w:space="720"/>
            <w:col w:w="580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151"/>
        </w:trPr>
        <w:tc>
          <w:tcPr>
            <w:tcW w:w="5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3"/>
                <w:szCs w:val="13"/>
                <w:color w:val="auto"/>
              </w:rPr>
            </w:pPr>
          </w:p>
        </w:tc>
        <w:tc>
          <w:tcPr>
            <w:tcW w:w="1200" w:type="dxa"/>
            <w:vAlign w:val="bottom"/>
          </w:tcPr>
          <w:p>
            <w:pPr>
              <w:jc w:val="right"/>
              <w:ind w:right="342"/>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7"/>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 (2)</w:t>
            </w:r>
          </w:p>
        </w:tc>
        <w:tc>
          <w:tcPr>
            <w:tcW w:w="160" w:type="dxa"/>
            <w:vAlign w:val="bottom"/>
          </w:tcPr>
          <w:p>
            <w:pPr>
              <w:spacing w:after="0"/>
              <w:rPr>
                <w:sz w:val="18"/>
                <w:szCs w:val="18"/>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IMPAIRMENT</w:t>
            </w: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Assets held for sale </w:t>
            </w:r>
            <w:r>
              <w:rPr>
                <w:rFonts w:ascii="Times New Roman" w:cs="Times New Roman" w:eastAsia="Times New Roman" w:hAnsi="Times New Roman"/>
                <w:sz w:val="14"/>
                <w:szCs w:val="14"/>
                <w:color w:val="auto"/>
              </w:rPr>
              <w:t>(2)</w:t>
            </w: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50</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Operating lease right-of-use assets </w:t>
            </w:r>
            <w:r>
              <w:rPr>
                <w:rFonts w:ascii="Times New Roman" w:cs="Times New Roman" w:eastAsia="Times New Roman" w:hAnsi="Times New Roman"/>
                <w:sz w:val="14"/>
                <w:szCs w:val="14"/>
                <w:color w:val="auto"/>
              </w:rPr>
              <w:t>(1)</w:t>
            </w:r>
          </w:p>
        </w:tc>
        <w:tc>
          <w:tcPr>
            <w:tcW w:w="50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Property, fixtures and equipment </w:t>
            </w:r>
            <w:r>
              <w:rPr>
                <w:rFonts w:ascii="Times New Roman" w:cs="Times New Roman" w:eastAsia="Times New Roman" w:hAnsi="Times New Roman"/>
                <w:sz w:val="14"/>
                <w:szCs w:val="14"/>
                <w:color w:val="auto"/>
              </w:rPr>
              <w:t>(1)</w:t>
            </w:r>
          </w:p>
        </w:tc>
        <w:tc>
          <w:tcPr>
            <w:tcW w:w="5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2,833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6,942</w:t>
            </w:r>
          </w:p>
        </w:tc>
      </w:tr>
      <w:tr>
        <w:trPr>
          <w:trHeight w:val="224"/>
        </w:trPr>
        <w:tc>
          <w:tcPr>
            <w:tcW w:w="56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5,461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5,414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6,992</w:t>
            </w:r>
          </w:p>
        </w:tc>
      </w:tr>
      <w:tr>
        <w:trPr>
          <w:trHeight w:val="33"/>
        </w:trPr>
        <w:tc>
          <w:tcPr>
            <w:tcW w:w="56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jc w:val="both"/>
        <w:ind w:left="660" w:hanging="652"/>
        <w:spacing w:after="0" w:line="246"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Carrying value approximates fair value. Carrying values for Operating lease right-of-use assets and Property, fixtures and equipment measured using Level 3 inputs to estimate fair value totaled $0.1 million and $0.5 million, respectively, during the thirteen weeks ended June 30, 2019 and $2.1 million and $1.0 million, respectively, during the twenty-six weeks ended June 30, 2019. Level 2 inputs were used to estimate the fair value for all other assets measured in the periods presented. Third-party market appraisals (Level 2) and discounted cash flow models (Level 3) were used to estimate fair value.</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Carrying value approximates fair value with all assets measured using third-party market appraisals or executed sales contracts (Level 2).</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Interim Disclosures about Fair Value of Financial Instruments - </w:t>
      </w:r>
      <w:r>
        <w:rPr>
          <w:rFonts w:ascii="Times New Roman" w:cs="Times New Roman" w:eastAsia="Times New Roman" w:hAnsi="Times New Roman"/>
          <w:sz w:val="20"/>
          <w:szCs w:val="20"/>
          <w:color w:val="auto"/>
        </w:rPr>
        <w:t>The Company’s non-derivative financial instruments consist of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equivalents, accounts receivable, accounts payable and current and long-term debt. The fair values of cash equivalents, accounts receivable and accounts payable approximate their carrying amounts reported in its Consolidated Balance Sheets due to their short duration.</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30, 2018</w:t>
            </w:r>
          </w:p>
        </w:tc>
      </w:tr>
      <w:tr>
        <w:trPr>
          <w:trHeight w:val="326"/>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24"/>
                <w:szCs w:val="24"/>
                <w:color w:val="auto"/>
              </w:rPr>
            </w:pPr>
          </w:p>
        </w:tc>
        <w:tc>
          <w:tcPr>
            <w:tcW w:w="110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7"/>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LEVEL 2</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8"/>
                <w:szCs w:val="18"/>
                <w:color w:val="auto"/>
              </w:rPr>
            </w:pPr>
          </w:p>
        </w:tc>
        <w:tc>
          <w:tcPr>
            <w:tcW w:w="110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Secured Credit Facility:</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Term loan 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462,500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462,500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475,000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464,906</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686,300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683,726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599,500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590,508</w:t>
            </w:r>
          </w:p>
        </w:tc>
      </w:tr>
      <w:tr>
        <w:trPr>
          <w:trHeight w:val="33"/>
        </w:trPr>
        <w:tc>
          <w:tcPr>
            <w:tcW w:w="6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type w:val="continuous"/>
        </w:sectPr>
      </w:pPr>
    </w:p>
    <w:bookmarkStart w:id="24" w:name="page25"/>
    <w:bookmarkEnd w:id="24"/>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color w:val="auto"/>
        </w:rPr>
        <w:t>Income Taxes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18"/>
                <w:szCs w:val="18"/>
                <w:color w:val="auto"/>
              </w:rPr>
            </w:pPr>
          </w:p>
        </w:tc>
        <w:tc>
          <w:tcPr>
            <w:tcW w:w="3660" w:type="dxa"/>
            <w:vAlign w:val="bottom"/>
            <w:tcBorders>
              <w:bottom w:val="single" w:sz="8" w:color="auto"/>
            </w:tcBorders>
            <w:gridSpan w:val="4"/>
          </w:tcPr>
          <w:p>
            <w:pPr>
              <w:ind w:left="12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Borders>
              <w:bottom w:val="single" w:sz="8" w:color="auto"/>
            </w:tcBorders>
            <w:gridSpan w:val="3"/>
          </w:tcPr>
          <w:p>
            <w:pPr>
              <w:jc w:val="right"/>
              <w:ind w:right="104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64"/>
        </w:trPr>
        <w:tc>
          <w:tcPr>
            <w:tcW w:w="278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4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Borders>
              <w:bottom w:val="single" w:sz="8" w:color="CCEEFF"/>
            </w:tcBorders>
          </w:tcPr>
          <w:p>
            <w:pPr>
              <w:spacing w:after="0"/>
              <w:rPr>
                <w:sz w:val="22"/>
                <w:szCs w:val="22"/>
                <w:color w:val="auto"/>
              </w:rPr>
            </w:pPr>
          </w:p>
        </w:tc>
        <w:tc>
          <w:tcPr>
            <w:tcW w:w="21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24"/>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33"/>
        </w:trPr>
        <w:tc>
          <w:tcPr>
            <w:tcW w:w="27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effective income tax rate for the thirteen and twenty-six weeks ended June 30, 2019 increased by 27.6 and 10.2 percentage points, respectively, as compared to the thirteen and twenty-six weeks ended July 1, 2018. These increases were primarily due to favorable discrete items recorded in the thirteen and twenty-six weeks ended July 1, 2018, which included excess tax benefits from equity-based compensation arrangements.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has a blended federal and state statutory rate of approximately 26%. The effective income tax rates for the thirteen and twenty-six weeks ended June 30, 2019 were lower than the statutory rate primarily due to the benefit of tax credits for FICA taxes on certain employees’ tips.</w:t>
      </w:r>
    </w:p>
    <w:p>
      <w:pPr>
        <w:spacing w:after="0" w:line="1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color w:val="auto"/>
        </w:rPr>
        <w:t>Commitments and Contingencies</w:t>
      </w:r>
    </w:p>
    <w:p>
      <w:pPr>
        <w:spacing w:after="0" w:line="22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Litigation and Other Matters - </w:t>
      </w:r>
      <w:r>
        <w:rPr>
          <w:rFonts w:ascii="Times New Roman" w:cs="Times New Roman" w:eastAsia="Times New Roman" w:hAnsi="Times New Roman"/>
          <w:sz w:val="20"/>
          <w:szCs w:val="20"/>
          <w:color w:val="auto"/>
        </w:rPr>
        <w:t>The Company had $2.4 million and $2.8 million of liabilities recorded for various legal matters as of June 30,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2019 and December 30, 2018, respectively.</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is subject to legal proceedings, claims and liabilities, such as liquor liability, slip and fall cases, wage-and-hour and other employment-related litigation, which arise in the ordinary course of business and are generally covered by insurance if they exceed specified retention or deductible amounts. In the opinion of management, the amount of ultimate liability with respect to those actions will not have a material adverse impact on the Company’s financial position or results of operations and cash flows.</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Lease Guarantees </w:t>
      </w:r>
      <w:r>
        <w:rPr>
          <w:rFonts w:ascii="Times New Roman" w:cs="Times New Roman" w:eastAsia="Times New Roman" w:hAnsi="Times New Roman"/>
          <w:sz w:val="20"/>
          <w:szCs w:val="20"/>
          <w:color w:val="auto"/>
        </w:rPr>
        <w:t>- The Company assigned its interest, and is contingently liable, under certain real estate leases. These leases have varying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terms, the latest of which expires in 2032. As of June 30, 2019, the undiscounted payments that the Company could be required to make in the event of non-payment by the primary lessees was approximately $34.0 million. The present value of these potential payments discounted at the Company’s incremental borrowing rate as of June 30, 2019 was approximately $25.1 million. In the event of default, the indemnity clauses in the Company’s purchase and sale agreements govern its ability to pursue and recover damages incurred. The Company believes the financial strength and operating history of the lessees’ significantly reduces the risk that it will be required to make payments under these leases. Accordingly, no liability has been recorded.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color w:val="auto"/>
        </w:rPr>
        <w:t>Segment Reporting</w:t>
      </w:r>
    </w:p>
    <w:p>
      <w:pPr>
        <w:spacing w:after="0" w:line="229"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The Company considers its restaurant concepts and international markets as operating segments, which reflects how the Company manages its business, reviews operating performance and allocates resources. Resources are allocated and performance is assessed by the Company’s Chief Executive Officer (“CEO”), whom the Company has determined to be its Chief Operating Decision Maker (“CODM”). The Company aggregates its operating segments into two reportable segments, U.S. and International. The U.S. segment includes all restaurants operating in the U.S. while restaurants operating outside the U.S. are included in the International segment. The following is a summary of reporting segments: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 (1)</w:t>
            </w: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CONCEPT</w:t>
            </w: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620" w:type="dxa"/>
            <w:vAlign w:val="bottom"/>
            <w:tcBorders>
              <w:left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8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Borders>
              <w:left w:val="single" w:sz="8" w:color="auto"/>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Borders>
              <w:left w:val="single" w:sz="8" w:color="auto"/>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62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 Hong Kong/China</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20" w:type="dxa"/>
            <w:vAlign w:val="bottom"/>
            <w:tcBorders>
              <w:left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2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2620" w:type="dxa"/>
            <w:vAlign w:val="bottom"/>
          </w:tcPr>
          <w:p>
            <w:pPr>
              <w:jc w:val="right"/>
              <w:ind w:right="1181"/>
              <w:spacing w:after="0"/>
              <w:rPr>
                <w:sz w:val="20"/>
                <w:szCs w:val="20"/>
                <w:color w:val="auto"/>
              </w:rPr>
            </w:pPr>
            <w:r>
              <w:rPr>
                <w:rFonts w:ascii="Times New Roman" w:cs="Times New Roman" w:eastAsia="Times New Roman" w:hAnsi="Times New Roman"/>
                <w:sz w:val="16"/>
                <w:szCs w:val="16"/>
                <w:color w:val="auto"/>
                <w:w w:val="98"/>
              </w:rPr>
              <w:t>_________________</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franchise locations.</w:t>
      </w:r>
    </w:p>
    <w:p>
      <w:pPr>
        <w:spacing w:after="0" w:line="20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color w:val="auto"/>
        </w:rPr>
        <w:t xml:space="preserve">Segment accounting policies are the same as those described in Note 2 -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xml:space="preserve"> in the Company’s Annual Report on Form 10-K for the year ended December 30, 2018. Revenues for all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and certain bonus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summary of Total revenue by segment,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64"/>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8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2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shd w:val="clear" w:color="auto" w:fill="CCEEFF"/>
              </w:rPr>
              <w:t>Total revenues</w:t>
            </w:r>
          </w:p>
        </w:tc>
        <w:tc>
          <w:tcPr>
            <w:tcW w:w="41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914,219</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922,355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1,928,726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1,921,062</w:t>
            </w:r>
          </w:p>
        </w:tc>
      </w:tr>
      <w:tr>
        <w:trPr>
          <w:trHeight w:val="33"/>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International</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107,711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109,459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221,335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227,217</w:t>
            </w:r>
          </w:p>
        </w:tc>
      </w:tr>
      <w:tr>
        <w:trPr>
          <w:trHeight w:val="250"/>
        </w:trPr>
        <w:tc>
          <w:tcPr>
            <w:tcW w:w="40" w:type="dxa"/>
            <w:vAlign w:val="bottom"/>
          </w:tcPr>
          <w:p>
            <w:pPr>
              <w:spacing w:after="0"/>
              <w:rPr>
                <w:sz w:val="21"/>
                <w:szCs w:val="21"/>
                <w:color w:val="auto"/>
              </w:rPr>
            </w:pPr>
          </w:p>
        </w:tc>
        <w:tc>
          <w:tcPr>
            <w:tcW w:w="51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1,021,930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1,031,814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2,150,061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2,148,279</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is a reconciliation of Segment income (loss) from operations to Income before provision (benefit) for income taxes,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64"/>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8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2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Segment income (loss) from operations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78,814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76,913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191,849</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186,047</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International</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6,909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20,629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6,276</w:t>
            </w:r>
          </w:p>
        </w:tc>
      </w:tr>
      <w:tr>
        <w:trPr>
          <w:trHeight w:val="224"/>
        </w:trPr>
        <w:tc>
          <w:tcPr>
            <w:tcW w:w="5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segment income from operations</w:t>
            </w:r>
          </w:p>
        </w:tc>
        <w:tc>
          <w:tcPr>
            <w:tcW w:w="20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85,723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74,864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212,478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192,323</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Unallocated corporate operating expense</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(42,263)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(81,028)</w:t>
            </w:r>
          </w:p>
        </w:tc>
      </w:tr>
      <w:tr>
        <w:trPr>
          <w:trHeight w:val="224"/>
        </w:trPr>
        <w:tc>
          <w:tcPr>
            <w:tcW w:w="5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income from operations</w:t>
            </w:r>
          </w:p>
        </w:tc>
        <w:tc>
          <w:tcPr>
            <w:tcW w:w="20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43,460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32,924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125,954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111,295</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70"/>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(12,448)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(23,629)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(21,629)</w:t>
            </w: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Income before provision (benefit) for income taxes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31,024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21,599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102,169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89,661</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18" w:right="21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40"/>
          </w:cols>
          <w:pgMar w:left="240" w:top="118" w:right="219" w:bottom="1440" w:gutter="0" w:footer="0" w:header="0"/>
          <w:type w:val="continuous"/>
        </w:sectPr>
      </w:pPr>
    </w:p>
    <w:bookmarkStart w:id="26" w:name="page27"/>
    <w:bookmarkEnd w:id="26"/>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summary of Depreciation and amortization expense by segment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64"/>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8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2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38,916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39,993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77,702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79,267</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International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6,749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6,714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13,446</w:t>
            </w:r>
          </w:p>
        </w:tc>
      </w:tr>
      <w:tr>
        <w:trPr>
          <w:trHeight w:val="270"/>
        </w:trPr>
        <w:tc>
          <w:tcPr>
            <w:tcW w:w="5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4,123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4,075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8,363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8,189</w:t>
            </w: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49,788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50,782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99,270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100,902</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Geographic Areas </w:t>
      </w:r>
      <w:r>
        <w:rPr>
          <w:rFonts w:ascii="Times New Roman" w:cs="Times New Roman" w:eastAsia="Times New Roman" w:hAnsi="Times New Roman"/>
          <w:sz w:val="20"/>
          <w:szCs w:val="20"/>
          <w:color w:val="auto"/>
        </w:rPr>
        <w:t>— International assets are defined as assets residing in a country other than the U.S. The following table details long-lived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assets, excluding operating lease right-of-use assets, goodwill, intangible assets and deferred tax assets, by major geographic area as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8"/>
                <w:szCs w:val="18"/>
                <w:color w:val="auto"/>
              </w:rPr>
            </w:pPr>
          </w:p>
        </w:tc>
        <w:tc>
          <w:tcPr>
            <w:tcW w:w="19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18"/>
                <w:szCs w:val="18"/>
                <w:color w:val="auto"/>
              </w:rPr>
            </w:pPr>
          </w:p>
        </w:tc>
        <w:tc>
          <w:tcPr>
            <w:tcW w:w="182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30, 2018</w:t>
            </w:r>
          </w:p>
        </w:tc>
      </w:tr>
      <w:tr>
        <w:trPr>
          <w:trHeight w:val="237"/>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w:t>
            </w:r>
          </w:p>
        </w:tc>
        <w:tc>
          <w:tcPr>
            <w:tcW w:w="38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1,035,172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1,107,679</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Brazil</w:t>
            </w:r>
          </w:p>
        </w:tc>
        <w:tc>
          <w:tcPr>
            <w:tcW w:w="3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124,811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115,560</w:t>
            </w:r>
          </w:p>
        </w:tc>
      </w:tr>
      <w:tr>
        <w:trPr>
          <w:trHeight w:val="270"/>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15,280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13,663</w:t>
            </w: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1,175,263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1,236,902</w:t>
            </w: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spacing w:after="0" w:line="190"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reactions to public health and food safety issues;</w:t>
      </w:r>
    </w:p>
    <w:p>
      <w:pPr>
        <w:spacing w:after="0" w:line="22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in the highly competitive restaurant industry with many well-established competitors and new market entrants;</w:t>
      </w:r>
    </w:p>
    <w:p>
      <w:pPr>
        <w:spacing w:after="0" w:line="22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Minimum wage increases and additional mandated employee benefits;</w:t>
      </w:r>
    </w:p>
    <w:p>
      <w:pPr>
        <w:spacing w:after="0" w:line="229"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conditions and their effects on consumer confidence and discretionary spending, consumer traffic, the cost and availability of credit and interest rates;</w:t>
      </w:r>
    </w:p>
    <w:p>
      <w:pPr>
        <w:spacing w:after="0" w:line="173"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our information technology systems from interruption or security breach, including cyber security threats, and to protect consumer data and personal employee information;</w:t>
      </w:r>
    </w:p>
    <w:p>
      <w:pPr>
        <w:spacing w:after="0" w:line="15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price and availability of commodities;</w:t>
      </w:r>
    </w:p>
    <w:p>
      <w:pPr>
        <w:spacing w:after="0" w:line="229"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governmental laws and regulations, the costs of compliance with such laws and regulations and the effects of changes to applicable laws and regulations, including tax laws and unanticipated liabilities;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21"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respond to changes in patterns of consumer traffic, consumer tastes and dietary habits;</w:t>
      </w:r>
    </w:p>
    <w:p>
      <w:pPr>
        <w:spacing w:after="0" w:line="229"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188"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international economic, political and social conditions and legal systems on our foreign operations and on foreign currency exchange rates;</w:t>
      </w:r>
    </w:p>
    <w:p>
      <w:pPr>
        <w:spacing w:after="0" w:line="173"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preserve and grow the reputation and value of our brands, particularly in light of changes in consumer engagement with social media platforms;</w:t>
      </w:r>
    </w:p>
    <w:p>
      <w:pPr>
        <w:spacing w:after="0" w:line="173"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impairment in the carrying value of our goodwill or other intangible or long-lived assets and its effect on our financial condition and results of operations;</w:t>
      </w:r>
    </w:p>
    <w:p>
      <w:pPr>
        <w:spacing w:after="0" w:line="173"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Strategic actions, including acquisitions and dispositions, and our success in implementing these initiatives or integrating any acquired or newly created businesses;</w:t>
      </w:r>
    </w:p>
    <w:p>
      <w:pPr>
        <w:spacing w:after="0" w:line="173"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Seasonal and periodic fluctuations in our results and the effects of significant adverse weather conditions and other disasters or unforeseen events;</w:t>
      </w:r>
    </w:p>
    <w:p>
      <w:pPr>
        <w:spacing w:after="0" w:line="173"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our substantial leverage and restrictive covenants in our various credit facilities on our ability to raise additional capital to fund our operations, to make capital expenditures to invest in new or renovate restaurants and to react to changes in the economy or our industry, and our exposure to interest rate risk in connection with our variable-rate debt;</w:t>
      </w:r>
    </w:p>
    <w:p>
      <w:pPr>
        <w:spacing w:after="0" w:line="188"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adequacy of our cash flow and earnings and other conditions which may affect our ability to pay dividends and repurchase shares of our common stock; and</w:t>
      </w:r>
    </w:p>
    <w:p>
      <w:pPr>
        <w:spacing w:after="0" w:line="173"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factors as discussed in Part I, Item IA. Risk Factors of our Annual Report on Form 10-K for the year ended December 30, 2018.</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are one of the largest casual dining restaurant companies in the world with a portfolio of leading, differentiated restaurant concepts. As of June 30, 2019, we owned and operated 1,170 restaurants and franchised 297 restaurants across 48 states, Puerto Rico, Guam and 20 countries. We have four founder-inspired concepts: Outback Steakhouse, Carrabba’s Italian Grill, Bonefish Grill and Fleming’s Prime Steakhouse &amp; Wine Bar.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financial results for the thirteen weeks ended June 30, 2019 (“second quarter of 2019”) include the following:</w:t>
      </w:r>
    </w:p>
    <w:p>
      <w:pPr>
        <w:spacing w:after="0" w:line="229" w:lineRule="exact"/>
        <w:rPr>
          <w:sz w:val="20"/>
          <w:szCs w:val="20"/>
          <w:color w:val="auto"/>
        </w:rPr>
      </w:pPr>
    </w:p>
    <w:p>
      <w:pPr>
        <w:jc w:val="both"/>
        <w:ind w:left="660" w:hanging="328"/>
        <w:spacing w:after="0" w:line="254" w:lineRule="auto"/>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in Total revenues of 1.0% in the second quarter of 2019, as compared to the second quarter of 2018, primarily due to foreign currency translation and domestic refranchising, partially offset by higher comparable restaurant sales and the net impact of restaurant openings and closures.</w:t>
      </w:r>
    </w:p>
    <w:p>
      <w:pPr>
        <w:spacing w:after="0" w:line="188" w:lineRule="exact"/>
        <w:rPr>
          <w:rFonts w:ascii="Times New Roman" w:cs="Times New Roman" w:eastAsia="Times New Roman" w:hAnsi="Times New Roman"/>
          <w:sz w:val="20"/>
          <w:szCs w:val="20"/>
          <w:color w:val="auto"/>
        </w:rPr>
      </w:pPr>
    </w:p>
    <w:p>
      <w:pPr>
        <w:jc w:val="both"/>
        <w:ind w:left="660" w:hanging="328"/>
        <w:spacing w:after="0" w:line="249" w:lineRule="auto"/>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from operations of $43.5 million in the second quarter of 2019, as compared to $32.9 million in the second quarter of 2018, increased primarily due to higher comparable restaurant sales and the impact of certain cost savings initiatives. These increases were partially offset by labor and commodity inflation, and the impact of deferred gain amortization no longer recognized upon adoption of the new lease standard.</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Refranchising - </w:t>
      </w:r>
      <w:r>
        <w:rPr>
          <w:rFonts w:ascii="Times New Roman" w:cs="Times New Roman" w:eastAsia="Times New Roman" w:hAnsi="Times New Roman"/>
          <w:sz w:val="20"/>
          <w:szCs w:val="20"/>
          <w:color w:val="252525"/>
        </w:rPr>
        <w:t>During the thirteen weeks ended March 31, 2019, we completed the sale of 18 of our existing U.S. Company-owned Carrabba’s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252525"/>
        </w:rPr>
        <w:t xml:space="preserve">Italian Grill locations to an existing franchisee for aggregate cash proceeds of $3.6 million, net of certain purchase price adjustments. </w:t>
      </w:r>
      <w:r>
        <w:rPr>
          <w:rFonts w:ascii="Times New Roman" w:cs="Times New Roman" w:eastAsia="Times New Roman" w:hAnsi="Times New Roman"/>
          <w:sz w:val="20"/>
          <w:szCs w:val="20"/>
          <w:color w:val="000000"/>
        </w:rPr>
        <w:t>See Note</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 xml:space="preserve">3 - </w:t>
      </w:r>
      <w:r>
        <w:rPr>
          <w:rFonts w:ascii="Times New Roman" w:cs="Times New Roman" w:eastAsia="Times New Roman" w:hAnsi="Times New Roman"/>
          <w:sz w:val="20"/>
          <w:szCs w:val="20"/>
          <w:i w:val="1"/>
          <w:iCs w:val="1"/>
          <w:color w:val="000000"/>
        </w:rPr>
        <w:t>Disposals</w:t>
      </w:r>
      <w:r>
        <w:rPr>
          <w:rFonts w:ascii="Times New Roman" w:cs="Times New Roman" w:eastAsia="Times New Roman" w:hAnsi="Times New Roman"/>
          <w:sz w:val="20"/>
          <w:szCs w:val="20"/>
          <w:color w:val="000000"/>
        </w:rPr>
        <w:t xml:space="preserve"> of our Notes to Consolidated Financial Statements for additional details.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Indicators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Key measures that we use in evaluating our restaurants and assessing our business include the following:</w:t>
      </w:r>
    </w:p>
    <w:p>
      <w:pPr>
        <w:spacing w:after="0" w:line="225" w:lineRule="exact"/>
        <w:rPr>
          <w:sz w:val="20"/>
          <w:szCs w:val="20"/>
          <w:color w:val="auto"/>
        </w:rPr>
      </w:pPr>
    </w:p>
    <w:p>
      <w:pPr>
        <w:ind w:left="660" w:hanging="328"/>
        <w:spacing w:after="0" w:line="273" w:lineRule="auto"/>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Average restaurant unit volumes</w:t>
      </w:r>
      <w:r>
        <w:rPr>
          <w:rFonts w:ascii="Times New Roman" w:cs="Times New Roman" w:eastAsia="Times New Roman" w:hAnsi="Times New Roman"/>
          <w:sz w:val="20"/>
          <w:szCs w:val="20"/>
          <w:color w:val="auto"/>
        </w:rPr>
        <w:t>—average sales (excluding gift card breakage) per restaurant to measure changes in customer traffic,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pricing and development of the brand;</w:t>
      </w:r>
    </w:p>
    <w:p>
      <w:pPr>
        <w:spacing w:after="0" w:line="165" w:lineRule="exact"/>
        <w:rPr>
          <w:rFonts w:ascii="Times New Roman" w:cs="Times New Roman" w:eastAsia="Times New Roman" w:hAnsi="Times New Roman"/>
          <w:sz w:val="20"/>
          <w:szCs w:val="20"/>
          <w:color w:val="auto"/>
        </w:rPr>
      </w:pPr>
    </w:p>
    <w:p>
      <w:pPr>
        <w:jc w:val="both"/>
        <w:ind w:left="660" w:hanging="328"/>
        <w:spacing w:after="0" w:line="256" w:lineRule="auto"/>
        <w:tabs>
          <w:tab w:leader="none" w:pos="660" w:val="left"/>
        </w:tabs>
        <w:numPr>
          <w:ilvl w:val="0"/>
          <w:numId w:val="2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Comparable restaurant sales</w:t>
      </w:r>
      <w:r>
        <w:rPr>
          <w:rFonts w:ascii="Times New Roman" w:cs="Times New Roman" w:eastAsia="Times New Roman" w:hAnsi="Times New Roman"/>
          <w:sz w:val="20"/>
          <w:szCs w:val="20"/>
          <w:color w:val="auto"/>
        </w:rPr>
        <w:t>—year-over-year comparison of sales volumes (excluding gift card breakage) for Company-owned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restaurants that are open 18 months or more in order to remove the impact of new restaurant openings in comparing the operations of existing restaurants;</w:t>
      </w:r>
    </w:p>
    <w:p>
      <w:pPr>
        <w:spacing w:after="0" w:line="182" w:lineRule="exact"/>
        <w:rPr>
          <w:rFonts w:ascii="Times New Roman" w:cs="Times New Roman" w:eastAsia="Times New Roman" w:hAnsi="Times New Roman"/>
          <w:sz w:val="20"/>
          <w:szCs w:val="20"/>
          <w:i w:val="1"/>
          <w:iCs w:val="1"/>
          <w:color w:val="auto"/>
        </w:rPr>
      </w:pPr>
    </w:p>
    <w:p>
      <w:pPr>
        <w:ind w:left="660" w:right="20" w:hanging="328"/>
        <w:spacing w:after="0" w:line="273" w:lineRule="auto"/>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System-wide sales</w:t>
      </w:r>
      <w:r>
        <w:rPr>
          <w:rFonts w:ascii="Times New Roman" w:cs="Times New Roman" w:eastAsia="Times New Roman" w:hAnsi="Times New Roman"/>
          <w:sz w:val="20"/>
          <w:szCs w:val="20"/>
          <w:color w:val="auto"/>
        </w:rPr>
        <w:t>—total restaurant sales volume for all Company-owned and franchise restaurants, regardless of ownership,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interpret the overall health of our brands;</w:t>
      </w:r>
    </w:p>
    <w:p>
      <w:pPr>
        <w:spacing w:after="0" w:line="165" w:lineRule="exact"/>
        <w:rPr>
          <w:rFonts w:ascii="Times New Roman" w:cs="Times New Roman" w:eastAsia="Times New Roman" w:hAnsi="Times New Roman"/>
          <w:sz w:val="20"/>
          <w:szCs w:val="20"/>
          <w:color w:val="auto"/>
        </w:rPr>
      </w:pPr>
    </w:p>
    <w:p>
      <w:pPr>
        <w:ind w:left="660" w:hanging="328"/>
        <w:spacing w:after="0" w:line="273" w:lineRule="auto"/>
        <w:tabs>
          <w:tab w:leader="none" w:pos="660" w:val="left"/>
        </w:tabs>
        <w:numPr>
          <w:ilvl w:val="0"/>
          <w:numId w:val="2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Restaurant-level operating margin, Income from operations, Net income and Diluted earnings per share </w:t>
      </w:r>
      <w:r>
        <w:rPr>
          <w:rFonts w:ascii="Times New Roman" w:cs="Times New Roman" w:eastAsia="Times New Roman" w:hAnsi="Times New Roman"/>
          <w:sz w:val="20"/>
          <w:szCs w:val="20"/>
          <w:color w:val="auto"/>
        </w:rPr>
        <w:t>— financial measures utilized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evaluate our operating performance.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21"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19"/>
          <w:szCs w:val="19"/>
          <w:color w:val="auto"/>
        </w:rPr>
        <w:t>Restaurant-level operating margin is widely regarded in the industry as a useful metric to evaluate restaurant level operating efficiency and performance of ongoing restaurant-level operations, and we use it for these purposes, overall and particularly within our two segments. Our restaurant-level operating margin is expressed as the percentage of our Restaurant sales that Cost of sales, Labor and other related and Other restaurant operating (including advertising expenses) represent, in each case as such items are reflected in our Consolidated Statements of Operations. The following categories of our revenue and operating expenses are not included in restaurant-level operating margin because we do not consider them reflective of operating performance at the restaurant-level within a period:</w:t>
      </w:r>
    </w:p>
    <w:p>
      <w:pPr>
        <w:spacing w:after="0" w:line="187" w:lineRule="exact"/>
        <w:rPr>
          <w:sz w:val="20"/>
          <w:szCs w:val="20"/>
          <w:color w:val="auto"/>
        </w:rPr>
      </w:pPr>
    </w:p>
    <w:p>
      <w:pPr>
        <w:ind w:left="1300" w:hanging="644"/>
        <w:spacing w:after="0" w:line="251" w:lineRule="auto"/>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Franchise and other revenues which are earned primarily from franchise royalties and other non-food and beverage revenue streams, such as rental and sublease income.</w:t>
      </w:r>
    </w:p>
    <w:p>
      <w:pPr>
        <w:ind w:left="1300" w:hanging="644"/>
        <w:spacing w:after="0" w:line="239" w:lineRule="auto"/>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which, although substantially all of which is related to restaurant-level assets, represent historical sunk costs rather than cash outlays for the restaurants.</w:t>
      </w:r>
    </w:p>
    <w:p>
      <w:pPr>
        <w:spacing w:after="0" w:line="1" w:lineRule="exact"/>
        <w:rPr>
          <w:rFonts w:ascii="Times New Roman" w:cs="Times New Roman" w:eastAsia="Times New Roman" w:hAnsi="Times New Roman"/>
          <w:sz w:val="20"/>
          <w:szCs w:val="20"/>
          <w:color w:val="auto"/>
        </w:rPr>
      </w:pPr>
    </w:p>
    <w:p>
      <w:pPr>
        <w:ind w:left="1300" w:right="20" w:hanging="644"/>
        <w:spacing w:after="0" w:line="239" w:lineRule="auto"/>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and administrative expense which includes primarily non-restaurant-level costs associated with support of the restaurants and other activities at our corporate offices.</w:t>
      </w:r>
    </w:p>
    <w:p>
      <w:pPr>
        <w:spacing w:after="0" w:line="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impairment charges and restaurant closing costs which are not reflective of ongoing restaurant performance in a period.</w:t>
      </w:r>
    </w:p>
    <w:p>
      <w:pPr>
        <w:spacing w:after="0" w:line="207"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color w:val="auto"/>
        </w:rPr>
        <w:t>Restaurant-level operating margin excludes various expenses, as discussed above, that are essential to support the operations of our restaurants and may materially impact our Consolidated Statement of Operations. As a result, restaurant-level operating margin is not indicative of our consolidated results of operations and is presented exclusively as a supplement to, and not a substitute for, Net income or Income from operations. In addition, our presentation of restaurant-level operating margin may not be comparable to similarly titled measures used by other companies in our industry;</w:t>
      </w:r>
    </w:p>
    <w:p>
      <w:pPr>
        <w:spacing w:after="0" w:line="190" w:lineRule="exact"/>
        <w:rPr>
          <w:sz w:val="20"/>
          <w:szCs w:val="20"/>
          <w:color w:val="auto"/>
        </w:rPr>
      </w:pPr>
    </w:p>
    <w:p>
      <w:pPr>
        <w:ind w:left="660" w:right="20" w:hanging="328"/>
        <w:spacing w:after="0" w:line="273" w:lineRule="auto"/>
        <w:tabs>
          <w:tab w:leader="none" w:pos="660" w:val="left"/>
        </w:tabs>
        <w:numPr>
          <w:ilvl w:val="0"/>
          <w:numId w:val="2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Adjusted restaurant-level operating margin, Adjusted income from operations, Adjusted net income and Adjusted diluted earnings per share</w:t>
      </w:r>
      <w:r>
        <w:rPr>
          <w:rFonts w:ascii="Times New Roman" w:cs="Times New Roman" w:eastAsia="Times New Roman" w:hAnsi="Times New Roman"/>
          <w:sz w:val="20"/>
          <w:szCs w:val="20"/>
          <w:color w:val="auto"/>
        </w:rPr>
        <w:t>—non-GAAP financial measures utilized to evaluate our operating performance.</w:t>
      </w:r>
    </w:p>
    <w:p>
      <w:pPr>
        <w:spacing w:after="0" w:line="169" w:lineRule="exact"/>
        <w:rPr>
          <w:rFonts w:ascii="Times New Roman" w:cs="Times New Roman" w:eastAsia="Times New Roman" w:hAnsi="Times New Roman"/>
          <w:sz w:val="20"/>
          <w:szCs w:val="20"/>
          <w:i w:val="1"/>
          <w:iCs w:val="1"/>
          <w:color w:val="auto"/>
        </w:rPr>
      </w:pPr>
    </w:p>
    <w:p>
      <w:pPr>
        <w:jc w:val="both"/>
        <w:ind w:left="660"/>
        <w:spacing w:after="0" w:line="243" w:lineRule="auto"/>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administer employee incentive plans; and</w:t>
      </w:r>
    </w:p>
    <w:p>
      <w:pPr>
        <w:spacing w:after="0" w:line="199" w:lineRule="exact"/>
        <w:rPr>
          <w:rFonts w:ascii="Times New Roman" w:cs="Times New Roman" w:eastAsia="Times New Roman" w:hAnsi="Times New Roman"/>
          <w:sz w:val="20"/>
          <w:szCs w:val="20"/>
          <w:i w:val="1"/>
          <w:iCs w:val="1"/>
          <w:color w:val="auto"/>
        </w:rPr>
      </w:pPr>
    </w:p>
    <w:p>
      <w:pPr>
        <w:ind w:left="660" w:hanging="328"/>
        <w:spacing w:after="0"/>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Customer satisfaction scores</w:t>
      </w:r>
      <w:r>
        <w:rPr>
          <w:rFonts w:ascii="Times New Roman" w:cs="Times New Roman" w:eastAsia="Times New Roman" w:hAnsi="Times New Roman"/>
          <w:sz w:val="20"/>
          <w:szCs w:val="20"/>
          <w:color w:val="auto"/>
        </w:rPr>
        <w:t>—measurement of our customers’ experiences in a variety of key areas.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Selected Operating Data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the number of our restaurants in operation at the end of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Number of restaurants (at end of the period):</w:t>
            </w:r>
          </w:p>
        </w:tc>
        <w:tc>
          <w:tcPr>
            <w:tcW w:w="20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9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w:t>
            </w: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44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Outback Steakhouse</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Company-owned</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583</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Franchised</w:t>
            </w:r>
          </w:p>
        </w:tc>
        <w:tc>
          <w:tcPr>
            <w:tcW w:w="1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737</w:t>
            </w:r>
          </w:p>
        </w:tc>
        <w:tc>
          <w:tcPr>
            <w:tcW w:w="0" w:type="dxa"/>
            <w:vAlign w:val="bottom"/>
          </w:tcPr>
          <w:p>
            <w:pPr>
              <w:spacing w:after="0"/>
              <w:rPr>
                <w:sz w:val="1"/>
                <w:szCs w:val="1"/>
                <w:color w:val="auto"/>
              </w:rPr>
            </w:pPr>
          </w:p>
        </w:tc>
      </w:tr>
      <w:tr>
        <w:trPr>
          <w:trHeight w:val="231"/>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Carrabba’s Italian Grill</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Company-owned (1)</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Franchised (1)</w:t>
            </w:r>
          </w:p>
        </w:tc>
        <w:tc>
          <w:tcPr>
            <w:tcW w:w="1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31"/>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Bonefish Grill</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Company-owned</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Franchised</w:t>
            </w:r>
          </w:p>
        </w:tc>
        <w:tc>
          <w:tcPr>
            <w:tcW w:w="1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31"/>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Company-owned</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4"/>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4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Company-owned</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1"/>
        </w:trPr>
        <w:tc>
          <w:tcPr>
            <w:tcW w:w="7440" w:type="dxa"/>
            <w:vAlign w:val="bottom"/>
            <w:tcBorders>
              <w:top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U.S. Total</w:t>
            </w:r>
          </w:p>
        </w:tc>
        <w:tc>
          <w:tcPr>
            <w:tcW w:w="1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1,222</w:t>
            </w:r>
          </w:p>
        </w:tc>
        <w:tc>
          <w:tcPr>
            <w:tcW w:w="100" w:type="dxa"/>
            <w:vAlign w:val="bottom"/>
            <w:tcBorders>
              <w:top w:val="single" w:sz="8" w:color="CCEEFF"/>
            </w:tcBorders>
          </w:tcPr>
          <w:p>
            <w:pPr>
              <w:spacing w:after="0"/>
              <w:rPr>
                <w:sz w:val="18"/>
                <w:szCs w:val="18"/>
                <w:color w:val="auto"/>
              </w:rPr>
            </w:pPr>
          </w:p>
        </w:tc>
        <w:tc>
          <w:tcPr>
            <w:tcW w:w="1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1,238</w:t>
            </w:r>
          </w:p>
        </w:tc>
        <w:tc>
          <w:tcPr>
            <w:tcW w:w="0" w:type="dxa"/>
            <w:vAlign w:val="bottom"/>
          </w:tcPr>
          <w:p>
            <w:pPr>
              <w:spacing w:after="0"/>
              <w:rPr>
                <w:sz w:val="1"/>
                <w:szCs w:val="1"/>
                <w:color w:val="auto"/>
              </w:rPr>
            </w:pPr>
          </w:p>
        </w:tc>
      </w:tr>
      <w:tr>
        <w:trPr>
          <w:trHeight w:val="40"/>
        </w:trPr>
        <w:tc>
          <w:tcPr>
            <w:tcW w:w="744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44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Company-owned</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Outback Steakhouse - Brazil (2)</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Franchised</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Outback Steakhouse - South Korea</w:t>
            </w: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1"/>
        </w:trPr>
        <w:tc>
          <w:tcPr>
            <w:tcW w:w="7440" w:type="dxa"/>
            <w:vAlign w:val="bottom"/>
            <w:tcBorders>
              <w:top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International Total</w:t>
            </w:r>
          </w:p>
        </w:tc>
        <w:tc>
          <w:tcPr>
            <w:tcW w:w="1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Borders>
              <w:top w:val="single" w:sz="8" w:color="CCEEFF"/>
            </w:tcBorders>
          </w:tcPr>
          <w:p>
            <w:pPr>
              <w:spacing w:after="0"/>
              <w:rPr>
                <w:sz w:val="18"/>
                <w:szCs w:val="18"/>
                <w:color w:val="auto"/>
              </w:rPr>
            </w:pPr>
          </w:p>
        </w:tc>
        <w:tc>
          <w:tcPr>
            <w:tcW w:w="1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40"/>
        </w:trPr>
        <w:tc>
          <w:tcPr>
            <w:tcW w:w="744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System-wide total</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1,490</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44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2019, we sold 18 Carrabba’s Italian Grill locations, which are now operated as franchises.</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restaurant counts for Brazil are reported as of May 31, 2019 and 2018, respectively, to correspond with the balance sheet dates of this subsidiary.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sets forth, for the periods indicated, the percentages of certain items in our Consolidated Statements of Operations in relation to Total revenues or Restaurant sales, as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8"/>
                <w:szCs w:val="18"/>
                <w:color w:val="auto"/>
              </w:rPr>
            </w:pPr>
          </w:p>
        </w:tc>
        <w:tc>
          <w:tcPr>
            <w:tcW w:w="318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8"/>
                <w:szCs w:val="18"/>
                <w:color w:val="auto"/>
              </w:rPr>
            </w:pPr>
          </w:p>
        </w:tc>
        <w:tc>
          <w:tcPr>
            <w:tcW w:w="318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4960" w:type="dxa"/>
            <w:vAlign w:val="bottom"/>
          </w:tcPr>
          <w:p>
            <w:pPr>
              <w:spacing w:after="0"/>
              <w:rPr>
                <w:sz w:val="22"/>
                <w:szCs w:val="22"/>
                <w:color w:val="auto"/>
              </w:rPr>
            </w:pP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5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0" w:type="dxa"/>
            <w:vAlign w:val="bottom"/>
          </w:tcPr>
          <w:p>
            <w:pPr>
              <w:spacing w:after="0"/>
              <w:rPr>
                <w:sz w:val="1"/>
                <w:szCs w:val="1"/>
                <w:color w:val="auto"/>
              </w:rPr>
            </w:pPr>
          </w:p>
        </w:tc>
      </w:tr>
      <w:tr>
        <w:trPr>
          <w:trHeight w:val="250"/>
        </w:trPr>
        <w:tc>
          <w:tcPr>
            <w:tcW w:w="4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Restaurant sales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98.4 %</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5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4"/>
        </w:trPr>
        <w:tc>
          <w:tcPr>
            <w:tcW w:w="49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revenues</w:t>
            </w: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9"/>
                <w:szCs w:val="19"/>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9"/>
                <w:szCs w:val="19"/>
                <w:color w:val="auto"/>
              </w:rPr>
            </w:pP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9"/>
                <w:szCs w:val="19"/>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Costs and expenses</w:t>
            </w: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sales (1)</w:t>
            </w: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20"/>
                <w:szCs w:val="20"/>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20"/>
                <w:szCs w:val="20"/>
                <w:color w:val="auto"/>
              </w:rPr>
            </w:pP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Pr>
          <w:p>
            <w:pPr>
              <w:spacing w:after="0"/>
              <w:rPr>
                <w:sz w:val="20"/>
                <w:szCs w:val="20"/>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Labor and other related (1)</w:t>
            </w:r>
          </w:p>
        </w:tc>
        <w:tc>
          <w:tcPr>
            <w:tcW w:w="15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restaurant operating (1)</w:t>
            </w: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20"/>
                <w:szCs w:val="20"/>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20"/>
                <w:szCs w:val="20"/>
                <w:color w:val="auto"/>
              </w:rPr>
            </w:pP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20"/>
                <w:szCs w:val="20"/>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5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20"/>
                <w:szCs w:val="20"/>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0"/>
                <w:szCs w:val="20"/>
                <w:color w:val="auto"/>
              </w:rPr>
            </w:pP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20"/>
                <w:szCs w:val="20"/>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5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70"/>
        </w:trPr>
        <w:tc>
          <w:tcPr>
            <w:tcW w:w="496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5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95.7</w:t>
            </w:r>
          </w:p>
        </w:tc>
        <w:tc>
          <w:tcPr>
            <w:tcW w:w="12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operations</w:t>
            </w:r>
          </w:p>
        </w:tc>
        <w:tc>
          <w:tcPr>
            <w:tcW w:w="15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net</w:t>
            </w:r>
          </w:p>
        </w:tc>
        <w:tc>
          <w:tcPr>
            <w:tcW w:w="15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before provision (benefit) for income taxes</w:t>
            </w: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9"/>
                <w:szCs w:val="19"/>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9"/>
                <w:szCs w:val="19"/>
                <w:color w:val="auto"/>
              </w:rPr>
            </w:pP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9"/>
                <w:szCs w:val="19"/>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5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9"/>
                <w:szCs w:val="19"/>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9"/>
                <w:szCs w:val="19"/>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15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attributable to Bloomin’ Brands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w:t>
            </w: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6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line="235"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percentage of Restaurant sales.</w:t>
      </w:r>
    </w:p>
    <w:p>
      <w:pPr>
        <w:spacing w:after="0" w:line="1"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of one percent of Total revenues.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RESTAURANT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the change in Restaurant sales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8"/>
                <w:szCs w:val="18"/>
                <w:color w:val="auto"/>
              </w:rPr>
            </w:pPr>
          </w:p>
        </w:tc>
        <w:tc>
          <w:tcPr>
            <w:tcW w:w="2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0" w:type="dxa"/>
            <w:vAlign w:val="bottom"/>
          </w:tcPr>
          <w:p>
            <w:pPr>
              <w:spacing w:after="0"/>
              <w:rPr>
                <w:sz w:val="18"/>
                <w:szCs w:val="18"/>
                <w:color w:val="auto"/>
              </w:rPr>
            </w:pPr>
          </w:p>
        </w:tc>
        <w:tc>
          <w:tcPr>
            <w:tcW w:w="24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7"/>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For the periods ended July 1, 2018</w:t>
            </w: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2,114.5</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from:</w:t>
            </w:r>
          </w:p>
        </w:tc>
        <w:tc>
          <w:tcPr>
            <w:tcW w:w="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2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Divestiture of restaurants through refranchising transactions</w:t>
            </w:r>
          </w:p>
        </w:tc>
        <w:tc>
          <w:tcPr>
            <w:tcW w:w="24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Restaurant closings</w:t>
            </w:r>
          </w:p>
        </w:tc>
        <w:tc>
          <w:tcPr>
            <w:tcW w:w="2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Restaurant openings</w:t>
            </w:r>
          </w:p>
        </w:tc>
        <w:tc>
          <w:tcPr>
            <w:tcW w:w="240" w:type="dxa"/>
            <w:vAlign w:val="bottom"/>
          </w:tcPr>
          <w:p>
            <w:pPr>
              <w:spacing w:after="0"/>
              <w:rPr>
                <w:sz w:val="20"/>
                <w:szCs w:val="20"/>
                <w:color w:val="auto"/>
              </w:rPr>
            </w:pPr>
          </w:p>
        </w:tc>
        <w:tc>
          <w:tcPr>
            <w:tcW w:w="2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25.3</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Comparable restaurant sales</w:t>
            </w:r>
          </w:p>
        </w:tc>
        <w:tc>
          <w:tcPr>
            <w:tcW w:w="240" w:type="dxa"/>
            <w:vAlign w:val="bottom"/>
            <w:tcBorders>
              <w:bottom w:val="single" w:sz="8" w:color="auto"/>
            </w:tcBorders>
            <w:shd w:val="clear" w:color="auto" w:fill="CCEEFF"/>
          </w:tcPr>
          <w:p>
            <w:pPr>
              <w:spacing w:after="0"/>
              <w:rPr>
                <w:sz w:val="22"/>
                <w:szCs w:val="22"/>
                <w:color w:val="auto"/>
              </w:rPr>
            </w:pPr>
          </w:p>
        </w:tc>
        <w:tc>
          <w:tcPr>
            <w:tcW w:w="24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4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36.6</w:t>
            </w:r>
          </w:p>
        </w:tc>
      </w:tr>
      <w:tr>
        <w:trPr>
          <w:trHeight w:val="250"/>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 the periods ended June 30, 2019</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1,005.7</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2,117.3</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decrease in Restaurant sales during the thirteen weeks ended June 30, 2019 was primarily due to: (i) the effect of foreign currency translation of the Brazilian Real relative to the U.S. dollar, (ii) domestic refranchising and (iii) the closing of 33 restaurants since April 1, 2018. The decrease in restaurant sales was partially offset by the opening of 28 new restaurants not included in our comparable restaurant sales base and higher comparable restaurant sales.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type w:val="continuous"/>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increase in Restaurant sales during the twenty-six weeks ended June 30, 2019 was primarily due to higher comparable restaurant sales and the opening of 34 new restaurants not included in our comparable restaurant sales base. The increase in restaurant sales was partially offset by:</w:t>
      </w:r>
    </w:p>
    <w:p>
      <w:pPr>
        <w:spacing w:after="0" w:line="1" w:lineRule="exact"/>
        <w:rPr>
          <w:sz w:val="20"/>
          <w:szCs w:val="20"/>
          <w:color w:val="auto"/>
        </w:rPr>
      </w:pPr>
    </w:p>
    <w:p>
      <w:pPr>
        <w:ind w:firstLine="8"/>
        <w:spacing w:after="0" w:line="246" w:lineRule="auto"/>
        <w:tabs>
          <w:tab w:leader="none" w:pos="23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foreign currency translation of the Brazilian Real relative to the U.S. dollar, (ii) the closing of 37 restaurants since December 31, 2017 and (iii) domestic refranchising.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Average Restaurant Unit Volumes and Operating Weeks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the average restaurant unit volumes and operating weeks,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64"/>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8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2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Average restaurant unit volumes (weekly):</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Outback Steakhouse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69,497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73,344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71,366</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Carrabba’s Italian Grill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56,285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56,131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58,188</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57,809</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Bonefish Grill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60,018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59,642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61,833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60,923</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81,754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80,563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86,496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85,344</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International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Outback Steakhouse - Brazil (1)</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66,829</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74,225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70,754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79,324</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weeks: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Outback Steakhouse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15,065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15,180</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Carrabba’s Italian Grill</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5,559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5,836</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Bonefish Grill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5,021</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1,808</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International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2,306</w:t>
            </w:r>
          </w:p>
        </w:tc>
      </w:tr>
      <w:tr>
        <w:trPr>
          <w:trHeight w:val="226"/>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ind w:left="660" w:hanging="652"/>
        <w:spacing w:after="0" w:line="257" w:lineRule="auto"/>
        <w:tabs>
          <w:tab w:leader="none" w:pos="6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Translated at average exchange rates of 3.91 and 3.43 for the thirteen weeks ended June 30, 2019 and July 1, 2018, respectively, and 3.85 and 3.34 for the twenty-six weeks ended June 30, 2019 and July 1, 2018, respectively.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Comparable Restaurant Sales, Traffic and Average Check Per Person Increases (Decreases)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comparable restaurant sales, traffic and average check per person increases (decreases),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320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8"/>
                <w:szCs w:val="18"/>
                <w:color w:val="auto"/>
              </w:rPr>
            </w:pPr>
          </w:p>
        </w:tc>
        <w:tc>
          <w:tcPr>
            <w:tcW w:w="320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64"/>
        </w:trPr>
        <w:tc>
          <w:tcPr>
            <w:tcW w:w="4920" w:type="dxa"/>
            <w:vAlign w:val="bottom"/>
          </w:tcPr>
          <w:p>
            <w:pPr>
              <w:spacing w:after="0"/>
              <w:rPr>
                <w:sz w:val="22"/>
                <w:szCs w:val="22"/>
                <w:color w:val="auto"/>
              </w:rPr>
            </w:pP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5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over year percentage change:</w:t>
            </w: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Comparable restaurant sales (stores open 18 months or more) (1):</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U.S.</w:t>
            </w: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Outback Steakhouse</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Carrabba’s Italian Grill</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37"/>
        </w:trPr>
        <w:tc>
          <w:tcPr>
            <w:tcW w:w="4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Bonefish Grill</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37"/>
        </w:trPr>
        <w:tc>
          <w:tcPr>
            <w:tcW w:w="4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Combined U.S.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International</w:t>
            </w: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Outback Steakhouse - Brazil (2)</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97"/>
        </w:trPr>
        <w:tc>
          <w:tcPr>
            <w:tcW w:w="49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Traffic:</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U.S.</w:t>
            </w: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Outback Steakhouse</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Carrabba’s Italian Grill</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37"/>
        </w:trPr>
        <w:tc>
          <w:tcPr>
            <w:tcW w:w="4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Bonefish Grill</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37"/>
        </w:trPr>
        <w:tc>
          <w:tcPr>
            <w:tcW w:w="4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Combined U.S.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International</w:t>
            </w: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97"/>
        </w:trPr>
        <w:tc>
          <w:tcPr>
            <w:tcW w:w="49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Average check per person (3):</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U.S.</w:t>
            </w: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Outback Steakhouse</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Carrabba’s Italian Grill</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37"/>
        </w:trPr>
        <w:tc>
          <w:tcPr>
            <w:tcW w:w="4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Bonefish Grill</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37"/>
        </w:trPr>
        <w:tc>
          <w:tcPr>
            <w:tcW w:w="4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Combined U.S.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International</w:t>
            </w: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line="246"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Comparable restaurant sales exclude the effect of fluctuations in foreign currency rates. Relocated international restaurants closed more than 30 days and relocated U.S. restaurants closed more than 60 days are excluded from comparable restaurant sales until at least 18 months after reopening.</w:t>
      </w:r>
    </w:p>
    <w:p>
      <w:pPr>
        <w:ind w:left="660" w:hanging="652"/>
        <w:spacing w:after="0"/>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trading day impact from calendar period reporting.</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check per person includes the impact of menu pricing changes, product mix and discounts.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Franchise and other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8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2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Franchise revenues (1)</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Other revenues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franchise royalties, advertising fees and initial franchise fees.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COSTS AND EXPENSES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sales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64"/>
        </w:trPr>
        <w:tc>
          <w:tcPr>
            <w:tcW w:w="2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00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50"/>
        </w:trPr>
        <w:tc>
          <w:tcPr>
            <w:tcW w:w="2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sales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312.7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664.8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674.9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Restaurant sales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bl>
    <w:p>
      <w:pPr>
        <w:spacing w:after="0" w:line="2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Cost of sales decreased as a percentage of Restaurant sales during the thirteen weeks ended June 30, 2019 as compared to the thirteen weeks ended July 1, 2018 primarily due to 0.7% from increases in average check per person and 0.4% from the impact of certain cost saving initiatives, partially offset by an increase as a percentage of Restaurant sales of 0.4% from commodity cost inflation.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Cost of sales decreased as a percentage of Restaurant sales during the twenty-six weeks ended June 30, 2019 as compared to the twenty-six weeks ended July 1, 2018 primarily due to 0.7% from increases in average check per person and 0.3% from the impact of certain cost saving initiatives, partially offset by an increase as a percentage of Restaurant sales of 0.5% from commodity cost inflation.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Labor and other related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64"/>
        </w:trPr>
        <w:tc>
          <w:tcPr>
            <w:tcW w:w="3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9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50"/>
        </w:trPr>
        <w:tc>
          <w:tcPr>
            <w:tcW w:w="3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Labor and other related</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301.2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620.2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3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Restaurant sales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bl>
    <w:p>
      <w:pPr>
        <w:spacing w:after="0" w:line="2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Labor and other related expenses increased as a percentage of Restaurant sales during the thirteen weeks ended June 30, 2019 as compared to the thirteen weeks ended July 1, 2018 primarily due to 0.7% from higher labor costs due to wage rate increases, partially offset by decreases as a percentage of Restaurant sales of 0.3% from increases in average check per person and 0.3% from the impact of certain cost saving initiatives.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Labor and other related expenses increased as a percentage of Restaurant sales during the twenty-six weeks ended June 30, 2019 as compared to the twenty-six weeks ended July 1, 2018 primarily due to 0.7% from higher labor costs due to wage rate increases, partially offset by a decrease as a percentage of Restaurant sales of 0.5% from increases in average check per person.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restaurant 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4"/>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02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240.9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491.7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491.7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Restaurant sales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bl>
    <w:p>
      <w:pPr>
        <w:spacing w:after="0" w:line="2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Other restaurant operating expenses increased as a percentage of Restaurant sales during the thirteen weeks ended June 30, 2019 as compared to the thirteen weeks ended July 1, 2018 primarily due to: (i) 0.6% from additional expense related to the rollout of delivery services, (ii) 0.4% from operating expense inflation and (iii) 0.3% from the impact of deferred gains on sale-leaseback transactions no longer recognized in 2019 as a result of adoption of the new lease accounting standard, partially offset by decreases as a percentage of Restaurant sales of 0.5% from the impact of certain cost saving initiatives and 0.3% from increases in average check per person.</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Other restaurant operating expenses decreased as a percentage of Restaurant sales during the twenty-six weeks ended June 30, 2019 as compared to the twenty-six weeks ended July 1, 2018 primarily due to 0.4% from increases in average check per person and 0.4% from the impact of certain cost saving initiatives, partially offset by increases as a percentage of Restaurant sales of 0.4% from additional expense related to the rollout of delivery services and 0.3% from the impact of deferred gains on sale-leaseback transactions no longer recognized in 2019 as a result of adoption of the new lease accounting standard.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General and administrative expense includes salaries and benefits, management incentive programs, related payroll tax and benefits, other employee-related costs and professional services. Following is a summary of the change in general and administrative expense for the periods indicated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8"/>
                <w:szCs w:val="18"/>
                <w:color w:val="auto"/>
              </w:rPr>
            </w:pPr>
          </w:p>
        </w:tc>
        <w:tc>
          <w:tcPr>
            <w:tcW w:w="2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0" w:type="dxa"/>
            <w:vAlign w:val="bottom"/>
          </w:tcPr>
          <w:p>
            <w:pPr>
              <w:spacing w:after="0"/>
              <w:rPr>
                <w:sz w:val="18"/>
                <w:szCs w:val="18"/>
                <w:color w:val="auto"/>
              </w:rPr>
            </w:pPr>
          </w:p>
        </w:tc>
        <w:tc>
          <w:tcPr>
            <w:tcW w:w="24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7"/>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 the periods ended July 1, 2018</w:t>
            </w: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144.8</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from:</w:t>
            </w:r>
          </w:p>
        </w:tc>
        <w:tc>
          <w:tcPr>
            <w:tcW w:w="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Foreign currency exchange</w:t>
            </w:r>
          </w:p>
        </w:tc>
        <w:tc>
          <w:tcPr>
            <w:tcW w:w="2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Employee stock-based compensation</w:t>
            </w:r>
          </w:p>
        </w:tc>
        <w:tc>
          <w:tcPr>
            <w:tcW w:w="24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Severance</w:t>
            </w:r>
          </w:p>
        </w:tc>
        <w:tc>
          <w:tcPr>
            <w:tcW w:w="2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r>
      <w:tr>
        <w:trPr>
          <w:trHeight w:val="270"/>
        </w:trPr>
        <w:tc>
          <w:tcPr>
            <w:tcW w:w="60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 the periods ended June 30, 2019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142.5</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Provision for impaired assets and restaurant closings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64"/>
        </w:trPr>
        <w:tc>
          <w:tcPr>
            <w:tcW w:w="3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22"/>
                <w:szCs w:val="22"/>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60" w:type="dxa"/>
            <w:vAlign w:val="bottom"/>
          </w:tcPr>
          <w:p>
            <w:pPr>
              <w:spacing w:after="0"/>
              <w:rPr>
                <w:sz w:val="22"/>
                <w:szCs w:val="22"/>
                <w:color w:val="auto"/>
              </w:rPr>
            </w:pPr>
          </w:p>
        </w:tc>
        <w:tc>
          <w:tcPr>
            <w:tcW w:w="74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2"/>
        </w:trPr>
        <w:tc>
          <w:tcPr>
            <w:tcW w:w="31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impaired assets and restaurant</w:t>
            </w: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0"/>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closings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33"/>
        </w:trPr>
        <w:tc>
          <w:tcPr>
            <w:tcW w:w="3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thirteen and twenty-six weeks ended June 30, 2019, we recognized asset impairment and closure charges of $1.8 million related to the restructuring of certain international markets, including Puerto Rico. During the thirteen and twenty-six weeks ended July 1, 2018, we recognized asset impairment and closure charges of $6.9 million and $9.2 million, respectively, related to the restructuring of certain international markets, including China.</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impairment and closing charges for the periods presented resulted primarily from approved store closure initiatives, locations identified for remodel, relocation or closure and certain other assets.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See Note 4 - </w:t>
      </w:r>
      <w:r>
        <w:rPr>
          <w:rFonts w:ascii="Times New Roman" w:cs="Times New Roman" w:eastAsia="Times New Roman" w:hAnsi="Times New Roman"/>
          <w:sz w:val="20"/>
          <w:szCs w:val="20"/>
          <w:i w:val="1"/>
          <w:iCs w:val="1"/>
          <w:color w:val="auto"/>
        </w:rPr>
        <w:t>Impairments and Exit Costs</w:t>
      </w:r>
      <w:r>
        <w:rPr>
          <w:rFonts w:ascii="Times New Roman" w:cs="Times New Roman" w:eastAsia="Times New Roman" w:hAnsi="Times New Roman"/>
          <w:sz w:val="20"/>
          <w:szCs w:val="20"/>
          <w:color w:val="auto"/>
        </w:rPr>
        <w:t xml:space="preserve"> of the Notes to Consolidated Financial Statements for further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from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4"/>
        </w:trPr>
        <w:tc>
          <w:tcPr>
            <w:tcW w:w="3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8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4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60" w:type="dxa"/>
            <w:vAlign w:val="bottom"/>
          </w:tcPr>
          <w:p>
            <w:pPr>
              <w:spacing w:after="0"/>
              <w:rPr>
                <w:sz w:val="22"/>
                <w:szCs w:val="22"/>
                <w:color w:val="auto"/>
              </w:rPr>
            </w:pPr>
          </w:p>
        </w:tc>
        <w:tc>
          <w:tcPr>
            <w:tcW w:w="7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3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111.3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14.7</w:t>
            </w:r>
          </w:p>
        </w:tc>
      </w:tr>
      <w:tr>
        <w:trPr>
          <w:trHeight w:val="237"/>
        </w:trPr>
        <w:tc>
          <w:tcPr>
            <w:tcW w:w="3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Total revenues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bl>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increase in income from operations generated during the thirteen and twenty-six weeks ended June 30, 2019 as compared to the thirteen and twenty-six weeks ended July 1, 2018 was primarily due to higher comparable restaurant sales and the impact of certain cost savings initiatives. These increases were partially offset by labor and commodity inflation, the impact of deferred gain amortization no longer recognized upon adoption of the new lease standard and additional expense related to the rollout of delivery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64"/>
        </w:trPr>
        <w:tc>
          <w:tcPr>
            <w:tcW w:w="3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22"/>
                <w:szCs w:val="22"/>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8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60" w:type="dxa"/>
            <w:vAlign w:val="bottom"/>
          </w:tcPr>
          <w:p>
            <w:pPr>
              <w:spacing w:after="0"/>
              <w:rPr>
                <w:sz w:val="22"/>
                <w:szCs w:val="22"/>
                <w:color w:val="auto"/>
              </w:rPr>
            </w:pPr>
          </w:p>
        </w:tc>
        <w:tc>
          <w:tcPr>
            <w:tcW w:w="74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4"/>
        </w:trPr>
        <w:tc>
          <w:tcPr>
            <w:tcW w:w="31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2.0</w:t>
            </w:r>
          </w:p>
        </w:tc>
      </w:tr>
      <w:tr>
        <w:trPr>
          <w:trHeight w:val="33"/>
        </w:trPr>
        <w:tc>
          <w:tcPr>
            <w:tcW w:w="3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increase in Interest expense, net for the thirteen weeks ended June 30, 2019 is primarily due to higher interest rates, partially offset by the derecognition of certain debt obligations due to adoption of the new lease accounting standard.</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increase in Interest expense, net for the twenty-six weeks ended June 30, 2019 is primarily due to higher interest rates, partially offset from the derecognition of certain debt obligations due to adoption of the new lease accounting standard and lower interest expense from our derivative instruments.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Provision (benefit) for income taxes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8"/>
                <w:szCs w:val="18"/>
                <w:color w:val="auto"/>
              </w:rPr>
            </w:pPr>
          </w:p>
        </w:tc>
        <w:tc>
          <w:tcPr>
            <w:tcW w:w="3120" w:type="dxa"/>
            <w:vAlign w:val="bottom"/>
            <w:tcBorders>
              <w:bottom w:val="single" w:sz="8" w:color="auto"/>
            </w:tcBorders>
            <w:gridSpan w:val="3"/>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Borders>
              <w:bottom w:val="single" w:sz="8" w:color="auto"/>
            </w:tcBorders>
            <w:gridSpan w:val="3"/>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4"/>
        </w:trPr>
        <w:tc>
          <w:tcPr>
            <w:tcW w:w="2840" w:type="dxa"/>
            <w:vAlign w:val="bottom"/>
          </w:tcPr>
          <w:p>
            <w:pPr>
              <w:spacing w:after="0"/>
              <w:rPr>
                <w:sz w:val="22"/>
                <w:szCs w:val="22"/>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6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6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06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4"/>
        </w:trPr>
        <w:tc>
          <w:tcPr>
            <w:tcW w:w="28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33"/>
        </w:trPr>
        <w:tc>
          <w:tcPr>
            <w:tcW w:w="28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effective income tax rate for the thirteen and twenty-six weeks ended June 30, 2019 increased by 27.6 and 10.2 percentage points, respectively, as compared to the thirteen and twenty-six weeks ended July 1, 2018. These increases were primarily due to favorable discrete items recorded in the thirteen and twenty-six weeks ended July 1, 2018, which included excess tax benefits from equity-based compensation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SEGMENT PERFORMANCE</w:t>
      </w:r>
    </w:p>
    <w:p>
      <w:pPr>
        <w:spacing w:after="0" w:line="22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We consider our restaurant concepts and international markets as operating segments, which reflects how we manage our business, review operating performance and allocate resources. Resources are allocated and performance is assessed by our CEO, whom we have determined to be our CODM. We aggregate our operating segments into two reportable segments, U.S. and International. The U.S. segment includes all restaurants operating in the U.S. while restaurants operating outside the U.S. are included in the International segment. The following is a summary of reporting segments: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 (1)</w:t>
            </w: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CONCEPT</w:t>
            </w: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620" w:type="dxa"/>
            <w:vAlign w:val="bottom"/>
            <w:tcBorders>
              <w:left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8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Borders>
              <w:left w:val="single" w:sz="8" w:color="auto"/>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Borders>
              <w:left w:val="single" w:sz="8" w:color="auto"/>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62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 Hong Kong/China</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20" w:type="dxa"/>
            <w:vAlign w:val="bottom"/>
            <w:tcBorders>
              <w:left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2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2620" w:type="dxa"/>
            <w:vAlign w:val="bottom"/>
          </w:tcPr>
          <w:p>
            <w:pPr>
              <w:jc w:val="right"/>
              <w:ind w:right="1181"/>
              <w:spacing w:after="0"/>
              <w:rPr>
                <w:sz w:val="20"/>
                <w:szCs w:val="20"/>
                <w:color w:val="auto"/>
              </w:rPr>
            </w:pPr>
            <w:r>
              <w:rPr>
                <w:rFonts w:ascii="Times New Roman" w:cs="Times New Roman" w:eastAsia="Times New Roman" w:hAnsi="Times New Roman"/>
                <w:sz w:val="16"/>
                <w:szCs w:val="16"/>
                <w:color w:val="auto"/>
                <w:w w:val="98"/>
              </w:rPr>
              <w:t>_________________</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franchise locations.</w:t>
      </w:r>
    </w:p>
    <w:p>
      <w:pPr>
        <w:spacing w:after="0" w:line="19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Revenues for both segments include only transactions with customers and exclude intersegment revenues. Excluded from income from operations for U.S. and International are legal and certain corporate costs not directly related to the performance of the segments, certain stock-based compensation expenses and certain bonus expenses.</w:t>
      </w:r>
    </w:p>
    <w:p>
      <w:pPr>
        <w:spacing w:after="0" w:line="18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 xml:space="preserve">Refer to Note 17 </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Segment Reporting</w:t>
      </w:r>
      <w:r>
        <w:rPr>
          <w:rFonts w:ascii="Times New Roman" w:cs="Times New Roman" w:eastAsia="Times New Roman" w:hAnsi="Times New Roman"/>
          <w:sz w:val="20"/>
          <w:szCs w:val="20"/>
          <w:color w:val="auto"/>
        </w:rPr>
        <w:t xml:space="preserve"> of the Notes to Consolidated Financial Statements for a reconciliation of segment income (loss) from operations to the consolidated operating results.</w:t>
      </w:r>
    </w:p>
    <w:p>
      <w:pPr>
        <w:spacing w:after="0" w:line="17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 xml:space="preserve">Restaurant-level operating margin is widely regarded in the industry as a useful metric to evaluate restaurant-level operating efficiency and performance of ongoing restaurant-level operations, and we use it for these purposes, overall and particularly within our two segments. See the </w:t>
      </w:r>
      <w:r>
        <w:rPr>
          <w:rFonts w:ascii="Times New Roman" w:cs="Times New Roman" w:eastAsia="Times New Roman" w:hAnsi="Times New Roman"/>
          <w:sz w:val="20"/>
          <w:szCs w:val="20"/>
          <w:i w:val="1"/>
          <w:iCs w:val="1"/>
          <w:color w:val="auto"/>
        </w:rPr>
        <w:t xml:space="preserve">Overview-Key Performance Indicators </w:t>
      </w:r>
      <w:r>
        <w:rPr>
          <w:rFonts w:ascii="Times New Roman" w:cs="Times New Roman" w:eastAsia="Times New Roman" w:hAnsi="Times New Roman"/>
          <w:sz w:val="20"/>
          <w:szCs w:val="20"/>
          <w:color w:val="auto"/>
        </w:rPr>
        <w:t>section of Management’s Discussion and Analysis for additional details regarding the calculation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restaurant-level operating margin.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64"/>
        </w:trPr>
        <w:tc>
          <w:tcPr>
            <w:tcW w:w="5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4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22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40" w:type="dxa"/>
            <w:vAlign w:val="bottom"/>
          </w:tcPr>
          <w:p>
            <w:pPr>
              <w:spacing w:after="0"/>
              <w:rPr>
                <w:sz w:val="22"/>
                <w:szCs w:val="22"/>
                <w:color w:val="auto"/>
              </w:rPr>
            </w:pPr>
          </w:p>
        </w:tc>
        <w:tc>
          <w:tcPr>
            <w:tcW w:w="12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Restaurant sales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900,616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908,937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1,901,429</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1,893,281</w:t>
            </w:r>
          </w:p>
        </w:tc>
      </w:tr>
      <w:tr>
        <w:trPr>
          <w:trHeight w:val="33"/>
        </w:trPr>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13,603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13,418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27,297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27,781</w:t>
            </w:r>
          </w:p>
        </w:tc>
      </w:tr>
      <w:tr>
        <w:trPr>
          <w:trHeight w:val="224"/>
        </w:trPr>
        <w:tc>
          <w:tcPr>
            <w:tcW w:w="5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914,219</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922,355</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1,928,726</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1,921,062</w:t>
            </w:r>
          </w:p>
        </w:tc>
      </w:tr>
      <w:tr>
        <w:trPr>
          <w:trHeight w:val="33"/>
        </w:trPr>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37"/>
        </w:trPr>
        <w:tc>
          <w:tcPr>
            <w:tcW w:w="5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78,814</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76,913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191,849</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186,047</w:t>
            </w:r>
          </w:p>
        </w:tc>
      </w:tr>
      <w:tr>
        <w:trPr>
          <w:trHeight w:val="33"/>
        </w:trPr>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5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Operating income margin</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33"/>
        </w:trPr>
        <w:tc>
          <w:tcPr>
            <w:tcW w:w="5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40"/>
          </w:cols>
          <w:pgMar w:left="240" w:top="118" w:right="21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Restaurant sales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the change in U.S. segment Restaurant sales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8"/>
                <w:szCs w:val="18"/>
                <w:color w:val="auto"/>
              </w:rPr>
            </w:pPr>
          </w:p>
        </w:tc>
        <w:tc>
          <w:tcPr>
            <w:tcW w:w="2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0" w:type="dxa"/>
            <w:vAlign w:val="bottom"/>
          </w:tcPr>
          <w:p>
            <w:pPr>
              <w:spacing w:after="0"/>
              <w:rPr>
                <w:sz w:val="18"/>
                <w:szCs w:val="18"/>
                <w:color w:val="auto"/>
              </w:rPr>
            </w:pPr>
          </w:p>
        </w:tc>
        <w:tc>
          <w:tcPr>
            <w:tcW w:w="24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7"/>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For the periods ended July 1, 2018</w:t>
            </w: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1,893.3</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from:</w:t>
            </w:r>
          </w:p>
        </w:tc>
        <w:tc>
          <w:tcPr>
            <w:tcW w:w="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Divestiture of restaurants through refranchising transactions</w:t>
            </w:r>
          </w:p>
        </w:tc>
        <w:tc>
          <w:tcPr>
            <w:tcW w:w="2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Restaurant closings</w:t>
            </w:r>
          </w:p>
        </w:tc>
        <w:tc>
          <w:tcPr>
            <w:tcW w:w="24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Comparable restaurant sales</w:t>
            </w:r>
          </w:p>
        </w:tc>
        <w:tc>
          <w:tcPr>
            <w:tcW w:w="2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27.3</w:t>
            </w:r>
          </w:p>
        </w:tc>
      </w:tr>
      <w:tr>
        <w:trPr>
          <w:trHeight w:val="270"/>
        </w:trPr>
        <w:tc>
          <w:tcPr>
            <w:tcW w:w="60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Restaurant openings</w:t>
            </w:r>
          </w:p>
        </w:tc>
        <w:tc>
          <w:tcPr>
            <w:tcW w:w="24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 the periods ended June 30, 2019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1,901.4</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decrease in U.S. Restaurant sales during the thirteen weeks ended June 30, 2019 was primarily due to the refranchising of certain Company-owned restaurants and the closing of 16 restaurants since April 1, 2018. The decrease in restaurant sales was partially offset by higher comparable restaurant sales and the opening of nine new restaurants not included in our comparable restaurant sales base.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increase in U.S. Restaurant sales during the twenty-six weeks ended June 30, 2019 was primarily due to higher comparable restaurant sales and the opening of ten new restaurants not included in our comparable restaurant sales base. The increase in restaurant sales was partially offset by the closing of 19 restaurants since December 31, 2017 and the refranchising of certain Company-owned restaurants.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from operations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increase in U.S. income from operations generated during the thirteen weeks ended June 30, 2019 as compared to the thirteen weeks ended July 1, 2018, was primarily due to the impact of certain cost savings initiatives and higher comparable restaurant sales. These increases were partially offset by labor and commodity inflation, the impact of deferred gain amortization no longer recognized upon adoption of the new lease standard and additional expense related to the rollout of delivery services.</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increase in U.S. income from operations generated during the twenty-six weeks ended June 30, 2019 as compared to the twenty-six weeks ended July 1, 2018, was primarily due to higher comparable restaurant sales and the impact of certain cost savings initiatives. These increases were partially offset by labor and commodity inflation, the impact of deferred gain amortization no longer recognized upon adoption of the new lease standard and additional expense related to the rollout of delivery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International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64"/>
        </w:trPr>
        <w:tc>
          <w:tcPr>
            <w:tcW w:w="50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22"/>
                <w:szCs w:val="22"/>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2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Restaurant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105,071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106,547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215,900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221,206</w:t>
            </w:r>
          </w:p>
        </w:tc>
      </w:tr>
      <w:tr>
        <w:trPr>
          <w:trHeight w:val="33"/>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2,640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5,435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6,011</w:t>
            </w:r>
          </w:p>
        </w:tc>
      </w:tr>
      <w:tr>
        <w:trPr>
          <w:trHeight w:val="224"/>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107,711</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109,459</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221,335</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227,217</w:t>
            </w:r>
          </w:p>
        </w:tc>
      </w:tr>
      <w:tr>
        <w:trPr>
          <w:trHeight w:val="33"/>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6,909</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(2,049)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20,629</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6,276</w:t>
            </w:r>
          </w:p>
        </w:tc>
      </w:tr>
      <w:tr>
        <w:trPr>
          <w:trHeight w:val="33"/>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Operating income (loss) margin</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3"/>
        </w:trPr>
        <w:tc>
          <w:tcPr>
            <w:tcW w:w="5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Restaurant sales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the change in International segment Restaurant sales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8"/>
                <w:szCs w:val="18"/>
                <w:color w:val="auto"/>
              </w:rPr>
            </w:pPr>
          </w:p>
        </w:tc>
        <w:tc>
          <w:tcPr>
            <w:tcW w:w="2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8"/>
                <w:szCs w:val="18"/>
                <w:color w:val="auto"/>
              </w:rPr>
            </w:pPr>
          </w:p>
        </w:tc>
        <w:tc>
          <w:tcPr>
            <w:tcW w:w="24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7"/>
        </w:trPr>
        <w:tc>
          <w:tcPr>
            <w:tcW w:w="5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 the periods ended July 1, 2018</w:t>
            </w: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4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4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221.2</w:t>
            </w:r>
          </w:p>
        </w:tc>
      </w:tr>
      <w:tr>
        <w:trPr>
          <w:trHeight w:val="237"/>
        </w:trPr>
        <w:tc>
          <w:tcPr>
            <w:tcW w:w="5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from:</w:t>
            </w:r>
          </w:p>
        </w:tc>
        <w:tc>
          <w:tcPr>
            <w:tcW w:w="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3"/>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2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37"/>
        </w:trPr>
        <w:tc>
          <w:tcPr>
            <w:tcW w:w="5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Restaurant closings</w:t>
            </w:r>
          </w:p>
        </w:tc>
        <w:tc>
          <w:tcPr>
            <w:tcW w:w="28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33"/>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Restaurant openings</w:t>
            </w:r>
          </w:p>
        </w:tc>
        <w:tc>
          <w:tcPr>
            <w:tcW w:w="2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19.2</w:t>
            </w:r>
          </w:p>
        </w:tc>
      </w:tr>
      <w:tr>
        <w:trPr>
          <w:trHeight w:val="270"/>
        </w:trPr>
        <w:tc>
          <w:tcPr>
            <w:tcW w:w="58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Comparable restaurant sales</w:t>
            </w:r>
          </w:p>
        </w:tc>
        <w:tc>
          <w:tcPr>
            <w:tcW w:w="28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9.3</w:t>
            </w: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 the periods ended June 30, 2019</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4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4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215.9</w:t>
            </w:r>
          </w:p>
        </w:tc>
      </w:tr>
      <w:tr>
        <w:trPr>
          <w:trHeight w:val="20"/>
        </w:trPr>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decrease in Restaurant sales during the thirteen weeks ended June 30, 2019 was primarily due to the effect of foreign currency translation of the Brazilian Real relative to the U.S. dollar and the closing of 17 restaurants since April 1, 2018. The decrease in restaurant sales was partially offset by the opening of 19 new restaurants not included in our comparable restaurant sales base and higher comparable restaurant sales.</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decrease in Restaurant sales during the twenty-six weeks ended June 30, 2019 was primarily due to the effect of foreign currency translation of the Brazilian Real relative to the U.S. dollar and the closing of 18 restaurants since December 31, 2017. The decrease in restaurant sales was partially offset by the opening of 24 new restaurants not included in our comparable restaurant sales base and higher comparable restaurant sales.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from operations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increase in International income from operations during the thirteen weeks ended June 30, 2019 as compared to the thirteen weeks ended July 1, 2018 was primarily due to: (i) lower impairment and restaurant closing costs, (ii) higher comparable restaurant sales and (iii) lower General and administrative expense, primarily from lower severance costs and the effects of foreign currency exchange. These increases were partially offset by commodity, labor and operating expense inflation.</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increase in International income from operations during the twenty-six weeks ended June 30, 2019 as compared to the twenty-six weeks ended July 1, 2018 was primarily due to: (i) lower impairment and restaurant closing costs, (ii) higher comparable restaurant sales and (iii) lower General and administrative expense, primarily from the effects of foreign currency exchange. These increases were partially offset by commodity inflation.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System-Wide Sales - </w:t>
      </w:r>
      <w:r>
        <w:rPr>
          <w:rFonts w:ascii="Times New Roman" w:cs="Times New Roman" w:eastAsia="Times New Roman" w:hAnsi="Times New Roman"/>
          <w:sz w:val="20"/>
          <w:szCs w:val="20"/>
          <w:color w:val="auto"/>
        </w:rPr>
        <w:t>System-wide sales is a non-GAAP financial measure that includes sales of all restaurants operating under our brand names,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Revenue Recognition</w:t>
      </w:r>
      <w:r>
        <w:rPr>
          <w:rFonts w:ascii="Times New Roman" w:cs="Times New Roman" w:eastAsia="Times New Roman" w:hAnsi="Times New Roman"/>
          <w:sz w:val="20"/>
          <w:szCs w:val="20"/>
          <w:color w:val="auto"/>
        </w:rPr>
        <w:t xml:space="preserve"> of the Notes to Consolidated Financial Statements.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following table provides a summary of sales of franchised restaurants,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18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22"/>
                <w:szCs w:val="22"/>
                <w:color w:val="auto"/>
              </w:rPr>
            </w:pPr>
          </w:p>
        </w:tc>
        <w:tc>
          <w:tcPr>
            <w:tcW w:w="12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Outback Steakhouse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Carrabba’s Italian Grill (1)</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Bonefish Grill</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U.S. Total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Outback Steakhouse-South Korea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International 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franchise sales (2)</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2019, we sold 18 Carrabba’s Italian Grill locations, which are now operated as franchises.</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Franchise sales are not included in Total revenues in the Consolidated Statements of Operations and Comprehensive Income (Loss).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Adjusted restaurant-level operating margin - </w:t>
      </w:r>
      <w:r>
        <w:rPr>
          <w:rFonts w:ascii="Times New Roman" w:cs="Times New Roman" w:eastAsia="Times New Roman" w:hAnsi="Times New Roman"/>
          <w:sz w:val="20"/>
          <w:szCs w:val="20"/>
          <w:color w:val="auto"/>
        </w:rPr>
        <w:t>The following table shows the percentages of certain operating cost financial statement line items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relation to Restaurant sales: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40" w:type="dxa"/>
            <w:vAlign w:val="bottom"/>
            <w:tcBorders>
              <w:bottom w:val="single" w:sz="8" w:color="auto"/>
            </w:tcBorders>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216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360" w:type="dxa"/>
            <w:vAlign w:val="bottom"/>
            <w:tcBorders>
              <w:bottom w:val="single" w:sz="8" w:color="auto"/>
            </w:tcBorders>
            <w:gridSpan w:val="3"/>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21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7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16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ADJUSTED (1)</w:t>
            </w:r>
          </w:p>
        </w:tc>
      </w:tr>
      <w:tr>
        <w:trPr>
          <w:trHeight w:val="237"/>
        </w:trPr>
        <w:tc>
          <w:tcPr>
            <w:tcW w:w="20" w:type="dxa"/>
            <w:vAlign w:val="bottom"/>
          </w:tcPr>
          <w:p>
            <w:pPr>
              <w:spacing w:after="0"/>
              <w:rPr>
                <w:sz w:val="20"/>
                <w:szCs w:val="20"/>
                <w:color w:val="auto"/>
              </w:rPr>
            </w:pPr>
          </w:p>
        </w:tc>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84"/>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37"/>
        </w:trPr>
        <w:tc>
          <w:tcPr>
            <w:tcW w:w="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Labor and other related</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33"/>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84"/>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54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164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216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360" w:type="dxa"/>
            <w:vAlign w:val="bottom"/>
            <w:tcBorders>
              <w:bottom w:val="single" w:sz="8" w:color="auto"/>
            </w:tcBorders>
            <w:gridSpan w:val="3"/>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21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7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16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ADJUSTED (1)</w:t>
            </w:r>
          </w:p>
        </w:tc>
      </w:tr>
      <w:tr>
        <w:trPr>
          <w:trHeight w:val="237"/>
        </w:trPr>
        <w:tc>
          <w:tcPr>
            <w:tcW w:w="20" w:type="dxa"/>
            <w:vAlign w:val="bottom"/>
          </w:tcPr>
          <w:p>
            <w:pPr>
              <w:spacing w:after="0"/>
              <w:rPr>
                <w:sz w:val="20"/>
                <w:szCs w:val="20"/>
                <w:color w:val="auto"/>
              </w:rPr>
            </w:pPr>
          </w:p>
        </w:tc>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9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37"/>
        </w:trPr>
        <w:tc>
          <w:tcPr>
            <w:tcW w:w="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Labor and other related</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33"/>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9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193"/>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bl>
    <w:p>
      <w:pPr>
        <w:ind w:left="660" w:hanging="652"/>
        <w:spacing w:after="0" w:line="257"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unfavorable adjustments recorded in Other restaurant operating for the following activities, as described in the </w:t>
      </w:r>
      <w:r>
        <w:rPr>
          <w:rFonts w:ascii="Times New Roman" w:cs="Times New Roman" w:eastAsia="Times New Roman" w:hAnsi="Times New Roman"/>
          <w:sz w:val="16"/>
          <w:szCs w:val="16"/>
          <w:i w:val="1"/>
          <w:iCs w:val="1"/>
          <w:color w:val="auto"/>
        </w:rPr>
        <w:t>Adjusted income from operations, Adjusted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net income and Adjusted diluted earnings per share </w:t>
      </w:r>
      <w:r>
        <w:rPr>
          <w:rFonts w:ascii="Times New Roman" w:cs="Times New Roman" w:eastAsia="Times New Roman" w:hAnsi="Times New Roman"/>
          <w:sz w:val="16"/>
          <w:szCs w:val="16"/>
          <w:color w:val="auto"/>
        </w:rPr>
        <w:t>table below for the periods indicated:</w:t>
      </w:r>
    </w:p>
    <w:p>
      <w:pPr>
        <w:spacing w:after="0" w:line="95" w:lineRule="exact"/>
        <w:rPr>
          <w:sz w:val="20"/>
          <w:szCs w:val="20"/>
          <w:color w:val="auto"/>
        </w:rPr>
      </w:pPr>
    </w:p>
    <w:tbl>
      <w:tblPr>
        <w:tblLayout w:type="fixed"/>
        <w:tblInd w:w="1050" w:type="dxa"/>
        <w:tblCellMar>
          <w:top w:w="0" w:type="dxa"/>
          <w:left w:w="0" w:type="dxa"/>
          <w:bottom w:w="0" w:type="dxa"/>
          <w:right w:w="0" w:type="dxa"/>
        </w:tblCellMar>
      </w:tblPr>
      <w:tr>
        <w:trPr>
          <w:trHeight w:val="274"/>
        </w:trPr>
        <w:tc>
          <w:tcPr>
            <w:tcW w:w="4900" w:type="dxa"/>
            <w:vAlign w:val="bottom"/>
            <w:tcBorders>
              <w:top w:val="single" w:sz="8" w:color="auto"/>
              <w:left w:val="single" w:sz="8" w:color="auto"/>
            </w:tcBorders>
          </w:tcPr>
          <w:p>
            <w:pPr>
              <w:spacing w:after="0"/>
              <w:rPr>
                <w:sz w:val="23"/>
                <w:szCs w:val="23"/>
                <w:color w:val="auto"/>
              </w:rPr>
            </w:pP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340" w:type="dxa"/>
            <w:vAlign w:val="bottom"/>
            <w:tcBorders>
              <w:top w:val="single" w:sz="8" w:color="auto"/>
              <w:right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74"/>
        </w:trPr>
        <w:tc>
          <w:tcPr>
            <w:tcW w:w="4900" w:type="dxa"/>
            <w:vAlign w:val="bottom"/>
            <w:tcBorders>
              <w:left w:val="single" w:sz="8" w:color="auto"/>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1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3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340" w:type="dxa"/>
            <w:vAlign w:val="bottom"/>
            <w:tcBorders>
              <w:bottom w:val="single" w:sz="8" w:color="auto"/>
              <w:right w:val="single" w:sz="8" w:color="auto"/>
            </w:tcBorders>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37"/>
        </w:trPr>
        <w:tc>
          <w:tcPr>
            <w:tcW w:w="49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Restaurant and asset impairments and closing costs</w:t>
            </w:r>
          </w:p>
        </w:tc>
        <w:tc>
          <w:tcPr>
            <w:tcW w:w="2180" w:type="dxa"/>
            <w:vAlign w:val="bottom"/>
            <w:tcBorders>
              <w:bottom w:val="single" w:sz="8" w:color="CCEEFF"/>
            </w:tcBorders>
            <w:shd w:val="clear" w:color="auto" w:fill="CCEEFF"/>
          </w:tcPr>
          <w:p>
            <w:pPr>
              <w:jc w:val="right"/>
              <w:ind w:right="2003"/>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Borders>
              <w:bottom w:val="single" w:sz="8" w:color="CCEEFF"/>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2.2</w:t>
            </w:r>
          </w:p>
        </w:tc>
      </w:tr>
      <w:tr>
        <w:trPr>
          <w:trHeight w:val="270"/>
        </w:trPr>
        <w:tc>
          <w:tcPr>
            <w:tcW w:w="4900" w:type="dxa"/>
            <w:vAlign w:val="bottom"/>
            <w:tcBorders>
              <w:left w:val="single" w:sz="8" w:color="auto"/>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Restaurant relocations and related costs</w:t>
            </w:r>
          </w:p>
        </w:tc>
        <w:tc>
          <w:tcPr>
            <w:tcW w:w="21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0.2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340" w:type="dxa"/>
            <w:vAlign w:val="bottom"/>
            <w:tcBorders>
              <w:bottom w:val="single" w:sz="8" w:color="auto"/>
              <w:right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0.4</w:t>
            </w:r>
          </w:p>
        </w:tc>
      </w:tr>
      <w:tr>
        <w:trPr>
          <w:trHeight w:val="275"/>
        </w:trPr>
        <w:tc>
          <w:tcPr>
            <w:tcW w:w="4900" w:type="dxa"/>
            <w:vAlign w:val="bottom"/>
            <w:tcBorders>
              <w:left w:val="single" w:sz="8" w:color="auto"/>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2003"/>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Borders>
              <w:bottom w:val="single" w:sz="8" w:color="CCEEFF"/>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2.6</w:t>
            </w:r>
          </w:p>
        </w:tc>
      </w:tr>
      <w:tr>
        <w:trPr>
          <w:trHeight w:val="20"/>
        </w:trPr>
        <w:tc>
          <w:tcPr>
            <w:tcW w:w="4900" w:type="dxa"/>
            <w:vAlign w:val="bottom"/>
            <w:tcBorders>
              <w:top w:val="single" w:sz="8" w:color="auto"/>
            </w:tcBorders>
          </w:tcPr>
          <w:p>
            <w:pPr>
              <w:spacing w:after="0" w:line="20" w:lineRule="exact"/>
              <w:rPr>
                <w:sz w:val="1"/>
                <w:szCs w:val="1"/>
                <w:color w:val="auto"/>
              </w:rPr>
            </w:pPr>
          </w:p>
        </w:tc>
        <w:tc>
          <w:tcPr>
            <w:tcW w:w="21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340" w:type="dxa"/>
            <w:vAlign w:val="bottom"/>
            <w:tcBorders>
              <w:top w:val="single" w:sz="8" w:color="auto"/>
              <w:right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income from operations, Adjusted net income and Adjusted diluted earnings per share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0" w:type="dxa"/>
            <w:vAlign w:val="bottom"/>
          </w:tcPr>
          <w:p>
            <w:pPr>
              <w:spacing w:after="0"/>
              <w:rPr>
                <w:sz w:val="22"/>
                <w:szCs w:val="22"/>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4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22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40" w:type="dxa"/>
            <w:vAlign w:val="bottom"/>
          </w:tcPr>
          <w:p>
            <w:pPr>
              <w:spacing w:after="0"/>
              <w:rPr>
                <w:sz w:val="22"/>
                <w:szCs w:val="22"/>
                <w:color w:val="auto"/>
              </w:rPr>
            </w:pPr>
          </w:p>
        </w:tc>
        <w:tc>
          <w:tcPr>
            <w:tcW w:w="12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JULY 1, 2018</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43,460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32,924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125,954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111,295</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Restaurant and asset impairments and closing costs (1)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2,039</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7,886</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4,170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9,181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Restaurant relocations and related costs (2)</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3,078</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Severance (3)</w:t>
            </w:r>
          </w:p>
        </w:tc>
        <w:tc>
          <w:tcPr>
            <w:tcW w:w="16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3,603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965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Legal and contingent matters</w:t>
            </w:r>
          </w:p>
        </w:tc>
        <w:tc>
          <w:tcPr>
            <w:tcW w:w="1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64"/>
        </w:trPr>
        <w:tc>
          <w:tcPr>
            <w:tcW w:w="5160" w:type="dxa"/>
            <w:vAlign w:val="bottom"/>
            <w:tcBorders>
              <w:top w:val="single" w:sz="8" w:color="CCEEFF"/>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income from operations adjustments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3,739</w:t>
            </w:r>
          </w:p>
        </w:tc>
        <w:tc>
          <w:tcPr>
            <w:tcW w:w="10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9,527</w:t>
            </w:r>
          </w:p>
        </w:tc>
        <w:tc>
          <w:tcPr>
            <w:tcW w:w="10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9,757</w:t>
            </w:r>
          </w:p>
        </w:tc>
        <w:tc>
          <w:tcPr>
            <w:tcW w:w="10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13,982</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47,199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42,451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135,711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125,277</w:t>
            </w:r>
          </w:p>
        </w:tc>
        <w:tc>
          <w:tcPr>
            <w:tcW w:w="0" w:type="dxa"/>
            <w:vAlign w:val="bottom"/>
          </w:tcPr>
          <w:p>
            <w:pPr>
              <w:spacing w:after="0"/>
              <w:rPr>
                <w:sz w:val="1"/>
                <w:szCs w:val="1"/>
                <w:color w:val="auto"/>
              </w:rPr>
            </w:pPr>
          </w:p>
        </w:tc>
      </w:tr>
      <w:tr>
        <w:trPr>
          <w:trHeight w:val="21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Adjusted operating income margin</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attributable to Bloomin’ Brands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29,021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26,721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93,321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92,119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from operations adjustments</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3,739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9,527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9,757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13,982</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adjustments,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9,527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9,757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13,982</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Adjustment to provision for income taxes (4)</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(1,232)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(2,119)</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adjustments</w:t>
            </w: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9,089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8,525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11,863</w:t>
            </w:r>
          </w:p>
        </w:tc>
        <w:tc>
          <w:tcPr>
            <w:tcW w:w="0" w:type="dxa"/>
            <w:vAlign w:val="bottom"/>
          </w:tcPr>
          <w:p>
            <w:pPr>
              <w:spacing w:after="0"/>
              <w:rPr>
                <w:sz w:val="1"/>
                <w:szCs w:val="1"/>
                <w:color w:val="auto"/>
              </w:rPr>
            </w:pPr>
          </w:p>
        </w:tc>
      </w:tr>
      <w:tr>
        <w:trPr>
          <w:trHeight w:val="290"/>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Adjusted 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32,347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35,810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101,846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103,982</w:t>
            </w:r>
          </w:p>
        </w:tc>
        <w:tc>
          <w:tcPr>
            <w:tcW w:w="0" w:type="dxa"/>
            <w:vAlign w:val="bottom"/>
          </w:tcPr>
          <w:p>
            <w:pPr>
              <w:spacing w:after="0"/>
              <w:rPr>
                <w:sz w:val="1"/>
                <w:szCs w:val="1"/>
                <w:color w:val="auto"/>
              </w:rPr>
            </w:pPr>
          </w:p>
        </w:tc>
      </w:tr>
      <w:tr>
        <w:trPr>
          <w:trHeight w:val="284"/>
        </w:trPr>
        <w:tc>
          <w:tcPr>
            <w:tcW w:w="5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0.97</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90,953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94,361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91,807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95,072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46"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asset impairment charges and related costs primarily associated with approved closure and restructuring initiatives, and the restructuring of certain international markets.</w:t>
      </w:r>
    </w:p>
    <w:p>
      <w:pPr>
        <w:ind w:left="660" w:hanging="652"/>
        <w:spacing w:after="0"/>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asset impairment charges and accelerated depreciation incurred in connection with our relocation program.</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severance expense incurred as a result of restructuring activities.</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income tax effect of the adjustments for the periods presented.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LIQUIDITY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liquidity sources consist of cash flow from our operations, cash and cash equivalents and credit capacity under our credit facilities. We expect to use cash primarily for general operating expenses, share repurchases and dividend payments, payments on our debt, remodeling or relocating older restaurants, obligations related to our deferred compensation plans and investments in technology.</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believe that our expected liquidity sources are adequate to fund debt service requirements, lease obligations, capital expenditures and working capital obligations for at least the next 12 months following this filing and beyond. However, our ability to continue to meet these requirements and obligations will depend on, among other things, our ability to achieve anticipated levels of revenue and cash flow and our ability to manage costs and working capital successfully.</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type w:val="continuous"/>
        </w:sectPr>
      </w:pPr>
    </w:p>
    <w:bookmarkStart w:id="44" w:name="page45"/>
    <w:bookmarkEnd w:id="44"/>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w:t>
      </w:r>
      <w:r>
        <w:rPr>
          <w:rFonts w:ascii="Times New Roman" w:cs="Times New Roman" w:eastAsia="Times New Roman" w:hAnsi="Times New Roman"/>
          <w:sz w:val="20"/>
          <w:szCs w:val="20"/>
          <w:color w:val="auto"/>
        </w:rPr>
        <w:t>- As of June 30, 2019, we had $64.7 million in cash and cash equivalents, of which $14.5 million was held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foreign affiliates. The international jurisdictions in which we have significant cash do not have any known restrictions that would prohibit repatriation.</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June 30, 2019, we had aggregate accumulated foreign earnings of approximately $89.4 million. This amount consisted primarily of historical earnings from 2017 and prior that were previously taxed in the U.S. under the 2017 Tax Cuts and Jobs Act and post-2017 foreign earnings, which we may repatriate to the U.S. without additional U.S. federal income tax. These amounts are no longer considered indefinitely reinvested in our foreign subsidiaries.</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Closure Initiatives </w:t>
      </w:r>
      <w:r>
        <w:rPr>
          <w:rFonts w:ascii="Times New Roman" w:cs="Times New Roman" w:eastAsia="Times New Roman" w:hAnsi="Times New Roman"/>
          <w:sz w:val="20"/>
          <w:szCs w:val="20"/>
          <w:color w:val="auto"/>
        </w:rPr>
        <w:t>- Total aggregate future undiscounted cash expenditures of $12.0 million to $14.7 million related to lease liabilities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closure initiatives are expected to occur over the remaining lease terms with the final term ending in January 2029.</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Capital Expenditures </w:t>
      </w:r>
      <w:r>
        <w:rPr>
          <w:rFonts w:ascii="Times New Roman" w:cs="Times New Roman" w:eastAsia="Times New Roman" w:hAnsi="Times New Roman"/>
          <w:sz w:val="20"/>
          <w:szCs w:val="20"/>
          <w:color w:val="auto"/>
        </w:rPr>
        <w:t>- We estimate that our capital expenditures will total approximately $175.0 million to $200.0 million in 2019. The amount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actual capital expenditures may be affected by general economic, financial, competitive, legislative and regulatory factors, among other things, including restrictions imposed by our borrowing arrangements.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Credit Facilities </w:t>
      </w:r>
      <w:r>
        <w:rPr>
          <w:rFonts w:ascii="Times New Roman" w:cs="Times New Roman" w:eastAsia="Times New Roman" w:hAnsi="Times New Roman"/>
          <w:sz w:val="20"/>
          <w:szCs w:val="20"/>
          <w:color w:val="auto"/>
        </w:rPr>
        <w:t>- As of June 30, 2019, we had $1.1 billion of outstanding borrowings under our Senior Secured Credit Facility. We continue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evaluate whether we will make further payments of our outstanding debt ahead of scheduled maturities. Following is a summary of our outstanding credit facilities as of the dates indicated and principal payments and debt issuance during the period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SENIOR SECURED CREDIT FACILITY</w:t>
            </w:r>
          </w:p>
        </w:tc>
        <w:tc>
          <w:tcPr>
            <w:tcW w:w="124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TOTAL CREDIT</w:t>
            </w:r>
          </w:p>
        </w:tc>
        <w:tc>
          <w:tcPr>
            <w:tcW w:w="0" w:type="dxa"/>
            <w:vAlign w:val="bottom"/>
          </w:tcPr>
          <w:p>
            <w:pPr>
              <w:spacing w:after="0"/>
              <w:rPr>
                <w:sz w:val="1"/>
                <w:szCs w:val="1"/>
                <w:color w:val="auto"/>
              </w:rPr>
            </w:pPr>
          </w:p>
        </w:tc>
      </w:tr>
      <w:tr>
        <w:trPr>
          <w:trHeight w:val="56"/>
        </w:trPr>
        <w:tc>
          <w:tcPr>
            <w:tcW w:w="648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TERM LOAN A</w:t>
            </w: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REVOLVING FACILITY</w:t>
            </w:r>
          </w:p>
        </w:tc>
        <w:tc>
          <w:tcPr>
            <w:tcW w:w="160" w:type="dxa"/>
            <w:vAlign w:val="bottom"/>
          </w:tcPr>
          <w:p>
            <w:pPr>
              <w:spacing w:after="0"/>
              <w:rPr>
                <w:sz w:val="18"/>
                <w:szCs w:val="18"/>
                <w:color w:val="auto"/>
              </w:rPr>
            </w:pP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0" w:type="dxa"/>
            <w:vAlign w:val="bottom"/>
          </w:tcPr>
          <w:p>
            <w:pPr>
              <w:spacing w:after="0"/>
              <w:rPr>
                <w:sz w:val="1"/>
                <w:szCs w:val="1"/>
                <w:color w:val="auto"/>
              </w:rPr>
            </w:pPr>
          </w:p>
        </w:tc>
      </w:tr>
      <w:tr>
        <w:trPr>
          <w:trHeight w:val="237"/>
        </w:trPr>
        <w:tc>
          <w:tcPr>
            <w:tcW w:w="6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December 30, 2018</w:t>
            </w: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475,000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599,500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1,074,500</w:t>
            </w:r>
          </w:p>
        </w:tc>
        <w:tc>
          <w:tcPr>
            <w:tcW w:w="0" w:type="dxa"/>
            <w:vAlign w:val="bottom"/>
          </w:tcPr>
          <w:p>
            <w:pPr>
              <w:spacing w:after="0"/>
              <w:rPr>
                <w:sz w:val="1"/>
                <w:szCs w:val="1"/>
                <w:color w:val="auto"/>
              </w:rPr>
            </w:pPr>
          </w:p>
        </w:tc>
      </w:tr>
      <w:tr>
        <w:trPr>
          <w:trHeight w:val="237"/>
        </w:trPr>
        <w:tc>
          <w:tcPr>
            <w:tcW w:w="6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2019 new debt</w:t>
            </w:r>
          </w:p>
        </w:tc>
        <w:tc>
          <w:tcPr>
            <w:tcW w:w="24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408,000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408,000</w:t>
            </w: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 payments</w:t>
            </w:r>
          </w:p>
        </w:tc>
        <w:tc>
          <w:tcPr>
            <w:tcW w:w="2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(12,500)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(321,200)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(333,700)</w:t>
            </w:r>
          </w:p>
        </w:tc>
        <w:tc>
          <w:tcPr>
            <w:tcW w:w="0" w:type="dxa"/>
            <w:vAlign w:val="bottom"/>
          </w:tcPr>
          <w:p>
            <w:pPr>
              <w:spacing w:after="0"/>
              <w:rPr>
                <w:sz w:val="1"/>
                <w:szCs w:val="1"/>
                <w:color w:val="auto"/>
              </w:rPr>
            </w:pPr>
          </w:p>
        </w:tc>
      </w:tr>
      <w:tr>
        <w:trPr>
          <w:trHeight w:val="290"/>
        </w:trPr>
        <w:tc>
          <w:tcPr>
            <w:tcW w:w="64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Balance as of June 30, 2019</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462,500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686,300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1,148,800</w:t>
            </w:r>
          </w:p>
        </w:tc>
        <w:tc>
          <w:tcPr>
            <w:tcW w:w="0" w:type="dxa"/>
            <w:vAlign w:val="bottom"/>
          </w:tcPr>
          <w:p>
            <w:pPr>
              <w:spacing w:after="0"/>
              <w:rPr>
                <w:sz w:val="1"/>
                <w:szCs w:val="1"/>
                <w:color w:val="auto"/>
              </w:rPr>
            </w:pPr>
          </w:p>
        </w:tc>
      </w:tr>
      <w:tr>
        <w:trPr>
          <w:trHeight w:val="311"/>
        </w:trPr>
        <w:tc>
          <w:tcPr>
            <w:tcW w:w="64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interest rate, as of June 30, 2019</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Principal maturity date</w:t>
            </w:r>
          </w:p>
        </w:tc>
        <w:tc>
          <w:tcPr>
            <w:tcW w:w="2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November 2022</w:t>
            </w:r>
          </w:p>
        </w:tc>
        <w:tc>
          <w:tcPr>
            <w:tcW w:w="3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November 2022</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June 30, 2019, we had $291.7 million in available unused borrowing capacity under our revolving credit facility, net of letters of credit of $22.0 million.</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Credit Agreement </w:t>
      </w:r>
      <w:r>
        <w:rPr>
          <w:rFonts w:ascii="Times New Roman" w:cs="Times New Roman" w:eastAsia="Times New Roman" w:hAnsi="Times New Roman"/>
          <w:sz w:val="20"/>
          <w:szCs w:val="20"/>
          <w:color w:val="auto"/>
        </w:rPr>
        <w:t>- Our Credit Agreement contains term loan mandatory prepayment requirements of 50% of our annual excess cash flow,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defined in the Credit Agreement. The amount outstanding required to be prepaid may vary based on our leverage ratio and year end results. Other than the annual required minimum amortization premiums of $25.0 million, we do not anticipate any other payments will be required through June 28, 2020.</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Debt Covenants </w:t>
      </w:r>
      <w:r>
        <w:rPr>
          <w:rFonts w:ascii="Times New Roman" w:cs="Times New Roman" w:eastAsia="Times New Roman" w:hAnsi="Times New Roman"/>
          <w:sz w:val="20"/>
          <w:szCs w:val="20"/>
          <w:color w:val="auto"/>
        </w:rPr>
        <w:t>- Our Credit Agreement contains various financial and non-financial covenants. A violation of these covenants could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negatively impact our liquidity by restricting our ability to borrow under the revolving credit facility and cause an acceleration of the amounts due under the credit facilities. See Note 13 - </w:t>
      </w:r>
      <w:r>
        <w:rPr>
          <w:rFonts w:ascii="Times New Roman" w:cs="Times New Roman" w:eastAsia="Times New Roman" w:hAnsi="Times New Roman"/>
          <w:sz w:val="20"/>
          <w:szCs w:val="20"/>
          <w:i w:val="1"/>
          <w:iCs w:val="1"/>
          <w:color w:val="auto"/>
        </w:rPr>
        <w:t>Long-term Debt, Net</w:t>
      </w:r>
      <w:r>
        <w:rPr>
          <w:rFonts w:ascii="Times New Roman" w:cs="Times New Roman" w:eastAsia="Times New Roman" w:hAnsi="Times New Roman"/>
          <w:sz w:val="20"/>
          <w:szCs w:val="20"/>
          <w:color w:val="auto"/>
        </w:rPr>
        <w:t xml:space="preserve"> in our Annual Report on Form 10-K for the year ended December 30, 2018 for further information.</w:t>
      </w:r>
    </w:p>
    <w:p>
      <w:pPr>
        <w:spacing w:after="0" w:line="18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June 30, 2019 and December 30, 2018, we were in compliance with our debt covenants. We believe that we will remain in compliance with our debt covenants during the next 12 months and beyond.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SUMMARY OF CASH FLOWS</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a summary of our cash flows provided by (used in) operating, investing and financing activities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64"/>
        </w:trPr>
        <w:tc>
          <w:tcPr>
            <w:tcW w:w="8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40" w:type="dxa"/>
            <w:vAlign w:val="bottom"/>
          </w:tcPr>
          <w:p>
            <w:pPr>
              <w:spacing w:after="0"/>
              <w:rPr>
                <w:sz w:val="22"/>
                <w:szCs w:val="22"/>
                <w:color w:val="auto"/>
              </w:rPr>
            </w:pPr>
          </w:p>
        </w:tc>
        <w:tc>
          <w:tcPr>
            <w:tcW w:w="134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37"/>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Net cash provided by operating activities</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132,443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100,083</w:t>
            </w: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Pr>
          <w:p>
            <w:pPr>
              <w:spacing w:after="0"/>
              <w:rPr>
                <w:sz w:val="20"/>
                <w:szCs w:val="20"/>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(73,854)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(81,944)</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Net cash used in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(63,415)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(58,303)</w:t>
            </w:r>
          </w:p>
        </w:tc>
      </w:tr>
      <w:tr>
        <w:trPr>
          <w:trHeight w:val="270"/>
        </w:trPr>
        <w:tc>
          <w:tcPr>
            <w:tcW w:w="8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(3,164)</w:t>
            </w: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(43,328)</w:t>
            </w: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Operating activities </w:t>
      </w:r>
      <w:r>
        <w:rPr>
          <w:rFonts w:ascii="Times New Roman" w:cs="Times New Roman" w:eastAsia="Times New Roman" w:hAnsi="Times New Roman"/>
          <w:sz w:val="20"/>
          <w:szCs w:val="20"/>
          <w:color w:val="auto"/>
        </w:rPr>
        <w:t>- Net cash provided by operating activities increased during the twenty-six weeks ended June 30, 2019, as compared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twenty-six weeks ended July 1, 2018 primarily due to the timing of collections of receivables and the timing of payments, partially offset by higher interest and income tax payments.</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Investing activities - </w:t>
      </w:r>
      <w:r>
        <w:rPr>
          <w:rFonts w:ascii="Times New Roman" w:cs="Times New Roman" w:eastAsia="Times New Roman" w:hAnsi="Times New Roman"/>
          <w:sz w:val="20"/>
          <w:szCs w:val="20"/>
          <w:color w:val="auto"/>
        </w:rPr>
        <w:t>Net cash used in investing activities during the twenty-six weeks ended June 30, 2019 primarily consisted of capital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expenditures, partially offset by proceeds from sale-leaseback transactions.</w:t>
      </w:r>
    </w:p>
    <w:p>
      <w:pPr>
        <w:spacing w:after="0" w:line="1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Net cash used in investing activities during the twenty-six weeks ended July 1, 2018 primarily consisted of capital expenditures, partially offset by proceeds from the disposal of property, fixtures and equipment and proceeds from sale-leaseback transactions.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i w:val="1"/>
          <w:iCs w:val="1"/>
          <w:color w:val="auto"/>
        </w:rPr>
        <w:t xml:space="preserve">Financing activities - </w:t>
      </w:r>
      <w:r>
        <w:rPr>
          <w:rFonts w:ascii="Times New Roman" w:cs="Times New Roman" w:eastAsia="Times New Roman" w:hAnsi="Times New Roman"/>
          <w:sz w:val="19"/>
          <w:szCs w:val="19"/>
          <w:color w:val="auto"/>
        </w:rPr>
        <w:t>Net cash used in financing activities during the twenty-six weeks ended June 30, 2019 was primarily due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following: (i) the repurchase of common stock, (ii) payment of cash dividends on our common stock, (iii) the repayment of long-term debt and</w:t>
      </w:r>
    </w:p>
    <w:p>
      <w:pPr>
        <w:spacing w:after="0" w:line="1" w:lineRule="exact"/>
        <w:rPr>
          <w:sz w:val="20"/>
          <w:szCs w:val="20"/>
          <w:color w:val="auto"/>
        </w:rPr>
      </w:pPr>
    </w:p>
    <w:p>
      <w:pPr>
        <w:ind w:right="20" w:firstLine="8"/>
        <w:spacing w:after="0" w:line="246" w:lineRule="auto"/>
        <w:tabs>
          <w:tab w:leader="none" w:pos="34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repayments of partner deposits and accrued partner obligations. Net cash used in financing activities was partially offset by drawdowns on our revolving credit facility, net of repayments.</w:t>
      </w:r>
    </w:p>
    <w:p>
      <w:pPr>
        <w:spacing w:after="0" w:line="1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Net cash used in financing activities during the twenty-six weeks ended July 1, 2018 was primarily attributable to the following: (i) the repurchase of common stock, (ii) payment of cash dividends on our common stock, (iii) the repayment of long-term debt and (iv) repayments of partner deposits and accrued partner obligations. Net cash used in financing activities was partially offset by proceeds from the exercise of stock options and drawdowns on our revolving credit facility, net of repayments.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our current assets, current liabilities and working capital (deficit):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8"/>
                <w:szCs w:val="18"/>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20" w:type="dxa"/>
            <w:vAlign w:val="bottom"/>
          </w:tcPr>
          <w:p>
            <w:pPr>
              <w:spacing w:after="0"/>
              <w:rPr>
                <w:sz w:val="18"/>
                <w:szCs w:val="18"/>
                <w:color w:val="auto"/>
              </w:rPr>
            </w:pPr>
          </w:p>
        </w:tc>
        <w:tc>
          <w:tcPr>
            <w:tcW w:w="182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30, 2018</w:t>
            </w:r>
          </w:p>
        </w:tc>
        <w:tc>
          <w:tcPr>
            <w:tcW w:w="0" w:type="dxa"/>
            <w:vAlign w:val="bottom"/>
          </w:tcPr>
          <w:p>
            <w:pPr>
              <w:spacing w:after="0"/>
              <w:rPr>
                <w:sz w:val="1"/>
                <w:szCs w:val="1"/>
                <w:color w:val="auto"/>
              </w:rPr>
            </w:pPr>
          </w:p>
        </w:tc>
      </w:tr>
      <w:tr>
        <w:trPr>
          <w:trHeight w:val="237"/>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233,899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335,483</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786,584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791,039</w:t>
            </w: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Working capital (deficit) (1)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(552,685)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(455,556)</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3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57" w:lineRule="auto"/>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twenty-six weeks ended June 30, 2019 net working capital (deficit) was negatively impacted by the recognition of approximately $170 million of current lease liabilities as a result of the adoption of ASU No. 2016-02.</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Working capital (deficit) includes: (i) Unearned revenue primarily from unredeemed gift cards of $237.3 million and $342.7 million as of June 30, 2019 and December 30, 2018, respectively, and (ii) current operating lease liabilities of $171.3 million as of June 30, 2019, with the corresponding operating right-of-use assets recorded as non-current on the Company’s Consolidated Balance Sheet. We have, and in the future may continue to have, negative working capital</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used to service debt obligations and to make capital expenditures.</w:t>
      </w:r>
    </w:p>
    <w:p>
      <w:pPr>
        <w:spacing w:after="0" w:line="1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Deferred Compensation Programs - </w:t>
      </w:r>
      <w:r>
        <w:rPr>
          <w:rFonts w:ascii="Times New Roman" w:cs="Times New Roman" w:eastAsia="Times New Roman" w:hAnsi="Times New Roman"/>
          <w:sz w:val="20"/>
          <w:szCs w:val="20"/>
          <w:color w:val="auto"/>
        </w:rPr>
        <w:t>The deferred compensation obligation due to managing and chef partners was $57.8 million and $69.6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as of June 30, 2019 and December 30, 2018, respectively. We invest in various corporate-owned life insurance policies, which are held within an irrevocable grantor or “rabbi” trust account for settlement of our obligations under the deferred compensation plans. The rabbi trust is funded through our voluntary contributions. The unfunded obligation for managing and chef partners’ deferred compensation was $13.9 million as of June 30, 2019.</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use capital to fund the deferred compensation plans and currently expect cash funding of $14.0 million to $16.0 million for 2019. Actual funding of the deferred compensation obligations and future funding requirements may vary significantly depending on the actual performance compared to targets, timing of deferred payments of partner contracts, forfeiture rates, number of partner participants, growth of partner investments and our funding strategy.</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Other Compensation Programs </w:t>
      </w:r>
      <w:r>
        <w:rPr>
          <w:rFonts w:ascii="Times New Roman" w:cs="Times New Roman" w:eastAsia="Times New Roman" w:hAnsi="Times New Roman"/>
          <w:sz w:val="20"/>
          <w:szCs w:val="20"/>
          <w:color w:val="auto"/>
        </w:rPr>
        <w:t>- Certain U.S. Partners participate in a non-qualified long-term compensation program that we fund as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 for each participant becomes due.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DIVIDENDS AND SHARE REPURCHASES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Dividends </w:t>
      </w:r>
      <w:r>
        <w:rPr>
          <w:rFonts w:ascii="Times New Roman" w:cs="Times New Roman" w:eastAsia="Times New Roman" w:hAnsi="Times New Roman"/>
          <w:sz w:val="20"/>
          <w:szCs w:val="20"/>
          <w:color w:val="auto"/>
        </w:rPr>
        <w:t>- In July 2019, the Board declared a quarterly cash dividend of $0.10 per share, payable on August 21, 2019. Future dividend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payments are dependent on our earnings, financial condition, capital expenditure requirements, surplus and other factors that the Board considers relevant.</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Share Repurchases </w:t>
      </w:r>
      <w:r>
        <w:rPr>
          <w:rFonts w:ascii="Times New Roman" w:cs="Times New Roman" w:eastAsia="Times New Roman" w:hAnsi="Times New Roman"/>
          <w:sz w:val="20"/>
          <w:szCs w:val="20"/>
          <w:color w:val="auto"/>
        </w:rPr>
        <w:t>- On February 12, 2019, our Board canceled the remaining $36.0 million of authorization under the 2018 Share Repurchase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Program and approved a new $150.0 million authorization. The 2019 Share Repurchase Program will expire on August 12, 2020. As of June 30, 2019, we had $43.0 million remaining available for repurchase under the 2019 Share Repurchase Program.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our dividends and share repurchases from fiscal year 2015 through June 30, 2019: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SHARE REPURCHASES</w:t>
            </w: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DIVIDENDS PAID</w:t>
            </w:r>
          </w:p>
        </w:tc>
        <w:tc>
          <w:tcPr>
            <w:tcW w:w="460" w:type="dxa"/>
            <w:vAlign w:val="bottom"/>
          </w:tcPr>
          <w:p>
            <w:pPr>
              <w:spacing w:after="0"/>
              <w:rPr>
                <w:sz w:val="18"/>
                <w:szCs w:val="18"/>
                <w:color w:val="auto"/>
              </w:rPr>
            </w:pPr>
          </w:p>
        </w:tc>
        <w:tc>
          <w:tcPr>
            <w:tcW w:w="1340" w:type="dxa"/>
            <w:vAlign w:val="bottom"/>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7"/>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Fiscal year 2015</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29,332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169,999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199,331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Fiscal year 2016</w:t>
            </w:r>
          </w:p>
        </w:tc>
        <w:tc>
          <w:tcPr>
            <w:tcW w:w="220" w:type="dxa"/>
            <w:vAlign w:val="bottom"/>
          </w:tcPr>
          <w:p>
            <w:pPr>
              <w:spacing w:after="0"/>
              <w:rPr>
                <w:sz w:val="20"/>
                <w:szCs w:val="20"/>
                <w:color w:val="auto"/>
              </w:rPr>
            </w:pPr>
          </w:p>
        </w:tc>
        <w:tc>
          <w:tcPr>
            <w:tcW w:w="16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31,379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309,887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341,266</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Fiscal year 2017</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30,988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272,736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303,724</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Fiscal year 2018</w:t>
            </w:r>
          </w:p>
        </w:tc>
        <w:tc>
          <w:tcPr>
            <w:tcW w:w="220" w:type="dxa"/>
            <w:vAlign w:val="bottom"/>
          </w:tcPr>
          <w:p>
            <w:pPr>
              <w:spacing w:after="0"/>
              <w:rPr>
                <w:sz w:val="20"/>
                <w:szCs w:val="20"/>
                <w:color w:val="auto"/>
              </w:rPr>
            </w:pPr>
          </w:p>
        </w:tc>
        <w:tc>
          <w:tcPr>
            <w:tcW w:w="16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33,312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113,967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147,279</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First fiscal quarter 2019</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9,140</w:t>
            </w:r>
          </w:p>
        </w:tc>
        <w:tc>
          <w:tcPr>
            <w:tcW w:w="0" w:type="dxa"/>
            <w:vAlign w:val="bottom"/>
          </w:tcPr>
          <w:p>
            <w:pPr>
              <w:spacing w:after="0"/>
              <w:rPr>
                <w:sz w:val="1"/>
                <w:szCs w:val="1"/>
                <w:color w:val="auto"/>
              </w:rPr>
            </w:pPr>
          </w:p>
        </w:tc>
      </w:tr>
      <w:tr>
        <w:trPr>
          <w:trHeight w:val="270"/>
        </w:trPr>
        <w:tc>
          <w:tcPr>
            <w:tcW w:w="5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Second fiscal quarter 2019</w:t>
            </w:r>
          </w:p>
        </w:tc>
        <w:tc>
          <w:tcPr>
            <w:tcW w:w="2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9,227</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106,992</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116,219</w:t>
            </w: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143,378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973,581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1,116,959</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share repurchases for the settlement of taxes related to equity awards of $180, $447, and $770 for fiscal years 2017, 2016 and 2015,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Financial Accounting Standards</w:t>
      </w:r>
    </w:p>
    <w:p>
      <w:pPr>
        <w:spacing w:after="0" w:line="22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For a description of recently issued Financial Accounting Standards that we adopted during the twenty-six weeks ended June 30, 2019 and, that are applicable to us and likely to have material effect on our consolidated financial statements,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but have not yet been adopted, see Note 1 - </w:t>
      </w:r>
      <w:r>
        <w:rPr>
          <w:rFonts w:ascii="Times New Roman" w:cs="Times New Roman" w:eastAsia="Times New Roman" w:hAnsi="Times New Roman"/>
          <w:sz w:val="20"/>
          <w:szCs w:val="20"/>
          <w:i w:val="1"/>
          <w:iCs w:val="1"/>
          <w:color w:val="auto"/>
        </w:rPr>
        <w:t>Description of the Business and Basis of Presentation</w:t>
      </w:r>
      <w:r>
        <w:rPr>
          <w:rFonts w:ascii="Times New Roman" w:cs="Times New Roman" w:eastAsia="Times New Roman" w:hAnsi="Times New Roman"/>
          <w:sz w:val="20"/>
          <w:szCs w:val="20"/>
          <w:color w:val="auto"/>
        </w:rPr>
        <w:t xml:space="preserve"> of the Notes to the Consolidated Financial Statements of this Quarterly Report on Form 10-Q.</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are exposed to market risk from changes in interest rates, changes in foreign currency exchange rates and changes in commodity prices. We believe that there have been no material changes in our market risk since December 30, 2018, except as set forth below. See Part II, Item 7A., “Quantitative and Qualitative Disclosures about Market Risk,” in our Annual Report on Form 10-K for the year ended December 30, 2018 for further information regarding market risk.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Exchange Rate Risk</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are subject to foreign currency exchange risk for our restaurants operating in foreign countries. Our exposure to foreign currency exchange risk is primarily related to fluctuations in the Brazilian Real relative to the U.S. dollar. Our operations in other markets consist of Company-owned restaurants on a smaller scale than Brazil. If foreign currency exchange rates depreciate in the countries in which we operate, we may experience declines in our operating results. For the twenty-six weeks ended June 30, 2019, a 10% change in average foreign currency rates against the U.S. dollar would have increased or decreased our Total revenues and Net income for our consolidated foreign entities by $24.0 million and $1.7 million, respectively. Currently, we do not enter into currency forward exchange or option contracts to hedge foreign currency exposures.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have established and maintain disclosure controls and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of the end of the period covered by this report. Based on that evaluation, the Chief Executive Officer and Chief Financial Officer concluded that our disclosure controls and procedures were effective as of June 30, 2019.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during the thirteen weeks ended June 30, 2019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2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For a description of our legal proceedings, see Note 16 -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xml:space="preserve"> of the Notes to the Consolidated Financial Statements of this Quarterly Report on Form 10-Q.</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addition to the other information discussed in this report, please consider the factors described in Part I, Item 1A., “Risk Factors” in our 2018 Form 10-K which could materially affect our business, financial condition or future results. There have not been any material changes to the risk factors described in our 2018 Form 10-K, but these are not the only risks facing our Company. Additional risks and uncertainties not currently known to us or that we currently deem to be immaterial also may adversely affect our business, financial condition or operating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sales of equity securities during the second quarter of 2019 that were not registered under the Securities Act of 1933.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information regarding our purchases of common stock during the thirteen weeks ended June 30, 2019: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2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REPORTING PERIOD</w:t>
            </w:r>
          </w:p>
        </w:tc>
        <w:tc>
          <w:tcPr>
            <w:tcW w:w="12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3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2019 through April 28, 2019</w:t>
            </w:r>
          </w:p>
        </w:tc>
        <w:tc>
          <w:tcPr>
            <w:tcW w:w="18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150,000,000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April 29, 2019 through May 26, 2019</w:t>
            </w:r>
          </w:p>
        </w:tc>
        <w:tc>
          <w:tcPr>
            <w:tcW w:w="1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1,956,844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20.41</w:t>
            </w:r>
          </w:p>
        </w:tc>
        <w:tc>
          <w:tcPr>
            <w:tcW w:w="120" w:type="dxa"/>
            <w:vAlign w:val="bottom"/>
          </w:tcPr>
          <w:p>
            <w:pPr>
              <w:spacing w:after="0"/>
              <w:rPr>
                <w:sz w:val="20"/>
                <w:szCs w:val="20"/>
                <w:color w:val="auto"/>
              </w:rPr>
            </w:pPr>
          </w:p>
        </w:tc>
        <w:tc>
          <w:tcPr>
            <w:tcW w:w="18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1,956,844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110,065,788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27, 2019 through June 30, 2019</w:t>
            </w:r>
          </w:p>
        </w:tc>
        <w:tc>
          <w:tcPr>
            <w:tcW w:w="18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3,512,443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19.09</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3,512,443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43,008,008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5,469,287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5,469,287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jc w:val="right"/>
              <w:ind w:right="2201"/>
              <w:spacing w:after="0"/>
              <w:rPr>
                <w:sz w:val="20"/>
                <w:szCs w:val="20"/>
                <w:color w:val="auto"/>
              </w:rPr>
            </w:pPr>
            <w:r>
              <w:rPr>
                <w:rFonts w:ascii="Times New Roman" w:cs="Times New Roman" w:eastAsia="Times New Roman" w:hAnsi="Times New Roman"/>
                <w:sz w:val="16"/>
                <w:szCs w:val="16"/>
                <w:color w:val="auto"/>
                <w:w w:val="99"/>
              </w:rPr>
              <w:t>____________________</w:t>
            </w: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660" w:right="20" w:hanging="652"/>
        <w:spacing w:after="0" w:line="281" w:lineRule="auto"/>
        <w:tabs>
          <w:tab w:leader="none" w:pos="6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12, 2019, the Board of Directors authorized the repurchase of $150.0 million of our outstanding common stock as announced in our press release issued on February 14, 2019 (the “2019 Share Repurchase Program”). The 2019 Share Repurchase Program will expire on August 12, 2020.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reported by the Company in its Current Report on Form 8-K dated April 30, 2019, Joseph J. Kadow resigned as Executive Vice President and Chief Legal Officer of the Company effective July 15, 2019. On July 31, 2019, the Company’s affiliate, OSI Restaurant Partners, LLC, entered into a separation agreement with Mr. Kadow (the “Separation Agreement”) specifying the terms of Mr. Kadow’s separation from service with the Company effective July 15, 2019. Under the Separation Agreement, Mr. Kadow agreed to certain confidentiality, non-disparagement, non-solicitation and non-competition covenants. The Company agreed to pay Mr. Kadow combined lump sum payments of $973,291, less certain deductions. In addition, the Separation Agreement modifies the exercise window for 57,632 vested stock options to permit exercise within one year (extended from 90 days) from Mr. Kadow’s separation date.</w:t>
      </w:r>
    </w:p>
    <w:p>
      <w:pPr>
        <w:spacing w:after="0" w:line="33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foregoing summary of the Separation Agreement is qualified in its entirety by reference to the Separation Agreement, which is filed herewith as Exhibit 10.5.</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tcPr>
          <w:p>
            <w:pPr>
              <w:ind w:left="780"/>
              <w:spacing w:after="0"/>
              <w:rPr>
                <w:sz w:val="20"/>
                <w:szCs w:val="20"/>
                <w:color w:val="auto"/>
              </w:rPr>
            </w:pPr>
            <w:r>
              <w:rPr>
                <w:rFonts w:ascii="Times New Roman" w:cs="Times New Roman" w:eastAsia="Times New Roman" w:hAnsi="Times New Roman"/>
                <w:sz w:val="16"/>
                <w:szCs w:val="16"/>
                <w:b w:val="1"/>
                <w:bCs w:val="1"/>
                <w:color w:val="auto"/>
              </w:rPr>
              <w:t>FILINGS REFERENCED FOR</w:t>
            </w:r>
          </w:p>
        </w:tc>
      </w:tr>
      <w:tr>
        <w:trPr>
          <w:trHeight w:val="212"/>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6340" w:type="dxa"/>
            <w:vAlign w:val="bottom"/>
            <w:gridSpan w:val="12"/>
          </w:tcPr>
          <w:p>
            <w:pPr>
              <w:ind w:left="200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376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r>
      <w:tr>
        <w:trPr>
          <w:trHeight w:val="40"/>
        </w:trPr>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r>
      <w:tr>
        <w:trPr>
          <w:trHeight w:val="338"/>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FF"/>
            </w:tcBorders>
            <w:gridSpan w:val="10"/>
          </w:tcPr>
          <w:p>
            <w:pPr>
              <w:spacing w:after="0"/>
              <w:rPr>
                <w:rFonts w:ascii="Times New Roman" w:cs="Times New Roman" w:eastAsia="Times New Roman" w:hAnsi="Times New Roman"/>
                <w:sz w:val="20"/>
                <w:szCs w:val="20"/>
                <w:color w:val="0000FF"/>
              </w:rPr>
            </w:pPr>
            <w:hyperlink r:id="rId21">
              <w:r>
                <w:rPr>
                  <w:rFonts w:ascii="Times New Roman" w:cs="Times New Roman" w:eastAsia="Times New Roman" w:hAnsi="Times New Roman"/>
                  <w:sz w:val="20"/>
                  <w:szCs w:val="20"/>
                  <w:color w:val="0000FF"/>
                </w:rPr>
                <w:t>Second Amended and Restated Employment Agreement, effective April 1,</w:t>
              </w:r>
            </w:hyperlink>
          </w:p>
        </w:tc>
        <w:tc>
          <w:tcPr>
            <w:tcW w:w="10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March 31, 2019 Form 10-Q, Exhibit 10.2</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tcBorders>
              <w:bottom w:val="single" w:sz="8" w:color="0000FF"/>
            </w:tcBorders>
            <w:gridSpan w:val="5"/>
          </w:tcPr>
          <w:p>
            <w:pPr>
              <w:spacing w:after="0" w:line="209" w:lineRule="exact"/>
              <w:rPr>
                <w:rFonts w:ascii="Times New Roman" w:cs="Times New Roman" w:eastAsia="Times New Roman" w:hAnsi="Times New Roman"/>
                <w:sz w:val="20"/>
                <w:szCs w:val="20"/>
                <w:color w:val="0000FF"/>
                <w:w w:val="98"/>
              </w:rPr>
            </w:pPr>
            <w:hyperlink r:id="rId21">
              <w:r>
                <w:rPr>
                  <w:rFonts w:ascii="Times New Roman" w:cs="Times New Roman" w:eastAsia="Times New Roman" w:hAnsi="Times New Roman"/>
                  <w:sz w:val="20"/>
                  <w:szCs w:val="20"/>
                  <w:color w:val="0000FF"/>
                  <w:w w:val="98"/>
                </w:rPr>
                <w:t>2019, by and between Elizabeth A. Smith and Bloomin’ Brands, Inc.</w:t>
              </w:r>
            </w:hyperlink>
          </w:p>
        </w:tc>
        <w:tc>
          <w:tcPr>
            <w:tcW w:w="880" w:type="dxa"/>
            <w:vAlign w:val="bottom"/>
            <w:gridSpan w:val="7"/>
          </w:tcPr>
          <w:p>
            <w:pPr>
              <w:spacing w:after="0"/>
              <w:rPr>
                <w:sz w:val="18"/>
                <w:szCs w:val="18"/>
                <w:color w:val="auto"/>
              </w:rPr>
            </w:pPr>
          </w:p>
        </w:tc>
        <w:tc>
          <w:tcPr>
            <w:tcW w:w="3760" w:type="dxa"/>
            <w:vAlign w:val="bottom"/>
          </w:tcPr>
          <w:p>
            <w:pPr>
              <w:spacing w:after="0"/>
              <w:rPr>
                <w:sz w:val="18"/>
                <w:szCs w:val="18"/>
                <w:color w:val="auto"/>
              </w:rPr>
            </w:pPr>
          </w:p>
        </w:tc>
      </w:tr>
      <w:tr>
        <w:trPr>
          <w:trHeight w:val="385"/>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FF"/>
            </w:tcBorders>
            <w:gridSpan w:val="10"/>
          </w:tcPr>
          <w:p>
            <w:pPr>
              <w:spacing w:after="0"/>
              <w:rPr>
                <w:rFonts w:ascii="Times New Roman" w:cs="Times New Roman" w:eastAsia="Times New Roman" w:hAnsi="Times New Roman"/>
                <w:sz w:val="20"/>
                <w:szCs w:val="20"/>
                <w:color w:val="0000FF"/>
              </w:rPr>
            </w:pPr>
            <w:hyperlink r:id="rId22">
              <w:r>
                <w:rPr>
                  <w:rFonts w:ascii="Times New Roman" w:cs="Times New Roman" w:eastAsia="Times New Roman" w:hAnsi="Times New Roman"/>
                  <w:sz w:val="20"/>
                  <w:szCs w:val="20"/>
                  <w:color w:val="0000FF"/>
                </w:rPr>
                <w:t>Amended and Restated Officer Employment Agreement, effective April 1,</w:t>
              </w:r>
            </w:hyperlink>
          </w:p>
        </w:tc>
        <w:tc>
          <w:tcPr>
            <w:tcW w:w="10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March 31, 2019 Form 10-Q, Exhibit 10.3</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12"/>
          </w:tcPr>
          <w:p>
            <w:pPr>
              <w:spacing w:after="0" w:line="209" w:lineRule="exact"/>
              <w:rPr>
                <w:rFonts w:ascii="Times New Roman" w:cs="Times New Roman" w:eastAsia="Times New Roman" w:hAnsi="Times New Roman"/>
                <w:sz w:val="20"/>
                <w:szCs w:val="20"/>
                <w:color w:val="0000FF"/>
              </w:rPr>
            </w:pPr>
            <w:hyperlink r:id="rId22">
              <w:r>
                <w:rPr>
                  <w:rFonts w:ascii="Times New Roman" w:cs="Times New Roman" w:eastAsia="Times New Roman" w:hAnsi="Times New Roman"/>
                  <w:sz w:val="20"/>
                  <w:szCs w:val="20"/>
                  <w:color w:val="0000FF"/>
                </w:rPr>
                <w:t>2019, by and between David J. Deno and Bloomin’ Brands, Inc.</w:t>
              </w:r>
            </w:hyperlink>
          </w:p>
        </w:tc>
        <w:tc>
          <w:tcPr>
            <w:tcW w:w="37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85"/>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FF"/>
            </w:tcBorders>
            <w:gridSpan w:val="10"/>
          </w:tcPr>
          <w:p>
            <w:pPr>
              <w:spacing w:after="0"/>
              <w:rPr>
                <w:rFonts w:ascii="Times New Roman" w:cs="Times New Roman" w:eastAsia="Times New Roman" w:hAnsi="Times New Roman"/>
                <w:sz w:val="20"/>
                <w:szCs w:val="20"/>
                <w:color w:val="0000FF"/>
              </w:rPr>
            </w:pPr>
            <w:hyperlink w:anchor="page52">
              <w:r>
                <w:rPr>
                  <w:rFonts w:ascii="Times New Roman" w:cs="Times New Roman" w:eastAsia="Times New Roman" w:hAnsi="Times New Roman"/>
                  <w:sz w:val="20"/>
                  <w:szCs w:val="20"/>
                  <w:color w:val="0000FF"/>
                </w:rPr>
                <w:t>Employment Offer Letter Agreement, dated as of April 29, 2019, between</w:t>
              </w:r>
            </w:hyperlink>
          </w:p>
        </w:tc>
        <w:tc>
          <w:tcPr>
            <w:tcW w:w="10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12"/>
          </w:tcPr>
          <w:p>
            <w:pPr>
              <w:spacing w:after="0" w:line="209" w:lineRule="exact"/>
              <w:rPr>
                <w:rFonts w:ascii="Times New Roman" w:cs="Times New Roman" w:eastAsia="Times New Roman" w:hAnsi="Times New Roman"/>
                <w:sz w:val="20"/>
                <w:szCs w:val="20"/>
                <w:color w:val="0000FF"/>
              </w:rPr>
            </w:pPr>
            <w:hyperlink w:anchor="page52">
              <w:r>
                <w:rPr>
                  <w:rFonts w:ascii="Times New Roman" w:cs="Times New Roman" w:eastAsia="Times New Roman" w:hAnsi="Times New Roman"/>
                  <w:sz w:val="20"/>
                  <w:szCs w:val="20"/>
                  <w:color w:val="0000FF"/>
                </w:rPr>
                <w:t>Michael Stutts and Bloomin’ Brands, Inc.</w:t>
              </w:r>
            </w:hyperlink>
          </w:p>
        </w:tc>
        <w:tc>
          <w:tcPr>
            <w:tcW w:w="37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85"/>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FF"/>
            </w:tcBorders>
            <w:gridSpan w:val="10"/>
          </w:tcPr>
          <w:p>
            <w:pPr>
              <w:spacing w:after="0"/>
              <w:rPr>
                <w:rFonts w:ascii="Times New Roman" w:cs="Times New Roman" w:eastAsia="Times New Roman" w:hAnsi="Times New Roman"/>
                <w:sz w:val="20"/>
                <w:szCs w:val="20"/>
                <w:color w:val="0000FF"/>
              </w:rPr>
            </w:pPr>
            <w:hyperlink w:anchor="page58">
              <w:r>
                <w:rPr>
                  <w:rFonts w:ascii="Times New Roman" w:cs="Times New Roman" w:eastAsia="Times New Roman" w:hAnsi="Times New Roman"/>
                  <w:sz w:val="20"/>
                  <w:szCs w:val="20"/>
                  <w:color w:val="0000FF"/>
                </w:rPr>
                <w:t>Employment Offer Letter Agreement, dated as of May 1, 2019, between</w:t>
              </w:r>
            </w:hyperlink>
          </w:p>
        </w:tc>
        <w:tc>
          <w:tcPr>
            <w:tcW w:w="10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tcBorders>
              <w:bottom w:val="single" w:sz="8" w:color="0000FF"/>
            </w:tcBorders>
            <w:gridSpan w:val="2"/>
          </w:tcPr>
          <w:p>
            <w:pPr>
              <w:spacing w:after="0" w:line="209" w:lineRule="exact"/>
              <w:rPr>
                <w:rFonts w:ascii="Times New Roman" w:cs="Times New Roman" w:eastAsia="Times New Roman" w:hAnsi="Times New Roman"/>
                <w:sz w:val="20"/>
                <w:szCs w:val="20"/>
                <w:color w:val="0000FF"/>
                <w:w w:val="98"/>
              </w:rPr>
            </w:pPr>
            <w:hyperlink w:anchor="page58">
              <w:r>
                <w:rPr>
                  <w:rFonts w:ascii="Times New Roman" w:cs="Times New Roman" w:eastAsia="Times New Roman" w:hAnsi="Times New Roman"/>
                  <w:sz w:val="20"/>
                  <w:szCs w:val="20"/>
                  <w:color w:val="0000FF"/>
                  <w:w w:val="98"/>
                </w:rPr>
                <w:t>Kelly Lefferts and Bloomin’ Brands, Inc.</w:t>
              </w:r>
            </w:hyperlink>
          </w:p>
        </w:tc>
        <w:tc>
          <w:tcPr>
            <w:tcW w:w="3040" w:type="dxa"/>
            <w:vAlign w:val="bottom"/>
            <w:gridSpan w:val="10"/>
          </w:tcPr>
          <w:p>
            <w:pPr>
              <w:spacing w:after="0"/>
              <w:rPr>
                <w:sz w:val="18"/>
                <w:szCs w:val="18"/>
                <w:color w:val="auto"/>
              </w:rPr>
            </w:pPr>
          </w:p>
        </w:tc>
        <w:tc>
          <w:tcPr>
            <w:tcW w:w="3760" w:type="dxa"/>
            <w:vAlign w:val="bottom"/>
          </w:tcPr>
          <w:p>
            <w:pPr>
              <w:spacing w:after="0"/>
              <w:rPr>
                <w:sz w:val="18"/>
                <w:szCs w:val="18"/>
                <w:color w:val="auto"/>
              </w:rPr>
            </w:pPr>
          </w:p>
        </w:tc>
      </w:tr>
      <w:tr>
        <w:trPr>
          <w:trHeight w:val="385"/>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FF"/>
            </w:tcBorders>
            <w:gridSpan w:val="10"/>
          </w:tcPr>
          <w:p>
            <w:pPr>
              <w:spacing w:after="0"/>
              <w:rPr>
                <w:rFonts w:ascii="Times New Roman" w:cs="Times New Roman" w:eastAsia="Times New Roman" w:hAnsi="Times New Roman"/>
                <w:sz w:val="20"/>
                <w:szCs w:val="20"/>
                <w:color w:val="0000FF"/>
              </w:rPr>
            </w:pPr>
            <w:hyperlink w:anchor="page64">
              <w:r>
                <w:rPr>
                  <w:rFonts w:ascii="Times New Roman" w:cs="Times New Roman" w:eastAsia="Times New Roman" w:hAnsi="Times New Roman"/>
                  <w:sz w:val="20"/>
                  <w:szCs w:val="20"/>
                  <w:color w:val="0000FF"/>
                </w:rPr>
                <w:t>Separation Agreement, dated as of July 31, 2019, by and between Joseph J.</w:t>
              </w:r>
            </w:hyperlink>
          </w:p>
        </w:tc>
        <w:tc>
          <w:tcPr>
            <w:tcW w:w="10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12"/>
          </w:tcPr>
          <w:p>
            <w:pPr>
              <w:spacing w:after="0" w:line="209" w:lineRule="exact"/>
              <w:rPr>
                <w:rFonts w:ascii="Times New Roman" w:cs="Times New Roman" w:eastAsia="Times New Roman" w:hAnsi="Times New Roman"/>
                <w:sz w:val="20"/>
                <w:szCs w:val="20"/>
                <w:color w:val="0000FF"/>
              </w:rPr>
            </w:pPr>
            <w:hyperlink w:anchor="page64">
              <w:r>
                <w:rPr>
                  <w:rFonts w:ascii="Times New Roman" w:cs="Times New Roman" w:eastAsia="Times New Roman" w:hAnsi="Times New Roman"/>
                  <w:sz w:val="20"/>
                  <w:szCs w:val="20"/>
                  <w:color w:val="0000FF"/>
                </w:rPr>
                <w:t>Kadow and OSI Restaurant Partners, LLC</w:t>
              </w:r>
            </w:hyperlink>
          </w:p>
        </w:tc>
        <w:tc>
          <w:tcPr>
            <w:tcW w:w="37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85"/>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9"/>
          </w:tcPr>
          <w:p>
            <w:pPr>
              <w:spacing w:after="0"/>
              <w:rPr>
                <w:rFonts w:ascii="Times New Roman" w:cs="Times New Roman" w:eastAsia="Times New Roman" w:hAnsi="Times New Roman"/>
                <w:sz w:val="20"/>
                <w:szCs w:val="20"/>
                <w:color w:val="0000FF"/>
              </w:rPr>
            </w:pPr>
            <w:hyperlink w:anchor="page74">
              <w:r>
                <w:rPr>
                  <w:rFonts w:ascii="Times New Roman" w:cs="Times New Roman" w:eastAsia="Times New Roman" w:hAnsi="Times New Roman"/>
                  <w:sz w:val="20"/>
                  <w:szCs w:val="20"/>
                  <w:color w:val="0000FF"/>
                </w:rPr>
                <w:t>Certification of Chief Executive Officer pursuant to Section 302 of the</w:t>
              </w:r>
            </w:hyperlink>
          </w:p>
        </w:tc>
        <w:tc>
          <w:tcPr>
            <w:tcW w:w="120" w:type="dxa"/>
            <w:vAlign w:val="bottom"/>
            <w:gridSpan w:val="3"/>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Borders>
              <w:bottom w:val="single" w:sz="8" w:color="0000FF"/>
            </w:tcBorders>
          </w:tcPr>
          <w:p>
            <w:pPr>
              <w:spacing w:after="0" w:line="209" w:lineRule="exact"/>
              <w:rPr>
                <w:rFonts w:ascii="Times New Roman" w:cs="Times New Roman" w:eastAsia="Times New Roman" w:hAnsi="Times New Roman"/>
                <w:sz w:val="20"/>
                <w:szCs w:val="20"/>
                <w:color w:val="0000FF"/>
                <w:w w:val="98"/>
              </w:rPr>
            </w:pPr>
            <w:hyperlink w:anchor="page74">
              <w:r>
                <w:rPr>
                  <w:rFonts w:ascii="Times New Roman" w:cs="Times New Roman" w:eastAsia="Times New Roman" w:hAnsi="Times New Roman"/>
                  <w:sz w:val="20"/>
                  <w:szCs w:val="20"/>
                  <w:color w:val="0000FF"/>
                  <w:w w:val="98"/>
                </w:rPr>
                <w:t>Sarbanes-Oxley Act of 2002</w:t>
              </w:r>
            </w:hyperlink>
          </w:p>
        </w:tc>
        <w:tc>
          <w:tcPr>
            <w:tcW w:w="4080" w:type="dxa"/>
            <w:vAlign w:val="bottom"/>
            <w:gridSpan w:val="11"/>
          </w:tcPr>
          <w:p>
            <w:pPr>
              <w:spacing w:after="0"/>
              <w:rPr>
                <w:sz w:val="18"/>
                <w:szCs w:val="18"/>
                <w:color w:val="auto"/>
              </w:rPr>
            </w:pPr>
          </w:p>
        </w:tc>
        <w:tc>
          <w:tcPr>
            <w:tcW w:w="3760" w:type="dxa"/>
            <w:vAlign w:val="bottom"/>
          </w:tcPr>
          <w:p>
            <w:pPr>
              <w:spacing w:after="0"/>
              <w:rPr>
                <w:sz w:val="18"/>
                <w:szCs w:val="18"/>
                <w:color w:val="auto"/>
              </w:rPr>
            </w:pPr>
          </w:p>
        </w:tc>
      </w:tr>
      <w:tr>
        <w:trPr>
          <w:trHeight w:val="385"/>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FF"/>
            </w:tcBorders>
            <w:gridSpan w:val="10"/>
          </w:tcPr>
          <w:p>
            <w:pPr>
              <w:spacing w:after="0"/>
              <w:rPr>
                <w:rFonts w:ascii="Times New Roman" w:cs="Times New Roman" w:eastAsia="Times New Roman" w:hAnsi="Times New Roman"/>
                <w:sz w:val="20"/>
                <w:szCs w:val="20"/>
                <w:color w:val="0000FF"/>
              </w:rPr>
            </w:pPr>
            <w:hyperlink w:anchor="page75">
              <w:r>
                <w:rPr>
                  <w:rFonts w:ascii="Times New Roman" w:cs="Times New Roman" w:eastAsia="Times New Roman" w:hAnsi="Times New Roman"/>
                  <w:sz w:val="20"/>
                  <w:szCs w:val="20"/>
                  <w:color w:val="0000FF"/>
                </w:rPr>
                <w:t>Certification of Chief Financial Officer pursuant to Section 302 of the</w:t>
              </w:r>
            </w:hyperlink>
          </w:p>
        </w:tc>
        <w:tc>
          <w:tcPr>
            <w:tcW w:w="10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Borders>
              <w:bottom w:val="single" w:sz="8" w:color="0000FF"/>
            </w:tcBorders>
          </w:tcPr>
          <w:p>
            <w:pPr>
              <w:spacing w:after="0" w:line="209" w:lineRule="exact"/>
              <w:rPr>
                <w:rFonts w:ascii="Times New Roman" w:cs="Times New Roman" w:eastAsia="Times New Roman" w:hAnsi="Times New Roman"/>
                <w:sz w:val="20"/>
                <w:szCs w:val="20"/>
                <w:color w:val="0000FF"/>
                <w:w w:val="98"/>
              </w:rPr>
            </w:pPr>
            <w:hyperlink w:anchor="page75">
              <w:r>
                <w:rPr>
                  <w:rFonts w:ascii="Times New Roman" w:cs="Times New Roman" w:eastAsia="Times New Roman" w:hAnsi="Times New Roman"/>
                  <w:sz w:val="20"/>
                  <w:szCs w:val="20"/>
                  <w:color w:val="0000FF"/>
                  <w:w w:val="98"/>
                </w:rPr>
                <w:t>Sarbanes-Oxley Act of 2002</w:t>
              </w:r>
            </w:hyperlink>
          </w:p>
        </w:tc>
        <w:tc>
          <w:tcPr>
            <w:tcW w:w="4080" w:type="dxa"/>
            <w:vAlign w:val="bottom"/>
            <w:gridSpan w:val="11"/>
          </w:tcPr>
          <w:p>
            <w:pPr>
              <w:spacing w:after="0"/>
              <w:rPr>
                <w:sz w:val="18"/>
                <w:szCs w:val="18"/>
                <w:color w:val="auto"/>
              </w:rPr>
            </w:pPr>
          </w:p>
        </w:tc>
        <w:tc>
          <w:tcPr>
            <w:tcW w:w="3760" w:type="dxa"/>
            <w:vAlign w:val="bottom"/>
          </w:tcPr>
          <w:p>
            <w:pPr>
              <w:spacing w:after="0"/>
              <w:rPr>
                <w:sz w:val="18"/>
                <w:szCs w:val="18"/>
                <w:color w:val="auto"/>
              </w:rPr>
            </w:pPr>
          </w:p>
        </w:tc>
      </w:tr>
      <w:tr>
        <w:trPr>
          <w:trHeight w:val="385"/>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9"/>
          </w:tcPr>
          <w:p>
            <w:pPr>
              <w:spacing w:after="0"/>
              <w:rPr>
                <w:rFonts w:ascii="Times New Roman" w:cs="Times New Roman" w:eastAsia="Times New Roman" w:hAnsi="Times New Roman"/>
                <w:sz w:val="20"/>
                <w:szCs w:val="20"/>
                <w:color w:val="0000FF"/>
              </w:rPr>
            </w:pPr>
            <w:hyperlink w:anchor="page76">
              <w:r>
                <w:rPr>
                  <w:rFonts w:ascii="Times New Roman" w:cs="Times New Roman" w:eastAsia="Times New Roman" w:hAnsi="Times New Roman"/>
                  <w:sz w:val="20"/>
                  <w:szCs w:val="20"/>
                  <w:color w:val="0000FF"/>
                </w:rPr>
                <w:t>Certification of Chief Executive Officer pursuant to 18 U.S.C. Section 1350,</w:t>
              </w:r>
            </w:hyperlink>
          </w:p>
        </w:tc>
        <w:tc>
          <w:tcPr>
            <w:tcW w:w="120" w:type="dxa"/>
            <w:vAlign w:val="bottom"/>
            <w:gridSpan w:val="3"/>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Furnished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80" w:type="dxa"/>
            <w:vAlign w:val="bottom"/>
            <w:tcBorders>
              <w:bottom w:val="single" w:sz="8" w:color="0000FF"/>
            </w:tcBorders>
            <w:gridSpan w:val="7"/>
          </w:tcPr>
          <w:p>
            <w:pPr>
              <w:spacing w:after="0" w:line="209" w:lineRule="exact"/>
              <w:rPr>
                <w:rFonts w:ascii="Times New Roman" w:cs="Times New Roman" w:eastAsia="Times New Roman" w:hAnsi="Times New Roman"/>
                <w:sz w:val="20"/>
                <w:szCs w:val="20"/>
                <w:color w:val="0000FF"/>
                <w:w w:val="98"/>
              </w:rPr>
            </w:pPr>
            <w:hyperlink w:anchor="page76">
              <w:r>
                <w:rPr>
                  <w:rFonts w:ascii="Times New Roman" w:cs="Times New Roman" w:eastAsia="Times New Roman" w:hAnsi="Times New Roman"/>
                  <w:sz w:val="20"/>
                  <w:szCs w:val="20"/>
                  <w:color w:val="0000FF"/>
                  <w:w w:val="98"/>
                </w:rPr>
                <w:t>as adopted pursuant to Section 906 of the Sarbanes-Oxley Act of 2002 (1)</w:t>
              </w:r>
            </w:hyperlink>
          </w:p>
        </w:tc>
        <w:tc>
          <w:tcPr>
            <w:tcW w:w="460" w:type="dxa"/>
            <w:vAlign w:val="bottom"/>
            <w:gridSpan w:val="5"/>
          </w:tcPr>
          <w:p>
            <w:pPr>
              <w:spacing w:after="0"/>
              <w:rPr>
                <w:sz w:val="18"/>
                <w:szCs w:val="18"/>
                <w:color w:val="auto"/>
              </w:rPr>
            </w:pPr>
          </w:p>
        </w:tc>
        <w:tc>
          <w:tcPr>
            <w:tcW w:w="3760" w:type="dxa"/>
            <w:vAlign w:val="bottom"/>
          </w:tcPr>
          <w:p>
            <w:pPr>
              <w:spacing w:after="0"/>
              <w:rPr>
                <w:sz w:val="18"/>
                <w:szCs w:val="18"/>
                <w:color w:val="auto"/>
              </w:rPr>
            </w:pPr>
          </w:p>
        </w:tc>
      </w:tr>
      <w:tr>
        <w:trPr>
          <w:trHeight w:val="385"/>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tcBorders>
              <w:bottom w:val="single" w:sz="8" w:color="0000FF"/>
            </w:tcBorders>
            <w:gridSpan w:val="8"/>
          </w:tcPr>
          <w:p>
            <w:pPr>
              <w:spacing w:after="0"/>
              <w:rPr>
                <w:rFonts w:ascii="Times New Roman" w:cs="Times New Roman" w:eastAsia="Times New Roman" w:hAnsi="Times New Roman"/>
                <w:sz w:val="20"/>
                <w:szCs w:val="20"/>
                <w:color w:val="0000FF"/>
              </w:rPr>
            </w:pPr>
            <w:hyperlink w:anchor="page77">
              <w:r>
                <w:rPr>
                  <w:rFonts w:ascii="Times New Roman" w:cs="Times New Roman" w:eastAsia="Times New Roman" w:hAnsi="Times New Roman"/>
                  <w:sz w:val="20"/>
                  <w:szCs w:val="20"/>
                  <w:color w:val="0000FF"/>
                </w:rPr>
                <w:t>Certification of Chief Financial Officer pursuant to 18 U.S.C. Section 1350,</w:t>
              </w:r>
            </w:hyperlink>
          </w:p>
        </w:tc>
        <w:tc>
          <w:tcPr>
            <w:tcW w:w="140" w:type="dxa"/>
            <w:vAlign w:val="bottom"/>
            <w:gridSpan w:val="4"/>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Furnished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12"/>
          </w:tcPr>
          <w:p>
            <w:pPr>
              <w:spacing w:after="0" w:line="209" w:lineRule="exact"/>
              <w:rPr>
                <w:rFonts w:ascii="Times New Roman" w:cs="Times New Roman" w:eastAsia="Times New Roman" w:hAnsi="Times New Roman"/>
                <w:sz w:val="20"/>
                <w:szCs w:val="20"/>
                <w:color w:val="0000FF"/>
              </w:rPr>
            </w:pPr>
            <w:hyperlink w:anchor="page77">
              <w:r>
                <w:rPr>
                  <w:rFonts w:ascii="Times New Roman" w:cs="Times New Roman" w:eastAsia="Times New Roman" w:hAnsi="Times New Roman"/>
                  <w:sz w:val="20"/>
                  <w:szCs w:val="20"/>
                  <w:color w:val="0000FF"/>
                </w:rPr>
                <w:t>as adopted pursuant to Section 906 of the Sarbanes-Oxley Act of 2002 (1)</w:t>
              </w:r>
            </w:hyperlink>
          </w:p>
        </w:tc>
        <w:tc>
          <w:tcPr>
            <w:tcW w:w="3760" w:type="dxa"/>
            <w:vAlign w:val="bottom"/>
          </w:tcPr>
          <w:p>
            <w:pPr>
              <w:spacing w:after="0"/>
              <w:rPr>
                <w:sz w:val="18"/>
                <w:szCs w:val="18"/>
                <w:color w:val="auto"/>
              </w:rPr>
            </w:pPr>
          </w:p>
        </w:tc>
      </w:tr>
      <w:tr>
        <w:trPr>
          <w:trHeight w:val="432"/>
        </w:trPr>
        <w:tc>
          <w:tcPr>
            <w:tcW w:w="12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101.INS</w:t>
            </w:r>
          </w:p>
        </w:tc>
        <w:tc>
          <w:tcPr>
            <w:tcW w:w="20" w:type="dxa"/>
            <w:vAlign w:val="bottom"/>
          </w:tcPr>
          <w:p>
            <w:pPr>
              <w:spacing w:after="0"/>
              <w:rPr>
                <w:sz w:val="24"/>
                <w:szCs w:val="24"/>
                <w:color w:val="auto"/>
              </w:rPr>
            </w:pPr>
          </w:p>
        </w:tc>
        <w:tc>
          <w:tcPr>
            <w:tcW w:w="58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auto"/>
              </w:rPr>
              <w:t>XBRL Instance Document</w:t>
            </w:r>
          </w:p>
        </w:tc>
        <w:tc>
          <w:tcPr>
            <w:tcW w:w="480" w:type="dxa"/>
            <w:vAlign w:val="bottom"/>
            <w:gridSpan w:val="6"/>
          </w:tcPr>
          <w:p>
            <w:pPr>
              <w:spacing w:after="0"/>
              <w:rPr>
                <w:sz w:val="24"/>
                <w:szCs w:val="24"/>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405"/>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101.SCH</w:t>
            </w:r>
          </w:p>
        </w:tc>
        <w:tc>
          <w:tcPr>
            <w:tcW w:w="20" w:type="dxa"/>
            <w:vAlign w:val="bottom"/>
          </w:tcPr>
          <w:p>
            <w:pPr>
              <w:spacing w:after="0"/>
              <w:rPr>
                <w:sz w:val="24"/>
                <w:szCs w:val="24"/>
                <w:color w:val="auto"/>
              </w:rPr>
            </w:pPr>
          </w:p>
        </w:tc>
        <w:tc>
          <w:tcPr>
            <w:tcW w:w="63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XBRL Taxonomy Extension Schema Document</w:t>
            </w: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405"/>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101.CAL</w:t>
            </w:r>
          </w:p>
        </w:tc>
        <w:tc>
          <w:tcPr>
            <w:tcW w:w="20" w:type="dxa"/>
            <w:vAlign w:val="bottom"/>
          </w:tcPr>
          <w:p>
            <w:pPr>
              <w:spacing w:after="0"/>
              <w:rPr>
                <w:sz w:val="24"/>
                <w:szCs w:val="24"/>
                <w:color w:val="auto"/>
              </w:rPr>
            </w:pPr>
          </w:p>
        </w:tc>
        <w:tc>
          <w:tcPr>
            <w:tcW w:w="63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XBRL Taxonomy Extension Calculation Linkbase Document</w:t>
            </w: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405"/>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101.DEF</w:t>
            </w:r>
          </w:p>
        </w:tc>
        <w:tc>
          <w:tcPr>
            <w:tcW w:w="20" w:type="dxa"/>
            <w:vAlign w:val="bottom"/>
          </w:tcPr>
          <w:p>
            <w:pPr>
              <w:spacing w:after="0"/>
              <w:rPr>
                <w:sz w:val="24"/>
                <w:szCs w:val="24"/>
                <w:color w:val="auto"/>
              </w:rPr>
            </w:pPr>
          </w:p>
        </w:tc>
        <w:tc>
          <w:tcPr>
            <w:tcW w:w="63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XBRL Taxonomy Extension Definition Linkbase Document</w:t>
            </w: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405"/>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101.LAB</w:t>
            </w:r>
          </w:p>
        </w:tc>
        <w:tc>
          <w:tcPr>
            <w:tcW w:w="20" w:type="dxa"/>
            <w:vAlign w:val="bottom"/>
          </w:tcPr>
          <w:p>
            <w:pPr>
              <w:spacing w:after="0"/>
              <w:rPr>
                <w:sz w:val="24"/>
                <w:szCs w:val="24"/>
                <w:color w:val="auto"/>
              </w:rPr>
            </w:pPr>
          </w:p>
        </w:tc>
        <w:tc>
          <w:tcPr>
            <w:tcW w:w="63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XBRL Taxonomy Extension Label Linkbase Document</w:t>
            </w: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r>
        <w:trPr>
          <w:trHeight w:val="405"/>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101.PRE</w:t>
            </w:r>
          </w:p>
        </w:tc>
        <w:tc>
          <w:tcPr>
            <w:tcW w:w="20" w:type="dxa"/>
            <w:vAlign w:val="bottom"/>
          </w:tcPr>
          <w:p>
            <w:pPr>
              <w:spacing w:after="0"/>
              <w:rPr>
                <w:sz w:val="24"/>
                <w:szCs w:val="24"/>
                <w:color w:val="auto"/>
              </w:rPr>
            </w:pPr>
          </w:p>
        </w:tc>
        <w:tc>
          <w:tcPr>
            <w:tcW w:w="63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XBRL Taxonomy Extension Presentation Linkbase Document</w:t>
            </w:r>
          </w:p>
        </w:tc>
        <w:tc>
          <w:tcPr>
            <w:tcW w:w="3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Management contract or compensatory plan or arrangement required to be filed as an exhibit</w:t>
      </w:r>
    </w:p>
    <w:p>
      <w:pPr>
        <w:spacing w:after="0" w:line="229" w:lineRule="exact"/>
        <w:rPr>
          <w:sz w:val="20"/>
          <w:szCs w:val="20"/>
          <w:color w:val="auto"/>
        </w:rPr>
      </w:pPr>
    </w:p>
    <w:p>
      <w:pPr>
        <w:jc w:val="both"/>
        <w:ind w:firstLine="8"/>
        <w:spacing w:after="0" w:line="254" w:lineRule="auto"/>
        <w:tabs>
          <w:tab w:leader="none" w:pos="28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FF"/>
        </w:rPr>
      </w:pPr>
      <w:hyperlink w:anchor="page3">
        <w:r>
          <w:rPr>
            <w:rFonts w:ascii="Times New Roman" w:cs="Times New Roman" w:eastAsia="Times New Roman" w:hAnsi="Times New Roman"/>
            <w:sz w:val="14"/>
            <w:szCs w:val="14"/>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8" w:lineRule="exact"/>
        <w:rPr>
          <w:sz w:val="20"/>
          <w:szCs w:val="20"/>
          <w:color w:val="auto"/>
        </w:rPr>
      </w:pPr>
    </w:p>
    <w:p>
      <w:pPr>
        <w:ind w:left="40"/>
        <w:spacing w:after="0"/>
        <w:tabs>
          <w:tab w:leader="none" w:pos="600" w:val="left"/>
          <w:tab w:leader="none" w:pos="4680" w:val="left"/>
        </w:tabs>
        <w:rPr>
          <w:sz w:val="20"/>
          <w:szCs w:val="20"/>
          <w:color w:val="auto"/>
        </w:rPr>
      </w:pPr>
      <w:r>
        <w:rPr>
          <w:rFonts w:ascii="Times New Roman" w:cs="Times New Roman" w:eastAsia="Times New Roman" w:hAnsi="Times New Roman"/>
          <w:sz w:val="20"/>
          <w:szCs w:val="20"/>
          <w:color w:val="auto"/>
        </w:rPr>
        <w:t>Date:</w:t>
        <w:tab/>
        <w:t>August 2, 2019</w:t>
      </w:r>
      <w:r>
        <w:rPr>
          <w:sz w:val="20"/>
          <w:szCs w:val="20"/>
          <w:color w:val="auto"/>
        </w:rPr>
        <w:tab/>
      </w:r>
      <w:r>
        <w:rPr>
          <w:rFonts w:ascii="Times New Roman" w:cs="Times New Roman" w:eastAsia="Times New Roman" w:hAnsi="Times New Roman"/>
          <w:sz w:val="19"/>
          <w:szCs w:val="19"/>
          <w:color w:val="auto"/>
        </w:rPr>
        <w:t>BLOOMIN’ BRANDS, INC.</w:t>
      </w:r>
    </w:p>
    <w:p>
      <w:pPr>
        <w:spacing w:after="0" w:line="5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(Registrant)</w:t>
      </w:r>
    </w:p>
    <w:p>
      <w:pPr>
        <w:spacing w:after="0" w:line="2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By: /s/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31115</wp:posOffset>
            </wp:positionV>
            <wp:extent cx="42621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4262120" cy="17145"/>
                    </a:xfrm>
                    <a:prstGeom prst="rect">
                      <a:avLst/>
                    </a:prstGeom>
                    <a:noFill/>
                  </pic:spPr>
                </pic:pic>
              </a:graphicData>
            </a:graphic>
          </wp:anchor>
        </w:drawing>
      </w:r>
    </w:p>
    <w:p>
      <w:pPr>
        <w:spacing w:after="0" w:line="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Christopher Meyer</w:t>
      </w:r>
    </w:p>
    <w:p>
      <w:pPr>
        <w:spacing w:after="0" w:line="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520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1" w:name="page52"/>
    <w:bookmarkEnd w:id="51"/>
    <w:p>
      <w:pPr>
        <w:ind w:left="10260"/>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-116840</wp:posOffset>
            </wp:positionV>
            <wp:extent cx="394335" cy="651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9433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29, 2019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L. Stutts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Michael,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letter agreement confirms the verbal offer extended to you by Bloomin’ Brands, Inc. (the “Company”) to serve as Executive Vice President, Chief Customer Officer reporting to David Deno, Chief Executive Officer. Your start date will be June 3, 2019. The terms of your employment will be:</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You will be employed by a subsidiary of the Company (the “Employer”) and will be paid an annual base salary of $500,000 payable in equal bi-weekly installments.</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You will be eligible to participate in the Company’s annual bonus program at a target bonus of 85% of your base salary based on both Company performance against objectives as set forth in the Company bonus program and individual performance. Your bonus payout for the 2019 fiscal year will be prorated based on your start date through the end of the fiscal year, provided you remain employed by the Employer through the payout date.</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will issue you a one-time grant of 50,000 stock options and a one-time grant of 50,000 restricted stock units on the first of the month immediately following your start date. Both grants will have standard vesting of three years contingent on continued employment with the Company or the Employer. All grants are subject to the terms of our 2016 Omnibus Incentive Compensation Plan and Equity Award Policy (collectively, the “Plan”) and our standard award agreement. Our standard equity agreement includes a “double trigger” provision to protect you in the event of a change-in-control. The details of the Plan and the form of grant agreement will be provided to you separately.</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addition to your annual bonus, you will be eligible for an annual long-term incentive grant commencing in 2020. Per the current long-term incentive plan, you will be eligible for a target up to 100% of your base salary, which will be subject to Company and individual performance.</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position is also eligible for a Tier 4 relocation benefit as outlined in the Bloomin’ Brands relocation policy. As part of your relocation benefits you will be entitled to up to 6 months of temporary living. Should you terminate your employment or be terminated for cause within one year of your start date, you will be liable for repayment of all relocation costs and any gross-up payments made by the Company as outlined in the Relocation Repayment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will be eligible for Home Office Paid Time Off (PTO). PTO is prorated based upon your hire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will be eligible to participate in the following benefits as applicable and in accordance with the terms of Company policy:</w:t>
      </w:r>
    </w:p>
    <w:p>
      <w:pPr>
        <w:spacing w:after="0" w:line="229" w:lineRule="exact"/>
        <w:rPr>
          <w:sz w:val="20"/>
          <w:szCs w:val="20"/>
          <w:color w:val="auto"/>
        </w:rPr>
      </w:pPr>
    </w:p>
    <w:p>
      <w:pPr>
        <w:ind w:left="1300" w:hanging="320"/>
        <w:spacing w:after="0"/>
        <w:tabs>
          <w:tab w:leader="none" w:pos="13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Benefits Plan</w:t>
      </w:r>
    </w:p>
    <w:p>
      <w:pPr>
        <w:spacing w:after="0" w:line="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Salaried Short-Term Disability Insurance</w:t>
      </w:r>
    </w:p>
    <w:p>
      <w:pPr>
        <w:ind w:left="1300" w:hanging="320"/>
        <w:spacing w:after="0"/>
        <w:tabs>
          <w:tab w:leader="none" w:pos="13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Salaried Long-Term Disability Insurance</w:t>
      </w:r>
    </w:p>
    <w:p>
      <w:pPr>
        <w:ind w:left="1300" w:hanging="320"/>
        <w:spacing w:after="0"/>
        <w:tabs>
          <w:tab w:leader="none" w:pos="13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Paid Group Term Life Insurance</w:t>
      </w:r>
    </w:p>
    <w:p>
      <w:pPr>
        <w:ind w:left="1300" w:hanging="320"/>
        <w:spacing w:after="0"/>
        <w:tabs>
          <w:tab w:leader="none" w:pos="13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Paid Accidental Death and Dismemberment Insurance</w:t>
      </w:r>
    </w:p>
    <w:p>
      <w:pPr>
        <w:sectPr>
          <w:pgSz w:w="11900" w:h="16838" w:orient="portrait"/>
          <w:cols w:equalWidth="0" w:num="1">
            <w:col w:w="11420"/>
          </w:cols>
          <w:pgMar w:left="240" w:top="279" w:right="239" w:bottom="1440" w:gutter="0" w:footer="0" w:header="0"/>
        </w:sectPr>
      </w:pPr>
    </w:p>
    <w:bookmarkStart w:id="52" w:name="page53"/>
    <w:bookmarkEnd w:id="52"/>
    <w:p>
      <w:pPr>
        <w:ind w:left="1380" w:hanging="400"/>
        <w:spacing w:after="0"/>
        <w:tabs>
          <w:tab w:leader="none" w:pos="13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Dental Benefits Plan</w:t>
      </w:r>
    </w:p>
    <w:p>
      <w:pPr>
        <w:spacing w:after="0" w:line="28" w:lineRule="exact"/>
        <w:rPr>
          <w:rFonts w:ascii="Times New Roman" w:cs="Times New Roman" w:eastAsia="Times New Roman" w:hAnsi="Times New Roman"/>
          <w:sz w:val="20"/>
          <w:szCs w:val="20"/>
          <w:color w:val="auto"/>
        </w:rPr>
      </w:pPr>
    </w:p>
    <w:p>
      <w:pPr>
        <w:ind w:left="1380" w:hanging="400"/>
        <w:spacing w:after="0"/>
        <w:tabs>
          <w:tab w:leader="none" w:pos="13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Vision Benefits Plan</w:t>
      </w:r>
    </w:p>
    <w:p>
      <w:pPr>
        <w:spacing w:after="0" w:line="26" w:lineRule="exact"/>
        <w:rPr>
          <w:rFonts w:ascii="Times New Roman" w:cs="Times New Roman" w:eastAsia="Times New Roman" w:hAnsi="Times New Roman"/>
          <w:sz w:val="20"/>
          <w:szCs w:val="20"/>
          <w:color w:val="auto"/>
        </w:rPr>
      </w:pPr>
    </w:p>
    <w:p>
      <w:pPr>
        <w:ind w:left="1380" w:hanging="400"/>
        <w:spacing w:after="0"/>
        <w:tabs>
          <w:tab w:leader="none" w:pos="13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Non-Qualified Deferred Compensation Plan</w:t>
      </w:r>
    </w:p>
    <w:p>
      <w:pPr>
        <w:spacing w:after="0" w:line="26" w:lineRule="exact"/>
        <w:rPr>
          <w:rFonts w:ascii="Times New Roman" w:cs="Times New Roman" w:eastAsia="Times New Roman" w:hAnsi="Times New Roman"/>
          <w:sz w:val="20"/>
          <w:szCs w:val="20"/>
          <w:color w:val="auto"/>
        </w:rPr>
      </w:pPr>
    </w:p>
    <w:p>
      <w:pPr>
        <w:ind w:left="1380" w:hanging="400"/>
        <w:spacing w:after="0"/>
        <w:tabs>
          <w:tab w:leader="none" w:pos="13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 Meal Benefit Program</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the ordinary course of business, pay and benefit plans continue to evolve as business needs and laws change. To the extent the Company or the Employer determines it to be necessary or desirable to change or eliminate any of the plans or programs in which you participate, such changes will apply to you as they do to other similarly situated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condition of your employment, please note the following:</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While it is our sincere hope and belief that our relationship will be mutually beneficial, the Company and the Employer do not offer employment for a specified term. Any statements made to you in this letter and in meetings should not be construed in any manner as a proposed contract for any such term. Both you and the Employer may terminate employment at any time, with or without prior notice, for any or no reason, and with or without Cause (as defined on Schedule 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further condition of your employment you agree to the following:</w:t>
      </w:r>
    </w:p>
    <w:p>
      <w:pPr>
        <w:spacing w:after="0" w:line="229"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Restrictive Covenant - Non-competition</w:t>
      </w:r>
    </w:p>
    <w:p>
      <w:pPr>
        <w:spacing w:after="0" w:line="229" w:lineRule="exact"/>
        <w:rPr>
          <w:rFonts w:ascii="Times New Roman" w:cs="Times New Roman" w:eastAsia="Times New Roman" w:hAnsi="Times New Roman"/>
          <w:sz w:val="20"/>
          <w:szCs w:val="20"/>
          <w:color w:val="auto"/>
        </w:rPr>
      </w:pPr>
    </w:p>
    <w:p>
      <w:pPr>
        <w:jc w:val="both"/>
        <w:ind w:firstLine="332"/>
        <w:spacing w:after="0" w:line="243" w:lineRule="auto"/>
        <w:tabs>
          <w:tab w:leader="none" w:pos="782"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During Employment</w:t>
      </w:r>
      <w:r>
        <w:rPr>
          <w:rFonts w:ascii="Times New Roman" w:cs="Times New Roman" w:eastAsia="Times New Roman" w:hAnsi="Times New Roman"/>
          <w:sz w:val="20"/>
          <w:szCs w:val="20"/>
          <w:color w:val="auto"/>
        </w:rPr>
        <w:t>. You will devote one hundred percent (100%) of your full business time, attention, energies, and effort to the business affairs of the Employer and the Company. Except with the prior written consent of the Employer, during your employment with the Company or the Employer, you shall not, individually or jointly with others, directly or indirectly, whether for your own account or for that of any other person or entity, engage in or own or hold any ownership interest in any person or entity engaged in a full service restaurant business, and you shall not act as an officer, director, employee, partner, independent contractor, consultant, principal, agent, proprietor or in any other capacity for, nor lend any assistance (financial or otherwise) or cooperation to, any such person or entity. You shall not serve on the board of directors or advisory committee of any other company without the prior consent of the Employer, which consent shall not be unreasonably withheld.</w:t>
      </w:r>
    </w:p>
    <w:p>
      <w:pPr>
        <w:spacing w:after="0" w:line="203" w:lineRule="exact"/>
        <w:rPr>
          <w:rFonts w:ascii="Times New Roman" w:cs="Times New Roman" w:eastAsia="Times New Roman" w:hAnsi="Times New Roman"/>
          <w:sz w:val="20"/>
          <w:szCs w:val="20"/>
          <w:color w:val="auto"/>
        </w:rPr>
      </w:pPr>
    </w:p>
    <w:p>
      <w:pPr>
        <w:jc w:val="both"/>
        <w:ind w:firstLine="332"/>
        <w:spacing w:after="0" w:line="244" w:lineRule="auto"/>
        <w:tabs>
          <w:tab w:leader="none" w:pos="812"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 Term.</w:t>
      </w:r>
      <w:r>
        <w:rPr>
          <w:rFonts w:ascii="Times New Roman" w:cs="Times New Roman" w:eastAsia="Times New Roman" w:hAnsi="Times New Roman"/>
          <w:sz w:val="20"/>
          <w:szCs w:val="20"/>
          <w:color w:val="auto"/>
        </w:rPr>
        <w:t xml:space="preserve"> Commencing on termination your employment with the Employer, you shall not, individually or jointly with others, directly or indirectly, whether for your own account or for that of any other person or entity, engage in or own or hold any ownership interest in any person or entity engaged in a full table service restaurant business and that is located or intended to be located anywhere within a radius of thirty (30) miles of any full table service restaurant owned or operated by the Company or the Employer, or any proposed full table service restaurant to be owned or operated by the Company or the Employer, and you shall not act as an officer, director, employee, partner, independent contractor, consultant, principal, agent, proprietor or in any other capacity for, nor lend any assistance (financial or otherwise) or cooperation to, any such person or entity for the time period specified below:</w:t>
      </w:r>
    </w:p>
    <w:p>
      <w:pPr>
        <w:spacing w:after="0" w:line="213" w:lineRule="exact"/>
        <w:rPr>
          <w:rFonts w:ascii="Times New Roman" w:cs="Times New Roman" w:eastAsia="Times New Roman" w:hAnsi="Times New Roman"/>
          <w:sz w:val="20"/>
          <w:szCs w:val="20"/>
          <w:color w:val="auto"/>
        </w:rPr>
      </w:pPr>
    </w:p>
    <w:p>
      <w:pPr>
        <w:jc w:val="both"/>
        <w:ind w:left="820" w:hanging="2"/>
        <w:spacing w:after="0" w:line="268" w:lineRule="auto"/>
        <w:tabs>
          <w:tab w:leader="none" w:pos="1277"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employment with Employer ends as a result of a termination without Cause by the Employer or your resignation for Good Reason (as defined in Schedule 1), then for a continuous period equal to the period of time used for calculating the amount of severance paid to you upon termination, if any; or</w:t>
      </w:r>
    </w:p>
    <w:p>
      <w:pPr>
        <w:spacing w:after="0" w:line="174" w:lineRule="exact"/>
        <w:rPr>
          <w:rFonts w:ascii="Times New Roman" w:cs="Times New Roman" w:eastAsia="Times New Roman" w:hAnsi="Times New Roman"/>
          <w:sz w:val="20"/>
          <w:szCs w:val="20"/>
          <w:color w:val="auto"/>
        </w:rPr>
      </w:pPr>
    </w:p>
    <w:p>
      <w:pPr>
        <w:ind w:left="820" w:right="20" w:hanging="2"/>
        <w:spacing w:after="0" w:line="269" w:lineRule="auto"/>
        <w:tabs>
          <w:tab w:leader="none" w:pos="1425"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employment with the Employer ends as a result of your voluntary resignation or termination by the Employer for Cause, for a continuous period of one (1) year.</w:t>
      </w:r>
    </w:p>
    <w:p>
      <w:pPr>
        <w:sectPr>
          <w:pgSz w:w="11900" w:h="16838" w:orient="portrait"/>
          <w:cols w:equalWidth="0" w:num="1">
            <w:col w:w="11420"/>
          </w:cols>
          <w:pgMar w:left="240" w:top="589" w:right="239" w:bottom="1440" w:gutter="0" w:footer="0" w:header="0"/>
        </w:sectPr>
      </w:pPr>
    </w:p>
    <w:bookmarkStart w:id="53" w:name="page54"/>
    <w:bookmarkEnd w:id="53"/>
    <w:p>
      <w:pPr>
        <w:jc w:val="both"/>
        <w:spacing w:after="0" w:line="245" w:lineRule="auto"/>
        <w:rPr>
          <w:sz w:val="20"/>
          <w:szCs w:val="20"/>
          <w:color w:val="auto"/>
        </w:rPr>
      </w:pPr>
      <w:r>
        <w:rPr>
          <w:rFonts w:ascii="Times New Roman" w:cs="Times New Roman" w:eastAsia="Times New Roman" w:hAnsi="Times New Roman"/>
          <w:sz w:val="20"/>
          <w:szCs w:val="20"/>
          <w:color w:val="auto"/>
        </w:rPr>
        <w:t>For purposes of this non-competition clause, restaurants owned or operated by the Company or the Employer shall include all restaurants owned or operated by the Company, the Employer, their subsidiaries, franchisees or affiliates and any successor entity to the Company, the Employer, their subsidiaries, franchisees or affiliates, and any entity in which the Company or the Employer, its subsidiaries or any of their affiliates has an interest, including but not limited to, an interest as a franchisor. The term “proposed restaurant” shall include all locations for which the Company, the Employer, or their franchisees or affiliates is conducting active, bona fide negotiations to secure a fee or leasehold interest with the intention of establishing a restaurant thereon.</w:t>
      </w:r>
    </w:p>
    <w:p>
      <w:pPr>
        <w:spacing w:after="0" w:line="199" w:lineRule="exact"/>
        <w:rPr>
          <w:sz w:val="20"/>
          <w:szCs w:val="20"/>
          <w:color w:val="auto"/>
        </w:rPr>
      </w:pPr>
    </w:p>
    <w:p>
      <w:pPr>
        <w:jc w:val="both"/>
        <w:ind w:right="20" w:firstLine="332"/>
        <w:spacing w:after="0" w:line="254" w:lineRule="auto"/>
        <w:tabs>
          <w:tab w:leader="none" w:pos="704"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w:t>
      </w:r>
      <w:r>
        <w:rPr>
          <w:rFonts w:ascii="Times New Roman" w:cs="Times New Roman" w:eastAsia="Times New Roman" w:hAnsi="Times New Roman"/>
          <w:sz w:val="20"/>
          <w:szCs w:val="20"/>
          <w:color w:val="auto"/>
        </w:rPr>
        <w:t>. It shall not be a violation of this Non-competition clause for Employee to own a one percent (1%) or smaller interest in any corporation required to file periodic reports with the Securities and Exchange Commission pursuant to the Securities Exchange Act of 1934, as amended, or successor statute.</w:t>
      </w:r>
    </w:p>
    <w:p>
      <w:pPr>
        <w:spacing w:after="0" w:line="116"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 - Non-disclosure; Non-solicitation; Non-piracy</w:t>
      </w:r>
    </w:p>
    <w:p>
      <w:pPr>
        <w:spacing w:after="0" w:line="165" w:lineRule="exact"/>
        <w:rPr>
          <w:rFonts w:ascii="Times New Roman" w:cs="Times New Roman" w:eastAsia="Times New Roman" w:hAnsi="Times New Roman"/>
          <w:sz w:val="20"/>
          <w:szCs w:val="20"/>
          <w:color w:val="auto"/>
        </w:rPr>
      </w:pPr>
    </w:p>
    <w:p>
      <w:pPr>
        <w:jc w:val="both"/>
        <w:ind w:firstLine="656"/>
        <w:spacing w:after="0" w:line="243" w:lineRule="auto"/>
        <w:tabs>
          <w:tab w:leader="none" w:pos="1052"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performance of your duties hereunder, at no time during your employment with the Company or the Employer, or at any time thereafter, shall you, individually or jointly with others, for your benefit of or for the benefit of any third party, publish, disclose, use or authorize anyone else to publish, disclose or use any secret or confidential material or information relating to any aspect of the business or operations of the Employer, the Company or any of their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the Company or any of their affiliates, except (i) to the extent required by law, regulation or valid subpoena, or (ii) to the extent that such information or material becomes publicly known or available through no fault of your own.</w:t>
      </w:r>
    </w:p>
    <w:p>
      <w:pPr>
        <w:spacing w:after="0" w:line="135" w:lineRule="exact"/>
        <w:rPr>
          <w:rFonts w:ascii="Times New Roman" w:cs="Times New Roman" w:eastAsia="Times New Roman" w:hAnsi="Times New Roman"/>
          <w:sz w:val="20"/>
          <w:szCs w:val="20"/>
          <w:color w:val="auto"/>
        </w:rPr>
      </w:pPr>
    </w:p>
    <w:p>
      <w:pPr>
        <w:jc w:val="both"/>
        <w:ind w:firstLine="656"/>
        <w:spacing w:after="0" w:line="243" w:lineRule="auto"/>
        <w:tabs>
          <w:tab w:leader="none" w:pos="1172"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Moreover, during your employment with the Employer and for two (2) years thereafter, except as is the result of a broad solicitation that is not targeting employees of the Employer, the Company or any of their franchisees or affiliates, you shall not offer employment to, or hire, any employee of the Employer, the Company or any of their franchisees or affiliates, or otherwise directly or indirectly solicit or induce any employee of the Employer, the Company or any of their franchisees or affiliates to terminate his or her employment with the Employer, the Company or any of their franchisees or affiliates; nor shall you act as an officer, director, employee, partner, independent contractor, consultant, principal, agent, proprietor, owner or part owner, or in any other capacity, of or for any person or entity that solicits or otherwise induces any employee of the Employer, the Company or any of their franchisees or affiliates to terminate his or her employment with the Employer, the Company or any of their franchisees or affiliates.</w:t>
      </w:r>
    </w:p>
    <w:p>
      <w:pPr>
        <w:spacing w:after="0" w:line="199" w:lineRule="exact"/>
        <w:rPr>
          <w:rFonts w:ascii="Times New Roman" w:cs="Times New Roman" w:eastAsia="Times New Roman" w:hAnsi="Times New Roman"/>
          <w:sz w:val="20"/>
          <w:szCs w:val="20"/>
          <w:color w:val="auto"/>
        </w:rPr>
      </w:pPr>
    </w:p>
    <w:p>
      <w:pPr>
        <w:jc w:val="both"/>
        <w:ind w:firstLine="8"/>
        <w:spacing w:after="0" w:line="244" w:lineRule="auto"/>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 - Company and Employer Property: Duty to Return.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Employer and Company property and assets,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but not limited to products, recipes, product specifications, training materials, employee selection and testing materials, marketing and advertising materials, special event, charitable and community activity materials, customer correspondence, internal memoranda, products and designs, sales information, project files, price lists, customer and vendor lists, prospectus reports, customer or vendor information, sales literature, territory printouts, call books, notebooks, textbooks, and all other like information or products, including but not limited to all copies, duplications, replications, and derivatives of such information or products, now in your possession or acquired by you while in the employ of the Employer shall be the exclusive property of the Employer and shall be returned to the Employer no later than the date of your last day of work with the Employer.</w:t>
      </w:r>
    </w:p>
    <w:p>
      <w:pPr>
        <w:spacing w:after="0" w:line="195" w:lineRule="exact"/>
        <w:rPr>
          <w:rFonts w:ascii="Times New Roman" w:cs="Times New Roman" w:eastAsia="Times New Roman" w:hAnsi="Times New Roman"/>
          <w:sz w:val="20"/>
          <w:szCs w:val="20"/>
          <w:color w:val="auto"/>
        </w:rPr>
      </w:pPr>
    </w:p>
    <w:p>
      <w:pPr>
        <w:ind w:firstLine="8"/>
        <w:spacing w:after="0" w:line="273" w:lineRule="auto"/>
        <w:tabs>
          <w:tab w:leader="none" w:pos="44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 - Inventions, Ideas, Processes, and Designs.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inventions, ideas, recipes, processes, programs, software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designs (including all improvements) related to the business of the</w:t>
      </w:r>
    </w:p>
    <w:p>
      <w:pPr>
        <w:sectPr>
          <w:pgSz w:w="11900" w:h="16838" w:orient="portrait"/>
          <w:cols w:equalWidth="0" w:num="1">
            <w:col w:w="11420"/>
          </w:cols>
          <w:pgMar w:left="240" w:top="576" w:right="239" w:bottom="1440" w:gutter="0" w:footer="0" w:header="0"/>
        </w:sectPr>
      </w:pPr>
    </w:p>
    <w:bookmarkStart w:id="54" w:name="page55"/>
    <w:bookmarkEnd w:id="54"/>
    <w:p>
      <w:pPr>
        <w:jc w:val="both"/>
        <w:spacing w:after="0" w:line="242" w:lineRule="auto"/>
        <w:rPr>
          <w:sz w:val="20"/>
          <w:szCs w:val="20"/>
          <w:color w:val="auto"/>
        </w:rPr>
      </w:pPr>
      <w:r>
        <w:rPr>
          <w:rFonts w:ascii="Times New Roman" w:cs="Times New Roman" w:eastAsia="Times New Roman" w:hAnsi="Times New Roman"/>
          <w:sz w:val="20"/>
          <w:szCs w:val="20"/>
          <w:color w:val="auto"/>
        </w:rPr>
        <w:t>Employer or the Company shall be disclosed in writing promptly to the Employer, and shall be the sole and exclusive property of the Employer, if either (i) conceived, made or used by you during the course of the your employment with the Employer (whether or not actually conceived during regular business hours) or (ii) made or used by you for a period of six (6) months subsequent to the termination or expiration of such employment. Any invention, idea, recipe, process, program, software or design (including an improvement) shall be deemed “related to the business of the Employer or the Company” if (i) it was made with equipment, facilities or confidential information of the Employer or the Company, (ii) results from work performed by you for the Employer or the Company or (iii) pertains to the current business or demonstrably anticipated research or development work of the Employer or the Company. You shall cooperate with the Employer and its attorneys in the preparation of patent and copyright applications for such developments and, upon request, shall promptly assign all such inventions, ideas, recipes, processes and designs to the Employer. The decision to file for patent or copyright protection or to maintain such development as a trade secret shall be in the sole discretion of the Employer, and you shall be bound by such decision. You shall provide, on the back of this Agreement, a complete list of all inventions, ideas, recipes, processes and designs if any, patented or unpatented, copyrighted or non-copyrighted, including a brief description, that you made or conceived prior to your employment with the Employer, and that, therefore, are excluded from the scope of the employment with the Employer.</w:t>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restrictive covenants contained in this agreement are given and made by you to induce the Employer to employ you and to enter into this Agreement with you, and you hereby acknowledge that employment with the Employer is sufficient consideration for these restrictive covenants. The restrictive covenants shall be construed as agreements independent of any other provision in this Agreement, and the existence of any claim or cause of action you may have against the Employer or the Company, whether predicated upon this Agreement or otherwise, shall not constitute a defense to the enforcement of any restrictive covenant. The refusal or failure of the Employer or the Company to enforce any restrictive covenant of this agreement (or any similar agreement) against any other employee, agent, or independent contractor, for any reason, shall not constitute a defense to the enforcement by the Employer or the Company of any such restrictive covenant, nor shall it give rise to any claim or cause of action by you against the Employer or the Company.</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You agree that a breach of any of the restrictive covenants contained in this Agreement will cause irreparable injury to the Employer and the Company for which the remedy at law will be inadequate and would be difficult to ascertain and therefore, in the event of the breach or threatened breach of any such covenants, the Employer and the Company shall be entitled, in addition to any other rights and remedies it may have at law or in equity, to obtain an injunction to restrain you from any threatened or actual activities in violation of any such covenants. You hereby consent and agree that temporary and permanent injunctive relief may be granted in any proceedings that might be brought to enforce any such covenants without the necessity of proof of actual damages, and in the event the Employer or the Company does apply for such an injunction, you shall not raise as a defense thereto that the Employer or the Company has an adequate remedy at law.</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the avoidance of doubt, the termination of this agreement for any reason, shall not extinguish your obligations specified in these restrictive covenants.</w:t>
      </w: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ALL PARTIES TO THIS AGREEMENT KNOW AND UNDERSTAND THAT THEY HAVE A CONSTITUTIONAL RIGHT TO A JURY TRIAL. THE PARTIES ACKNOWLEDGE THAT ANY DISPUTE OR CONTROVERSY THAT MAY ARISE OUT OF THIS AGREEMENT WILL INVOLVE COMPLICATED AND DIFFICULT FACTUAL AND LEGAL ISSUES.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PARTIES HEREBY WAIVE ANY RIGHT TO TRIAL BY JURY IN ANY PROCEEDING ARISING OUT OF OR RELATING TO THIS AGREEMENT OR ANY OF THE CONTEMPLATED TRANSACTIONS, WHETHER NOW EXISTING OR HEREAFTER ARISING, AND WHETHER</w:t>
      </w:r>
    </w:p>
    <w:p>
      <w:pPr>
        <w:sectPr>
          <w:pgSz w:w="11900" w:h="16838" w:orient="portrait"/>
          <w:cols w:equalWidth="0" w:num="1">
            <w:col w:w="11420"/>
          </w:cols>
          <w:pgMar w:left="240" w:top="576" w:right="239" w:bottom="1440" w:gutter="0" w:footer="0" w:header="0"/>
        </w:sectPr>
      </w:pPr>
    </w:p>
    <w:bookmarkStart w:id="55" w:name="page56"/>
    <w:bookmarkEnd w:id="55"/>
    <w:p>
      <w:pPr>
        <w:jc w:val="both"/>
        <w:spacing w:after="0" w:line="247" w:lineRule="auto"/>
        <w:rPr>
          <w:sz w:val="20"/>
          <w:szCs w:val="20"/>
          <w:color w:val="auto"/>
        </w:rPr>
      </w:pPr>
      <w:r>
        <w:rPr>
          <w:rFonts w:ascii="Times New Roman" w:cs="Times New Roman" w:eastAsia="Times New Roman" w:hAnsi="Times New Roman"/>
          <w:sz w:val="20"/>
          <w:szCs w:val="20"/>
          <w:color w:val="auto"/>
        </w:rPr>
        <w:t>SOUNDING IN CONTRACT, TORT OR OTHERWISE. THE PARTIES AGREE THAT ANY OF THEM MAY FILE A COPY OF THIS PARAGRAPH WITH ANY COURT AS WRITTEN EVIDENCE OF THE KNOWING, VOLUNTARY AND BARGAINED-FOR AGREEMENT AMONG THE PARTIES IRREVOCABLY TO WAIVE TRIAL BY JURY AND THAT ANY PROCEEDING WHATSOEVER BETWEEN THEM RELATING TO THIS AGREEMENT OR ANY OF THE CONTEMPLATED TRANSACTIONS SHALL INSTEAD BE TRIED IN A COURT OF COMPETENT JURISDICTION BY A JUDGE SITTING WITHOUT A JURY.</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PARTIES INTEND THAT THIS WAIVER OF THE RIGHT TO A JURY TRIAL BE AS BROAD AS POSSIBLE. BY THEIR SIGNATURES BELOW, THE PARTIES PROMISE, WARRANT AND REPRESENT THAT THEY WILL NOT PLEAD FOR, REQUEST OR OTHERWISE SEEK TO HAVE A JURY TO RESOLVE ANY AND ALL DISPUTES THAT MAY ARISE BY, BETWEEN OR AMONG THEM.</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You shall be responsible for the payment of all taxes applicable to payments or benefits received from the Employer or the Company. It is the intent of the Employer and the Company that the provisions of this agreement and all other plans and programs sponsored by the Employer and the Company be interpreted to comply in all respects with Internal Revenue Code Section 409A, however, the Employer and the Company shall have no liability to you, or any of your successors or beneficiaries, in the event taxes, penalties or excise taxes may ultimately be determined to be applicable to any payment or benefit received by you or your successors or beneficiaries.</w:t>
      </w:r>
    </w:p>
    <w:p>
      <w:pPr>
        <w:spacing w:after="0" w:line="19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validity, interpretation, and performance of this agreement shall be governed, interpreted, and construed in accordance with the laws of the State of Florida without giving effect to the principles of comity or conflicts of laws thereof.</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letter constitutes the full commitments which have been extended to you and shall supersede any prior agreements whether oral or written. However, this does not constitute a contract of employment for any period of time. Should you have any questions regarding these commitments or your ability to conform to Bloomin’ Brands policies and procedures, please let me know immediately.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signing this offer, you indicate your acceptance of our offer. Please keep one original copy of this offer letter for your personal files.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look forward to having you join us as a member of our team.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 Pablo Brizi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Pablo Brizi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Vice President, Chief Human Resources Officer</w:t>
      </w:r>
    </w:p>
    <w:p>
      <w:pPr>
        <w:spacing w:after="0"/>
        <w:rPr>
          <w:sz w:val="20"/>
          <w:szCs w:val="20"/>
          <w:color w:val="auto"/>
        </w:rPr>
      </w:pPr>
      <w:r>
        <w:rPr>
          <w:rFonts w:ascii="Times New Roman" w:cs="Times New Roman" w:eastAsia="Times New Roman" w:hAnsi="Times New Roman"/>
          <w:sz w:val="20"/>
          <w:szCs w:val="20"/>
          <w:color w:val="auto"/>
        </w:rPr>
        <w:t>Bloomin’ Brands,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accept the above offer of employment and I understand the terms as set forth above.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/s/ Michael L. Stutts</w:t>
            </w: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5/8/19</w:t>
            </w:r>
          </w:p>
        </w:tc>
      </w:tr>
      <w:tr>
        <w:trPr>
          <w:trHeight w:val="28"/>
        </w:trPr>
        <w:tc>
          <w:tcPr>
            <w:tcW w:w="54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63"/>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Michael L. Stutts</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Date</w:t>
            </w:r>
          </w:p>
        </w:tc>
      </w:tr>
    </w:tbl>
    <w:p>
      <w:pPr>
        <w:sectPr>
          <w:pgSz w:w="11900" w:h="16838" w:orient="portrait"/>
          <w:cols w:equalWidth="0" w:num="1">
            <w:col w:w="11420"/>
          </w:cols>
          <w:pgMar w:left="240" w:top="576" w:right="2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u w:val="single" w:color="auto"/>
          <w:color w:val="auto"/>
        </w:rPr>
        <w:t>Schedule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"Cause" shall be defined as:</w:t>
      </w:r>
    </w:p>
    <w:p>
      <w:pPr>
        <w:spacing w:after="0" w:line="189" w:lineRule="exact"/>
        <w:rPr>
          <w:sz w:val="20"/>
          <w:szCs w:val="20"/>
          <w:color w:val="auto"/>
        </w:rPr>
      </w:pPr>
    </w:p>
    <w:p>
      <w:pPr>
        <w:jc w:val="both"/>
        <w:ind w:left="660" w:hanging="328"/>
        <w:spacing w:after="0" w:line="244" w:lineRule="auto"/>
        <w:tabs>
          <w:tab w:leader="none" w:pos="6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failure to perform the material duties required of you in a manner satisfactory to the Employer, in its reasonable discretion after the Employer follows the following procedures: (a) the Employer gives you a written notice (''Notice of Deficiency") which shall specify the deficiencies in your performance of duties; (b) you shall have a period of thirty (30) days, commencing on receipt of the Notice of Deficiency, in which to cure the deficiencies contained in the Notice of Deficiency; and (c) in the event you do not cure the deficiencies to the satisfaction of the Employer, in its reasonable discretion, within such thirty (30) day period (or if during such thirty</w:t>
      </w:r>
    </w:p>
    <w:p>
      <w:pPr>
        <w:jc w:val="both"/>
        <w:ind w:left="660" w:hanging="4"/>
        <w:spacing w:after="0" w:line="241" w:lineRule="auto"/>
        <w:tabs>
          <w:tab w:leader="none" w:pos="1081"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 period the Employer determines that you are not making reasonable, good faith efforts to cure the deficiencies to the reasonable satisfaction of the Employer), the Employer shall have the right to immediately terminate your employment for Cause. The provisions of this paragraph (1) may be invoked by the Employer any number of times and cure of deficiencies contained in any Notice of Deficiency shall not be construed as a waiver of this paragraph (1) nor prevent the Employer from issuing any subsequent Notices of Deficiency; or</w:t>
      </w:r>
    </w:p>
    <w:p>
      <w:pPr>
        <w:spacing w:after="0" w:line="200"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willful dishonesty by you in your dealings with the Company, the Employer or their affiliates; your commission of fraud, negligence in the performance of your duties; insubordination; willful misconduct; or your conviction (or plea of guilty or nolo contendere), indictment or charge with respect to, any felony, or any other crime involving dishonesty or moral turpitude; or</w:t>
      </w:r>
    </w:p>
    <w:p>
      <w:pPr>
        <w:spacing w:after="0" w:line="18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violation of the restrictive covenants of this agreement or</w:t>
      </w:r>
    </w:p>
    <w:p>
      <w:pPr>
        <w:spacing w:after="0" w:line="229"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violation of any current or future material published policy of the Employer or its Affiliates (material published policies include, but are not limited to, the Employer's discrimination and harassment policy, management dating policy, responsible alcohol policy, insider trading policy, ethics policy and security policy); or</w:t>
      </w:r>
    </w:p>
    <w:p>
      <w:pPr>
        <w:spacing w:after="0" w:line="188"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purposes of this Agreement, termination for Cause shall be deemed to have occurred in the event of the Employee's resignation when, because of existing facts and circumstances, subsequent termination for Cause can be reasonably foreseen.</w:t>
      </w:r>
    </w:p>
    <w:p>
      <w:pPr>
        <w:sectPr>
          <w:pgSz w:w="11900" w:h="16838" w:orient="portrait"/>
          <w:cols w:equalWidth="0" w:num="1">
            <w:col w:w="11420"/>
          </w:cols>
          <w:pgMar w:left="240" w:top="576" w:right="239" w:bottom="1440" w:gutter="0" w:footer="0" w:header="0"/>
        </w:sectPr>
      </w:pPr>
    </w:p>
    <w:bookmarkStart w:id="57" w:name="page58"/>
    <w:bookmarkEnd w:id="57"/>
    <w:p>
      <w:pPr>
        <w:ind w:left="10260"/>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-116840</wp:posOffset>
            </wp:positionV>
            <wp:extent cx="394335"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9433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 2019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Kelly M. Lefferts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Kelly,</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letter agreement confirms the verbal offer extended to you by Bloomin’ Brands, Inc. (the “Company”) to serve as Chief Legal Officer reporting to David Deno, Chief Executive Officer. Your effective date will be May 6, 2019. Furthermore, the Bloomin’ Brands Inc. Board of Directors elected you Executive Vice, President, Chief Legal Officer and Secretary of the Company effective as of July 15, 2019. The terms of your employment will be:</w:t>
      </w:r>
    </w:p>
    <w:p>
      <w:pPr>
        <w:spacing w:after="0" w:line="19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You will be employed by a subsidiary of the Company (the “Employer”) and will be paid an annual base salary of $425,000 effective May 6, 2019 payable in equal bi-weekly installments.</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You will remain eligible to participate in the Company’s annual bonus program and effective May 6, 2019 your target bonus will be 85% of your base salary based on both Company performance against objectives as set forth in the Company bonus program and individual performance. Your bonus payout for the 2019 fiscal year will be prorated based on your effective date through the end of the fiscal year, provided you remain employed by the Employer through the payout date.</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will issue you a one-time grant of 40,000 restricted stock units on the first of the month immediately following your effective date. This grant will have standard vesting of three years contingent on continued employment with the Company or the Employer. All grants are subject to the terms of our 2016 Omnibus Incentive Compensation Plan and Equity Award Policy (collectively, the “Plan”) and our standard award agreement. Our standard equity agreement includes a “double trigger” provision to protect you in the event of a change-in-control. The details of the Plan and the form of grant agreement will be provided to you separately.</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addition to your annual bonus, you will be eligible for an annual long-term incentive grant commencing in 2020. Per the current long-term incentive plan, you will be eligible for a target up to 100% of your base salary, which will be subject to Company and individual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will remain eligible for Home Office Paid Time Off (PTO).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will be eligible to participate in the following benefits as applicable and in accordance with the terms of Company policy:</w:t>
      </w:r>
    </w:p>
    <w:p>
      <w:pPr>
        <w:spacing w:after="0" w:line="229" w:lineRule="exact"/>
        <w:rPr>
          <w:sz w:val="20"/>
          <w:szCs w:val="20"/>
          <w:color w:val="auto"/>
        </w:rPr>
      </w:pPr>
    </w:p>
    <w:p>
      <w:pPr>
        <w:ind w:left="1300" w:hanging="320"/>
        <w:spacing w:after="0"/>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Benefits Plan</w:t>
      </w:r>
    </w:p>
    <w:p>
      <w:pPr>
        <w:spacing w:after="0" w:line="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Salaried Short-Term Disability Insurance</w:t>
      </w:r>
    </w:p>
    <w:p>
      <w:pPr>
        <w:ind w:left="1300" w:hanging="320"/>
        <w:spacing w:after="0"/>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Salaried Long-Term Disability Insurance</w:t>
      </w:r>
    </w:p>
    <w:p>
      <w:pPr>
        <w:ind w:left="1300" w:hanging="320"/>
        <w:spacing w:after="0"/>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Paid Group Term Life Insurance</w:t>
      </w:r>
    </w:p>
    <w:p>
      <w:pPr>
        <w:ind w:left="1300" w:hanging="320"/>
        <w:spacing w:after="0"/>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Paid Accidental Death and Dismemberment Insurance</w:t>
      </w:r>
    </w:p>
    <w:p>
      <w:pPr>
        <w:ind w:left="1300" w:hanging="320"/>
        <w:spacing w:after="0"/>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Dental Benefits Plan</w:t>
      </w:r>
    </w:p>
    <w:p>
      <w:pPr>
        <w:ind w:left="1300" w:hanging="320"/>
        <w:spacing w:after="0"/>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Vision Benefits Plan</w:t>
      </w:r>
    </w:p>
    <w:p>
      <w:pPr>
        <w:ind w:left="1300" w:hanging="320"/>
        <w:spacing w:after="0"/>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Non-Qualified Deferred Compensation Plan</w:t>
      </w:r>
    </w:p>
    <w:p>
      <w:pPr>
        <w:ind w:left="1300" w:hanging="320"/>
        <w:spacing w:after="0"/>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 Meal Benefit Program</w:t>
      </w:r>
    </w:p>
    <w:p>
      <w:pPr>
        <w:sectPr>
          <w:pgSz w:w="11900" w:h="16838" w:orient="portrait"/>
          <w:cols w:equalWidth="0" w:num="1">
            <w:col w:w="11420"/>
          </w:cols>
          <w:pgMar w:left="240" w:top="279" w:right="239" w:bottom="1440" w:gutter="0" w:footer="0" w:header="0"/>
        </w:sectPr>
      </w:pPr>
    </w:p>
    <w:bookmarkStart w:id="58" w:name="page59"/>
    <w:bookmarkEnd w:id="58"/>
    <w:p>
      <w:pPr>
        <w:jc w:val="both"/>
        <w:spacing w:after="0" w:line="254" w:lineRule="auto"/>
        <w:rPr>
          <w:sz w:val="20"/>
          <w:szCs w:val="20"/>
          <w:color w:val="auto"/>
        </w:rPr>
      </w:pPr>
      <w:r>
        <w:rPr>
          <w:rFonts w:ascii="Times New Roman" w:cs="Times New Roman" w:eastAsia="Times New Roman" w:hAnsi="Times New Roman"/>
          <w:sz w:val="20"/>
          <w:szCs w:val="20"/>
          <w:color w:val="auto"/>
        </w:rPr>
        <w:t>In the ordinary course of business, pay and benefit plans continue to evolve as business needs and laws change. To the extent the Company or the Employer determines it to be necessary or desirable to change or eliminate any of the plans or programs in which you participate, such changes will apply to you as they do to other similarly situated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condition of your employment, please note the following:</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While it is our sincere hope and belief that our relationship will be mutually beneficial, the Company and the Employer do not offer employment for a specified term. Any statements made to you in this letter and in meetings should not be construed in any manner as a proposed contract for any such term. Both you and the Employer may terminate employment at any time, with or without prior notice, for any or no reason, and with or without Cause (as defined on Schedule 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further condition of your employment you agree to the following:</w:t>
      </w:r>
    </w:p>
    <w:p>
      <w:pPr>
        <w:spacing w:after="0" w:line="229" w:lineRule="exact"/>
        <w:rPr>
          <w:sz w:val="20"/>
          <w:szCs w:val="20"/>
          <w:color w:val="auto"/>
        </w:rPr>
      </w:pPr>
    </w:p>
    <w:p>
      <w:pPr>
        <w:ind w:left="360" w:hanging="352"/>
        <w:spacing w:after="0"/>
        <w:tabs>
          <w:tab w:leader="none" w:pos="3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Restrictive Covenant - Non-competition</w:t>
      </w:r>
    </w:p>
    <w:p>
      <w:pPr>
        <w:spacing w:after="0" w:line="229" w:lineRule="exact"/>
        <w:rPr>
          <w:rFonts w:ascii="Times New Roman" w:cs="Times New Roman" w:eastAsia="Times New Roman" w:hAnsi="Times New Roman"/>
          <w:sz w:val="20"/>
          <w:szCs w:val="20"/>
          <w:color w:val="auto"/>
        </w:rPr>
      </w:pPr>
    </w:p>
    <w:p>
      <w:pPr>
        <w:jc w:val="both"/>
        <w:ind w:firstLine="332"/>
        <w:spacing w:after="0" w:line="243" w:lineRule="auto"/>
        <w:tabs>
          <w:tab w:leader="none" w:pos="782"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During Employment</w:t>
      </w:r>
      <w:r>
        <w:rPr>
          <w:rFonts w:ascii="Times New Roman" w:cs="Times New Roman" w:eastAsia="Times New Roman" w:hAnsi="Times New Roman"/>
          <w:sz w:val="20"/>
          <w:szCs w:val="20"/>
          <w:color w:val="auto"/>
        </w:rPr>
        <w:t>. You will devote one hundred percent (100%) of your full business time, attention, energies, and effort to the business affairs of the Employer and the Company. Except with the prior written consent of the Employer, during your employment with the Company or the Employer, you shall not, individually or jointly with others, directly or indirectly, whether for your own account or for that of any other person or entity, engage in or own or hold any ownership interest in any person or entity engaged in a full service restaurant business, and you shall not act as an officer, director, employee, partner, independent contractor, consultant, principal, agent, proprietor or in any other capacity for, nor lend any assistance (financial or otherwise) or cooperation to, any such person or entity. You shall not serve on the board of directors or advisory committee of any other company without the prior consent of the Employer, which consent shall not be unreasonably withheld.</w:t>
      </w:r>
    </w:p>
    <w:p>
      <w:pPr>
        <w:spacing w:after="0" w:line="203" w:lineRule="exact"/>
        <w:rPr>
          <w:rFonts w:ascii="Times New Roman" w:cs="Times New Roman" w:eastAsia="Times New Roman" w:hAnsi="Times New Roman"/>
          <w:sz w:val="20"/>
          <w:szCs w:val="20"/>
          <w:color w:val="auto"/>
        </w:rPr>
      </w:pPr>
    </w:p>
    <w:p>
      <w:pPr>
        <w:jc w:val="both"/>
        <w:ind w:firstLine="332"/>
        <w:spacing w:after="0" w:line="244" w:lineRule="auto"/>
        <w:tabs>
          <w:tab w:leader="none" w:pos="812"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 Term.</w:t>
      </w:r>
      <w:r>
        <w:rPr>
          <w:rFonts w:ascii="Times New Roman" w:cs="Times New Roman" w:eastAsia="Times New Roman" w:hAnsi="Times New Roman"/>
          <w:sz w:val="20"/>
          <w:szCs w:val="20"/>
          <w:color w:val="auto"/>
        </w:rPr>
        <w:t xml:space="preserve"> Commencing on termination your employment with the Employer, you shall not, individually or jointly with others, directly or indirectly, whether for your own account or for that of any other person or entity, engage in or own or hold any ownership interest in any person or entity engaged in a full table service restaurant business and that is located or intended to be located anywhere within a radius of thirty (30) miles of any full table service restaurant owned or operated by the Company or the Employer, or any proposed full table service restaurant to be owned or operated by the Company or the Employer, and you shall not act as an officer, director, employee, partner, independent contractor, consultant, principal, agent, proprietor or in any other capacity for, nor lend any assistance (financial or otherwise) or cooperation to, any such person or entity for the time period specified below:</w:t>
      </w:r>
    </w:p>
    <w:p>
      <w:pPr>
        <w:spacing w:after="0" w:line="213" w:lineRule="exact"/>
        <w:rPr>
          <w:rFonts w:ascii="Times New Roman" w:cs="Times New Roman" w:eastAsia="Times New Roman" w:hAnsi="Times New Roman"/>
          <w:sz w:val="20"/>
          <w:szCs w:val="20"/>
          <w:color w:val="auto"/>
        </w:rPr>
      </w:pPr>
    </w:p>
    <w:p>
      <w:pPr>
        <w:jc w:val="both"/>
        <w:ind w:left="820" w:hanging="2"/>
        <w:spacing w:after="0" w:line="268" w:lineRule="auto"/>
        <w:tabs>
          <w:tab w:leader="none" w:pos="1277" w:val="left"/>
        </w:tabs>
        <w:numPr>
          <w:ilvl w:val="2"/>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employment with Employer ends as a result of a termination without Cause by the Employer or your resignation for Good Reason (as defined in Schedule 1), then for a continuous period equal to the period of time used for calculating the amount of severance paid to you upon termination, if any; or</w:t>
      </w:r>
    </w:p>
    <w:p>
      <w:pPr>
        <w:spacing w:after="0" w:line="174" w:lineRule="exact"/>
        <w:rPr>
          <w:rFonts w:ascii="Times New Roman" w:cs="Times New Roman" w:eastAsia="Times New Roman" w:hAnsi="Times New Roman"/>
          <w:sz w:val="20"/>
          <w:szCs w:val="20"/>
          <w:color w:val="auto"/>
        </w:rPr>
      </w:pPr>
    </w:p>
    <w:p>
      <w:pPr>
        <w:ind w:left="820" w:right="20" w:hanging="2"/>
        <w:spacing w:after="0" w:line="269" w:lineRule="auto"/>
        <w:tabs>
          <w:tab w:leader="none" w:pos="1425" w:val="left"/>
        </w:tabs>
        <w:numPr>
          <w:ilvl w:val="2"/>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employment with the Employer ends as a result of your voluntary resignation or termination by the Employer for Cause, for a continuous period of one (1) year.</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purposes of this non-competition clause, restaurants owned or operated by the Company or the Employer shall include all restaurants owned or operated by the Company, the Employer, their subsidiaries, franchisees or affiliates and any successor entity to the Company, the Employer, their subsidiaries, franchisees or affiliates, and any entity in which the Company or the Employer, its subsidiaries or any of their affiliates has</w:t>
      </w:r>
    </w:p>
    <w:p>
      <w:pPr>
        <w:sectPr>
          <w:pgSz w:w="11900" w:h="16838" w:orient="portrait"/>
          <w:cols w:equalWidth="0" w:num="1">
            <w:col w:w="11420"/>
          </w:cols>
          <w:pgMar w:left="240" w:top="576" w:right="239" w:bottom="1440" w:gutter="0" w:footer="0" w:header="0"/>
        </w:sectPr>
      </w:pPr>
    </w:p>
    <w:bookmarkStart w:id="59" w:name="page60"/>
    <w:bookmarkEnd w:id="59"/>
    <w:p>
      <w:pPr>
        <w:jc w:val="both"/>
        <w:spacing w:after="0" w:line="254" w:lineRule="auto"/>
        <w:rPr>
          <w:sz w:val="20"/>
          <w:szCs w:val="20"/>
          <w:color w:val="auto"/>
        </w:rPr>
      </w:pPr>
      <w:r>
        <w:rPr>
          <w:rFonts w:ascii="Times New Roman" w:cs="Times New Roman" w:eastAsia="Times New Roman" w:hAnsi="Times New Roman"/>
          <w:sz w:val="20"/>
          <w:szCs w:val="20"/>
          <w:color w:val="auto"/>
        </w:rPr>
        <w:t>an interest, including but not limited to, an interest as a franchisor. The term “proposed restaurant” shall include all locations for which the Company, the Employer, or their franchisees or affiliates is conducting active, bona fide negotiations to secure a fee or leasehold interest with the intention of establishing a restaurant thereon.</w:t>
      </w:r>
    </w:p>
    <w:p>
      <w:pPr>
        <w:spacing w:after="0" w:line="188" w:lineRule="exact"/>
        <w:rPr>
          <w:sz w:val="20"/>
          <w:szCs w:val="20"/>
          <w:color w:val="auto"/>
        </w:rPr>
      </w:pPr>
    </w:p>
    <w:p>
      <w:pPr>
        <w:jc w:val="both"/>
        <w:ind w:right="20" w:firstLine="332"/>
        <w:spacing w:after="0" w:line="254" w:lineRule="auto"/>
        <w:tabs>
          <w:tab w:leader="none" w:pos="704"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w:t>
      </w:r>
      <w:r>
        <w:rPr>
          <w:rFonts w:ascii="Times New Roman" w:cs="Times New Roman" w:eastAsia="Times New Roman" w:hAnsi="Times New Roman"/>
          <w:sz w:val="20"/>
          <w:szCs w:val="20"/>
          <w:color w:val="auto"/>
        </w:rPr>
        <w:t>. It shall not be a violation of this Non-competition clause for Employee to own a one percent (1%) or smaller interest in any corporation required to file periodic reports with the Securities and Exchange Commission pursuant to the Securities Exchange Act of 1934, as amended, or successor statute.</w:t>
      </w:r>
    </w:p>
    <w:p>
      <w:pPr>
        <w:spacing w:after="0" w:line="116"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 - Non-disclosure; Non-solicitation; Non-piracy</w:t>
      </w:r>
    </w:p>
    <w:p>
      <w:pPr>
        <w:spacing w:after="0" w:line="165" w:lineRule="exact"/>
        <w:rPr>
          <w:rFonts w:ascii="Times New Roman" w:cs="Times New Roman" w:eastAsia="Times New Roman" w:hAnsi="Times New Roman"/>
          <w:sz w:val="20"/>
          <w:szCs w:val="20"/>
          <w:color w:val="auto"/>
        </w:rPr>
      </w:pPr>
    </w:p>
    <w:p>
      <w:pPr>
        <w:jc w:val="both"/>
        <w:ind w:firstLine="656"/>
        <w:spacing w:after="0" w:line="243" w:lineRule="auto"/>
        <w:tabs>
          <w:tab w:leader="none" w:pos="1052"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performance of your duties hereunder, at no time during your employment with the Company or the Employer, or at any time thereafter, shall you, individually or jointly with others, for your benefit of or for the benefit of any third party, publish, disclose, use or authorize anyone else to publish, disclose or use any secret or confidential material or information relating to any aspect of the business or operations of the Employer, the Company or any of their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the Company or any of their affiliates, except (i) to the extent required by law, regulation or valid subpoena, or (ii) to the extent that such information or material becomes publicly known or available through no fault of your own.</w:t>
      </w:r>
    </w:p>
    <w:p>
      <w:pPr>
        <w:spacing w:after="0" w:line="135" w:lineRule="exact"/>
        <w:rPr>
          <w:rFonts w:ascii="Times New Roman" w:cs="Times New Roman" w:eastAsia="Times New Roman" w:hAnsi="Times New Roman"/>
          <w:sz w:val="20"/>
          <w:szCs w:val="20"/>
          <w:color w:val="auto"/>
        </w:rPr>
      </w:pPr>
    </w:p>
    <w:p>
      <w:pPr>
        <w:jc w:val="both"/>
        <w:ind w:firstLine="656"/>
        <w:spacing w:after="0" w:line="243" w:lineRule="auto"/>
        <w:tabs>
          <w:tab w:leader="none" w:pos="1172"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Moreover, during your employment with the Employer and for two (2) years thereafter, except as is the result of a broad solicitation that is not targeting employees of the Employer, the Company or any of their franchisees or affiliates, you shall not offer employment to, or hire, any employee of the Employer, the Company or any of their franchisees or affiliates, or otherwise directly or indirectly solicit or induce any employee of the Employer, the Company or any of their franchisees or affiliates to terminate his or her employment with the Employer, the Company or any of their franchisees or affiliates; nor shall you act as an officer, director, employee, partner, independent contractor, consultant, principal, agent, proprietor, owner or part owner, or in any other capacity, of or for any person or entity that solicits or otherwise induces any employee of the Employer, the Company or any of their franchisees or affiliates to terminate his or her employment with the Employer, the Company or any of their franchisees or affiliates.</w:t>
      </w:r>
    </w:p>
    <w:p>
      <w:pPr>
        <w:spacing w:after="0" w:line="199" w:lineRule="exact"/>
        <w:rPr>
          <w:rFonts w:ascii="Times New Roman" w:cs="Times New Roman" w:eastAsia="Times New Roman" w:hAnsi="Times New Roman"/>
          <w:sz w:val="20"/>
          <w:szCs w:val="20"/>
          <w:color w:val="auto"/>
        </w:rPr>
      </w:pPr>
    </w:p>
    <w:p>
      <w:pPr>
        <w:jc w:val="both"/>
        <w:ind w:firstLine="8"/>
        <w:spacing w:after="0" w:line="244" w:lineRule="auto"/>
        <w:tabs>
          <w:tab w:leader="none" w:pos="3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 - Company and Employer Property: Duty to Return.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Employer and Company property and assets,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but not limited to products, recipes, product specifications, training materials, employee selection and testing materials, marketing and advertising materials, special event, charitable and community activity materials, customer correspondence, internal memoranda, products and designs, sales information, project files, price lists, customer and vendor lists, prospectus reports, customer or vendor information, sales literature, territory printouts, call books, notebooks, textbooks, and all other like information or products, including but not limited to all copies, duplications, replications, and derivatives of such information or products, now in your possession or acquired by you while in the employ of the Employer shall be the exclusive property of the Employer and shall be returned to the Employer no later than the date of your last day of work with the Employer.</w:t>
      </w:r>
    </w:p>
    <w:p>
      <w:pPr>
        <w:spacing w:after="0" w:line="195" w:lineRule="exact"/>
        <w:rPr>
          <w:rFonts w:ascii="Times New Roman" w:cs="Times New Roman" w:eastAsia="Times New Roman" w:hAnsi="Times New Roman"/>
          <w:sz w:val="20"/>
          <w:szCs w:val="20"/>
          <w:color w:val="auto"/>
        </w:rPr>
      </w:pPr>
    </w:p>
    <w:p>
      <w:pPr>
        <w:jc w:val="both"/>
        <w:ind w:firstLine="8"/>
        <w:spacing w:after="0" w:line="246" w:lineRule="auto"/>
        <w:tabs>
          <w:tab w:leader="none" w:pos="44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 - Inventions, Ideas, Processes, and Designs.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inventions, ideas, recipes, processes, programs, software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designs (including all improvements) related to the business of the Employer or the Company shall be disclosed in writing promptly to the Employer, and shall be the sole and exclusive property of the Employer, if either (i) conceived, made or used by you during the course of the your employment with the Employer (whether or not actually conceived during regular business hours) or (ii) made or used by you for a period of six (6) months subsequent to the termination or expiration of such employment. Any invention, idea, recipe, process, program, software or design (including an improvement)</w:t>
      </w:r>
    </w:p>
    <w:p>
      <w:pPr>
        <w:sectPr>
          <w:pgSz w:w="11900" w:h="16838" w:orient="portrait"/>
          <w:cols w:equalWidth="0" w:num="1">
            <w:col w:w="11420"/>
          </w:cols>
          <w:pgMar w:left="240" w:top="576" w:right="239" w:bottom="1440" w:gutter="0" w:footer="0" w:header="0"/>
        </w:sectPr>
      </w:pPr>
    </w:p>
    <w:bookmarkStart w:id="60" w:name="page61"/>
    <w:bookmarkEnd w:id="60"/>
    <w:p>
      <w:pPr>
        <w:jc w:val="both"/>
        <w:spacing w:after="0" w:line="243" w:lineRule="auto"/>
        <w:rPr>
          <w:sz w:val="20"/>
          <w:szCs w:val="20"/>
          <w:color w:val="auto"/>
        </w:rPr>
      </w:pPr>
      <w:r>
        <w:rPr>
          <w:rFonts w:ascii="Times New Roman" w:cs="Times New Roman" w:eastAsia="Times New Roman" w:hAnsi="Times New Roman"/>
          <w:sz w:val="20"/>
          <w:szCs w:val="20"/>
          <w:color w:val="auto"/>
        </w:rPr>
        <w:t>shall be deemed “related to the business of the Employer or the Company” if (i) it was made with equipment, facilities or confidential information of the Employer or the Company, (ii) results from work performed by you for the Employer or the Company or (iii) pertains to the current business or demonstrably anticipated research or development work of the Employer or the Company. You shall cooperate with the Employer and its attorneys in the preparation of patent and copyright applications for such developments and, upon request, shall promptly assign all such inventions, ideas, recipes, processes and designs to the Employer. The decision to file for patent or copyright protection or to maintain such development as a trade secret shall be in the sole discretion of the Employer, and you shall be bound by such decision. You shall provide, on the back of this Agreement, a complete list of all inventions, ideas, recipes, processes and designs if any, patented or unpatented, copyrighted or non-copyrighted, including a brief description, that you made or conceived prior to your employment with the Employer, and that, therefore, are excluded from the scope of the employment with the Employer.</w:t>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restrictive covenants contained in this agreement are given and made by you to induce the Employer to employ you and to enter into this Agreement with you, and you hereby acknowledge that employment with the Employer is sufficient consideration for these restrictive covenants. The restrictive covenants shall be construed as agreements independent of any other provision in this Agreement, and the existence of any claim or cause of action you may have against the Employer or the Company, whether predicated upon this Agreement or otherwise, shall not constitute a defense to the enforcement of any restrictive covenant. The refusal or failure of the Employer or the Company to enforce any restrictive covenant of this agreement (or any similar agreement) against any other employee, agent, or independent contractor, for any reason, shall not constitute a defense to the enforcement by the Employer or the Company of any such restrictive covenant, nor shall it give rise to any claim or cause of action by you against the Employer or the Company.</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You agree that a breach of any of the restrictive covenants contained in this Agreement will cause irreparable injury to the Employer and the Company for which the remedy at law will be inadequate and would be difficult to ascertain and therefore, in the event of the breach or threatened breach of any such covenants, the Employer and the Company shall be entitled, in addition to any other rights and remedies it may have at law or in equity, to obtain an injunction to restrain you from any threatened or actual activities in violation of any such covenants. You hereby consent and agree that temporary and permanent injunctive relief may be granted in any proceedings that might be brought to enforce any such covenants without the necessity of proof of actual damages, and in the event the Employer or the Company does apply for such an injunction, you shall not raise as a defense thereto that the Employer or the Company has an adequate remedy at law.</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the avoidance of doubt, the termination of this agreement for any reason, shall not extinguish your obligations specified in these restrictive covenants.</w:t>
      </w: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ALL PARTIES TO THIS AGREEMENT KNOW AND UNDERSTAND THAT THEY HAVE A CONSTITUTIONAL RIGHT TO A JURY TRIAL. THE PARTIES ACKNOWLEDGE THAT ANY DISPUTE OR CONTROVERSY THAT MAY ARISE OUT OF THIS AGREEMENT WILL INVOLVE COMPLICATED AND DIFFICULT FACTUAL AND LEGAL ISSUES.</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PARTIES HEREBY WAIVE ANY RIGHT TO TRIAL BY JURY IN ANY PROCEEDING ARISING OUT OF OR RELATING TO THIS AGREEMENT OR ANY OF THE CONTEMPLATED TRANSACTIONS,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TRIAL BY JURY AND THAT ANY PROCEEDING WHATSOEVER BETWEEN THEM RELATING TO THIS AGREEMENT OR ANY OF THE CONTEMPLATED</w:t>
      </w:r>
    </w:p>
    <w:p>
      <w:pPr>
        <w:sectPr>
          <w:pgSz w:w="11900" w:h="16838" w:orient="portrait"/>
          <w:cols w:equalWidth="0" w:num="1">
            <w:col w:w="11420"/>
          </w:cols>
          <w:pgMar w:left="240" w:top="576" w:right="239" w:bottom="1440" w:gutter="0" w:footer="0" w:header="0"/>
        </w:sectPr>
      </w:pPr>
    </w:p>
    <w:bookmarkStart w:id="61" w:name="page62"/>
    <w:bookmarkEnd w:id="61"/>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TRANSACTIONS SHALL INSTEAD BE TRIED IN A COURT OF COMPETENT JURISDICTION BY A JUDGE SITTING WITHOUT A JURY.</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PARTIES INTEND THAT THIS WAIVER OF THE RIGHT TO A JURY TRIAL BE AS BROAD AS POSSIBLE. BY THEIR SIGNATURES BELOW, THE PARTIES PROMISE, WARRANT AND REPRESENT THAT THEY WILL NOT PLEAD FOR, REQUEST OR OTHERWISE SEEK TO HAVE A JURY TO RESOLVE ANY AND ALL DISPUTES THAT MAY ARISE BY, BETWEEN OR AMONG THEM.</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You shall be responsible for the payment of all taxes applicable to payments or benefits received from the Employer or the Company. It is the intent of the Employer and the Company that the provisions of this agreement and all other plans and programs sponsored by the Employer and the Company be interpreted to comply in all respects with Internal Revenue Code Section 409A, however, the Employer and the Company shall have no liability to you, or any of your successors or beneficiaries, in the event taxes, penalties or excise taxes may ultimately be determined to be applicable to any payment or benefit received by you or your successors or beneficiaries.</w:t>
      </w:r>
    </w:p>
    <w:p>
      <w:pPr>
        <w:spacing w:after="0" w:line="19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validity, interpretation, and performance of this agreement shall be governed, interpreted, and construed in accordance with the laws of the State of Florida without giving effect to the principles of comity or conflicts of laws thereof.</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letter constitutes the full commitments which have been extended to you and shall supersede any prior agreements whether oral or written. However, this does not constitute a contract of employment for any period of time. Should you have any questions regarding these commitments or your ability to conform to Bloomin’ Brands policies and procedures, please let me know immediately.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signing this offer, you indicate your acceptance of our offer. Please keep one original copy of this offer letter for your personal files.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look forward to having you join us as a member of our team.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 Pablo Brizi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Pablo Brizi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Vice President, Chief Human Resources Officer</w:t>
      </w:r>
    </w:p>
    <w:p>
      <w:pPr>
        <w:spacing w:after="0"/>
        <w:rPr>
          <w:sz w:val="20"/>
          <w:szCs w:val="20"/>
          <w:color w:val="auto"/>
        </w:rPr>
      </w:pPr>
      <w:r>
        <w:rPr>
          <w:rFonts w:ascii="Times New Roman" w:cs="Times New Roman" w:eastAsia="Times New Roman" w:hAnsi="Times New Roman"/>
          <w:sz w:val="20"/>
          <w:szCs w:val="20"/>
          <w:color w:val="auto"/>
        </w:rPr>
        <w:t>Bloomin’ Brands,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accept the above offer of employment and I understand the terms as set forth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 Kelly M. Lefferts</w:t>
            </w: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6/26/19</w:t>
            </w:r>
          </w:p>
        </w:tc>
      </w:tr>
      <w:tr>
        <w:trPr>
          <w:trHeight w:val="34"/>
        </w:trPr>
        <w:tc>
          <w:tcPr>
            <w:tcW w:w="54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63"/>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Kelly M. Lefferts</w:t>
            </w:r>
          </w:p>
        </w:tc>
        <w:tc>
          <w:tcPr>
            <w:tcW w:w="33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Date</w:t>
            </w:r>
          </w:p>
        </w:tc>
      </w:tr>
    </w:tbl>
    <w:p>
      <w:pPr>
        <w:sectPr>
          <w:pgSz w:w="11900" w:h="16838" w:orient="portrait"/>
          <w:cols w:equalWidth="0" w:num="1">
            <w:col w:w="11420"/>
          </w:cols>
          <w:pgMar w:left="240" w:top="576" w:right="2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u w:val="single" w:color="auto"/>
          <w:color w:val="auto"/>
        </w:rPr>
        <w:t>Schedule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"Cause" shall be defined as:</w:t>
      </w:r>
    </w:p>
    <w:p>
      <w:pPr>
        <w:spacing w:after="0" w:line="189" w:lineRule="exact"/>
        <w:rPr>
          <w:sz w:val="20"/>
          <w:szCs w:val="20"/>
          <w:color w:val="auto"/>
        </w:rPr>
      </w:pPr>
    </w:p>
    <w:p>
      <w:pPr>
        <w:jc w:val="both"/>
        <w:ind w:left="660" w:hanging="328"/>
        <w:spacing w:after="0" w:line="244" w:lineRule="auto"/>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failure to perform the material duties required of you in a manner satisfactory to the Employer, in its reasonable discretion after the Employer follows the following procedures: (a) the Employer gives you a written notice (''Notice of Deficiency") which shall specify the deficiencies in your performance of duties; (b) you shall have a period of thirty (30) days, commencing on receipt of the Notice of Deficiency, in which to cure the deficiencies contained in the Notice of Deficiency; and (c) in the event you do not cure the deficiencies to the satisfaction of the Employer, in its reasonable discretion, within such thirty (30) day period (or if during such thirty</w:t>
      </w:r>
    </w:p>
    <w:p>
      <w:pPr>
        <w:jc w:val="both"/>
        <w:ind w:left="660" w:hanging="4"/>
        <w:spacing w:after="0" w:line="241" w:lineRule="auto"/>
        <w:tabs>
          <w:tab w:leader="none" w:pos="1081"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 period the Employer determines that you are not making reasonable, good faith efforts to cure the deficiencies to the reasonable satisfaction of the Employer), the Employer shall have the right to immediately terminate your employment for Cause. The provisions of this paragraph (1) may be invoked by the Employer any number of times and cure of deficiencies contained in any Notice of Deficiency shall not be construed as a waiver of this paragraph (1) nor prevent the Employer from issuing any subsequent Notices of Deficiency; or</w:t>
      </w:r>
    </w:p>
    <w:p>
      <w:pPr>
        <w:spacing w:after="0" w:line="200"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willful dishonesty by you in your dealings with the Company, the Employer or their affiliates; your commission of fraud, negligence in the performance of your duties; insubordination; willful misconduct; or your conviction (or plea of guilty or nolo contendere), indictment or charge with respect to, any felony, or any other crime involving dishonesty or moral turpitude; or</w:t>
      </w:r>
    </w:p>
    <w:p>
      <w:pPr>
        <w:spacing w:after="0" w:line="18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violation of the restrictive covenants of this agreement or</w:t>
      </w:r>
    </w:p>
    <w:p>
      <w:pPr>
        <w:spacing w:after="0" w:line="229"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violation of any current or future material published policy of the Employer or its Affiliates (material published policies include, but are not limited to, the Employer's discrimination and harassment policy, management dating policy, responsible alcohol policy, insider trading policy, ethics policy and security policy); or</w:t>
      </w:r>
    </w:p>
    <w:p>
      <w:pPr>
        <w:spacing w:after="0" w:line="188"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purposes of this Agreement, termination for Cause shall be deemed to have occurred in the event of the Employee's resignation when, because of existing facts and circumstances, subsequent termination for Cause can be reasonably foreseen.</w:t>
      </w:r>
    </w:p>
    <w:p>
      <w:pPr>
        <w:sectPr>
          <w:pgSz w:w="11900" w:h="16838" w:orient="portrait"/>
          <w:cols w:equalWidth="0" w:num="1">
            <w:col w:w="11420"/>
          </w:cols>
          <w:pgMar w:left="240" w:top="576" w:right="239" w:bottom="1440" w:gutter="0" w:footer="0" w:header="0"/>
        </w:sectPr>
      </w:pPr>
    </w:p>
    <w:bookmarkStart w:id="63" w:name="page64"/>
    <w:bookmarkEnd w:id="63"/>
    <w:p>
      <w:pPr>
        <w:ind w:left="9760"/>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AGREEMENT</w:t>
      </w:r>
    </w:p>
    <w:p>
      <w:pPr>
        <w:spacing w:after="0" w:line="26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THIS SEPARATION AGREEMENT (hereinafter “</w:t>
      </w:r>
      <w:r>
        <w:rPr>
          <w:rFonts w:ascii="Times New Roman" w:cs="Times New Roman" w:eastAsia="Times New Roman" w:hAnsi="Times New Roman"/>
          <w:sz w:val="22"/>
          <w:szCs w:val="22"/>
          <w:b w:val="1"/>
          <w:bCs w:val="1"/>
          <w:color w:val="auto"/>
        </w:rPr>
        <w:t>Separation Agreement</w:t>
      </w:r>
      <w:r>
        <w:rPr>
          <w:rFonts w:ascii="Times New Roman" w:cs="Times New Roman" w:eastAsia="Times New Roman" w:hAnsi="Times New Roman"/>
          <w:sz w:val="22"/>
          <w:szCs w:val="22"/>
          <w:color w:val="auto"/>
        </w:rPr>
        <w:t>”) is made and entered into by and between JOSEPH J. KADOW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and OSI RESTAURANT PARTNERS, LLC (“</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In consideration of the mutual promises set forth below, Employer and Employee agree as follows:</w:t>
      </w:r>
    </w:p>
    <w:p>
      <w:pPr>
        <w:spacing w:after="0" w:line="211" w:lineRule="exact"/>
        <w:rPr>
          <w:sz w:val="20"/>
          <w:szCs w:val="20"/>
          <w:color w:val="auto"/>
        </w:rPr>
      </w:pPr>
    </w:p>
    <w:p>
      <w:pPr>
        <w:ind w:left="660" w:hanging="652"/>
        <w:spacing w:after="0" w:line="271" w:lineRule="auto"/>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Employer will provide Employee with good and valuable consideration as specified below in return for Employee’s execution of this Separation Agreement.</w:t>
      </w:r>
    </w:p>
    <w:p>
      <w:pPr>
        <w:spacing w:after="0" w:line="19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promises and obligates himself to perform the following covenants under this Separation Agreement:</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261"/>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a.)</w:t>
            </w: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Employee agrees his employment with Employer is severed effective July 15, 2019 (“</w:t>
            </w:r>
            <w:r>
              <w:rPr>
                <w:rFonts w:ascii="Times New Roman" w:cs="Times New Roman" w:eastAsia="Times New Roman" w:hAnsi="Times New Roman"/>
                <w:sz w:val="22"/>
                <w:szCs w:val="22"/>
                <w:b w:val="1"/>
                <w:bCs w:val="1"/>
                <w:color w:val="auto"/>
              </w:rPr>
              <w:t>Separation Date</w:t>
            </w:r>
            <w:r>
              <w:rPr>
                <w:rFonts w:ascii="Times New Roman" w:cs="Times New Roman" w:eastAsia="Times New Roman" w:hAnsi="Times New Roman"/>
                <w:sz w:val="22"/>
                <w:szCs w:val="22"/>
                <w:color w:val="auto"/>
              </w:rPr>
              <w:t>”) and that</w:t>
            </w:r>
          </w:p>
        </w:tc>
      </w:tr>
      <w:tr>
        <w:trPr>
          <w:trHeight w:val="253"/>
        </w:trPr>
        <w:tc>
          <w:tcPr>
            <w:tcW w:w="440" w:type="dxa"/>
            <w:vAlign w:val="bottom"/>
          </w:tcPr>
          <w:p>
            <w:pPr>
              <w:spacing w:after="0"/>
              <w:rPr>
                <w:sz w:val="21"/>
                <w:szCs w:val="21"/>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certain Officer Employment Agreement by and between the Employee and the Employer dated effective June 14,</w:t>
            </w:r>
          </w:p>
        </w:tc>
      </w:tr>
      <w:tr>
        <w:trPr>
          <w:trHeight w:val="287"/>
        </w:trPr>
        <w:tc>
          <w:tcPr>
            <w:tcW w:w="440" w:type="dxa"/>
            <w:vAlign w:val="bottom"/>
          </w:tcPr>
          <w:p>
            <w:pPr>
              <w:spacing w:after="0"/>
              <w:rPr>
                <w:sz w:val="24"/>
                <w:szCs w:val="24"/>
                <w:color w:val="auto"/>
              </w:rPr>
            </w:pPr>
          </w:p>
        </w:tc>
        <w:tc>
          <w:tcPr>
            <w:tcW w:w="8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2007, as amended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is terminated as of the Separation Date.</w:t>
            </w: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Employee was awarded 9,272 Bloomin’ Brands, Inc. (formerly Kangaroo Holdings, Inc.) (“</w:t>
            </w:r>
            <w:r>
              <w:rPr>
                <w:rFonts w:ascii="Times New Roman" w:cs="Times New Roman" w:eastAsia="Times New Roman" w:hAnsi="Times New Roman"/>
                <w:sz w:val="22"/>
                <w:szCs w:val="22"/>
                <w:b w:val="1"/>
                <w:bCs w:val="1"/>
                <w:color w:val="auto"/>
              </w:rPr>
              <w:t>BBI</w:t>
            </w:r>
            <w:r>
              <w:rPr>
                <w:rFonts w:ascii="Times New Roman" w:cs="Times New Roman" w:eastAsia="Times New Roman" w:hAnsi="Times New Roman"/>
                <w:sz w:val="22"/>
                <w:szCs w:val="22"/>
                <w:color w:val="auto"/>
              </w:rPr>
              <w:t>”) performance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8"/>
              </w:rPr>
              <w:t>share units (the “</w:t>
            </w:r>
            <w:r>
              <w:rPr>
                <w:rFonts w:ascii="Times New Roman" w:cs="Times New Roman" w:eastAsia="Times New Roman" w:hAnsi="Times New Roman"/>
                <w:sz w:val="22"/>
                <w:szCs w:val="22"/>
                <w:b w:val="1"/>
                <w:bCs w:val="1"/>
                <w:color w:val="auto"/>
                <w:w w:val="98"/>
              </w:rPr>
              <w:t>2017 Performance Share Units</w:t>
            </w:r>
            <w:r>
              <w:rPr>
                <w:rFonts w:ascii="Times New Roman" w:cs="Times New Roman" w:eastAsia="Times New Roman" w:hAnsi="Times New Roman"/>
                <w:sz w:val="22"/>
                <w:szCs w:val="22"/>
                <w:color w:val="auto"/>
                <w:w w:val="98"/>
              </w:rPr>
              <w:t>”) pursuant to that certain Agreement with a grant date of February</w:t>
            </w:r>
          </w:p>
        </w:tc>
      </w:tr>
      <w:tr>
        <w:trPr>
          <w:trHeight w:val="261"/>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24, 2017 (the “</w:t>
            </w:r>
            <w:r>
              <w:rPr>
                <w:rFonts w:ascii="Times New Roman" w:cs="Times New Roman" w:eastAsia="Times New Roman" w:hAnsi="Times New Roman"/>
                <w:sz w:val="22"/>
                <w:szCs w:val="22"/>
                <w:b w:val="1"/>
                <w:bCs w:val="1"/>
                <w:color w:val="auto"/>
              </w:rPr>
              <w:t>2017 Agreement</w:t>
            </w:r>
            <w:r>
              <w:rPr>
                <w:rFonts w:ascii="Times New Roman" w:cs="Times New Roman" w:eastAsia="Times New Roman" w:hAnsi="Times New Roman"/>
                <w:sz w:val="22"/>
                <w:szCs w:val="22"/>
                <w:color w:val="auto"/>
              </w:rPr>
              <w:t>”). Employee agrees none of the 2017 Performance Share Units are vested and all</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are hereby forfeited, cancelled, terminated and deemed null and void ab initio as of the Separation Date. The 2017</w:t>
            </w:r>
          </w:p>
        </w:tc>
      </w:tr>
      <w:tr>
        <w:trPr>
          <w:trHeight w:val="283"/>
        </w:trPr>
        <w:tc>
          <w:tcPr>
            <w:tcW w:w="440" w:type="dxa"/>
            <w:vAlign w:val="bottom"/>
          </w:tcPr>
          <w:p>
            <w:pPr>
              <w:spacing w:after="0"/>
              <w:rPr>
                <w:sz w:val="24"/>
                <w:szCs w:val="24"/>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Agreement is hereby forfeited, cancelled, terminated and deemed null and void ab initio as of the Separation Date.</w:t>
            </w:r>
          </w:p>
        </w:tc>
      </w:tr>
      <w:tr>
        <w:trPr>
          <w:trHeight w:val="48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8"/>
              </w:rPr>
              <w:t>Employee was awarded 6,573 BBI performance share units (the “</w:t>
            </w:r>
            <w:r>
              <w:rPr>
                <w:rFonts w:ascii="Times New Roman" w:cs="Times New Roman" w:eastAsia="Times New Roman" w:hAnsi="Times New Roman"/>
                <w:sz w:val="22"/>
                <w:szCs w:val="22"/>
                <w:b w:val="1"/>
                <w:bCs w:val="1"/>
                <w:color w:val="auto"/>
                <w:w w:val="98"/>
              </w:rPr>
              <w:t>2018 Performance Share Units</w:t>
            </w:r>
            <w:r>
              <w:rPr>
                <w:rFonts w:ascii="Times New Roman" w:cs="Times New Roman" w:eastAsia="Times New Roman" w:hAnsi="Times New Roman"/>
                <w:sz w:val="22"/>
                <w:szCs w:val="22"/>
                <w:color w:val="auto"/>
                <w:w w:val="98"/>
              </w:rPr>
              <w:t>”) pursuant to that</w:t>
            </w:r>
          </w:p>
        </w:tc>
      </w:tr>
      <w:tr>
        <w:trPr>
          <w:trHeight w:val="261"/>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certain Agreement with a grant date of February 23, 2018 (the “</w:t>
            </w:r>
            <w:r>
              <w:rPr>
                <w:rFonts w:ascii="Times New Roman" w:cs="Times New Roman" w:eastAsia="Times New Roman" w:hAnsi="Times New Roman"/>
                <w:sz w:val="22"/>
                <w:szCs w:val="22"/>
                <w:b w:val="1"/>
                <w:bCs w:val="1"/>
                <w:color w:val="auto"/>
              </w:rPr>
              <w:t>2018 Agreement</w:t>
            </w:r>
            <w:r>
              <w:rPr>
                <w:rFonts w:ascii="Times New Roman" w:cs="Times New Roman" w:eastAsia="Times New Roman" w:hAnsi="Times New Roman"/>
                <w:sz w:val="22"/>
                <w:szCs w:val="22"/>
                <w:color w:val="auto"/>
              </w:rPr>
              <w:t>”). Employee agrees none of the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2018 Performance Share Units are vested and all are hereby forfeited, cancelled, terminated and deemed null and</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void ab initio as of the Separation Date. The 2018 Agreement is hereby forfeited, cancelled, terminated and deemed</w:t>
            </w:r>
          </w:p>
        </w:tc>
      </w:tr>
      <w:tr>
        <w:trPr>
          <w:trHeight w:val="283"/>
        </w:trPr>
        <w:tc>
          <w:tcPr>
            <w:tcW w:w="440" w:type="dxa"/>
            <w:vAlign w:val="bottom"/>
          </w:tcPr>
          <w:p>
            <w:pPr>
              <w:spacing w:after="0"/>
              <w:rPr>
                <w:sz w:val="24"/>
                <w:szCs w:val="24"/>
                <w:color w:val="auto"/>
              </w:rPr>
            </w:pPr>
          </w:p>
        </w:tc>
        <w:tc>
          <w:tcPr>
            <w:tcW w:w="8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null and void ab initio as of the Separation Date.</w:t>
            </w: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d.)</w:t>
            </w: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8"/>
              </w:rPr>
              <w:t>Employee was awarded 8,942 BBI performance share units (the “</w:t>
            </w:r>
            <w:r>
              <w:rPr>
                <w:rFonts w:ascii="Times New Roman" w:cs="Times New Roman" w:eastAsia="Times New Roman" w:hAnsi="Times New Roman"/>
                <w:sz w:val="22"/>
                <w:szCs w:val="22"/>
                <w:b w:val="1"/>
                <w:bCs w:val="1"/>
                <w:color w:val="auto"/>
                <w:w w:val="98"/>
              </w:rPr>
              <w:t>2019 Performance Share Units</w:t>
            </w:r>
            <w:r>
              <w:rPr>
                <w:rFonts w:ascii="Times New Roman" w:cs="Times New Roman" w:eastAsia="Times New Roman" w:hAnsi="Times New Roman"/>
                <w:sz w:val="22"/>
                <w:szCs w:val="22"/>
                <w:color w:val="auto"/>
                <w:w w:val="98"/>
              </w:rPr>
              <w:t>”) pursuant to that</w:t>
            </w:r>
          </w:p>
        </w:tc>
      </w:tr>
      <w:tr>
        <w:trPr>
          <w:trHeight w:val="261"/>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certain Agreement with a grant date of February 19, 2019 (the “</w:t>
            </w:r>
            <w:r>
              <w:rPr>
                <w:rFonts w:ascii="Times New Roman" w:cs="Times New Roman" w:eastAsia="Times New Roman" w:hAnsi="Times New Roman"/>
                <w:sz w:val="22"/>
                <w:szCs w:val="22"/>
                <w:b w:val="1"/>
                <w:bCs w:val="1"/>
                <w:color w:val="auto"/>
              </w:rPr>
              <w:t>2019 Agreement</w:t>
            </w:r>
            <w:r>
              <w:rPr>
                <w:rFonts w:ascii="Times New Roman" w:cs="Times New Roman" w:eastAsia="Times New Roman" w:hAnsi="Times New Roman"/>
                <w:sz w:val="22"/>
                <w:szCs w:val="22"/>
                <w:color w:val="auto"/>
              </w:rPr>
              <w:t>”). Employee agrees none of the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2019 Performance Share Units are vested and all are hereby forfeited, cancelled, terminated and deemed null and</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void ab initio as of the Separation Date. The 2019 Agreement is hereby forfeited, cancelled, terminated and deemed</w:t>
            </w:r>
          </w:p>
        </w:tc>
      </w:tr>
      <w:tr>
        <w:trPr>
          <w:trHeight w:val="283"/>
        </w:trPr>
        <w:tc>
          <w:tcPr>
            <w:tcW w:w="440" w:type="dxa"/>
            <w:vAlign w:val="bottom"/>
          </w:tcPr>
          <w:p>
            <w:pPr>
              <w:spacing w:after="0"/>
              <w:rPr>
                <w:sz w:val="24"/>
                <w:szCs w:val="24"/>
                <w:color w:val="auto"/>
              </w:rPr>
            </w:pPr>
          </w:p>
        </w:tc>
        <w:tc>
          <w:tcPr>
            <w:tcW w:w="82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null and void ab initio as of the Separation Date.</w:t>
            </w: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e.)</w:t>
            </w: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Employee was granted the option to purchase 24,331 shares of the common stock of BBI (the “</w:t>
            </w:r>
            <w:r>
              <w:rPr>
                <w:rFonts w:ascii="Times New Roman" w:cs="Times New Roman" w:eastAsia="Times New Roman" w:hAnsi="Times New Roman"/>
                <w:sz w:val="22"/>
                <w:szCs w:val="22"/>
                <w:b w:val="1"/>
                <w:bCs w:val="1"/>
                <w:color w:val="auto"/>
              </w:rPr>
              <w:t>2014 Options</w:t>
            </w:r>
            <w:r>
              <w:rPr>
                <w:rFonts w:ascii="Times New Roman" w:cs="Times New Roman" w:eastAsia="Times New Roman" w:hAnsi="Times New Roman"/>
                <w:sz w:val="22"/>
                <w:szCs w:val="22"/>
                <w:color w:val="auto"/>
              </w:rPr>
              <w:t>”)</w:t>
            </w:r>
          </w:p>
        </w:tc>
      </w:tr>
      <w:tr>
        <w:trPr>
          <w:trHeight w:val="261"/>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pursuant to that certain Option Agreement with a grant date of February 27, 2014 (the “</w:t>
            </w:r>
            <w:r>
              <w:rPr>
                <w:rFonts w:ascii="Times New Roman" w:cs="Times New Roman" w:eastAsia="Times New Roman" w:hAnsi="Times New Roman"/>
                <w:sz w:val="22"/>
                <w:szCs w:val="22"/>
                <w:b w:val="1"/>
                <w:bCs w:val="1"/>
                <w:color w:val="auto"/>
                <w:w w:val="99"/>
              </w:rPr>
              <w:t>2014 Option Agreement</w:t>
            </w:r>
            <w:r>
              <w:rPr>
                <w:rFonts w:ascii="Times New Roman" w:cs="Times New Roman" w:eastAsia="Times New Roman" w:hAnsi="Times New Roman"/>
                <w:sz w:val="22"/>
                <w:szCs w:val="22"/>
                <w:color w:val="auto"/>
                <w:w w:val="99"/>
              </w:rPr>
              <w:t>”).</w:t>
            </w:r>
          </w:p>
        </w:tc>
      </w:tr>
      <w:tr>
        <w:trPr>
          <w:trHeight w:val="283"/>
        </w:trPr>
        <w:tc>
          <w:tcPr>
            <w:tcW w:w="440" w:type="dxa"/>
            <w:vAlign w:val="bottom"/>
          </w:tcPr>
          <w:p>
            <w:pPr>
              <w:spacing w:after="0"/>
              <w:rPr>
                <w:sz w:val="24"/>
                <w:szCs w:val="24"/>
                <w:color w:val="auto"/>
              </w:rPr>
            </w:pPr>
          </w:p>
        </w:tc>
        <w:tc>
          <w:tcPr>
            <w:tcW w:w="82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Employee agrees all 24,331 shares of the 2014 Options are vested and unexercised, and shall</w:t>
            </w: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9"/>
        </w:trPr>
        <w:tc>
          <w:tcPr>
            <w:tcW w:w="440" w:type="dxa"/>
            <w:vAlign w:val="bottom"/>
          </w:tcPr>
          <w:p>
            <w:pPr>
              <w:spacing w:after="0"/>
              <w:rPr>
                <w:sz w:val="24"/>
                <w:szCs w:val="24"/>
                <w:color w:val="auto"/>
              </w:rPr>
            </w:pPr>
          </w:p>
        </w:tc>
        <w:tc>
          <w:tcPr>
            <w:tcW w:w="826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Page 1 of 10</w:t>
            </w:r>
          </w:p>
        </w:tc>
        <w:tc>
          <w:tcPr>
            <w:tcW w:w="2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Employee Initials:  </w:t>
            </w:r>
            <w:r>
              <w:rPr>
                <w:rFonts w:ascii="Times New Roman" w:cs="Times New Roman" w:eastAsia="Times New Roman" w:hAnsi="Times New Roman"/>
                <w:sz w:val="18"/>
                <w:szCs w:val="18"/>
                <w:b w:val="1"/>
                <w:bCs w:val="1"/>
                <w:color w:val="auto"/>
              </w:rPr>
              <w:t>/s/ JK</w:t>
            </w:r>
          </w:p>
        </w:tc>
      </w:tr>
      <w:tr>
        <w:trPr>
          <w:trHeight w:val="20"/>
        </w:trPr>
        <w:tc>
          <w:tcPr>
            <w:tcW w:w="4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20"/>
          </w:cols>
          <w:pgMar w:left="240" w:top="279"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remain vested and exercisable for 365 calendar days following the Separation Date. Employee agrees the 2014</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Option Agreement is hereby cancelled, terminated and deemed null and void ab initio effective as of 12:01 a.m.</w:t>
            </w:r>
          </w:p>
        </w:tc>
      </w:tr>
      <w:tr>
        <w:trPr>
          <w:trHeight w:val="283"/>
        </w:trPr>
        <w:tc>
          <w:tcPr>
            <w:tcW w:w="440" w:type="dxa"/>
            <w:vAlign w:val="bottom"/>
          </w:tcPr>
          <w:p>
            <w:pPr>
              <w:spacing w:after="0"/>
              <w:rPr>
                <w:sz w:val="24"/>
                <w:szCs w:val="24"/>
                <w:color w:val="auto"/>
              </w:rPr>
            </w:pPr>
          </w:p>
        </w:tc>
        <w:tc>
          <w:tcPr>
            <w:tcW w:w="7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(Tampa time) on the one-year anniversary of the Separation Date.</w:t>
            </w: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f.)</w:t>
            </w: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Employee was granted the option to purchase 24,510 shares of the common stock of BBI (the “</w:t>
            </w:r>
            <w:r>
              <w:rPr>
                <w:rFonts w:ascii="Times New Roman" w:cs="Times New Roman" w:eastAsia="Times New Roman" w:hAnsi="Times New Roman"/>
                <w:sz w:val="22"/>
                <w:szCs w:val="22"/>
                <w:b w:val="1"/>
                <w:bCs w:val="1"/>
                <w:color w:val="auto"/>
              </w:rPr>
              <w:t>2015 Options</w:t>
            </w:r>
            <w:r>
              <w:rPr>
                <w:rFonts w:ascii="Times New Roman" w:cs="Times New Roman" w:eastAsia="Times New Roman" w:hAnsi="Times New Roman"/>
                <w:sz w:val="22"/>
                <w:szCs w:val="22"/>
                <w:color w:val="auto"/>
              </w:rPr>
              <w:t>”)</w:t>
            </w:r>
          </w:p>
        </w:tc>
      </w:tr>
      <w:tr>
        <w:trPr>
          <w:trHeight w:val="261"/>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pursuant to that certain Option Agreement with a grant date of February 26, 2015 (the “</w:t>
            </w:r>
            <w:r>
              <w:rPr>
                <w:rFonts w:ascii="Times New Roman" w:cs="Times New Roman" w:eastAsia="Times New Roman" w:hAnsi="Times New Roman"/>
                <w:sz w:val="22"/>
                <w:szCs w:val="22"/>
                <w:b w:val="1"/>
                <w:bCs w:val="1"/>
                <w:color w:val="auto"/>
                <w:w w:val="99"/>
              </w:rPr>
              <w:t>2015 Option Agreement</w:t>
            </w:r>
            <w:r>
              <w:rPr>
                <w:rFonts w:ascii="Times New Roman" w:cs="Times New Roman" w:eastAsia="Times New Roman" w:hAnsi="Times New Roman"/>
                <w:sz w:val="22"/>
                <w:szCs w:val="22"/>
                <w:color w:val="auto"/>
                <w:w w:val="99"/>
              </w:rPr>
              <w:t>”).</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Employee agrees all 24,510 shares of the 2015 Options are vested and unexercised, and shall remain vested and</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exercisable for 365 calendar days following the Separation Date. Employee agrees the 2015 Option Agreement is</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8"/>
              </w:rPr>
              <w:t>hereby cancelled, terminated and deemed null and void ab initio effective as of 12:01 a.m. (Tampa time) on the one-</w:t>
            </w:r>
          </w:p>
        </w:tc>
      </w:tr>
      <w:tr>
        <w:trPr>
          <w:trHeight w:val="283"/>
        </w:trPr>
        <w:tc>
          <w:tcPr>
            <w:tcW w:w="440" w:type="dxa"/>
            <w:vAlign w:val="bottom"/>
          </w:tcPr>
          <w:p>
            <w:pPr>
              <w:spacing w:after="0"/>
              <w:rPr>
                <w:sz w:val="24"/>
                <w:szCs w:val="24"/>
                <w:color w:val="auto"/>
              </w:rPr>
            </w:pPr>
          </w:p>
        </w:tc>
        <w:tc>
          <w:tcPr>
            <w:tcW w:w="7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year anniversary of the Separation Date.</w:t>
            </w: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g.)</w:t>
            </w: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Employee was granted the option to purchase 35,165 shares of the common stock of BBI (the “</w:t>
            </w:r>
            <w:r>
              <w:rPr>
                <w:rFonts w:ascii="Times New Roman" w:cs="Times New Roman" w:eastAsia="Times New Roman" w:hAnsi="Times New Roman"/>
                <w:sz w:val="22"/>
                <w:szCs w:val="22"/>
                <w:b w:val="1"/>
                <w:bCs w:val="1"/>
                <w:color w:val="auto"/>
              </w:rPr>
              <w:t>2016 Options</w:t>
            </w:r>
            <w:r>
              <w:rPr>
                <w:rFonts w:ascii="Times New Roman" w:cs="Times New Roman" w:eastAsia="Times New Roman" w:hAnsi="Times New Roman"/>
                <w:sz w:val="22"/>
                <w:szCs w:val="22"/>
                <w:color w:val="auto"/>
              </w:rPr>
              <w:t>”)</w:t>
            </w:r>
          </w:p>
        </w:tc>
      </w:tr>
      <w:tr>
        <w:trPr>
          <w:trHeight w:val="261"/>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pursuant to that certain Option Agreement with a grant date of February 25, 2016 (the “</w:t>
            </w:r>
            <w:r>
              <w:rPr>
                <w:rFonts w:ascii="Times New Roman" w:cs="Times New Roman" w:eastAsia="Times New Roman" w:hAnsi="Times New Roman"/>
                <w:sz w:val="22"/>
                <w:szCs w:val="22"/>
                <w:b w:val="1"/>
                <w:bCs w:val="1"/>
                <w:color w:val="auto"/>
                <w:w w:val="99"/>
              </w:rPr>
              <w:t>2016 Option Agreement</w:t>
            </w:r>
            <w:r>
              <w:rPr>
                <w:rFonts w:ascii="Times New Roman" w:cs="Times New Roman" w:eastAsia="Times New Roman" w:hAnsi="Times New Roman"/>
                <w:sz w:val="22"/>
                <w:szCs w:val="22"/>
                <w:color w:val="auto"/>
                <w:w w:val="99"/>
              </w:rPr>
              <w:t>”).</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Employee agrees that 17,582 shares of the 2016 Options were previously vested and exercised. Employee agrees</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that 8,791 shares of the 2016 Options are vested and which are unexercised shall remain vested and exercisable for</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365 calendar days following the Separation Date. Employee agrees the remaining 8,792 shares of the 2016 Options</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are unvested and hereby forfeited, cancelled, terminated and deemed null and void ab initio as of the Separation</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Date. Employee agrees the 2016 Option Agreement is hereby cancelled, terminated and deemed null and void ab</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initio effective as of 12:01 a.m. (Tampa time) on the one-year anniversary of the Separation Date. For clarification,</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the 2016 Option Agreement will continue only with respect to the 8,791 vested and unexercised shares of the 2016</w:t>
            </w:r>
          </w:p>
        </w:tc>
      </w:tr>
      <w:tr>
        <w:trPr>
          <w:trHeight w:val="283"/>
        </w:trPr>
        <w:tc>
          <w:tcPr>
            <w:tcW w:w="440" w:type="dxa"/>
            <w:vAlign w:val="bottom"/>
          </w:tcPr>
          <w:p>
            <w:pPr>
              <w:spacing w:after="0"/>
              <w:rPr>
                <w:sz w:val="24"/>
                <w:szCs w:val="24"/>
                <w:color w:val="auto"/>
              </w:rPr>
            </w:pPr>
          </w:p>
        </w:tc>
        <w:tc>
          <w:tcPr>
            <w:tcW w:w="7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Options and only until the one-year anniversary of the Separation Date.</w:t>
            </w: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h.)</w:t>
            </w: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Employee was granted the option to purchase 30,000 shares of the common stock of BBI (the “</w:t>
            </w:r>
            <w:r>
              <w:rPr>
                <w:rFonts w:ascii="Times New Roman" w:cs="Times New Roman" w:eastAsia="Times New Roman" w:hAnsi="Times New Roman"/>
                <w:sz w:val="22"/>
                <w:szCs w:val="22"/>
                <w:b w:val="1"/>
                <w:bCs w:val="1"/>
                <w:color w:val="auto"/>
              </w:rPr>
              <w:t>2017 Options</w:t>
            </w:r>
            <w:r>
              <w:rPr>
                <w:rFonts w:ascii="Times New Roman" w:cs="Times New Roman" w:eastAsia="Times New Roman" w:hAnsi="Times New Roman"/>
                <w:sz w:val="22"/>
                <w:szCs w:val="22"/>
                <w:color w:val="auto"/>
              </w:rPr>
              <w:t>”)</w:t>
            </w:r>
          </w:p>
        </w:tc>
      </w:tr>
      <w:tr>
        <w:trPr>
          <w:trHeight w:val="261"/>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pursuant to that certain Option Agreement with a grant date of February 24, 2017 (the “</w:t>
            </w:r>
            <w:r>
              <w:rPr>
                <w:rFonts w:ascii="Times New Roman" w:cs="Times New Roman" w:eastAsia="Times New Roman" w:hAnsi="Times New Roman"/>
                <w:sz w:val="22"/>
                <w:szCs w:val="22"/>
                <w:b w:val="1"/>
                <w:bCs w:val="1"/>
                <w:color w:val="auto"/>
                <w:w w:val="99"/>
              </w:rPr>
              <w:t>2017 Option Agreement</w:t>
            </w:r>
            <w:r>
              <w:rPr>
                <w:rFonts w:ascii="Times New Roman" w:cs="Times New Roman" w:eastAsia="Times New Roman" w:hAnsi="Times New Roman"/>
                <w:sz w:val="22"/>
                <w:szCs w:val="22"/>
                <w:color w:val="auto"/>
                <w:w w:val="99"/>
              </w:rPr>
              <w:t>”).</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Employee agrees 7,500 shares of the 2017 Options were previously vested and exercised. Employee agrees that</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7,500 shares of the 2017 Options are vested and which are unexercised shall remain vested and exercisable for 365</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calendar days following the Separation Date. Employee agrees the remaining 15,000 shares of the 2017 Options are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unvested and hereby forfeited, cancelled, terminated and deemed null and void ab initio as of the Separation Date.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Employee agrees the 2017 Option Agreement is hereby cancelled, terminated and deemed null and void ab initio</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effective as of 12:01 a.m. (Tampa time) on the one-year anniversary of the Separation Date. For clarification, the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2017 Option Agreement will continue only with respect to the 7,500 vested and unexercised shares of the 2017</w:t>
            </w:r>
          </w:p>
        </w:tc>
      </w:tr>
      <w:tr>
        <w:trPr>
          <w:trHeight w:val="283"/>
        </w:trPr>
        <w:tc>
          <w:tcPr>
            <w:tcW w:w="440" w:type="dxa"/>
            <w:vAlign w:val="bottom"/>
          </w:tcPr>
          <w:p>
            <w:pPr>
              <w:spacing w:after="0"/>
              <w:rPr>
                <w:sz w:val="24"/>
                <w:szCs w:val="24"/>
                <w:color w:val="auto"/>
              </w:rPr>
            </w:pPr>
          </w:p>
        </w:tc>
        <w:tc>
          <w:tcPr>
            <w:tcW w:w="7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Options and only until the one-year anniversary of the Separation Date.</w:t>
            </w: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Employee was granted the option to purchase 20,840 shares of the common stock of BBI (the “</w:t>
            </w:r>
            <w:r>
              <w:rPr>
                <w:rFonts w:ascii="Times New Roman" w:cs="Times New Roman" w:eastAsia="Times New Roman" w:hAnsi="Times New Roman"/>
                <w:sz w:val="22"/>
                <w:szCs w:val="22"/>
                <w:b w:val="1"/>
                <w:bCs w:val="1"/>
                <w:color w:val="auto"/>
              </w:rPr>
              <w:t>2018 Options</w:t>
            </w:r>
            <w:r>
              <w:rPr>
                <w:rFonts w:ascii="Times New Roman" w:cs="Times New Roman" w:eastAsia="Times New Roman" w:hAnsi="Times New Roman"/>
                <w:sz w:val="22"/>
                <w:szCs w:val="22"/>
                <w:color w:val="auto"/>
              </w:rPr>
              <w:t>”)</w:t>
            </w:r>
          </w:p>
        </w:tc>
      </w:tr>
      <w:tr>
        <w:trPr>
          <w:trHeight w:val="261"/>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pursuant to that certain Option Agreement with a grant date of February 23, 2018 (the “</w:t>
            </w:r>
            <w:r>
              <w:rPr>
                <w:rFonts w:ascii="Times New Roman" w:cs="Times New Roman" w:eastAsia="Times New Roman" w:hAnsi="Times New Roman"/>
                <w:sz w:val="22"/>
                <w:szCs w:val="22"/>
                <w:b w:val="1"/>
                <w:bCs w:val="1"/>
                <w:color w:val="auto"/>
                <w:w w:val="99"/>
              </w:rPr>
              <w:t>2018 Option Agreement</w:t>
            </w:r>
            <w:r>
              <w:rPr>
                <w:rFonts w:ascii="Times New Roman" w:cs="Times New Roman" w:eastAsia="Times New Roman" w:hAnsi="Times New Roman"/>
                <w:sz w:val="22"/>
                <w:szCs w:val="22"/>
                <w:color w:val="auto"/>
                <w:w w:val="99"/>
              </w:rPr>
              <w:t>”).</w:t>
            </w:r>
          </w:p>
        </w:tc>
      </w:tr>
      <w:tr>
        <w:trPr>
          <w:trHeight w:val="283"/>
        </w:trPr>
        <w:tc>
          <w:tcPr>
            <w:tcW w:w="440" w:type="dxa"/>
            <w:vAlign w:val="bottom"/>
          </w:tcPr>
          <w:p>
            <w:pPr>
              <w:spacing w:after="0"/>
              <w:rPr>
                <w:sz w:val="24"/>
                <w:szCs w:val="24"/>
                <w:color w:val="auto"/>
              </w:rPr>
            </w:pPr>
          </w:p>
        </w:tc>
        <w:tc>
          <w:tcPr>
            <w:tcW w:w="7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Employee</w:t>
            </w: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9"/>
        </w:trPr>
        <w:tc>
          <w:tcPr>
            <w:tcW w:w="440" w:type="dxa"/>
            <w:vAlign w:val="bottom"/>
          </w:tcPr>
          <w:p>
            <w:pPr>
              <w:spacing w:after="0"/>
              <w:rPr>
                <w:sz w:val="24"/>
                <w:szCs w:val="24"/>
                <w:color w:val="auto"/>
              </w:rPr>
            </w:pPr>
          </w:p>
        </w:tc>
        <w:tc>
          <w:tcPr>
            <w:tcW w:w="734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Page 2 of 10</w:t>
            </w:r>
          </w:p>
        </w:tc>
        <w:tc>
          <w:tcPr>
            <w:tcW w:w="298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 xml:space="preserve">Employee Initials:  </w:t>
            </w:r>
            <w:r>
              <w:rPr>
                <w:rFonts w:ascii="Times New Roman" w:cs="Times New Roman" w:eastAsia="Times New Roman" w:hAnsi="Times New Roman"/>
                <w:sz w:val="18"/>
                <w:szCs w:val="18"/>
                <w:b w:val="1"/>
                <w:bCs w:val="1"/>
                <w:color w:val="auto"/>
              </w:rPr>
              <w:t>/s/ JK</w:t>
            </w:r>
          </w:p>
        </w:tc>
      </w:tr>
      <w:tr>
        <w:trPr>
          <w:trHeight w:val="20"/>
        </w:trPr>
        <w:tc>
          <w:tcPr>
            <w:tcW w:w="4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0760"/>
          </w:cols>
          <w:pgMar w:left="900" w:top="828"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agrees that 5,210 shares of the 2018 Options are vested and which are unexercised shall remain vested and</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exercisable for 365 calendar days following the Separation Date. Employee agrees the remaining 15,630 shares of</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the 2018 Options are unvested and hereby forfeited, cancelled, terminated and deemed null and void ab initio as of</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9"/>
              </w:rPr>
              <w:t>the Separation Date. Employee agrees the 2018 Option Agreement is hereby cancelled, terminated and deemed null</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8"/>
              </w:rPr>
              <w:t>and void ab initio effective as of 12:01 a.m. on the one-year anniversary of the Separation Date. For clarification, the</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2018 Option Agreement will continue only with respect to the 5,210 vested and unexercised shares of the 2018</w:t>
            </w:r>
          </w:p>
        </w:tc>
      </w:tr>
      <w:tr>
        <w:trPr>
          <w:trHeight w:val="283"/>
        </w:trPr>
        <w:tc>
          <w:tcPr>
            <w:tcW w:w="460" w:type="dxa"/>
            <w:vAlign w:val="bottom"/>
          </w:tcPr>
          <w:p>
            <w:pPr>
              <w:spacing w:after="0"/>
              <w:rPr>
                <w:sz w:val="24"/>
                <w:szCs w:val="24"/>
                <w:color w:val="auto"/>
              </w:rPr>
            </w:pPr>
          </w:p>
        </w:tc>
        <w:tc>
          <w:tcPr>
            <w:tcW w:w="7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Options and only until the one-year anniversary of the Separation Date.</w:t>
            </w: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3"/>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j.)</w:t>
            </w: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Employee was granted the option to purchase 30,982 shares of the common stock of BBI (the “</w:t>
            </w:r>
            <w:r>
              <w:rPr>
                <w:rFonts w:ascii="Times New Roman" w:cs="Times New Roman" w:eastAsia="Times New Roman" w:hAnsi="Times New Roman"/>
                <w:sz w:val="22"/>
                <w:szCs w:val="22"/>
                <w:b w:val="1"/>
                <w:bCs w:val="1"/>
                <w:color w:val="auto"/>
              </w:rPr>
              <w:t>2019 Options</w:t>
            </w:r>
            <w:r>
              <w:rPr>
                <w:rFonts w:ascii="Times New Roman" w:cs="Times New Roman" w:eastAsia="Times New Roman" w:hAnsi="Times New Roman"/>
                <w:sz w:val="22"/>
                <w:szCs w:val="22"/>
                <w:color w:val="auto"/>
              </w:rPr>
              <w:t>”)</w:t>
            </w:r>
          </w:p>
        </w:tc>
      </w:tr>
      <w:tr>
        <w:trPr>
          <w:trHeight w:val="261"/>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9"/>
              </w:rPr>
              <w:t>pursuant to that certain Option Agreement with a grant date of February 19, 2019 (the “</w:t>
            </w:r>
            <w:r>
              <w:rPr>
                <w:rFonts w:ascii="Times New Roman" w:cs="Times New Roman" w:eastAsia="Times New Roman" w:hAnsi="Times New Roman"/>
                <w:sz w:val="22"/>
                <w:szCs w:val="22"/>
                <w:b w:val="1"/>
                <w:bCs w:val="1"/>
                <w:color w:val="auto"/>
                <w:w w:val="99"/>
              </w:rPr>
              <w:t>2019 Option Agreement</w:t>
            </w:r>
            <w:r>
              <w:rPr>
                <w:rFonts w:ascii="Times New Roman" w:cs="Times New Roman" w:eastAsia="Times New Roman" w:hAnsi="Times New Roman"/>
                <w:sz w:val="22"/>
                <w:szCs w:val="22"/>
                <w:color w:val="auto"/>
                <w:w w:val="99"/>
              </w:rPr>
              <w:t>”).</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8"/>
              </w:rPr>
              <w:t>Employee agrees none of the 2019 Options are vested and all are hereby forfeited, cancelled, terminated and deemed</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null and void ab initio as of the Separation Date. The 2019 Option Agreement is hereby cancelled, terminated and</w:t>
            </w:r>
          </w:p>
        </w:tc>
      </w:tr>
      <w:tr>
        <w:trPr>
          <w:trHeight w:val="283"/>
        </w:trPr>
        <w:tc>
          <w:tcPr>
            <w:tcW w:w="460" w:type="dxa"/>
            <w:vAlign w:val="bottom"/>
          </w:tcPr>
          <w:p>
            <w:pPr>
              <w:spacing w:after="0"/>
              <w:rPr>
                <w:sz w:val="24"/>
                <w:szCs w:val="24"/>
                <w:color w:val="auto"/>
              </w:rPr>
            </w:pPr>
          </w:p>
        </w:tc>
        <w:tc>
          <w:tcPr>
            <w:tcW w:w="7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deemed null and void ab initio as of the Separation Date.</w:t>
            </w: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3"/>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k.)</w:t>
            </w: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Employee was awarded 15,085 BBI restricted stock units (the “</w:t>
            </w:r>
            <w:r>
              <w:rPr>
                <w:rFonts w:ascii="Times New Roman" w:cs="Times New Roman" w:eastAsia="Times New Roman" w:hAnsi="Times New Roman"/>
                <w:sz w:val="22"/>
                <w:szCs w:val="22"/>
                <w:b w:val="1"/>
                <w:bCs w:val="1"/>
                <w:color w:val="auto"/>
              </w:rPr>
              <w:t>2016 Restricted Stock</w:t>
            </w:r>
            <w:r>
              <w:rPr>
                <w:rFonts w:ascii="Times New Roman" w:cs="Times New Roman" w:eastAsia="Times New Roman" w:hAnsi="Times New Roman"/>
                <w:sz w:val="22"/>
                <w:szCs w:val="22"/>
                <w:color w:val="auto"/>
              </w:rPr>
              <w:t>”) pursuant to that certain</w:t>
            </w:r>
          </w:p>
        </w:tc>
      </w:tr>
      <w:tr>
        <w:trPr>
          <w:trHeight w:val="261"/>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Restricted Stock Agreement with a grant date of February 25, 2016 (the “</w:t>
            </w:r>
            <w:r>
              <w:rPr>
                <w:rFonts w:ascii="Times New Roman" w:cs="Times New Roman" w:eastAsia="Times New Roman" w:hAnsi="Times New Roman"/>
                <w:sz w:val="22"/>
                <w:szCs w:val="22"/>
                <w:b w:val="1"/>
                <w:bCs w:val="1"/>
                <w:color w:val="auto"/>
              </w:rPr>
              <w:t>2016 Restricted Stock Agreement</w:t>
            </w:r>
            <w:r>
              <w:rPr>
                <w:rFonts w:ascii="Times New Roman" w:cs="Times New Roman" w:eastAsia="Times New Roman" w:hAnsi="Times New Roman"/>
                <w:sz w:val="22"/>
                <w:szCs w:val="22"/>
                <w:color w:val="auto"/>
              </w:rPr>
              <w:t>”).</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8"/>
              </w:rPr>
              <w:t>Employee agrees 11,313 shares of the 2016 Restricted Stock units were previously vested and distributed. Employee</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8"/>
              </w:rPr>
              <w:t>agrees 3,772 of the 2016 Restricted Stock units are unvested and hereby forfeited, cancelled, terminated and deemed</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null and void ab initio as of the Separation Date. The 2016 Restricted Stock Agreement is hereby forfeited,</w:t>
            </w:r>
          </w:p>
        </w:tc>
      </w:tr>
      <w:tr>
        <w:trPr>
          <w:trHeight w:val="283"/>
        </w:trPr>
        <w:tc>
          <w:tcPr>
            <w:tcW w:w="460" w:type="dxa"/>
            <w:vAlign w:val="bottom"/>
          </w:tcPr>
          <w:p>
            <w:pPr>
              <w:spacing w:after="0"/>
              <w:rPr>
                <w:sz w:val="24"/>
                <w:szCs w:val="24"/>
                <w:color w:val="auto"/>
              </w:rPr>
            </w:pPr>
          </w:p>
        </w:tc>
        <w:tc>
          <w:tcPr>
            <w:tcW w:w="7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cancelled, terminated and deemed null and void ab initio as of the Separation Date.</w:t>
            </w: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3"/>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l.)</w:t>
            </w: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Employee was awarded 12,594 BBI restricted stock units (the “</w:t>
            </w:r>
            <w:r>
              <w:rPr>
                <w:rFonts w:ascii="Times New Roman" w:cs="Times New Roman" w:eastAsia="Times New Roman" w:hAnsi="Times New Roman"/>
                <w:sz w:val="22"/>
                <w:szCs w:val="22"/>
                <w:b w:val="1"/>
                <w:bCs w:val="1"/>
                <w:color w:val="auto"/>
              </w:rPr>
              <w:t>2017 Restricted Stock</w:t>
            </w:r>
            <w:r>
              <w:rPr>
                <w:rFonts w:ascii="Times New Roman" w:cs="Times New Roman" w:eastAsia="Times New Roman" w:hAnsi="Times New Roman"/>
                <w:sz w:val="22"/>
                <w:szCs w:val="22"/>
                <w:color w:val="auto"/>
              </w:rPr>
              <w:t>”) pursuant to that certain</w:t>
            </w:r>
          </w:p>
        </w:tc>
      </w:tr>
      <w:tr>
        <w:trPr>
          <w:trHeight w:val="261"/>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Restricted Stock Agreement with a grant date of February 24, 2017 (the “</w:t>
            </w:r>
            <w:r>
              <w:rPr>
                <w:rFonts w:ascii="Times New Roman" w:cs="Times New Roman" w:eastAsia="Times New Roman" w:hAnsi="Times New Roman"/>
                <w:sz w:val="22"/>
                <w:szCs w:val="22"/>
                <w:b w:val="1"/>
                <w:bCs w:val="1"/>
                <w:color w:val="auto"/>
              </w:rPr>
              <w:t>2017 Restricted Stock Agreement</w:t>
            </w:r>
            <w:r>
              <w:rPr>
                <w:rFonts w:ascii="Times New Roman" w:cs="Times New Roman" w:eastAsia="Times New Roman" w:hAnsi="Times New Roman"/>
                <w:sz w:val="22"/>
                <w:szCs w:val="22"/>
                <w:color w:val="auto"/>
              </w:rPr>
              <w:t>”).</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9"/>
              </w:rPr>
              <w:t>Employee agrees 6,297 of the 2017 Restricted Stock units were previously vested and distributed. Employee agrees</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1,216 of the 2017 Restricted Stock units will vest on the Separation Date and be distributed. Employee agrees the</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8"/>
              </w:rPr>
              <w:t>remaining 5,081 of the 2017 Restricted Stock units are and will remain unvested and are hereby forfeited, cancelled,</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terminated and deemed null and void ab initio as of the Separation Date. The 2017 Restricted Stock Agreement is</w:t>
            </w:r>
          </w:p>
        </w:tc>
      </w:tr>
      <w:tr>
        <w:trPr>
          <w:trHeight w:val="283"/>
        </w:trPr>
        <w:tc>
          <w:tcPr>
            <w:tcW w:w="460" w:type="dxa"/>
            <w:vAlign w:val="bottom"/>
          </w:tcPr>
          <w:p>
            <w:pPr>
              <w:spacing w:after="0"/>
              <w:rPr>
                <w:sz w:val="24"/>
                <w:szCs w:val="24"/>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hereby forfeited, cancelled, terminated and deemed null and void ab initio as of the Separation Date.</w:t>
            </w:r>
          </w:p>
        </w:tc>
      </w:tr>
      <w:tr>
        <w:trPr>
          <w:trHeight w:val="483"/>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m.)</w:t>
            </w: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Employee was awarded 8,889 BBI restricted stock units (the “</w:t>
            </w:r>
            <w:r>
              <w:rPr>
                <w:rFonts w:ascii="Times New Roman" w:cs="Times New Roman" w:eastAsia="Times New Roman" w:hAnsi="Times New Roman"/>
                <w:sz w:val="22"/>
                <w:szCs w:val="22"/>
                <w:b w:val="1"/>
                <w:bCs w:val="1"/>
                <w:color w:val="auto"/>
              </w:rPr>
              <w:t>2018 Restricted Stock</w:t>
            </w:r>
            <w:r>
              <w:rPr>
                <w:rFonts w:ascii="Times New Roman" w:cs="Times New Roman" w:eastAsia="Times New Roman" w:hAnsi="Times New Roman"/>
                <w:sz w:val="22"/>
                <w:szCs w:val="22"/>
                <w:color w:val="auto"/>
              </w:rPr>
              <w:t>”) pursuant to that certain</w:t>
            </w:r>
          </w:p>
        </w:tc>
      </w:tr>
      <w:tr>
        <w:trPr>
          <w:trHeight w:val="261"/>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Restricted Stock Agreement with a grant date of February 23, 2018 (the “</w:t>
            </w:r>
            <w:r>
              <w:rPr>
                <w:rFonts w:ascii="Times New Roman" w:cs="Times New Roman" w:eastAsia="Times New Roman" w:hAnsi="Times New Roman"/>
                <w:sz w:val="22"/>
                <w:szCs w:val="22"/>
                <w:b w:val="1"/>
                <w:bCs w:val="1"/>
                <w:color w:val="auto"/>
              </w:rPr>
              <w:t>2018 Restricted Stock Agreement</w:t>
            </w:r>
            <w:r>
              <w:rPr>
                <w:rFonts w:ascii="Times New Roman" w:cs="Times New Roman" w:eastAsia="Times New Roman" w:hAnsi="Times New Roman"/>
                <w:sz w:val="22"/>
                <w:szCs w:val="22"/>
                <w:color w:val="auto"/>
              </w:rPr>
              <w:t>”).</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9"/>
              </w:rPr>
              <w:t>Employee agrees 2,224 of the 2018 Restricted Stock units were previously vested and distributed. Employee agrees</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866 of the 2018 Restricted Stock units will vest on the Separation Date and be distributed. Employee agrees the</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8"/>
              </w:rPr>
              <w:t>remaining 5,809 of the 2018 Restricted Stock units are and will remain unvested and are hereby forfeited, cancelled,</w:t>
            </w:r>
          </w:p>
        </w:tc>
      </w:tr>
      <w:tr>
        <w:trPr>
          <w:trHeight w:val="283"/>
        </w:trPr>
        <w:tc>
          <w:tcPr>
            <w:tcW w:w="460" w:type="dxa"/>
            <w:vAlign w:val="bottom"/>
          </w:tcPr>
          <w:p>
            <w:pPr>
              <w:spacing w:after="0"/>
              <w:rPr>
                <w:sz w:val="24"/>
                <w:szCs w:val="24"/>
                <w:color w:val="auto"/>
              </w:rPr>
            </w:pPr>
          </w:p>
        </w:tc>
        <w:tc>
          <w:tcPr>
            <w:tcW w:w="78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terminated and deemed null and void ab initio as of the Separation Date.</w:t>
            </w: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9"/>
        </w:trPr>
        <w:tc>
          <w:tcPr>
            <w:tcW w:w="460" w:type="dxa"/>
            <w:vAlign w:val="bottom"/>
          </w:tcPr>
          <w:p>
            <w:pPr>
              <w:spacing w:after="0"/>
              <w:rPr>
                <w:sz w:val="24"/>
                <w:szCs w:val="24"/>
                <w:color w:val="auto"/>
              </w:rPr>
            </w:pPr>
          </w:p>
        </w:tc>
        <w:tc>
          <w:tcPr>
            <w:tcW w:w="782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Page 3 of 10</w:t>
            </w:r>
          </w:p>
        </w:tc>
        <w:tc>
          <w:tcPr>
            <w:tcW w:w="24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xml:space="preserve">Employee Initials:  </w:t>
            </w:r>
            <w:r>
              <w:rPr>
                <w:rFonts w:ascii="Times New Roman" w:cs="Times New Roman" w:eastAsia="Times New Roman" w:hAnsi="Times New Roman"/>
                <w:sz w:val="18"/>
                <w:szCs w:val="18"/>
                <w:b w:val="1"/>
                <w:bCs w:val="1"/>
                <w:color w:val="auto"/>
              </w:rPr>
              <w:t>/s/ JK</w:t>
            </w:r>
          </w:p>
        </w:tc>
      </w:tr>
      <w:tr>
        <w:trPr>
          <w:trHeight w:val="20"/>
        </w:trPr>
        <w:tc>
          <w:tcPr>
            <w:tcW w:w="46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0760"/>
          </w:cols>
          <w:pgMar w:left="900" w:top="828"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The 2018 Restricted Stock Agreement is hereby forfeited, cancelled, terminated and deemed null and void ab initio</w:t>
            </w:r>
          </w:p>
        </w:tc>
      </w:tr>
      <w:tr>
        <w:trPr>
          <w:trHeight w:val="283"/>
        </w:trPr>
        <w:tc>
          <w:tcPr>
            <w:tcW w:w="440" w:type="dxa"/>
            <w:vAlign w:val="bottom"/>
          </w:tcPr>
          <w:p>
            <w:pPr>
              <w:spacing w:after="0"/>
              <w:rPr>
                <w:sz w:val="24"/>
                <w:szCs w:val="24"/>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as of the Separation Date.</w:t>
            </w:r>
          </w:p>
        </w:tc>
        <w:tc>
          <w:tcPr>
            <w:tcW w:w="3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n.)</w:t>
            </w: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Employee was awarded 11,923 BBI restricted stock units (the “</w:t>
            </w:r>
            <w:r>
              <w:rPr>
                <w:rFonts w:ascii="Times New Roman" w:cs="Times New Roman" w:eastAsia="Times New Roman" w:hAnsi="Times New Roman"/>
                <w:sz w:val="22"/>
                <w:szCs w:val="22"/>
                <w:b w:val="1"/>
                <w:bCs w:val="1"/>
                <w:color w:val="auto"/>
              </w:rPr>
              <w:t>2019 Restricted Stock</w:t>
            </w:r>
            <w:r>
              <w:rPr>
                <w:rFonts w:ascii="Times New Roman" w:cs="Times New Roman" w:eastAsia="Times New Roman" w:hAnsi="Times New Roman"/>
                <w:sz w:val="22"/>
                <w:szCs w:val="22"/>
                <w:color w:val="auto"/>
              </w:rPr>
              <w:t>”) pursuant to that certain</w:t>
            </w:r>
          </w:p>
        </w:tc>
      </w:tr>
      <w:tr>
        <w:trPr>
          <w:trHeight w:val="261"/>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Restricted Stock Agreement with a grant date of February 19, 2019 (the “</w:t>
            </w:r>
            <w:r>
              <w:rPr>
                <w:rFonts w:ascii="Times New Roman" w:cs="Times New Roman" w:eastAsia="Times New Roman" w:hAnsi="Times New Roman"/>
                <w:sz w:val="22"/>
                <w:szCs w:val="22"/>
                <w:b w:val="1"/>
                <w:bCs w:val="1"/>
                <w:color w:val="auto"/>
              </w:rPr>
              <w:t>2019 Restricted Stock Agreement</w:t>
            </w:r>
            <w:r>
              <w:rPr>
                <w:rFonts w:ascii="Times New Roman" w:cs="Times New Roman" w:eastAsia="Times New Roman" w:hAnsi="Times New Roman"/>
                <w:sz w:val="22"/>
                <w:szCs w:val="22"/>
                <w:color w:val="auto"/>
              </w:rPr>
              <w:t>”).</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Employee agrees 1,590 of the 2019 Restricted Stock units will vest on the Separation Date and be distributed.</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Employee agrees the remaining 10,333 of the 2019 Restricted Stock units are and will remain unvested and are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hereby forfeited, cancelled, terminated and deemed null and void ab initio as of the Separation Date. The 2019</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Restricted Stock Agreement is hereby forfeited, cancelled, terminated and deemed null and void ab initio as of the</w:t>
            </w:r>
          </w:p>
        </w:tc>
      </w:tr>
      <w:tr>
        <w:trPr>
          <w:trHeight w:val="283"/>
        </w:trPr>
        <w:tc>
          <w:tcPr>
            <w:tcW w:w="440" w:type="dxa"/>
            <w:vAlign w:val="bottom"/>
          </w:tcPr>
          <w:p>
            <w:pPr>
              <w:spacing w:after="0"/>
              <w:rPr>
                <w:sz w:val="24"/>
                <w:szCs w:val="24"/>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Separation Date.</w:t>
            </w:r>
          </w:p>
        </w:tc>
        <w:tc>
          <w:tcPr>
            <w:tcW w:w="3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o.)</w:t>
            </w: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Employee waives and relinquishes any rights that Employee may have to claim reimbursement from Employer and</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8"/>
              </w:rPr>
              <w:t>its Releasees (as defined below) for attorney’s fees, litigation costs or expenses that Employee may have incurred in</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8"/>
              </w:rPr>
              <w:t>the course of obtaining legal advice on any matter related to Employer, except as otherwise expressly provided for in</w:t>
            </w:r>
          </w:p>
        </w:tc>
      </w:tr>
      <w:tr>
        <w:trPr>
          <w:trHeight w:val="283"/>
        </w:trPr>
        <w:tc>
          <w:tcPr>
            <w:tcW w:w="440" w:type="dxa"/>
            <w:vAlign w:val="bottom"/>
          </w:tcPr>
          <w:p>
            <w:pPr>
              <w:spacing w:after="0"/>
              <w:rPr>
                <w:sz w:val="24"/>
                <w:szCs w:val="24"/>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Section 3(e).</w:t>
            </w:r>
          </w:p>
        </w:tc>
        <w:tc>
          <w:tcPr>
            <w:tcW w:w="3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p.)</w:t>
            </w: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Employee waives and disclaims any right to any damages, compensation, or other personal relief that may be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8"/>
              </w:rPr>
              <w:t>recovered at any time after the execution of this Separation Agreement as a result of any proceeding arising out of or</w:t>
            </w:r>
          </w:p>
        </w:tc>
      </w:tr>
      <w:tr>
        <w:trPr>
          <w:trHeight w:val="253"/>
        </w:trPr>
        <w:tc>
          <w:tcPr>
            <w:tcW w:w="440" w:type="dxa"/>
            <w:vAlign w:val="bottom"/>
          </w:tcPr>
          <w:p>
            <w:pPr>
              <w:spacing w:after="0"/>
              <w:rPr>
                <w:sz w:val="21"/>
                <w:szCs w:val="21"/>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related to the employment relationship that is brought under the jurisdiction or authority of the Equal Employment</w:t>
            </w:r>
          </w:p>
        </w:tc>
      </w:tr>
      <w:tr>
        <w:trPr>
          <w:trHeight w:val="261"/>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Opportunity Commission (“</w:t>
            </w:r>
            <w:r>
              <w:rPr>
                <w:rFonts w:ascii="Times New Roman" w:cs="Times New Roman" w:eastAsia="Times New Roman" w:hAnsi="Times New Roman"/>
                <w:sz w:val="22"/>
                <w:szCs w:val="22"/>
                <w:b w:val="1"/>
                <w:bCs w:val="1"/>
                <w:color w:val="auto"/>
                <w:w w:val="99"/>
              </w:rPr>
              <w:t>EEOC</w:t>
            </w:r>
            <w:r>
              <w:rPr>
                <w:rFonts w:ascii="Times New Roman" w:cs="Times New Roman" w:eastAsia="Times New Roman" w:hAnsi="Times New Roman"/>
                <w:sz w:val="22"/>
                <w:szCs w:val="22"/>
                <w:color w:val="auto"/>
                <w:w w:val="99"/>
              </w:rPr>
              <w:t>”), the Florida Commission on Human Relations, the U.S. Department of Labor,</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or any other local, state, or federal court or agency. If any such agency or court assumes jurisdiction of or files any</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complaint, charge, or proceeding against Employer or its Releasees, Employee shall request such agency or court to</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dismiss or withdraw from the matter. Notwithstanding any other term or provision of this Separation Agreement,</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nothing in this Separation Agreement is intended or shall be construed to prohibit Employee, with or without notice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8"/>
              </w:rPr>
              <w:t>to the Employer or Employer’s Releasees, from filing a charge with, directly communicating with or participating in</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8"/>
              </w:rPr>
              <w:t>any investigation or proceeding conducted by any local, state or federal agency regarding any possible law violation.</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8"/>
              </w:rPr>
              <w:t>Employee acknowledges and agrees, however, that, except with respect to any award pursuant to Section 21F of the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Securities Exchange Act of 1934, as amended, or any award administered by the U.S. Occupational Safety and</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Health Administration, Employee waives any right to monetary damages, attorneys’ fees, costs and equitable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remedies related to or arising from any such charge, or ensuing complaint or lawsuit, filed by Employee or on</w:t>
            </w:r>
          </w:p>
        </w:tc>
      </w:tr>
      <w:tr>
        <w:trPr>
          <w:trHeight w:val="283"/>
        </w:trPr>
        <w:tc>
          <w:tcPr>
            <w:tcW w:w="440" w:type="dxa"/>
            <w:vAlign w:val="bottom"/>
          </w:tcPr>
          <w:p>
            <w:pPr>
              <w:spacing w:after="0"/>
              <w:rPr>
                <w:sz w:val="24"/>
                <w:szCs w:val="24"/>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Employee’s behalf.</w:t>
            </w:r>
          </w:p>
        </w:tc>
        <w:tc>
          <w:tcPr>
            <w:tcW w:w="3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q.)</w:t>
            </w: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Employee agrees that he will not disparage Employer or its Releasees in any way to any person or entity.</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Notwithstanding this provision, in the unlikely event that Employee is subpoenaed as part of a government entity’s</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investigation of Employer, Employee may provide truthful information about his employment to the government</w:t>
            </w:r>
          </w:p>
        </w:tc>
      </w:tr>
      <w:tr>
        <w:trPr>
          <w:trHeight w:val="283"/>
        </w:trPr>
        <w:tc>
          <w:tcPr>
            <w:tcW w:w="440" w:type="dxa"/>
            <w:vAlign w:val="bottom"/>
          </w:tcPr>
          <w:p>
            <w:pPr>
              <w:spacing w:after="0"/>
              <w:rPr>
                <w:sz w:val="24"/>
                <w:szCs w:val="24"/>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entity without violating this Separation Agreement.</w:t>
            </w:r>
          </w:p>
        </w:tc>
        <w:tc>
          <w:tcPr>
            <w:tcW w:w="3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25"/>
        </w:trPr>
        <w:tc>
          <w:tcPr>
            <w:tcW w:w="440" w:type="dxa"/>
            <w:vAlign w:val="bottom"/>
          </w:tcPr>
          <w:p>
            <w:pPr>
              <w:spacing w:after="0"/>
              <w:rPr>
                <w:sz w:val="24"/>
                <w:szCs w:val="24"/>
                <w:color w:val="auto"/>
              </w:rPr>
            </w:pPr>
          </w:p>
        </w:tc>
        <w:tc>
          <w:tcPr>
            <w:tcW w:w="672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Page 4 of 10</w:t>
            </w:r>
          </w:p>
        </w:tc>
        <w:tc>
          <w:tcPr>
            <w:tcW w:w="36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 xml:space="preserve">Employee Initials:  </w:t>
            </w:r>
            <w:r>
              <w:rPr>
                <w:rFonts w:ascii="Times New Roman" w:cs="Times New Roman" w:eastAsia="Times New Roman" w:hAnsi="Times New Roman"/>
                <w:sz w:val="18"/>
                <w:szCs w:val="18"/>
                <w:b w:val="1"/>
                <w:bCs w:val="1"/>
                <w:color w:val="auto"/>
              </w:rPr>
              <w:t>/s/ JK</w:t>
            </w:r>
          </w:p>
        </w:tc>
      </w:tr>
      <w:tr>
        <w:trPr>
          <w:trHeight w:val="20"/>
        </w:trPr>
        <w:tc>
          <w:tcPr>
            <w:tcW w:w="4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0760"/>
          </w:cols>
          <w:pgMar w:left="900" w:top="828" w:right="239" w:bottom="1440" w:gutter="0" w:footer="0" w:header="0"/>
        </w:sectPr>
      </w:pPr>
    </w:p>
    <w:bookmarkStart w:id="67" w:name="page68"/>
    <w:bookmarkEnd w:id="67"/>
    <w:p>
      <w:pPr>
        <w:ind w:left="652"/>
        <w:spacing w:after="0"/>
        <w:rPr>
          <w:sz w:val="20"/>
          <w:szCs w:val="20"/>
          <w:color w:val="auto"/>
        </w:rPr>
      </w:pPr>
      <w:r>
        <w:rPr>
          <w:rFonts w:ascii="Times New Roman" w:cs="Times New Roman" w:eastAsia="Times New Roman" w:hAnsi="Times New Roman"/>
          <w:sz w:val="19"/>
          <w:szCs w:val="19"/>
          <w:color w:val="auto"/>
        </w:rPr>
        <w:t>r.)</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For a two-year period commencing on the date Employee executes this Separation Agreement, except as is the result of a broad solicitation that is not targeting employees of Employer or any of its affiliates or their franchisees, Employee shall not offer employment to, or hire, any employee of Employer or any of its affiliates or their franchisees, or otherwise directly or indirectly solicit or induce any employee of Employer or any of its affiliates or their franchisees to terminate his or her employment with the Employer or any of its affiliates or their franchisees; nor shall Employee act as an officer, director, employee, partner, independent contractor, consultant, principal, agent, proprietor, owner or part owner, or in any other capacity, of or for any person or entity that solicits or otherwise induces any employee of Employer or any of its affiliates or their franchisees to terminate his or her employment with Employer or any of its affiliates or their franchisees. This prohibition on solicitation shall include but not be limited to </w:t>
      </w:r>
      <w:r>
        <w:rPr>
          <w:rFonts w:ascii="Times New Roman" w:cs="Times New Roman" w:eastAsia="Times New Roman" w:hAnsi="Times New Roman"/>
          <w:sz w:val="21"/>
          <w:szCs w:val="21"/>
          <w:color w:val="0D0D0D"/>
        </w:rPr>
        <w:t>any employee of Employer or its affiliates assigned to Employer’s Restaurant Support Center in Tampa,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D0D0D"/>
        </w:rPr>
        <w:t>Florida, except for non-management personnel recruited through general solicitations in print or other media.</w:t>
      </w:r>
    </w:p>
    <w:p>
      <w:pPr>
        <w:spacing w:after="0" w:line="200" w:lineRule="exact"/>
        <w:rPr>
          <w:sz w:val="20"/>
          <w:szCs w:val="20"/>
          <w:color w:val="auto"/>
        </w:rPr>
      </w:pPr>
    </w:p>
    <w:p>
      <w:pPr>
        <w:sectPr>
          <w:pgSz w:w="11900" w:h="16838" w:orient="portrait"/>
          <w:cols w:equalWidth="0" w:num="2">
            <w:col w:w="832" w:space="460"/>
            <w:col w:w="10120"/>
          </w:cols>
          <w:pgMar w:left="248" w:top="828" w:right="239" w:bottom="1440" w:gutter="0" w:footer="0" w:header="0"/>
        </w:sectPr>
      </w:pPr>
    </w:p>
    <w:p>
      <w:pPr>
        <w:spacing w:after="0" w:line="1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9"/>
          <w:szCs w:val="19"/>
          <w:color w:val="auto"/>
        </w:rPr>
        <w:t>s.)</w:t>
      </w:r>
    </w:p>
    <w:p>
      <w:pPr>
        <w:spacing w:after="0" w:line="20" w:lineRule="exact"/>
        <w:rPr>
          <w:sz w:val="20"/>
          <w:szCs w:val="20"/>
          <w:color w:val="auto"/>
        </w:rPr>
      </w:pPr>
      <w:r>
        <w:rPr>
          <w:sz w:val="20"/>
          <w:szCs w:val="20"/>
          <w:color w:val="auto"/>
        </w:rPr>
        <w:br w:type="column"/>
      </w: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Employee agrees to submit all requests for reimbursement no later than two weeks after the Separation Date. Employer reserves the right to deny requests for reimbursement made more than two weeks after the Separation Date. Reimbursement eligibility will be determined consistent with Employer’s usual policies and procedures.</w:t>
      </w:r>
    </w:p>
    <w:p>
      <w:pPr>
        <w:spacing w:after="0" w:line="200" w:lineRule="exact"/>
        <w:rPr>
          <w:sz w:val="20"/>
          <w:szCs w:val="20"/>
          <w:color w:val="auto"/>
        </w:rPr>
      </w:pPr>
    </w:p>
    <w:p>
      <w:pPr>
        <w:sectPr>
          <w:pgSz w:w="11900" w:h="16838" w:orient="portrait"/>
          <w:cols w:equalWidth="0" w:num="2">
            <w:col w:w="852" w:space="440"/>
            <w:col w:w="10120"/>
          </w:cols>
          <w:pgMar w:left="248" w:top="828" w:right="239" w:bottom="1440" w:gutter="0" w:footer="0" w:header="0"/>
          <w:type w:val="continuous"/>
        </w:sectPr>
      </w:pPr>
    </w:p>
    <w:p>
      <w:pPr>
        <w:spacing w:after="0" w:line="14"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9"/>
          <w:szCs w:val="19"/>
          <w:color w:val="auto"/>
        </w:rPr>
        <w:t>t.)</w:t>
      </w:r>
    </w:p>
    <w:p>
      <w:pPr>
        <w:spacing w:after="0" w:line="20" w:lineRule="exact"/>
        <w:rPr>
          <w:sz w:val="20"/>
          <w:szCs w:val="20"/>
          <w:color w:val="auto"/>
        </w:rPr>
      </w:pPr>
      <w:r>
        <w:rPr>
          <w:sz w:val="20"/>
          <w:szCs w:val="20"/>
          <w:color w:val="auto"/>
        </w:rPr>
        <w:br w:type="column"/>
      </w:r>
    </w:p>
    <w:p>
      <w:pPr>
        <w:ind w:right="20"/>
        <w:spacing w:after="0" w:line="295" w:lineRule="auto"/>
        <w:rPr>
          <w:sz w:val="20"/>
          <w:szCs w:val="20"/>
          <w:color w:val="auto"/>
        </w:rPr>
      </w:pPr>
      <w:r>
        <w:rPr>
          <w:rFonts w:ascii="Times New Roman" w:cs="Times New Roman" w:eastAsia="Times New Roman" w:hAnsi="Times New Roman"/>
          <w:sz w:val="21"/>
          <w:szCs w:val="21"/>
          <w:color w:val="auto"/>
        </w:rPr>
        <w:t>Employee agrees this Separation Agreement shall serve as Employee’s resignation from any and all director, officer or other positions Employee has held at any time for or on behalf of the Employer and/or Employer’s affiliates.</w:t>
      </w:r>
    </w:p>
    <w:p>
      <w:pPr>
        <w:spacing w:after="0" w:line="176" w:lineRule="exact"/>
        <w:rPr>
          <w:sz w:val="20"/>
          <w:szCs w:val="20"/>
          <w:color w:val="auto"/>
        </w:rPr>
      </w:pPr>
    </w:p>
    <w:p>
      <w:pPr>
        <w:sectPr>
          <w:pgSz w:w="11900" w:h="16838" w:orient="portrait"/>
          <w:cols w:equalWidth="0" w:num="2">
            <w:col w:w="832" w:space="460"/>
            <w:col w:w="10120"/>
          </w:cols>
          <w:pgMar w:left="248" w:top="828" w:right="239" w:bottom="1440" w:gutter="0" w:footer="0" w:header="0"/>
          <w:type w:val="continuous"/>
        </w:sectPr>
      </w:pPr>
    </w:p>
    <w:p>
      <w:pPr>
        <w:ind w:left="652"/>
        <w:spacing w:after="0"/>
        <w:rPr>
          <w:sz w:val="20"/>
          <w:szCs w:val="20"/>
          <w:color w:val="auto"/>
        </w:rPr>
      </w:pPr>
      <w:r>
        <w:rPr>
          <w:rFonts w:ascii="Times New Roman" w:cs="Times New Roman" w:eastAsia="Times New Roman" w:hAnsi="Times New Roman"/>
          <w:sz w:val="22"/>
          <w:szCs w:val="22"/>
          <w:color w:val="auto"/>
        </w:rPr>
        <w: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Employee shall comply with all other terms of this Separation Agreement as provided for herein.</w:t>
      </w:r>
    </w:p>
    <w:p>
      <w:pPr>
        <w:spacing w:after="0" w:line="211" w:lineRule="exact"/>
        <w:rPr>
          <w:sz w:val="20"/>
          <w:szCs w:val="20"/>
          <w:color w:val="auto"/>
        </w:rPr>
      </w:pPr>
    </w:p>
    <w:p>
      <w:pPr>
        <w:sectPr>
          <w:pgSz w:w="11900" w:h="16838" w:orient="portrait"/>
          <w:cols w:equalWidth="0" w:num="2">
            <w:col w:w="892" w:space="400"/>
            <w:col w:w="10120"/>
          </w:cols>
          <w:pgMar w:left="248" w:top="828" w:right="239" w:bottom="1440" w:gutter="0" w:footer="0" w:header="0"/>
          <w:type w:val="continuous"/>
        </w:sectPr>
      </w:pPr>
    </w:p>
    <w:p>
      <w:pPr>
        <w:spacing w:after="0" w:line="60" w:lineRule="exact"/>
        <w:rPr>
          <w:sz w:val="20"/>
          <w:szCs w:val="20"/>
          <w:color w:val="auto"/>
        </w:rPr>
      </w:pPr>
    </w:p>
    <w:p>
      <w:pPr>
        <w:ind w:left="652" w:hanging="652"/>
        <w:spacing w:after="0" w:line="271" w:lineRule="auto"/>
        <w:tabs>
          <w:tab w:leader="none" w:pos="65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consideration for the promises made by Employee in this Separation Agreement, Employer promises and obligates itself to perform the following covenants under this Separation Agreement:</w:t>
      </w:r>
    </w:p>
    <w:p>
      <w:pPr>
        <w:spacing w:after="0" w:line="194" w:lineRule="exact"/>
        <w:rPr>
          <w:sz w:val="20"/>
          <w:szCs w:val="20"/>
          <w:color w:val="auto"/>
        </w:rPr>
      </w:pPr>
    </w:p>
    <w:tbl>
      <w:tblPr>
        <w:tblLayout w:type="fixed"/>
        <w:tblInd w:w="652" w:type="dxa"/>
        <w:tblCellMar>
          <w:top w:w="0" w:type="dxa"/>
          <w:left w:w="0" w:type="dxa"/>
          <w:bottom w:w="0" w:type="dxa"/>
          <w:right w:w="0" w:type="dxa"/>
        </w:tblCellMar>
      </w:tblP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a.)</w:t>
            </w: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Employer shall pay Employee a lump sum severance payment in the gross amount of $955,000 (the “</w:t>
            </w:r>
            <w:r>
              <w:rPr>
                <w:rFonts w:ascii="Times New Roman" w:cs="Times New Roman" w:eastAsia="Times New Roman" w:hAnsi="Times New Roman"/>
                <w:sz w:val="22"/>
                <w:szCs w:val="22"/>
                <w:b w:val="1"/>
                <w:bCs w:val="1"/>
                <w:color w:val="auto"/>
              </w:rPr>
              <w:t>Cash</w:t>
            </w:r>
          </w:p>
        </w:tc>
      </w:tr>
      <w:tr>
        <w:trPr>
          <w:trHeight w:val="287"/>
        </w:trPr>
        <w:tc>
          <w:tcPr>
            <w:tcW w:w="440" w:type="dxa"/>
            <w:vAlign w:val="bottom"/>
          </w:tcPr>
          <w:p>
            <w:pPr>
              <w:spacing w:after="0"/>
              <w:rPr>
                <w:sz w:val="24"/>
                <w:szCs w:val="24"/>
                <w:color w:val="auto"/>
              </w:rPr>
            </w:pPr>
          </w:p>
        </w:tc>
        <w:tc>
          <w:tcPr>
            <w:tcW w:w="77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less legal deductions and withholdings, subject to Section 12 below.</w:t>
            </w:r>
          </w:p>
        </w:tc>
        <w:tc>
          <w:tcPr>
            <w:tcW w:w="2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Employer shall pay Employee a lump sum of $18,291.24, after taxes, which reflects an amount equivalent to the</w:t>
            </w:r>
          </w:p>
        </w:tc>
      </w:tr>
      <w:tr>
        <w:trPr>
          <w:trHeight w:val="253"/>
        </w:trPr>
        <w:tc>
          <w:tcPr>
            <w:tcW w:w="440" w:type="dxa"/>
            <w:vAlign w:val="bottom"/>
          </w:tcPr>
          <w:p>
            <w:pPr>
              <w:spacing w:after="0"/>
              <w:rPr>
                <w:sz w:val="21"/>
                <w:szCs w:val="21"/>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premium payments for Employee to elect 18 months of continuing coverage of his benefits pursuant to the</w:t>
            </w:r>
          </w:p>
        </w:tc>
      </w:tr>
      <w:tr>
        <w:trPr>
          <w:trHeight w:val="261"/>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Consolidated Omnibus Budget Reconciliation Act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which amount shall be payable irrespective of</w:t>
            </w:r>
          </w:p>
        </w:tc>
      </w:tr>
      <w:tr>
        <w:trPr>
          <w:trHeight w:val="283"/>
        </w:trPr>
        <w:tc>
          <w:tcPr>
            <w:tcW w:w="440" w:type="dxa"/>
            <w:vAlign w:val="bottom"/>
          </w:tcPr>
          <w:p>
            <w:pPr>
              <w:spacing w:after="0"/>
              <w:rPr>
                <w:sz w:val="24"/>
                <w:szCs w:val="24"/>
                <w:color w:val="auto"/>
              </w:rPr>
            </w:pPr>
          </w:p>
        </w:tc>
        <w:tc>
          <w:tcPr>
            <w:tcW w:w="7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whether Employee elects such coverage.</w:t>
            </w:r>
          </w:p>
        </w:tc>
        <w:tc>
          <w:tcPr>
            <w:tcW w:w="2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03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8"/>
              </w:rPr>
              <w:t>Employer shall send the payments described in Sections 3(a) and 3(b) above to Employee’s home address within 10</w:t>
            </w:r>
          </w:p>
        </w:tc>
      </w:tr>
      <w:tr>
        <w:trPr>
          <w:trHeight w:val="283"/>
        </w:trPr>
        <w:tc>
          <w:tcPr>
            <w:tcW w:w="440" w:type="dxa"/>
            <w:vAlign w:val="bottom"/>
          </w:tcPr>
          <w:p>
            <w:pPr>
              <w:spacing w:after="0"/>
              <w:rPr>
                <w:sz w:val="24"/>
                <w:szCs w:val="24"/>
                <w:color w:val="auto"/>
              </w:rPr>
            </w:pPr>
          </w:p>
        </w:tc>
        <w:tc>
          <w:tcPr>
            <w:tcW w:w="7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days after the expiration of the Revocation Period referenced in Section 5 below.</w:t>
            </w:r>
          </w:p>
        </w:tc>
        <w:tc>
          <w:tcPr>
            <w:tcW w:w="2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9"/>
        </w:trPr>
        <w:tc>
          <w:tcPr>
            <w:tcW w:w="440" w:type="dxa"/>
            <w:vAlign w:val="bottom"/>
          </w:tcPr>
          <w:p>
            <w:pPr>
              <w:spacing w:after="0"/>
              <w:rPr>
                <w:sz w:val="24"/>
                <w:szCs w:val="24"/>
                <w:color w:val="auto"/>
              </w:rPr>
            </w:pPr>
          </w:p>
        </w:tc>
        <w:tc>
          <w:tcPr>
            <w:tcW w:w="774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Page 5 of 10</w:t>
            </w:r>
          </w:p>
        </w:tc>
        <w:tc>
          <w:tcPr>
            <w:tcW w:w="2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 xml:space="preserve">Employee Initials:  </w:t>
            </w:r>
            <w:r>
              <w:rPr>
                <w:rFonts w:ascii="Times New Roman" w:cs="Times New Roman" w:eastAsia="Times New Roman" w:hAnsi="Times New Roman"/>
                <w:sz w:val="18"/>
                <w:szCs w:val="18"/>
                <w:b w:val="1"/>
                <w:bCs w:val="1"/>
                <w:color w:val="auto"/>
              </w:rPr>
              <w:t>/s/ JK</w:t>
            </w:r>
          </w:p>
        </w:tc>
      </w:tr>
      <w:tr>
        <w:trPr>
          <w:trHeight w:val="20"/>
        </w:trPr>
        <w:tc>
          <w:tcPr>
            <w:tcW w:w="4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12"/>
          </w:cols>
          <w:pgMar w:left="248" w:top="828" w:right="239" w:bottom="1440" w:gutter="0" w:footer="0" w:header="0"/>
          <w:type w:val="continuous"/>
        </w:sectPr>
      </w:pPr>
    </w:p>
    <w:bookmarkStart w:id="68" w:name="page69"/>
    <w:bookmarkEnd w:id="68"/>
    <w:p>
      <w:pPr>
        <w:ind w:left="652"/>
        <w:spacing w:after="0"/>
        <w:rPr>
          <w:sz w:val="20"/>
          <w:szCs w:val="20"/>
          <w:color w:val="auto"/>
        </w:rPr>
      </w:pPr>
      <w:r>
        <w:rPr>
          <w:rFonts w:ascii="Times New Roman" w:cs="Times New Roman" w:eastAsia="Times New Roman" w:hAnsi="Times New Roman"/>
          <w:sz w:val="22"/>
          <w:szCs w:val="22"/>
          <w:color w:val="auto"/>
        </w:rPr>
        <w:t>d.)</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Times New Roman" w:cs="Times New Roman" w:eastAsia="Times New Roman" w:hAnsi="Times New Roman"/>
          <w:sz w:val="22"/>
          <w:szCs w:val="22"/>
          <w:color w:val="auto"/>
        </w:rPr>
        <w:t>Employer agrees that Employer will not disparage Employee in any way to any person or entity. Notwithstanding this provision, in the unlikely event that Employer is subpoenaed as part of a government entity’s investigation, Employer may provide truthful information to the government entity without violating this Separation Agreement.</w:t>
      </w:r>
    </w:p>
    <w:p>
      <w:pPr>
        <w:spacing w:after="0" w:line="200" w:lineRule="exact"/>
        <w:rPr>
          <w:sz w:val="20"/>
          <w:szCs w:val="20"/>
          <w:color w:val="auto"/>
        </w:rPr>
      </w:pPr>
    </w:p>
    <w:p>
      <w:pPr>
        <w:sectPr>
          <w:pgSz w:w="11900" w:h="16838" w:orient="portrait"/>
          <w:cols w:equalWidth="0" w:num="2">
            <w:col w:w="892" w:space="400"/>
            <w:col w:w="10120"/>
          </w:cols>
          <w:pgMar w:left="248" w:top="1085" w:right="239" w:bottom="1440" w:gutter="0" w:footer="0" w:header="0"/>
        </w:sectPr>
      </w:pPr>
    </w:p>
    <w:p>
      <w:pPr>
        <w:spacing w:after="0" w:line="14"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1"/>
          <w:szCs w:val="21"/>
          <w:color w:val="auto"/>
        </w:rPr>
        <w:t>e.)</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22"/>
          <w:szCs w:val="22"/>
          <w:color w:val="auto"/>
        </w:rPr>
        <w:t>Subject to applicable law, Employer or its affiliate shall indemnify Employee to the maximum extent permitted by BBI’s Bylaws and Certificate of Incorporation, including, if applicable, under any directors and officers insurance policies, for any acts or decisions of Employee made in good faith while performing services in Employee’s capacity as an officer of the Employer.</w:t>
      </w:r>
    </w:p>
    <w:p>
      <w:pPr>
        <w:spacing w:after="0" w:line="200" w:lineRule="exact"/>
        <w:rPr>
          <w:sz w:val="20"/>
          <w:szCs w:val="20"/>
          <w:color w:val="auto"/>
        </w:rPr>
      </w:pPr>
    </w:p>
    <w:p>
      <w:pPr>
        <w:sectPr>
          <w:pgSz w:w="11900" w:h="16838" w:orient="portrait"/>
          <w:cols w:equalWidth="0" w:num="2">
            <w:col w:w="872" w:space="420"/>
            <w:col w:w="10120"/>
          </w:cols>
          <w:pgMar w:left="248" w:top="1085" w:right="239" w:bottom="1440" w:gutter="0" w:footer="0" w:header="0"/>
          <w:type w:val="continuous"/>
        </w:sectPr>
      </w:pPr>
    </w:p>
    <w:p>
      <w:pPr>
        <w:spacing w:after="0" w:line="2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1"/>
          <w:szCs w:val="21"/>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Employer shall comply with all other terms of this Separation Agreement as provided for herein.</w:t>
      </w:r>
    </w:p>
    <w:p>
      <w:pPr>
        <w:spacing w:after="0" w:line="200" w:lineRule="exact"/>
        <w:rPr>
          <w:sz w:val="20"/>
          <w:szCs w:val="20"/>
          <w:color w:val="auto"/>
        </w:rPr>
      </w:pPr>
    </w:p>
    <w:p>
      <w:pPr>
        <w:sectPr>
          <w:pgSz w:w="11900" w:h="16838" w:orient="portrait"/>
          <w:cols w:equalWidth="0" w:num="2">
            <w:col w:w="852" w:space="440"/>
            <w:col w:w="10120"/>
          </w:cols>
          <w:pgMar w:left="248" w:top="1085" w:right="239" w:bottom="1440" w:gutter="0" w:footer="0" w:header="0"/>
          <w:type w:val="continuous"/>
        </w:sectPr>
      </w:pPr>
    </w:p>
    <w:p>
      <w:pPr>
        <w:spacing w:after="0" w:line="68" w:lineRule="exact"/>
        <w:rPr>
          <w:sz w:val="20"/>
          <w:szCs w:val="20"/>
          <w:color w:val="auto"/>
        </w:rPr>
      </w:pPr>
    </w:p>
    <w:p>
      <w:pPr>
        <w:jc w:val="both"/>
        <w:ind w:left="652" w:hanging="652"/>
        <w:spacing w:after="0" w:line="251" w:lineRule="auto"/>
        <w:tabs>
          <w:tab w:leader="none" w:pos="65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have a period of 21 calendar days (the “</w:t>
      </w:r>
      <w:r>
        <w:rPr>
          <w:rFonts w:ascii="Times New Roman" w:cs="Times New Roman" w:eastAsia="Times New Roman" w:hAnsi="Times New Roman"/>
          <w:sz w:val="22"/>
          <w:szCs w:val="22"/>
          <w:b w:val="1"/>
          <w:bCs w:val="1"/>
          <w:color w:val="auto"/>
        </w:rPr>
        <w:t>Consideration Period</w:t>
      </w:r>
      <w:r>
        <w:rPr>
          <w:rFonts w:ascii="Times New Roman" w:cs="Times New Roman" w:eastAsia="Times New Roman" w:hAnsi="Times New Roman"/>
          <w:sz w:val="22"/>
          <w:szCs w:val="22"/>
          <w:color w:val="auto"/>
        </w:rPr>
        <w:t>”) from the date he is presented with this Separation Agreement to consider the Separation Agreement’s terms and consequences before executing the Separation Agreement. Employee is not required to let the full Consideration Period elapse before executing the Separation Agreement; rather, the Separation Agreement may be executed on any date within the Consideration Period, and any changes to this Separation Agreement, whether material or immaterial, will not re-start the Consideration Period.</w:t>
      </w:r>
    </w:p>
    <w:p>
      <w:pPr>
        <w:spacing w:after="0" w:line="220" w:lineRule="exact"/>
        <w:rPr>
          <w:rFonts w:ascii="Times New Roman" w:cs="Times New Roman" w:eastAsia="Times New Roman" w:hAnsi="Times New Roman"/>
          <w:sz w:val="22"/>
          <w:szCs w:val="22"/>
          <w:color w:val="auto"/>
        </w:rPr>
      </w:pPr>
    </w:p>
    <w:p>
      <w:pPr>
        <w:jc w:val="both"/>
        <w:ind w:left="652" w:hanging="652"/>
        <w:spacing w:after="0" w:line="248" w:lineRule="auto"/>
        <w:tabs>
          <w:tab w:leader="none" w:pos="652"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and Employer agree that Employee may revoke the Separation Agreement for any reason at any time during the seven calendar days immediately following Employee’s execution of the Separation Agreement (the “</w:t>
      </w:r>
      <w:r>
        <w:rPr>
          <w:rFonts w:ascii="Times New Roman" w:cs="Times New Roman" w:eastAsia="Times New Roman" w:hAnsi="Times New Roman"/>
          <w:sz w:val="21"/>
          <w:szCs w:val="21"/>
          <w:b w:val="1"/>
          <w:bCs w:val="1"/>
          <w:color w:val="auto"/>
        </w:rPr>
        <w:t>Revocation Period</w:t>
      </w:r>
      <w:r>
        <w:rPr>
          <w:rFonts w:ascii="Times New Roman" w:cs="Times New Roman" w:eastAsia="Times New Roman" w:hAnsi="Times New Roman"/>
          <w:sz w:val="21"/>
          <w:szCs w:val="21"/>
          <w:color w:val="auto"/>
        </w:rPr>
        <w:t>”). To revoke this Separation Agreement, Employee must cause written notice of his intent to revoke this Separation Agreement to be delivered to Pablo Brizi at Employer’s Restaurant Support Center, 2202 N. Westshore Boulevard,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Tampa, FL 33607 within the Revocation Period. This Separation Agreement shall not become effective or enforceable until the Revocation Period has expired without such notice having been delivered to Employer in the specified manner.</w:t>
      </w:r>
    </w:p>
    <w:p>
      <w:pPr>
        <w:spacing w:after="0" w:line="227" w:lineRule="exact"/>
        <w:rPr>
          <w:rFonts w:ascii="Times New Roman" w:cs="Times New Roman" w:eastAsia="Times New Roman" w:hAnsi="Times New Roman"/>
          <w:sz w:val="21"/>
          <w:szCs w:val="21"/>
          <w:color w:val="auto"/>
        </w:rPr>
      </w:pPr>
    </w:p>
    <w:p>
      <w:pPr>
        <w:jc w:val="both"/>
        <w:ind w:left="652" w:hanging="652"/>
        <w:spacing w:after="0" w:line="250" w:lineRule="auto"/>
        <w:tabs>
          <w:tab w:leader="none" w:pos="65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Acting for himself, his heirs, personal representatives, administrators and anyone claiming by or through him or them, except as provided in Section 3(e) above and with respect to the Policy and Policy Agreement (each as defined in Section 15), Employee unconditionally and irrevocably releases, acquits and forever discharges Employer and its Releasees (as defined below) from any and all Claims (as defined below) that Employee (or any person or entity claiming through Employee) may have against Employer or its Releasees as of the date of this Separation Agreement.</w:t>
      </w:r>
    </w:p>
    <w:p>
      <w:pPr>
        <w:spacing w:after="0" w:line="222" w:lineRule="exact"/>
        <w:rPr>
          <w:rFonts w:ascii="Times New Roman" w:cs="Times New Roman" w:eastAsia="Times New Roman" w:hAnsi="Times New Roman"/>
          <w:sz w:val="22"/>
          <w:szCs w:val="22"/>
          <w:color w:val="auto"/>
        </w:rPr>
      </w:pPr>
    </w:p>
    <w:p>
      <w:pPr>
        <w:jc w:val="both"/>
        <w:ind w:left="652" w:hanging="652"/>
        <w:spacing w:after="0" w:line="252" w:lineRule="auto"/>
        <w:tabs>
          <w:tab w:leader="none" w:pos="65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Acting for itself, and anyone claiming by or through it or them, Employer unconditionally and irrevocably releases, acquits and forever discharges Employee and his heirs, personal representatives and administrators, from any and all Claims (as defined below) that Employer (or any person or entity claiming through Employer) may have against Employee as of the date of this Separation Agreement.</w:t>
      </w:r>
    </w:p>
    <w:p>
      <w:pPr>
        <w:spacing w:after="0" w:line="361" w:lineRule="exact"/>
        <w:rPr>
          <w:sz w:val="20"/>
          <w:szCs w:val="20"/>
          <w:color w:val="auto"/>
        </w:rPr>
      </w:pPr>
    </w:p>
    <w:p>
      <w:pPr>
        <w:ind w:left="5312"/>
        <w:spacing w:after="0"/>
        <w:tabs>
          <w:tab w:leader="none" w:pos="9372" w:val="left"/>
        </w:tabs>
        <w:rPr>
          <w:sz w:val="20"/>
          <w:szCs w:val="20"/>
          <w:color w:val="auto"/>
        </w:rPr>
      </w:pPr>
      <w:r>
        <w:rPr>
          <w:rFonts w:ascii="Times New Roman" w:cs="Times New Roman" w:eastAsia="Times New Roman" w:hAnsi="Times New Roman"/>
          <w:sz w:val="18"/>
          <w:szCs w:val="18"/>
          <w:color w:val="auto"/>
        </w:rPr>
        <w:t>Page 6 of 10</w:t>
      </w:r>
      <w:r>
        <w:rPr>
          <w:sz w:val="20"/>
          <w:szCs w:val="20"/>
          <w:color w:val="auto"/>
        </w:rPr>
        <w:tab/>
      </w:r>
      <w:r>
        <w:rPr>
          <w:rFonts w:ascii="Times New Roman" w:cs="Times New Roman" w:eastAsia="Times New Roman" w:hAnsi="Times New Roman"/>
          <w:sz w:val="18"/>
          <w:szCs w:val="18"/>
          <w:color w:val="auto"/>
        </w:rPr>
        <w:t xml:space="preserve">Employee Initials:  </w:t>
      </w:r>
      <w:r>
        <w:rPr>
          <w:rFonts w:ascii="Times New Roman" w:cs="Times New Roman" w:eastAsia="Times New Roman" w:hAnsi="Times New Roman"/>
          <w:sz w:val="18"/>
          <w:szCs w:val="18"/>
          <w:b w:val="1"/>
          <w:bCs w:val="1"/>
          <w:u w:val="single" w:color="auto"/>
          <w:color w:val="auto"/>
        </w:rPr>
        <w:t>/s/ JK</w:t>
      </w:r>
    </w:p>
    <w:p>
      <w:pPr>
        <w:sectPr>
          <w:pgSz w:w="11900" w:h="16838" w:orient="portrait"/>
          <w:cols w:equalWidth="0" w:num="1">
            <w:col w:w="11412"/>
          </w:cols>
          <w:pgMar w:left="248" w:top="1085" w:right="239" w:bottom="1440" w:gutter="0" w:footer="0" w:header="0"/>
          <w:type w:val="continuous"/>
        </w:sectPr>
      </w:pPr>
    </w:p>
    <w:bookmarkStart w:id="69" w:name="page70"/>
    <w:bookmarkEnd w:id="69"/>
    <w:p>
      <w:pPr>
        <w:ind w:left="652" w:hanging="652"/>
        <w:spacing w:after="0"/>
        <w:tabs>
          <w:tab w:leader="none" w:pos="65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w:t>
      </w:r>
    </w:p>
    <w:p>
      <w:pPr>
        <w:spacing w:after="0" w:line="256" w:lineRule="exact"/>
        <w:rPr>
          <w:sz w:val="20"/>
          <w:szCs w:val="20"/>
          <w:color w:val="auto"/>
        </w:rPr>
      </w:pPr>
    </w:p>
    <w:tbl>
      <w:tblPr>
        <w:tblLayout w:type="fixed"/>
        <w:tblInd w:w="652" w:type="dxa"/>
        <w:tblCellMar>
          <w:top w:w="0" w:type="dxa"/>
          <w:left w:w="0" w:type="dxa"/>
          <w:bottom w:w="0" w:type="dxa"/>
          <w:right w:w="0" w:type="dxa"/>
        </w:tblCellMar>
      </w:tblPr>
      <w:tr>
        <w:trPr>
          <w:trHeight w:val="261"/>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a.)</w:t>
            </w: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w w:val="99"/>
              </w:rPr>
              <w:t>The phrases “</w:t>
            </w:r>
            <w:r>
              <w:rPr>
                <w:rFonts w:ascii="Times New Roman" w:cs="Times New Roman" w:eastAsia="Times New Roman" w:hAnsi="Times New Roman"/>
                <w:sz w:val="22"/>
                <w:szCs w:val="22"/>
                <w:b w:val="1"/>
                <w:bCs w:val="1"/>
                <w:color w:val="auto"/>
                <w:w w:val="99"/>
              </w:rPr>
              <w:t>Employer</w:t>
            </w:r>
            <w:r>
              <w:rPr>
                <w:rFonts w:ascii="Times New Roman" w:cs="Times New Roman" w:eastAsia="Times New Roman" w:hAnsi="Times New Roman"/>
                <w:sz w:val="22"/>
                <w:szCs w:val="22"/>
                <w:color w:val="auto"/>
                <w:w w:val="99"/>
              </w:rPr>
              <w:t>” or “</w:t>
            </w:r>
            <w:r>
              <w:rPr>
                <w:rFonts w:ascii="Times New Roman" w:cs="Times New Roman" w:eastAsia="Times New Roman" w:hAnsi="Times New Roman"/>
                <w:sz w:val="22"/>
                <w:szCs w:val="22"/>
                <w:b w:val="1"/>
                <w:bCs w:val="1"/>
                <w:color w:val="auto"/>
                <w:w w:val="99"/>
              </w:rPr>
              <w:t>Employer and its Releasees</w:t>
            </w:r>
            <w:r>
              <w:rPr>
                <w:rFonts w:ascii="Times New Roman" w:cs="Times New Roman" w:eastAsia="Times New Roman" w:hAnsi="Times New Roman"/>
                <w:sz w:val="22"/>
                <w:szCs w:val="22"/>
                <w:color w:val="auto"/>
                <w:w w:val="99"/>
              </w:rPr>
              <w:t>” shall mean OSI Restaurant Partners, LLC and all of its</w:t>
            </w:r>
          </w:p>
        </w:tc>
      </w:tr>
      <w:tr>
        <w:trPr>
          <w:trHeight w:val="257"/>
        </w:trPr>
        <w:tc>
          <w:tcPr>
            <w:tcW w:w="440" w:type="dxa"/>
            <w:vAlign w:val="bottom"/>
          </w:tcPr>
          <w:p>
            <w:pPr>
              <w:spacing w:after="0"/>
              <w:rPr>
                <w:sz w:val="22"/>
                <w:szCs w:val="22"/>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rPr>
              <w:t>parents (including, but not limited to, Bloomin’ Brands, Inc.), affiliates (including, but not limited to, OS</w:t>
            </w:r>
          </w:p>
        </w:tc>
      </w:tr>
      <w:tr>
        <w:trPr>
          <w:trHeight w:val="257"/>
        </w:trPr>
        <w:tc>
          <w:tcPr>
            <w:tcW w:w="440" w:type="dxa"/>
            <w:vAlign w:val="bottom"/>
          </w:tcPr>
          <w:p>
            <w:pPr>
              <w:spacing w:after="0"/>
              <w:rPr>
                <w:sz w:val="22"/>
                <w:szCs w:val="22"/>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rPr>
              <w:t>Management, Inc., Outback Steakhouse of Florida, LLC, OS Restaurant Services, LLC, Bonefish Grill, LLC,</w:t>
            </w:r>
          </w:p>
        </w:tc>
      </w:tr>
      <w:tr>
        <w:trPr>
          <w:trHeight w:val="257"/>
        </w:trPr>
        <w:tc>
          <w:tcPr>
            <w:tcW w:w="440" w:type="dxa"/>
            <w:vAlign w:val="bottom"/>
          </w:tcPr>
          <w:p>
            <w:pPr>
              <w:spacing w:after="0"/>
              <w:rPr>
                <w:sz w:val="22"/>
                <w:szCs w:val="22"/>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rPr>
              <w:t>Carrabba’s Italian Grill, LLC, OS Prime, LLC, and OS Pacific, LLC), and all of the past and present directors,</w:t>
            </w:r>
          </w:p>
        </w:tc>
      </w:tr>
      <w:tr>
        <w:trPr>
          <w:trHeight w:val="257"/>
        </w:trPr>
        <w:tc>
          <w:tcPr>
            <w:tcW w:w="440" w:type="dxa"/>
            <w:vAlign w:val="bottom"/>
          </w:tcPr>
          <w:p>
            <w:pPr>
              <w:spacing w:after="0"/>
              <w:rPr>
                <w:sz w:val="22"/>
                <w:szCs w:val="22"/>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rPr>
              <w:t>officers, partners, shareholders, supervisors, employees, representatives, successors, assigns, subsidiaries, parents,</w:t>
            </w:r>
          </w:p>
        </w:tc>
      </w:tr>
      <w:tr>
        <w:trPr>
          <w:trHeight w:val="283"/>
        </w:trPr>
        <w:tc>
          <w:tcPr>
            <w:tcW w:w="440" w:type="dxa"/>
            <w:vAlign w:val="bottom"/>
          </w:tcPr>
          <w:p>
            <w:pPr>
              <w:spacing w:after="0"/>
              <w:rPr>
                <w:sz w:val="24"/>
                <w:szCs w:val="24"/>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rPr>
              <w:t>and insurers of OSI Restaurant Partners, LLC and its parents and affiliates.</w:t>
            </w:r>
          </w:p>
        </w:tc>
      </w:tr>
      <w:tr>
        <w:trPr>
          <w:trHeight w:val="48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rPr>
              <w:t>The  term  “Claims”  shall  include  lawsuits,  causes  of  action,  liabilities,  losses,  damages,  debts,  demands,</w:t>
            </w:r>
          </w:p>
        </w:tc>
      </w:tr>
      <w:tr>
        <w:trPr>
          <w:trHeight w:val="257"/>
        </w:trPr>
        <w:tc>
          <w:tcPr>
            <w:tcW w:w="440" w:type="dxa"/>
            <w:vAlign w:val="bottom"/>
          </w:tcPr>
          <w:p>
            <w:pPr>
              <w:spacing w:after="0"/>
              <w:rPr>
                <w:sz w:val="22"/>
                <w:szCs w:val="22"/>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rPr>
              <w:t>controversies, agreements, duties, obligations, promises and rights of every kind. The term “Claims” shall include</w:t>
            </w:r>
          </w:p>
        </w:tc>
      </w:tr>
      <w:tr>
        <w:trPr>
          <w:trHeight w:val="257"/>
        </w:trPr>
        <w:tc>
          <w:tcPr>
            <w:tcW w:w="440" w:type="dxa"/>
            <w:vAlign w:val="bottom"/>
          </w:tcPr>
          <w:p>
            <w:pPr>
              <w:spacing w:after="0"/>
              <w:rPr>
                <w:sz w:val="22"/>
                <w:szCs w:val="22"/>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w w:val="98"/>
              </w:rPr>
              <w:t>Claims arising from any source, including but not limited to contracts, statutes, regulations, ordinances, codes, or the</w:t>
            </w:r>
          </w:p>
        </w:tc>
      </w:tr>
      <w:tr>
        <w:trPr>
          <w:trHeight w:val="230"/>
        </w:trPr>
        <w:tc>
          <w:tcPr>
            <w:tcW w:w="440" w:type="dxa"/>
            <w:vAlign w:val="bottom"/>
          </w:tcPr>
          <w:p>
            <w:pPr>
              <w:spacing w:after="0"/>
              <w:rPr>
                <w:sz w:val="20"/>
                <w:szCs w:val="20"/>
                <w:color w:val="auto"/>
              </w:rPr>
            </w:pPr>
          </w:p>
        </w:tc>
        <w:tc>
          <w:tcPr>
            <w:tcW w:w="10320" w:type="dxa"/>
            <w:vAlign w:val="bottom"/>
            <w:gridSpan w:val="17"/>
          </w:tcPr>
          <w:p>
            <w:pPr>
              <w:ind w:left="200"/>
              <w:spacing w:after="0" w:line="230" w:lineRule="exact"/>
              <w:rPr>
                <w:sz w:val="20"/>
                <w:szCs w:val="20"/>
                <w:color w:val="auto"/>
              </w:rPr>
            </w:pPr>
            <w:r>
              <w:rPr>
                <w:rFonts w:ascii="Times New Roman" w:cs="Times New Roman" w:eastAsia="Times New Roman" w:hAnsi="Times New Roman"/>
                <w:sz w:val="22"/>
                <w:szCs w:val="22"/>
                <w:color w:val="auto"/>
                <w:w w:val="99"/>
              </w:rPr>
              <w:t>common law, including claims arising under the Civil Rights Act of 1964 (42 U.S.C. § 2000e et seq., as amended),</w:t>
            </w:r>
          </w:p>
        </w:tc>
      </w:tr>
      <w:tr>
        <w:trPr>
          <w:trHeight w:val="20"/>
        </w:trPr>
        <w:tc>
          <w:tcPr>
            <w:tcW w:w="4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10320" w:type="dxa"/>
            <w:vAlign w:val="bottom"/>
            <w:gridSpan w:val="17"/>
          </w:tcPr>
          <w:p>
            <w:pPr>
              <w:ind w:left="200"/>
              <w:spacing w:after="0" w:line="237" w:lineRule="exact"/>
              <w:rPr>
                <w:sz w:val="20"/>
                <w:szCs w:val="20"/>
                <w:color w:val="auto"/>
              </w:rPr>
            </w:pPr>
            <w:r>
              <w:rPr>
                <w:rFonts w:ascii="Times New Roman" w:cs="Times New Roman" w:eastAsia="Times New Roman" w:hAnsi="Times New Roman"/>
                <w:sz w:val="22"/>
                <w:szCs w:val="22"/>
                <w:color w:val="auto"/>
                <w:w w:val="98"/>
              </w:rPr>
              <w:t>the Americans with Disabilities Act of 1990 (42 U.S.C. § 12101 et seq., as amended), the Family Medical Leave Act</w:t>
            </w:r>
          </w:p>
        </w:tc>
      </w:tr>
      <w:tr>
        <w:trPr>
          <w:trHeight w:val="20"/>
        </w:trPr>
        <w:tc>
          <w:tcPr>
            <w:tcW w:w="4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10320" w:type="dxa"/>
            <w:vAlign w:val="bottom"/>
            <w:gridSpan w:val="17"/>
          </w:tcPr>
          <w:p>
            <w:pPr>
              <w:ind w:left="200"/>
              <w:spacing w:after="0" w:line="237" w:lineRule="exact"/>
              <w:rPr>
                <w:sz w:val="20"/>
                <w:szCs w:val="20"/>
                <w:color w:val="auto"/>
              </w:rPr>
            </w:pPr>
            <w:r>
              <w:rPr>
                <w:rFonts w:ascii="Times New Roman" w:cs="Times New Roman" w:eastAsia="Times New Roman" w:hAnsi="Times New Roman"/>
                <w:sz w:val="22"/>
                <w:szCs w:val="22"/>
                <w:color w:val="auto"/>
              </w:rPr>
              <w:t>of 1993 (29 U.S.C. § 2601, et seq., as amended), the Fair Labor Standards Act of 1938 (29 U.S.C. 201 et seq., as</w:t>
            </w:r>
          </w:p>
        </w:tc>
      </w:tr>
      <w:tr>
        <w:trPr>
          <w:trHeight w:val="20"/>
        </w:trPr>
        <w:tc>
          <w:tcPr>
            <w:tcW w:w="4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10320" w:type="dxa"/>
            <w:vAlign w:val="bottom"/>
            <w:gridSpan w:val="17"/>
          </w:tcPr>
          <w:p>
            <w:pPr>
              <w:ind w:left="200"/>
              <w:spacing w:after="0" w:line="237" w:lineRule="exact"/>
              <w:rPr>
                <w:sz w:val="20"/>
                <w:szCs w:val="20"/>
                <w:color w:val="auto"/>
              </w:rPr>
            </w:pPr>
            <w:r>
              <w:rPr>
                <w:rFonts w:ascii="Times New Roman" w:cs="Times New Roman" w:eastAsia="Times New Roman" w:hAnsi="Times New Roman"/>
                <w:sz w:val="22"/>
                <w:szCs w:val="22"/>
                <w:color w:val="auto"/>
              </w:rPr>
              <w:t>amended), the Lilly Ledbetter Fair Pay Act of 2009 (Pub.L. 111-2, S. 181), the Employee Retirement Income</w:t>
            </w:r>
          </w:p>
        </w:tc>
      </w:tr>
      <w:tr>
        <w:trPr>
          <w:trHeight w:val="20"/>
        </w:trPr>
        <w:tc>
          <w:tcPr>
            <w:tcW w:w="4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10320" w:type="dxa"/>
            <w:vAlign w:val="bottom"/>
            <w:gridSpan w:val="17"/>
          </w:tcPr>
          <w:p>
            <w:pPr>
              <w:ind w:left="200"/>
              <w:spacing w:after="0" w:line="237" w:lineRule="exact"/>
              <w:rPr>
                <w:sz w:val="20"/>
                <w:szCs w:val="20"/>
                <w:color w:val="auto"/>
              </w:rPr>
            </w:pPr>
            <w:r>
              <w:rPr>
                <w:rFonts w:ascii="Times New Roman" w:cs="Times New Roman" w:eastAsia="Times New Roman" w:hAnsi="Times New Roman"/>
                <w:sz w:val="22"/>
                <w:szCs w:val="22"/>
                <w:color w:val="auto"/>
                <w:w w:val="98"/>
              </w:rPr>
              <w:t>Security Act of 1974 (ERISA) (29 U.S.C. § 1001 et seq., as amended), 42 U.S.C. § 1981, the Age Discrimination in</w:t>
            </w:r>
          </w:p>
        </w:tc>
      </w:tr>
      <w:tr>
        <w:trPr>
          <w:trHeight w:val="20"/>
        </w:trPr>
        <w:tc>
          <w:tcPr>
            <w:tcW w:w="4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94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63"/>
        </w:trPr>
        <w:tc>
          <w:tcPr>
            <w:tcW w:w="440" w:type="dxa"/>
            <w:vAlign w:val="bottom"/>
          </w:tcPr>
          <w:p>
            <w:pPr>
              <w:spacing w:after="0"/>
              <w:rPr>
                <w:sz w:val="22"/>
                <w:szCs w:val="22"/>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w w:val="98"/>
              </w:rPr>
              <w:t>Employment Act of 1967 (as amended), the continuation coverage provisions of the Omnibus Budget Reconciliation</w:t>
            </w:r>
          </w:p>
        </w:tc>
      </w:tr>
      <w:tr>
        <w:trPr>
          <w:trHeight w:val="230"/>
        </w:trPr>
        <w:tc>
          <w:tcPr>
            <w:tcW w:w="440" w:type="dxa"/>
            <w:vAlign w:val="bottom"/>
          </w:tcPr>
          <w:p>
            <w:pPr>
              <w:spacing w:after="0"/>
              <w:rPr>
                <w:sz w:val="20"/>
                <w:szCs w:val="20"/>
                <w:color w:val="auto"/>
              </w:rPr>
            </w:pPr>
          </w:p>
        </w:tc>
        <w:tc>
          <w:tcPr>
            <w:tcW w:w="10320" w:type="dxa"/>
            <w:vAlign w:val="bottom"/>
            <w:gridSpan w:val="17"/>
          </w:tcPr>
          <w:p>
            <w:pPr>
              <w:ind w:left="200"/>
              <w:spacing w:after="0" w:line="230" w:lineRule="exact"/>
              <w:rPr>
                <w:sz w:val="20"/>
                <w:szCs w:val="20"/>
                <w:color w:val="auto"/>
              </w:rPr>
            </w:pPr>
            <w:r>
              <w:rPr>
                <w:rFonts w:ascii="Times New Roman" w:cs="Times New Roman" w:eastAsia="Times New Roman" w:hAnsi="Times New Roman"/>
                <w:sz w:val="22"/>
                <w:szCs w:val="22"/>
                <w:color w:val="auto"/>
              </w:rPr>
              <w:t>Act of 1986 (29 U.S.C. § 623 et seq., as amended), the Florida Civil Rights Act of 1992 (§ 760.01 et seq., Florida</w:t>
            </w:r>
          </w:p>
        </w:tc>
      </w:tr>
      <w:tr>
        <w:trPr>
          <w:trHeight w:val="20"/>
        </w:trPr>
        <w:tc>
          <w:tcPr>
            <w:tcW w:w="4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580" w:type="dxa"/>
            <w:vAlign w:val="bottom"/>
            <w:tcBorders>
              <w:right w:val="single" w:sz="8" w:color="auto"/>
            </w:tcBorders>
            <w:gridSpan w:val="9"/>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63"/>
        </w:trPr>
        <w:tc>
          <w:tcPr>
            <w:tcW w:w="440" w:type="dxa"/>
            <w:vAlign w:val="bottom"/>
          </w:tcPr>
          <w:p>
            <w:pPr>
              <w:spacing w:after="0"/>
              <w:rPr>
                <w:sz w:val="22"/>
                <w:szCs w:val="22"/>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rPr>
              <w:t>Statutes, as amended), and all other federal, state, and local laws dealing with discrimination, retaliation, wages,</w:t>
            </w:r>
          </w:p>
        </w:tc>
      </w:tr>
      <w:tr>
        <w:trPr>
          <w:trHeight w:val="257"/>
        </w:trPr>
        <w:tc>
          <w:tcPr>
            <w:tcW w:w="440" w:type="dxa"/>
            <w:vAlign w:val="bottom"/>
          </w:tcPr>
          <w:p>
            <w:pPr>
              <w:spacing w:after="0"/>
              <w:rPr>
                <w:sz w:val="22"/>
                <w:szCs w:val="22"/>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w w:val="99"/>
              </w:rPr>
              <w:t>leave, benefits, or workplace policies, as well as claims for unpaid wages, unpaid commissions, breach of contract,</w:t>
            </w:r>
          </w:p>
        </w:tc>
      </w:tr>
      <w:tr>
        <w:trPr>
          <w:trHeight w:val="257"/>
        </w:trPr>
        <w:tc>
          <w:tcPr>
            <w:tcW w:w="440" w:type="dxa"/>
            <w:vAlign w:val="bottom"/>
          </w:tcPr>
          <w:p>
            <w:pPr>
              <w:spacing w:after="0"/>
              <w:rPr>
                <w:sz w:val="22"/>
                <w:szCs w:val="22"/>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rPr>
              <w:t>wrongful termination, retaliation, intentional infliction of emotional distress, negligent hiring, invasion of privacy,</w:t>
            </w:r>
          </w:p>
        </w:tc>
      </w:tr>
      <w:tr>
        <w:trPr>
          <w:trHeight w:val="257"/>
        </w:trPr>
        <w:tc>
          <w:tcPr>
            <w:tcW w:w="440" w:type="dxa"/>
            <w:vAlign w:val="bottom"/>
          </w:tcPr>
          <w:p>
            <w:pPr>
              <w:spacing w:after="0"/>
              <w:rPr>
                <w:sz w:val="22"/>
                <w:szCs w:val="22"/>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rPr>
              <w:t>defamation, slander, assault, battery, or any other tort arising out of or connected in any way to the employment</w:t>
            </w:r>
          </w:p>
        </w:tc>
      </w:tr>
      <w:tr>
        <w:trPr>
          <w:trHeight w:val="257"/>
        </w:trPr>
        <w:tc>
          <w:tcPr>
            <w:tcW w:w="440" w:type="dxa"/>
            <w:vAlign w:val="bottom"/>
          </w:tcPr>
          <w:p>
            <w:pPr>
              <w:spacing w:after="0"/>
              <w:rPr>
                <w:sz w:val="22"/>
                <w:szCs w:val="22"/>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rPr>
              <w:t>relationship. The term “Claims” shall include injuries or damage of any nature, regardless of whether such injuries</w:t>
            </w:r>
          </w:p>
        </w:tc>
      </w:tr>
      <w:tr>
        <w:trPr>
          <w:trHeight w:val="257"/>
        </w:trPr>
        <w:tc>
          <w:tcPr>
            <w:tcW w:w="440" w:type="dxa"/>
            <w:vAlign w:val="bottom"/>
          </w:tcPr>
          <w:p>
            <w:pPr>
              <w:spacing w:after="0"/>
              <w:rPr>
                <w:sz w:val="22"/>
                <w:szCs w:val="22"/>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rPr>
              <w:t>or damage arise from accident, illness, occupational disease, negligence, intentional act, or some other origin. The</w:t>
            </w:r>
          </w:p>
        </w:tc>
      </w:tr>
      <w:tr>
        <w:trPr>
          <w:trHeight w:val="257"/>
        </w:trPr>
        <w:tc>
          <w:tcPr>
            <w:tcW w:w="440" w:type="dxa"/>
            <w:vAlign w:val="bottom"/>
          </w:tcPr>
          <w:p>
            <w:pPr>
              <w:spacing w:after="0"/>
              <w:rPr>
                <w:sz w:val="22"/>
                <w:szCs w:val="22"/>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rPr>
              <w:t>term “Claims” specifically includes third-party claims for indemnity or contribution against Employer or its</w:t>
            </w:r>
          </w:p>
        </w:tc>
      </w:tr>
      <w:tr>
        <w:trPr>
          <w:trHeight w:val="257"/>
        </w:trPr>
        <w:tc>
          <w:tcPr>
            <w:tcW w:w="440" w:type="dxa"/>
            <w:vAlign w:val="bottom"/>
          </w:tcPr>
          <w:p>
            <w:pPr>
              <w:spacing w:after="0"/>
              <w:rPr>
                <w:sz w:val="22"/>
                <w:szCs w:val="22"/>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rPr>
              <w:t>Releasees. The term “Claims” shall be construed to include any and all Claims meeting the definitions in this</w:t>
            </w:r>
          </w:p>
        </w:tc>
      </w:tr>
      <w:tr>
        <w:trPr>
          <w:trHeight w:val="257"/>
        </w:trPr>
        <w:tc>
          <w:tcPr>
            <w:tcW w:w="440" w:type="dxa"/>
            <w:vAlign w:val="bottom"/>
          </w:tcPr>
          <w:p>
            <w:pPr>
              <w:spacing w:after="0"/>
              <w:rPr>
                <w:sz w:val="22"/>
                <w:szCs w:val="22"/>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w w:val="98"/>
              </w:rPr>
              <w:t>subparagraph without regard to whether those Claims are asserted or unasserted, known or unknown, ripe or unripe,</w:t>
            </w:r>
          </w:p>
        </w:tc>
      </w:tr>
      <w:tr>
        <w:trPr>
          <w:trHeight w:val="283"/>
        </w:trPr>
        <w:tc>
          <w:tcPr>
            <w:tcW w:w="440" w:type="dxa"/>
            <w:vAlign w:val="bottom"/>
          </w:tcPr>
          <w:p>
            <w:pPr>
              <w:spacing w:after="0"/>
              <w:rPr>
                <w:sz w:val="24"/>
                <w:szCs w:val="24"/>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22"/>
                <w:szCs w:val="22"/>
                <w:color w:val="auto"/>
              </w:rPr>
              <w:t>direct or indirect, conditional or unconditional.</w:t>
            </w:r>
          </w:p>
        </w:tc>
      </w:tr>
    </w:tbl>
    <w:p>
      <w:pPr>
        <w:spacing w:after="0" w:line="231" w:lineRule="exact"/>
        <w:rPr>
          <w:sz w:val="20"/>
          <w:szCs w:val="20"/>
          <w:color w:val="auto"/>
        </w:rPr>
      </w:pPr>
    </w:p>
    <w:p>
      <w:pPr>
        <w:ind w:left="652" w:hanging="652"/>
        <w:spacing w:after="0"/>
        <w:tabs>
          <w:tab w:leader="none" w:pos="65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no other wages, overtime, compensation, benefits, or other amounts are due and owing.</w:t>
      </w:r>
    </w:p>
    <w:p>
      <w:pPr>
        <w:spacing w:after="0" w:line="260" w:lineRule="exact"/>
        <w:rPr>
          <w:rFonts w:ascii="Times New Roman" w:cs="Times New Roman" w:eastAsia="Times New Roman" w:hAnsi="Times New Roman"/>
          <w:sz w:val="22"/>
          <w:szCs w:val="22"/>
          <w:color w:val="auto"/>
        </w:rPr>
      </w:pPr>
    </w:p>
    <w:p>
      <w:pPr>
        <w:jc w:val="both"/>
        <w:ind w:left="652" w:hanging="652"/>
        <w:spacing w:after="0" w:line="257" w:lineRule="auto"/>
        <w:tabs>
          <w:tab w:leader="none" w:pos="65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represents that he has not sold, transferred, or assigned to a third party any claims that he may have against Employer and its Releasees. Employee represents that any claims that he may have against Employer and its Releasees are unencumbered and otherwise</w:t>
      </w:r>
    </w:p>
    <w:p>
      <w:pPr>
        <w:spacing w:after="0" w:line="354" w:lineRule="exact"/>
        <w:rPr>
          <w:sz w:val="20"/>
          <w:szCs w:val="20"/>
          <w:color w:val="auto"/>
        </w:rPr>
      </w:pPr>
    </w:p>
    <w:p>
      <w:pPr>
        <w:ind w:left="5312"/>
        <w:spacing w:after="0"/>
        <w:tabs>
          <w:tab w:leader="none" w:pos="9372" w:val="left"/>
        </w:tabs>
        <w:rPr>
          <w:sz w:val="20"/>
          <w:szCs w:val="20"/>
          <w:color w:val="auto"/>
        </w:rPr>
      </w:pPr>
      <w:r>
        <w:rPr>
          <w:rFonts w:ascii="Times New Roman" w:cs="Times New Roman" w:eastAsia="Times New Roman" w:hAnsi="Times New Roman"/>
          <w:sz w:val="18"/>
          <w:szCs w:val="18"/>
          <w:color w:val="auto"/>
        </w:rPr>
        <w:t>Page 7 of 10</w:t>
      </w:r>
      <w:r>
        <w:rPr>
          <w:sz w:val="20"/>
          <w:szCs w:val="20"/>
          <w:color w:val="auto"/>
        </w:rPr>
        <w:tab/>
      </w:r>
      <w:r>
        <w:rPr>
          <w:rFonts w:ascii="Times New Roman" w:cs="Times New Roman" w:eastAsia="Times New Roman" w:hAnsi="Times New Roman"/>
          <w:sz w:val="18"/>
          <w:szCs w:val="18"/>
          <w:color w:val="auto"/>
        </w:rPr>
        <w:t xml:space="preserve">Employee Initials:  </w:t>
      </w:r>
      <w:r>
        <w:rPr>
          <w:rFonts w:ascii="Times New Roman" w:cs="Times New Roman" w:eastAsia="Times New Roman" w:hAnsi="Times New Roman"/>
          <w:sz w:val="18"/>
          <w:szCs w:val="18"/>
          <w:b w:val="1"/>
          <w:bCs w:val="1"/>
          <w:u w:val="single" w:color="auto"/>
          <w:color w:val="auto"/>
        </w:rPr>
        <w:t>/s/ JK</w:t>
      </w:r>
    </w:p>
    <w:p>
      <w:pPr>
        <w:sectPr>
          <w:pgSz w:w="11900" w:h="16838" w:orient="portrait"/>
          <w:cols w:equalWidth="0" w:num="1">
            <w:col w:w="11412"/>
          </w:cols>
          <w:pgMar w:left="248" w:top="1084" w:right="239" w:bottom="1440" w:gutter="0" w:footer="0" w:header="0"/>
        </w:sectPr>
      </w:pPr>
    </w:p>
    <w:bookmarkStart w:id="70" w:name="page71"/>
    <w:bookmarkEnd w:id="70"/>
    <w:p>
      <w:pPr>
        <w:jc w:val="both"/>
        <w:ind w:left="652"/>
        <w:spacing w:after="0" w:line="265" w:lineRule="auto"/>
        <w:rPr>
          <w:sz w:val="20"/>
          <w:szCs w:val="20"/>
          <w:color w:val="auto"/>
        </w:rPr>
      </w:pPr>
      <w:r>
        <w:rPr>
          <w:rFonts w:ascii="Times New Roman" w:cs="Times New Roman" w:eastAsia="Times New Roman" w:hAnsi="Times New Roman"/>
          <w:sz w:val="21"/>
          <w:szCs w:val="21"/>
          <w:color w:val="auto"/>
        </w:rPr>
        <w:t>within his power to dispose of. Employee represents that he does not have any pending lawsuits, claims, or actions against Employer and its Releasees, or that if he does, he has fully disclosed such lawsuits, claims, or actions to Employer prior to executing this Separation Agreement. Employee further represents that he has not suffered any injuries, illnesses, or accidents in the course of his employment other than those he has previously disclosed to Employer, and that any previously disclosed injuries, illnesses, or accidents are included within the scope of the claims settled by this Separation Agreement.</w:t>
      </w:r>
    </w:p>
    <w:p>
      <w:pPr>
        <w:spacing w:after="0" w:line="206" w:lineRule="exact"/>
        <w:rPr>
          <w:sz w:val="20"/>
          <w:szCs w:val="20"/>
          <w:color w:val="auto"/>
        </w:rPr>
      </w:pPr>
    </w:p>
    <w:p>
      <w:pPr>
        <w:ind w:left="652" w:hanging="652"/>
        <w:spacing w:after="0"/>
        <w:tabs>
          <w:tab w:leader="none" w:pos="65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2"/>
          <w:szCs w:val="22"/>
          <w:color w:val="0D0D0D"/>
        </w:rPr>
        <w:t>or a one-year period commencing on the date Employee executes this Separation Agreement,</w:t>
      </w:r>
      <w:r>
        <w:rPr>
          <w:rFonts w:ascii="Times New Roman" w:cs="Times New Roman" w:eastAsia="Times New Roman" w:hAnsi="Times New Roman"/>
          <w:sz w:val="22"/>
          <w:szCs w:val="22"/>
          <w:color w:val="auto"/>
        </w:rPr>
        <w:t xml:space="preserve"> Employee shall not:</w:t>
      </w:r>
    </w:p>
    <w:p>
      <w:pPr>
        <w:sectPr>
          <w:pgSz w:w="11900" w:h="16838" w:orient="portrait"/>
          <w:cols w:equalWidth="0" w:num="1">
            <w:col w:w="11412"/>
          </w:cols>
          <w:pgMar w:left="248" w:top="828" w:right="239" w:bottom="1440" w:gutter="0" w:footer="0" w:header="0"/>
        </w:sectPr>
      </w:pPr>
    </w:p>
    <w:p>
      <w:pPr>
        <w:spacing w:after="0" w:line="26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individually or jointly with others, directly or indirectly, whether for Employee’s own account or for that of 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person or entity, engage in or own or hold any ownership interest 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i)any franchisee of the Employer or its affiliates,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ii)any person or any entity engaged in any Competing Restaurant (as defined below) business;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 as an officer, director, employee, partner, independent contractor, consultant, principal, agent, proprietor or 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other capacity for, nor lend any assistance (financial or otherwise) or cooperation to, any such person or entity.</w:t>
      </w:r>
    </w:p>
    <w:p>
      <w:pPr>
        <w:spacing w:after="0" w:line="200" w:lineRule="exact"/>
        <w:rPr>
          <w:sz w:val="20"/>
          <w:szCs w:val="20"/>
          <w:color w:val="auto"/>
        </w:rPr>
      </w:pPr>
    </w:p>
    <w:p>
      <w:pPr>
        <w:sectPr>
          <w:pgSz w:w="11900" w:h="16838" w:orient="portrait"/>
          <w:cols w:equalWidth="0" w:num="2">
            <w:col w:w="892" w:space="400"/>
            <w:col w:w="10120"/>
          </w:cols>
          <w:pgMar w:left="248" w:top="828" w:right="239" w:bottom="1440" w:gutter="0" w:footer="0" w:header="0"/>
          <w:type w:val="continuous"/>
        </w:sectPr>
      </w:pPr>
    </w:p>
    <w:p>
      <w:pPr>
        <w:spacing w:after="0" w:line="48" w:lineRule="exact"/>
        <w:rPr>
          <w:sz w:val="20"/>
          <w:szCs w:val="20"/>
          <w:color w:val="auto"/>
        </w:rPr>
      </w:pPr>
    </w:p>
    <w:p>
      <w:pPr>
        <w:jc w:val="both"/>
        <w:ind w:left="652"/>
        <w:spacing w:after="0" w:line="257" w:lineRule="auto"/>
        <w:rPr>
          <w:sz w:val="20"/>
          <w:szCs w:val="20"/>
          <w:color w:val="auto"/>
        </w:rPr>
      </w:pPr>
      <w:r>
        <w:rPr>
          <w:rFonts w:ascii="Times New Roman" w:cs="Times New Roman" w:eastAsia="Times New Roman" w:hAnsi="Times New Roman"/>
          <w:sz w:val="22"/>
          <w:szCs w:val="22"/>
          <w:color w:val="auto"/>
        </w:rPr>
        <w:t>It shall not be a violation of this non-competition clause for Employee to own a three percent (3%) or less interest in any entity required to file periodic reports with the Securities and Exchange Commission pursuant to the Securities Exchange Act of 1934, as amended, or successor statute.</w:t>
      </w:r>
    </w:p>
    <w:p>
      <w:pPr>
        <w:spacing w:after="0" w:line="210" w:lineRule="exact"/>
        <w:rPr>
          <w:sz w:val="20"/>
          <w:szCs w:val="20"/>
          <w:color w:val="auto"/>
        </w:rPr>
      </w:pPr>
    </w:p>
    <w:p>
      <w:pPr>
        <w:jc w:val="both"/>
        <w:ind w:left="652" w:right="20"/>
        <w:spacing w:after="0" w:line="275" w:lineRule="auto"/>
        <w:rPr>
          <w:sz w:val="20"/>
          <w:szCs w:val="20"/>
          <w:color w:val="auto"/>
        </w:rPr>
      </w:pPr>
      <w:r>
        <w:rPr>
          <w:rFonts w:ascii="Times New Roman" w:cs="Times New Roman" w:eastAsia="Times New Roman" w:hAnsi="Times New Roman"/>
          <w:sz w:val="22"/>
          <w:szCs w:val="22"/>
          <w:color w:val="auto"/>
        </w:rPr>
        <w:t>For the purpose hereof, “</w:t>
      </w:r>
      <w:r>
        <w:rPr>
          <w:rFonts w:ascii="Times New Roman" w:cs="Times New Roman" w:eastAsia="Times New Roman" w:hAnsi="Times New Roman"/>
          <w:sz w:val="22"/>
          <w:szCs w:val="22"/>
          <w:b w:val="1"/>
          <w:bCs w:val="1"/>
          <w:color w:val="auto"/>
        </w:rPr>
        <w:t>Competing Restaurant</w:t>
      </w:r>
      <w:r>
        <w:rPr>
          <w:rFonts w:ascii="Times New Roman" w:cs="Times New Roman" w:eastAsia="Times New Roman" w:hAnsi="Times New Roman"/>
          <w:sz w:val="22"/>
          <w:szCs w:val="22"/>
          <w:color w:val="auto"/>
        </w:rPr>
        <w:t>” shall mean any casual dining restaurant for which any of the following is true:</w:t>
      </w:r>
    </w:p>
    <w:p>
      <w:pPr>
        <w:sectPr>
          <w:pgSz w:w="11900" w:h="16838" w:orient="portrait"/>
          <w:cols w:equalWidth="0" w:num="1">
            <w:col w:w="11412"/>
          </w:cols>
          <w:pgMar w:left="248" w:top="828" w:right="239" w:bottom="1440" w:gutter="0" w:footer="0" w:header="0"/>
          <w:type w:val="continuous"/>
        </w:sectPr>
      </w:pPr>
    </w:p>
    <w:p>
      <w:pPr>
        <w:spacing w:after="0" w:line="194"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b.)</w:t>
      </w:r>
    </w:p>
    <w:p>
      <w:pPr>
        <w:spacing w:after="0" w:line="2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of the following is used in its 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i)the word “steak” or any item of steak or any word that connotes steak;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ii)the word “fish” or “seafood” or any word that connotes seafood;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iii)the word “Italian” or any Italian word or any derivations thereof;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Steak, seafood or Italian food is regularly featured in its advertising or marketing efforts;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sale of steak, seafood or Italian food constitutes twenty-five percent (25%) or more of its entrée or main item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sales computed on a dollar basis.</w:t>
      </w:r>
    </w:p>
    <w:p>
      <w:pPr>
        <w:spacing w:after="0" w:line="200" w:lineRule="exact"/>
        <w:rPr>
          <w:sz w:val="20"/>
          <w:szCs w:val="20"/>
          <w:color w:val="auto"/>
        </w:rPr>
      </w:pPr>
    </w:p>
    <w:p>
      <w:pPr>
        <w:sectPr>
          <w:pgSz w:w="11900" w:h="16838" w:orient="portrait"/>
          <w:cols w:equalWidth="0" w:num="2">
            <w:col w:w="892" w:space="400"/>
            <w:col w:w="10120"/>
          </w:cols>
          <w:pgMar w:left="248" w:top="828" w:right="239" w:bottom="1440" w:gutter="0" w:footer="0" w:header="0"/>
          <w:type w:val="continuous"/>
        </w:sectPr>
      </w:pPr>
    </w:p>
    <w:p>
      <w:pPr>
        <w:spacing w:after="0" w:line="36" w:lineRule="exact"/>
        <w:rPr>
          <w:sz w:val="20"/>
          <w:szCs w:val="20"/>
          <w:color w:val="auto"/>
        </w:rPr>
      </w:pPr>
    </w:p>
    <w:p>
      <w:pPr>
        <w:jc w:val="both"/>
        <w:ind w:left="652" w:right="20" w:hanging="652"/>
        <w:spacing w:after="0" w:line="295" w:lineRule="auto"/>
        <w:tabs>
          <w:tab w:leader="none" w:pos="652"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 violates the non-solicitation clause in Section 2(r) or the non-competition clause in Section 11, Employee shall re-pay to Employer, within 30 calendar days from the date of Employer’s demand, the Cash Payment in Section 3(a) above.</w:t>
      </w:r>
    </w:p>
    <w:p>
      <w:pPr>
        <w:spacing w:after="0" w:line="176" w:lineRule="exact"/>
        <w:rPr>
          <w:rFonts w:ascii="Times New Roman" w:cs="Times New Roman" w:eastAsia="Times New Roman" w:hAnsi="Times New Roman"/>
          <w:sz w:val="21"/>
          <w:szCs w:val="21"/>
          <w:color w:val="auto"/>
        </w:rPr>
      </w:pPr>
    </w:p>
    <w:p>
      <w:pPr>
        <w:jc w:val="both"/>
        <w:ind w:left="652" w:hanging="652"/>
        <w:spacing w:after="0" w:line="257" w:lineRule="auto"/>
        <w:tabs>
          <w:tab w:leader="none" w:pos="65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returned all property of Employer and its affiliates in Employee’s possession, including but not limited to, training materials, laptop computers, customer correspondence, sales information, company discount card and gift cards. All such materials are the exclusive property of the Employer.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312"/>
        <w:spacing w:after="0"/>
        <w:tabs>
          <w:tab w:leader="none" w:pos="9372" w:val="left"/>
        </w:tabs>
        <w:rPr>
          <w:sz w:val="20"/>
          <w:szCs w:val="20"/>
          <w:color w:val="auto"/>
        </w:rPr>
      </w:pPr>
      <w:r>
        <w:rPr>
          <w:rFonts w:ascii="Times New Roman" w:cs="Times New Roman" w:eastAsia="Times New Roman" w:hAnsi="Times New Roman"/>
          <w:sz w:val="18"/>
          <w:szCs w:val="18"/>
          <w:color w:val="auto"/>
        </w:rPr>
        <w:t>Page 8 of 10</w:t>
      </w:r>
      <w:r>
        <w:rPr>
          <w:sz w:val="20"/>
          <w:szCs w:val="20"/>
          <w:color w:val="auto"/>
        </w:rPr>
        <w:tab/>
      </w:r>
      <w:r>
        <w:rPr>
          <w:rFonts w:ascii="Times New Roman" w:cs="Times New Roman" w:eastAsia="Times New Roman" w:hAnsi="Times New Roman"/>
          <w:sz w:val="18"/>
          <w:szCs w:val="18"/>
          <w:color w:val="auto"/>
        </w:rPr>
        <w:t xml:space="preserve">Employee Initials:  </w:t>
      </w:r>
      <w:r>
        <w:rPr>
          <w:rFonts w:ascii="Times New Roman" w:cs="Times New Roman" w:eastAsia="Times New Roman" w:hAnsi="Times New Roman"/>
          <w:sz w:val="18"/>
          <w:szCs w:val="18"/>
          <w:b w:val="1"/>
          <w:bCs w:val="1"/>
          <w:u w:val="single" w:color="auto"/>
          <w:color w:val="auto"/>
        </w:rPr>
        <w:t>/s/ JK</w:t>
      </w:r>
    </w:p>
    <w:p>
      <w:pPr>
        <w:sectPr>
          <w:pgSz w:w="11900" w:h="16838" w:orient="portrait"/>
          <w:cols w:equalWidth="0" w:num="1">
            <w:col w:w="11412"/>
          </w:cols>
          <w:pgMar w:left="248" w:top="828" w:right="239" w:bottom="1440" w:gutter="0" w:footer="0" w:header="0"/>
          <w:type w:val="continuous"/>
        </w:sectPr>
      </w:pPr>
    </w:p>
    <w:bookmarkStart w:id="71" w:name="page72"/>
    <w:bookmarkEnd w:id="71"/>
    <w:p>
      <w:pPr>
        <w:jc w:val="both"/>
        <w:ind w:left="652" w:hanging="652"/>
        <w:spacing w:after="0" w:line="247" w:lineRule="auto"/>
        <w:tabs>
          <w:tab w:leader="none" w:pos="65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not, individually or jointly with others, for the benefit of the Employee or any third party, publish, disclose, use or authorize anyone else to publish, disclose or use any secret or confidential material or information relating to any aspect of the business or operations of the Employer or any of its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franchisees and other information or know-how of the Employer or any of its affiliates, except (i) to the extent required by law, regulation or valid subpoena, or (ii) to the extent that such information or material becomes publicly known or available through no fault of the Employee.</w:t>
      </w:r>
    </w:p>
    <w:p>
      <w:pPr>
        <w:spacing w:after="0" w:line="226" w:lineRule="exact"/>
        <w:rPr>
          <w:rFonts w:ascii="Times New Roman" w:cs="Times New Roman" w:eastAsia="Times New Roman" w:hAnsi="Times New Roman"/>
          <w:sz w:val="22"/>
          <w:szCs w:val="22"/>
          <w:color w:val="auto"/>
        </w:rPr>
      </w:pPr>
    </w:p>
    <w:p>
      <w:pPr>
        <w:jc w:val="both"/>
        <w:ind w:left="652" w:hanging="652"/>
        <w:spacing w:after="0" w:line="250" w:lineRule="auto"/>
        <w:tabs>
          <w:tab w:leader="none" w:pos="65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Employer and Employee agree that the life insurance policy (number 90848002), insuring the life of the Employee, which was issued by John Hancock Variable Life Insurance Company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and the related Split-Dollar Agreement dated March 30, 2006 governing the respective rights and obligations of the parties in and to the Policy (“</w:t>
      </w:r>
      <w:r>
        <w:rPr>
          <w:rFonts w:ascii="Times New Roman" w:cs="Times New Roman" w:eastAsia="Times New Roman" w:hAnsi="Times New Roman"/>
          <w:sz w:val="22"/>
          <w:szCs w:val="22"/>
          <w:b w:val="1"/>
          <w:bCs w:val="1"/>
          <w:color w:val="auto"/>
        </w:rPr>
        <w:t>Policy Agreement</w:t>
      </w:r>
      <w:r>
        <w:rPr>
          <w:rFonts w:ascii="Times New Roman" w:cs="Times New Roman" w:eastAsia="Times New Roman" w:hAnsi="Times New Roman"/>
          <w:sz w:val="22"/>
          <w:szCs w:val="22"/>
          <w:color w:val="auto"/>
        </w:rPr>
        <w:t>”) shall remain in full force and effect subsequent to the Separation Date until such time as the Employer and Employee mutually agree.</w:t>
      </w:r>
    </w:p>
    <w:p>
      <w:pPr>
        <w:spacing w:after="0" w:line="222" w:lineRule="exact"/>
        <w:rPr>
          <w:rFonts w:ascii="Times New Roman" w:cs="Times New Roman" w:eastAsia="Times New Roman" w:hAnsi="Times New Roman"/>
          <w:sz w:val="22"/>
          <w:szCs w:val="22"/>
          <w:color w:val="auto"/>
        </w:rPr>
      </w:pPr>
    </w:p>
    <w:p>
      <w:pPr>
        <w:jc w:val="both"/>
        <w:ind w:left="652" w:hanging="652"/>
        <w:spacing w:after="0" w:line="246" w:lineRule="auto"/>
        <w:tabs>
          <w:tab w:leader="none" w:pos="65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the Policy and the Policy Agreement referenced in Section 15, any and all prior understandings or agreements between Employee and Employer with respect to the subject matter of this Separation Agreement, including any provisions of the Employment Agreement that purport to survive termination of the Employment Agreement, are merged into this Separation Agreement, which fully and completely expresses the entire agreement and understanding of the parties with respect to the subject matter hereof. Notwithstanding this provision, this Separation Agreement shall not in any way diminish any obligation, duty or undertaking owed by the Employee to Employer because of any other contract or agreement or law. The rights and releases given to Employer in this Separation Agreement will be in addition to, and not in place of, any and all other rights held by Employer by virtue of any other contract, agreement or undertaking, and to that extent, the obligations of the Employee survive the execution of this Separation Agreement.</w:t>
      </w:r>
    </w:p>
    <w:p>
      <w:pPr>
        <w:spacing w:after="0" w:line="232" w:lineRule="exact"/>
        <w:rPr>
          <w:rFonts w:ascii="Times New Roman" w:cs="Times New Roman" w:eastAsia="Times New Roman" w:hAnsi="Times New Roman"/>
          <w:sz w:val="22"/>
          <w:szCs w:val="22"/>
          <w:color w:val="auto"/>
        </w:rPr>
      </w:pPr>
    </w:p>
    <w:p>
      <w:pPr>
        <w:jc w:val="both"/>
        <w:ind w:left="652" w:hanging="652"/>
        <w:spacing w:after="0" w:line="250" w:lineRule="auto"/>
        <w:tabs>
          <w:tab w:leader="none" w:pos="65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any rights and remedies Employer provided by law, Employer has the right to set-off any amounts for any damages to Employer and/or its affiliates caused by Employee’s noncompliance with this Separation Agreement, including as related to the non-solicitation provision. Employer has the right to seek, in addition to other available remedies, a temporary or permanent injunction or other equitable relief against a breach or threatened breach by Employee of any of the provisions of this Separation Agreement.</w:t>
      </w:r>
    </w:p>
    <w:p>
      <w:pPr>
        <w:spacing w:after="0" w:line="222" w:lineRule="exact"/>
        <w:rPr>
          <w:rFonts w:ascii="Times New Roman" w:cs="Times New Roman" w:eastAsia="Times New Roman" w:hAnsi="Times New Roman"/>
          <w:sz w:val="22"/>
          <w:szCs w:val="22"/>
          <w:color w:val="auto"/>
        </w:rPr>
      </w:pPr>
    </w:p>
    <w:p>
      <w:pPr>
        <w:jc w:val="both"/>
        <w:ind w:left="652" w:hanging="652"/>
        <w:spacing w:after="0" w:line="250" w:lineRule="auto"/>
        <w:tabs>
          <w:tab w:leader="none" w:pos="65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Separation Agreement cannot be orally amended, modified, or changed. No change, amendment, or modification to the terms of this Separation Agreement shall be valid unless such change, amendment, or modification is memorialized in a written agreement between the parties that expressly references this Separation Agreement and identifies the provisions herein that are to be changed, amended, or modified. Such change, amendment, or modification must be signed by Employee and by duly authorized officers or representatives of Employer.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312"/>
        <w:spacing w:after="0"/>
        <w:tabs>
          <w:tab w:leader="none" w:pos="9372" w:val="left"/>
        </w:tabs>
        <w:rPr>
          <w:sz w:val="20"/>
          <w:szCs w:val="20"/>
          <w:color w:val="auto"/>
        </w:rPr>
      </w:pPr>
      <w:r>
        <w:rPr>
          <w:rFonts w:ascii="Times New Roman" w:cs="Times New Roman" w:eastAsia="Times New Roman" w:hAnsi="Times New Roman"/>
          <w:sz w:val="18"/>
          <w:szCs w:val="18"/>
          <w:color w:val="auto"/>
        </w:rPr>
        <w:t>Page 9 of 10</w:t>
      </w:r>
      <w:r>
        <w:rPr>
          <w:sz w:val="20"/>
          <w:szCs w:val="20"/>
          <w:color w:val="auto"/>
        </w:rPr>
        <w:tab/>
      </w:r>
      <w:r>
        <w:rPr>
          <w:rFonts w:ascii="Times New Roman" w:cs="Times New Roman" w:eastAsia="Times New Roman" w:hAnsi="Times New Roman"/>
          <w:sz w:val="18"/>
          <w:szCs w:val="18"/>
          <w:color w:val="auto"/>
        </w:rPr>
        <w:t xml:space="preserve">Employee Initials:  </w:t>
      </w:r>
      <w:r>
        <w:rPr>
          <w:rFonts w:ascii="Times New Roman" w:cs="Times New Roman" w:eastAsia="Times New Roman" w:hAnsi="Times New Roman"/>
          <w:sz w:val="18"/>
          <w:szCs w:val="18"/>
          <w:b w:val="1"/>
          <w:bCs w:val="1"/>
          <w:u w:val="single" w:color="auto"/>
          <w:color w:val="auto"/>
        </w:rPr>
        <w:t>/s/ JK</w:t>
      </w:r>
    </w:p>
    <w:p>
      <w:pPr>
        <w:sectPr>
          <w:pgSz w:w="11900" w:h="16838" w:orient="portrait"/>
          <w:cols w:equalWidth="0" w:num="1">
            <w:col w:w="11412"/>
          </w:cols>
          <w:pgMar w:left="248" w:top="828" w:right="239" w:bottom="1440" w:gutter="0" w:footer="0" w:header="0"/>
        </w:sectPr>
      </w:pPr>
    </w:p>
    <w:bookmarkStart w:id="72" w:name="page73"/>
    <w:bookmarkEnd w:id="72"/>
    <w:p>
      <w:pPr>
        <w:jc w:val="both"/>
        <w:ind w:left="660" w:hanging="652"/>
        <w:spacing w:after="0" w:line="248"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Separation Agreement is made and entered into in the state of Florida, and shall in all respects be interpreted, enforced and governed under the laws of Florida. In the event of a breach of this Separation Agreement by either party, the other party shall be entitled to seek enforcement of this Separation Agreement exclusively before a state or federal court of competent jurisdiction located in Hillsborough County, Florida, and the state and federal courts located in Hillsborough County, Florida shall be deemed to have exclusive jurisdiction and venue over any litigation related to or arising from this Separation Agreement. This Separation Agreement shall not be construed to waive any right of removal that may apply to any action filed in state court by either party to this Separation Agreement.</w:t>
      </w:r>
    </w:p>
    <w:p>
      <w:pPr>
        <w:spacing w:after="0" w:line="222" w:lineRule="exact"/>
        <w:rPr>
          <w:rFonts w:ascii="Times New Roman" w:cs="Times New Roman" w:eastAsia="Times New Roman" w:hAnsi="Times New Roman"/>
          <w:sz w:val="22"/>
          <w:szCs w:val="22"/>
          <w:color w:val="auto"/>
        </w:rPr>
      </w:pPr>
    </w:p>
    <w:p>
      <w:pPr>
        <w:jc w:val="both"/>
        <w:ind w:left="660" w:hanging="652"/>
        <w:spacing w:after="0" w:line="257"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conclusion of any litigation or dispute arising out of or related to this Separation Agreement, the prevailing party may recover, in addition to damages, the costs and fees (including attorney's fees, paralegal fees, and expert fees) reasonably incurred in connection with the litigation or dispute.</w:t>
      </w:r>
    </w:p>
    <w:p>
      <w:pPr>
        <w:spacing w:after="0" w:line="213" w:lineRule="exact"/>
        <w:rPr>
          <w:rFonts w:ascii="Times New Roman" w:cs="Times New Roman" w:eastAsia="Times New Roman" w:hAnsi="Times New Roman"/>
          <w:sz w:val="22"/>
          <w:szCs w:val="22"/>
          <w:color w:val="auto"/>
        </w:rPr>
      </w:pPr>
    </w:p>
    <w:p>
      <w:pPr>
        <w:jc w:val="both"/>
        <w:ind w:left="660" w:right="20" w:hanging="652"/>
        <w:spacing w:after="0" w:line="257"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language of all parts of this Separation Agreement shall in all cases be construed as a whole, according to its fair meaning, and not strictly for or against any of the parties. As used in this Separation Agreement, the singular or plural shall be deemed to include the other whenever the context so indicates or requires.</w:t>
      </w:r>
    </w:p>
    <w:p>
      <w:pPr>
        <w:spacing w:after="0" w:line="213" w:lineRule="exact"/>
        <w:rPr>
          <w:rFonts w:ascii="Times New Roman" w:cs="Times New Roman" w:eastAsia="Times New Roman" w:hAnsi="Times New Roman"/>
          <w:sz w:val="22"/>
          <w:szCs w:val="22"/>
          <w:color w:val="auto"/>
        </w:rPr>
      </w:pPr>
    </w:p>
    <w:p>
      <w:pPr>
        <w:jc w:val="both"/>
        <w:ind w:left="660" w:hanging="652"/>
        <w:spacing w:after="0" w:line="257"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any provision of this Separation Agreement be declared or be determined by any court to be illegal or invalid, the remaining parts, terms or provisions shall remain valid unless declared otherwise by the court. Any part, term or provision which is determined to be illegal or invalid shall be deemed not to be a part of this Separation Agreement.</w:t>
      </w:r>
    </w:p>
    <w:p>
      <w:pPr>
        <w:spacing w:after="0" w:line="213" w:lineRule="exact"/>
        <w:rPr>
          <w:rFonts w:ascii="Times New Roman" w:cs="Times New Roman" w:eastAsia="Times New Roman" w:hAnsi="Times New Roman"/>
          <w:sz w:val="22"/>
          <w:szCs w:val="22"/>
          <w:color w:val="auto"/>
        </w:rPr>
      </w:pPr>
    </w:p>
    <w:p>
      <w:pPr>
        <w:ind w:left="660" w:hanging="652"/>
        <w:spacing w:after="0" w:line="271"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a true copy of this Separation Agreement may be used in any legal proceeding in place of the original and that any such true copy shall have the same effect as the original.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PLEASE READ CAREFULLY. THIS GENERAL SEPARATION AGREEMENT INCLUDES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 RELEASE OF ALL KNOWN AND UNKNOWN CLAIMS.</w:t>
      </w:r>
    </w:p>
    <w:p>
      <w:pPr>
        <w:spacing w:after="0" w:line="104" w:lineRule="exact"/>
        <w:rPr>
          <w:sz w:val="20"/>
          <w:szCs w:val="20"/>
          <w:color w:val="auto"/>
        </w:rPr>
      </w:pPr>
    </w:p>
    <w:tbl>
      <w:tblPr>
        <w:tblLayout w:type="fixed"/>
        <w:tblInd w:w="1660" w:type="dxa"/>
        <w:tblCellMar>
          <w:top w:w="0" w:type="dxa"/>
          <w:left w:w="0" w:type="dxa"/>
          <w:bottom w:w="0" w:type="dxa"/>
          <w:right w:w="0" w:type="dxa"/>
        </w:tblCellMar>
      </w:tblPr>
      <w:tr>
        <w:trPr>
          <w:trHeight w:val="322"/>
        </w:trPr>
        <w:tc>
          <w:tcPr>
            <w:tcW w:w="180" w:type="dxa"/>
            <w:vAlign w:val="bottom"/>
          </w:tcPr>
          <w:p>
            <w:pPr>
              <w:spacing w:after="0"/>
              <w:rPr>
                <w:sz w:val="24"/>
                <w:szCs w:val="24"/>
                <w:color w:val="auto"/>
              </w:rPr>
            </w:pPr>
          </w:p>
        </w:tc>
        <w:tc>
          <w:tcPr>
            <w:tcW w:w="182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8"/>
              </w:rPr>
              <w:t>Executed at</w:t>
            </w:r>
          </w:p>
        </w:tc>
        <w:tc>
          <w:tcPr>
            <w:tcW w:w="1500" w:type="dxa"/>
            <w:vAlign w:val="bottom"/>
            <w:gridSpan w:val="3"/>
          </w:tcPr>
          <w:p>
            <w:pPr>
              <w:ind w:left="460"/>
              <w:spacing w:after="0"/>
              <w:rPr>
                <w:sz w:val="20"/>
                <w:szCs w:val="20"/>
                <w:color w:val="auto"/>
              </w:rPr>
            </w:pPr>
            <w:r>
              <w:rPr>
                <w:rFonts w:ascii="Times New Roman" w:cs="Times New Roman" w:eastAsia="Times New Roman" w:hAnsi="Times New Roman"/>
                <w:sz w:val="22"/>
                <w:szCs w:val="22"/>
                <w:b w:val="1"/>
                <w:bCs w:val="1"/>
                <w:color w:val="auto"/>
                <w:w w:val="95"/>
              </w:rPr>
              <w:t>Tampa, FL</w:t>
            </w:r>
          </w:p>
        </w:tc>
        <w:tc>
          <w:tcPr>
            <w:tcW w:w="460" w:type="dxa"/>
            <w:vAlign w:val="bottom"/>
          </w:tcPr>
          <w:p>
            <w:pPr>
              <w:spacing w:after="0"/>
              <w:rPr>
                <w:sz w:val="24"/>
                <w:szCs w:val="24"/>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this</w:t>
            </w:r>
          </w:p>
        </w:tc>
        <w:tc>
          <w:tcPr>
            <w:tcW w:w="120" w:type="dxa"/>
            <w:vAlign w:val="bottom"/>
          </w:tcPr>
          <w:p>
            <w:pPr>
              <w:spacing w:after="0"/>
              <w:rPr>
                <w:sz w:val="24"/>
                <w:szCs w:val="24"/>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31</w:t>
            </w:r>
            <w:r>
              <w:rPr>
                <w:rFonts w:ascii="Times New Roman" w:cs="Times New Roman" w:eastAsia="Times New Roman" w:hAnsi="Times New Roman"/>
                <w:sz w:val="28"/>
                <w:szCs w:val="28"/>
                <w:b w:val="1"/>
                <w:bCs w:val="1"/>
                <w:color w:val="auto"/>
                <w:w w:val="95"/>
                <w:vertAlign w:val="superscript"/>
              </w:rPr>
              <w:t>st</w:t>
            </w:r>
          </w:p>
        </w:tc>
        <w:tc>
          <w:tcPr>
            <w:tcW w:w="100" w:type="dxa"/>
            <w:vAlign w:val="bottom"/>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day of</w:t>
            </w:r>
          </w:p>
        </w:tc>
        <w:tc>
          <w:tcPr>
            <w:tcW w:w="140" w:type="dxa"/>
            <w:vAlign w:val="bottom"/>
          </w:tcPr>
          <w:p>
            <w:pPr>
              <w:spacing w:after="0"/>
              <w:rPr>
                <w:sz w:val="24"/>
                <w:szCs w:val="24"/>
                <w:color w:val="auto"/>
              </w:rPr>
            </w:pPr>
          </w:p>
        </w:tc>
        <w:tc>
          <w:tcPr>
            <w:tcW w:w="3620" w:type="dxa"/>
            <w:vAlign w:val="bottom"/>
            <w:gridSpan w:val="6"/>
          </w:tcPr>
          <w:p>
            <w:pPr>
              <w:ind w:left="140"/>
              <w:spacing w:after="0"/>
              <w:rPr>
                <w:sz w:val="20"/>
                <w:szCs w:val="20"/>
                <w:color w:val="auto"/>
              </w:rPr>
            </w:pPr>
            <w:r>
              <w:rPr>
                <w:rFonts w:ascii="Times New Roman" w:cs="Times New Roman" w:eastAsia="Times New Roman" w:hAnsi="Times New Roman"/>
                <w:sz w:val="22"/>
                <w:szCs w:val="22"/>
                <w:b w:val="1"/>
                <w:bCs w:val="1"/>
                <w:color w:val="auto"/>
              </w:rPr>
              <w:t xml:space="preserve">July  </w:t>
            </w:r>
            <w:r>
              <w:rPr>
                <w:rFonts w:ascii="Times New Roman" w:cs="Times New Roman" w:eastAsia="Times New Roman" w:hAnsi="Times New Roman"/>
                <w:sz w:val="22"/>
                <w:szCs w:val="22"/>
                <w:color w:val="auto"/>
              </w:rPr>
              <w:t>, 2019.</w:t>
            </w:r>
          </w:p>
        </w:tc>
      </w:tr>
      <w:tr>
        <w:trPr>
          <w:trHeight w:val="27"/>
        </w:trPr>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gridSpan w:val="2"/>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763"/>
        </w:trPr>
        <w:tc>
          <w:tcPr>
            <w:tcW w:w="2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/s/ Diana Orejuela</w:t>
            </w:r>
          </w:p>
        </w:tc>
        <w:tc>
          <w:tcPr>
            <w:tcW w:w="7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22"/>
                <w:szCs w:val="22"/>
                <w:b w:val="1"/>
                <w:bCs w:val="1"/>
                <w:color w:val="auto"/>
              </w:rPr>
              <w:t>/s/ Joseph Kadow</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83"/>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Witness</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gridSpan w:val="14"/>
          </w:tcPr>
          <w:p>
            <w:pPr>
              <w:ind w:left="20"/>
              <w:spacing w:after="0"/>
              <w:rPr>
                <w:sz w:val="20"/>
                <w:szCs w:val="20"/>
                <w:color w:val="auto"/>
              </w:rPr>
            </w:pPr>
            <w:r>
              <w:rPr>
                <w:rFonts w:ascii="Times New Roman" w:cs="Times New Roman" w:eastAsia="Times New Roman" w:hAnsi="Times New Roman"/>
                <w:sz w:val="22"/>
                <w:szCs w:val="22"/>
                <w:color w:val="auto"/>
              </w:rPr>
              <w:t>Joseph J. Kadow, Employee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70"/>
        </w:trPr>
        <w:tc>
          <w:tcPr>
            <w:tcW w:w="180" w:type="dxa"/>
            <w:vAlign w:val="bottom"/>
          </w:tcPr>
          <w:p>
            <w:pPr>
              <w:spacing w:after="0"/>
              <w:rPr>
                <w:sz w:val="24"/>
                <w:szCs w:val="24"/>
                <w:color w:val="auto"/>
              </w:rPr>
            </w:pPr>
          </w:p>
        </w:tc>
        <w:tc>
          <w:tcPr>
            <w:tcW w:w="4120" w:type="dxa"/>
            <w:vAlign w:val="bottom"/>
            <w:gridSpan w:val="6"/>
          </w:tcPr>
          <w:p>
            <w:pPr>
              <w:ind w:left="1340"/>
              <w:spacing w:after="0"/>
              <w:rPr>
                <w:sz w:val="20"/>
                <w:szCs w:val="20"/>
                <w:color w:val="auto"/>
              </w:rPr>
            </w:pPr>
            <w:r>
              <w:rPr>
                <w:rFonts w:ascii="Times New Roman" w:cs="Times New Roman" w:eastAsia="Times New Roman" w:hAnsi="Times New Roman"/>
                <w:sz w:val="22"/>
                <w:szCs w:val="22"/>
                <w:color w:val="auto"/>
                <w:w w:val="97"/>
              </w:rPr>
              <w:t>Executed at Tampa, Florida this</w:t>
            </w:r>
          </w:p>
        </w:tc>
        <w:tc>
          <w:tcPr>
            <w:tcW w:w="12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43"/>
                <w:szCs w:val="43"/>
                <w:b w:val="1"/>
                <w:bCs w:val="1"/>
                <w:color w:val="auto"/>
                <w:w w:val="82"/>
                <w:vertAlign w:val="subscript"/>
              </w:rPr>
              <w:t>31</w:t>
            </w:r>
            <w:r>
              <w:rPr>
                <w:rFonts w:ascii="Times New Roman" w:cs="Times New Roman" w:eastAsia="Times New Roman" w:hAnsi="Times New Roman"/>
                <w:sz w:val="14"/>
                <w:szCs w:val="14"/>
                <w:b w:val="1"/>
                <w:bCs w:val="1"/>
                <w:color w:val="auto"/>
                <w:w w:val="82"/>
              </w:rPr>
              <w:t>st</w:t>
            </w:r>
          </w:p>
        </w:tc>
        <w:tc>
          <w:tcPr>
            <w:tcW w:w="14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day of</w:t>
            </w:r>
          </w:p>
        </w:tc>
        <w:tc>
          <w:tcPr>
            <w:tcW w:w="100" w:type="dxa"/>
            <w:vAlign w:val="bottom"/>
          </w:tcPr>
          <w:p>
            <w:pPr>
              <w:spacing w:after="0"/>
              <w:rPr>
                <w:sz w:val="24"/>
                <w:szCs w:val="24"/>
                <w:color w:val="auto"/>
              </w:rPr>
            </w:pPr>
          </w:p>
        </w:tc>
        <w:tc>
          <w:tcPr>
            <w:tcW w:w="3760" w:type="dxa"/>
            <w:vAlign w:val="bottom"/>
            <w:gridSpan w:val="7"/>
          </w:tcPr>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July  </w:t>
            </w:r>
            <w:r>
              <w:rPr>
                <w:rFonts w:ascii="Times New Roman" w:cs="Times New Roman" w:eastAsia="Times New Roman" w:hAnsi="Times New Roman"/>
                <w:sz w:val="22"/>
                <w:szCs w:val="22"/>
                <w:color w:val="auto"/>
              </w:rPr>
              <w:t>, 2019.</w:t>
            </w:r>
          </w:p>
        </w:tc>
      </w:tr>
      <w:tr>
        <w:trPr>
          <w:trHeight w:val="28"/>
        </w:trPr>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gridSpan w:val="3"/>
            <w:shd w:val="clear" w:color="auto" w:fill="000000"/>
          </w:tcPr>
          <w:p>
            <w:pPr>
              <w:spacing w:after="0"/>
              <w:rPr>
                <w:sz w:val="2"/>
                <w:szCs w:val="2"/>
                <w:color w:val="auto"/>
              </w:rPr>
            </w:pPr>
          </w:p>
        </w:tc>
        <w:tc>
          <w:tcPr>
            <w:tcW w:w="900" w:type="dxa"/>
            <w:vAlign w:val="bottom"/>
            <w:gridSpan w:val="3"/>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741"/>
        </w:trPr>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auto"/>
              </w:rPr>
              <w:t>EMPLOYER</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643"/>
        </w:trPr>
        <w:tc>
          <w:tcPr>
            <w:tcW w:w="180" w:type="dxa"/>
            <w:vAlign w:val="bottom"/>
          </w:tcPr>
          <w:p>
            <w:pPr>
              <w:spacing w:after="0"/>
              <w:rPr>
                <w:sz w:val="24"/>
                <w:szCs w:val="24"/>
                <w:color w:val="auto"/>
              </w:rPr>
            </w:pPr>
          </w:p>
        </w:tc>
        <w:tc>
          <w:tcPr>
            <w:tcW w:w="182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/s/ Diana Orejuela</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gridSpan w:val="9"/>
          </w:tcPr>
          <w:p>
            <w:pPr>
              <w:jc w:val="center"/>
              <w:ind w:right="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21"/>
                <w:szCs w:val="21"/>
                <w:b w:val="1"/>
                <w:bCs w:val="1"/>
                <w:color w:val="auto"/>
              </w:rPr>
              <w:t>/s/ Kelly Lefferts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83"/>
        </w:trPr>
        <w:tc>
          <w:tcPr>
            <w:tcW w:w="180" w:type="dxa"/>
            <w:vAlign w:val="bottom"/>
          </w:tcPr>
          <w:p>
            <w:pPr>
              <w:spacing w:after="0"/>
              <w:rPr>
                <w:sz w:val="24"/>
                <w:szCs w:val="24"/>
                <w:color w:val="auto"/>
              </w:rPr>
            </w:pPr>
          </w:p>
        </w:tc>
        <w:tc>
          <w:tcPr>
            <w:tcW w:w="1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Witness</w:t>
            </w: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95"/>
        </w:trPr>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Page 10 of 10</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rPr>
              <w:t xml:space="preserve">Employee Initials:  </w:t>
            </w:r>
            <w:r>
              <w:rPr>
                <w:rFonts w:ascii="Times New Roman" w:cs="Times New Roman" w:eastAsia="Times New Roman" w:hAnsi="Times New Roman"/>
                <w:sz w:val="18"/>
                <w:szCs w:val="18"/>
                <w:b w:val="1"/>
                <w:bCs w:val="1"/>
                <w:color w:val="auto"/>
              </w:rPr>
              <w:t>/s/ JK</w:t>
            </w:r>
          </w:p>
        </w:tc>
      </w:tr>
      <w:tr>
        <w:trPr>
          <w:trHeight w:val="20"/>
        </w:trPr>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828"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J. Deno, certify that:</w:t>
      </w:r>
    </w:p>
    <w:p>
      <w:pPr>
        <w:spacing w:after="0" w:line="229" w:lineRule="exact"/>
        <w:rPr>
          <w:sz w:val="20"/>
          <w:szCs w:val="20"/>
          <w:color w:val="auto"/>
        </w:rPr>
      </w:pPr>
    </w:p>
    <w:p>
      <w:pPr>
        <w:ind w:left="580" w:hanging="572"/>
        <w:spacing w:after="0"/>
        <w:tabs>
          <w:tab w:leader="none" w:pos="5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Bloomin’ Brands, Inc.;</w:t>
      </w:r>
    </w:p>
    <w:p>
      <w:pPr>
        <w:spacing w:after="0" w:line="229" w:lineRule="exact"/>
        <w:rPr>
          <w:rFonts w:ascii="Times New Roman" w:cs="Times New Roman" w:eastAsia="Times New Roman" w:hAnsi="Times New Roman"/>
          <w:sz w:val="20"/>
          <w:szCs w:val="20"/>
          <w:color w:val="auto"/>
        </w:rPr>
      </w:pPr>
    </w:p>
    <w:p>
      <w:pPr>
        <w:jc w:val="both"/>
        <w:ind w:left="580" w:hanging="572"/>
        <w:spacing w:after="0" w:line="254" w:lineRule="auto"/>
        <w:tabs>
          <w:tab w:leader="none" w:pos="5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0"/>
          <w:szCs w:val="20"/>
          <w:color w:val="auto"/>
        </w:rPr>
      </w:pPr>
    </w:p>
    <w:p>
      <w:pPr>
        <w:ind w:left="580" w:right="20" w:hanging="572"/>
        <w:spacing w:after="0" w:line="269" w:lineRule="auto"/>
        <w:tabs>
          <w:tab w:leader="none" w:pos="5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20"/>
          <w:szCs w:val="20"/>
          <w:color w:val="auto"/>
        </w:rPr>
      </w:pPr>
    </w:p>
    <w:p>
      <w:pPr>
        <w:jc w:val="both"/>
        <w:ind w:left="580" w:hanging="572"/>
        <w:spacing w:after="0" w:line="264" w:lineRule="auto"/>
        <w:tabs>
          <w:tab w:leader="none" w:pos="5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300" w:hanging="482"/>
        <w:spacing w:after="0" w:line="254" w:lineRule="auto"/>
        <w:tabs>
          <w:tab w:leader="none" w:pos="130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30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30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30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20"/>
          <w:szCs w:val="20"/>
          <w:color w:val="auto"/>
        </w:rPr>
      </w:pPr>
    </w:p>
    <w:p>
      <w:pPr>
        <w:jc w:val="both"/>
        <w:ind w:left="580" w:hanging="572"/>
        <w:spacing w:after="0" w:line="254" w:lineRule="auto"/>
        <w:tabs>
          <w:tab w:leader="none" w:pos="5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30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20"/>
          <w:szCs w:val="20"/>
          <w:color w:val="auto"/>
        </w:rPr>
      </w:pPr>
    </w:p>
    <w:p>
      <w:pPr>
        <w:ind w:left="2520" w:hanging="1702"/>
        <w:spacing w:after="0" w:line="269" w:lineRule="auto"/>
        <w:tabs>
          <w:tab w:leader="none" w:pos="1305"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40"/>
        <w:spacing w:after="0"/>
        <w:tabs>
          <w:tab w:leader="none" w:pos="700" w:val="left"/>
          <w:tab w:leader="none" w:pos="5040" w:val="left"/>
        </w:tabs>
        <w:rPr>
          <w:sz w:val="20"/>
          <w:szCs w:val="20"/>
          <w:color w:val="auto"/>
        </w:rPr>
      </w:pPr>
      <w:r>
        <w:rPr>
          <w:rFonts w:ascii="Times New Roman" w:cs="Times New Roman" w:eastAsia="Times New Roman" w:hAnsi="Times New Roman"/>
          <w:sz w:val="20"/>
          <w:szCs w:val="20"/>
          <w:color w:val="auto"/>
        </w:rPr>
        <w:t>Date:</w:t>
        <w:tab/>
        <w:t>August 2, 2019</w:t>
      </w:r>
      <w:r>
        <w:rPr>
          <w:sz w:val="20"/>
          <w:szCs w:val="20"/>
          <w:color w:val="auto"/>
        </w:rPr>
        <w:tab/>
      </w:r>
      <w:r>
        <w:rPr>
          <w:rFonts w:ascii="Times New Roman" w:cs="Times New Roman" w:eastAsia="Times New Roman" w:hAnsi="Times New Roman"/>
          <w:sz w:val="19"/>
          <w:szCs w:val="19"/>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31115</wp:posOffset>
            </wp:positionV>
            <wp:extent cx="40563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David J. Deno</w:t>
      </w:r>
    </w:p>
    <w:p>
      <w:pPr>
        <w:spacing w:after="0" w:line="5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1900" w:h="16838" w:orient="portrait"/>
          <w:cols w:equalWidth="0" w:num="1">
            <w:col w:w="11420"/>
          </w:cols>
          <w:pgMar w:left="240" w:top="342"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Christopher Meyer, certify that:</w:t>
      </w:r>
    </w:p>
    <w:p>
      <w:pPr>
        <w:spacing w:after="0" w:line="216" w:lineRule="exact"/>
        <w:rPr>
          <w:sz w:val="20"/>
          <w:szCs w:val="20"/>
          <w:color w:val="auto"/>
        </w:rPr>
      </w:pPr>
    </w:p>
    <w:p>
      <w:pPr>
        <w:ind w:left="580" w:hanging="572"/>
        <w:spacing w:after="0"/>
        <w:tabs>
          <w:tab w:leader="none" w:pos="5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Bloomin’ Brands, Inc.;</w:t>
      </w:r>
    </w:p>
    <w:p>
      <w:pPr>
        <w:spacing w:after="0" w:line="229" w:lineRule="exact"/>
        <w:rPr>
          <w:rFonts w:ascii="Times New Roman" w:cs="Times New Roman" w:eastAsia="Times New Roman" w:hAnsi="Times New Roman"/>
          <w:sz w:val="20"/>
          <w:szCs w:val="20"/>
          <w:color w:val="auto"/>
        </w:rPr>
      </w:pPr>
    </w:p>
    <w:p>
      <w:pPr>
        <w:jc w:val="both"/>
        <w:ind w:left="580" w:hanging="572"/>
        <w:spacing w:after="0" w:line="254" w:lineRule="auto"/>
        <w:tabs>
          <w:tab w:leader="none" w:pos="5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0"/>
          <w:szCs w:val="20"/>
          <w:color w:val="auto"/>
        </w:rPr>
      </w:pPr>
    </w:p>
    <w:p>
      <w:pPr>
        <w:ind w:left="580" w:right="20" w:hanging="572"/>
        <w:spacing w:after="0" w:line="269" w:lineRule="auto"/>
        <w:tabs>
          <w:tab w:leader="none" w:pos="5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20"/>
          <w:szCs w:val="20"/>
          <w:color w:val="auto"/>
        </w:rPr>
      </w:pPr>
    </w:p>
    <w:p>
      <w:pPr>
        <w:jc w:val="both"/>
        <w:ind w:left="580" w:hanging="572"/>
        <w:spacing w:after="0" w:line="264" w:lineRule="auto"/>
        <w:tabs>
          <w:tab w:leader="none" w:pos="58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300" w:hanging="482"/>
        <w:spacing w:after="0" w:line="254" w:lineRule="auto"/>
        <w:tabs>
          <w:tab w:leader="none" w:pos="13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3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3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3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20"/>
          <w:szCs w:val="20"/>
          <w:color w:val="auto"/>
        </w:rPr>
      </w:pPr>
    </w:p>
    <w:p>
      <w:pPr>
        <w:jc w:val="both"/>
        <w:ind w:left="580" w:hanging="572"/>
        <w:spacing w:after="0" w:line="254" w:lineRule="auto"/>
        <w:tabs>
          <w:tab w:leader="none" w:pos="5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54" w:lineRule="auto"/>
        <w:tabs>
          <w:tab w:leader="none" w:pos="13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20"/>
          <w:szCs w:val="20"/>
          <w:color w:val="auto"/>
        </w:rPr>
      </w:pPr>
    </w:p>
    <w:p>
      <w:pPr>
        <w:ind w:left="2520" w:hanging="1702"/>
        <w:spacing w:after="0" w:line="269" w:lineRule="auto"/>
        <w:tabs>
          <w:tab w:leader="none" w:pos="1305"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40"/>
        <w:spacing w:after="0"/>
        <w:tabs>
          <w:tab w:leader="none" w:pos="700" w:val="left"/>
          <w:tab w:leader="none" w:pos="5040" w:val="left"/>
        </w:tabs>
        <w:rPr>
          <w:sz w:val="20"/>
          <w:szCs w:val="20"/>
          <w:color w:val="auto"/>
        </w:rPr>
      </w:pPr>
      <w:r>
        <w:rPr>
          <w:rFonts w:ascii="Times New Roman" w:cs="Times New Roman" w:eastAsia="Times New Roman" w:hAnsi="Times New Roman"/>
          <w:sz w:val="20"/>
          <w:szCs w:val="20"/>
          <w:color w:val="auto"/>
        </w:rPr>
        <w:t>Date:</w:t>
        <w:tab/>
        <w:t>August 2, 2019</w:t>
      </w:r>
      <w:r>
        <w:rPr>
          <w:sz w:val="20"/>
          <w:szCs w:val="20"/>
          <w:color w:val="auto"/>
        </w:rPr>
        <w:tab/>
      </w:r>
      <w:r>
        <w:rPr>
          <w:rFonts w:ascii="Times New Roman" w:cs="Times New Roman" w:eastAsia="Times New Roman" w:hAnsi="Times New Roman"/>
          <w:sz w:val="19"/>
          <w:szCs w:val="19"/>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31115</wp:posOffset>
            </wp:positionV>
            <wp:extent cx="40563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Christopher Meyer</w:t>
      </w:r>
    </w:p>
    <w:p>
      <w:pPr>
        <w:spacing w:after="0" w:line="5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ectPr>
          <w:pgSz w:w="11900" w:h="16838" w:orient="portrait"/>
          <w:cols w:equalWidth="0" w:num="1">
            <w:col w:w="11420"/>
          </w:cols>
          <w:pgMar w:left="240" w:top="342"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of Bloomin’ Brands, Inc. (the “Company”) on Form 10-Q for the quarter ended June 30, 2019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spacing w:after="0" w:line="180"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35" w:lineRule="exact"/>
        <w:rPr>
          <w:sz w:val="20"/>
          <w:szCs w:val="20"/>
          <w:color w:val="auto"/>
        </w:rPr>
      </w:pPr>
    </w:p>
    <w:p>
      <w:pPr>
        <w:ind w:left="80"/>
        <w:spacing w:after="0"/>
        <w:tabs>
          <w:tab w:leader="none" w:pos="760" w:val="left"/>
          <w:tab w:leader="none" w:pos="5080" w:val="left"/>
        </w:tabs>
        <w:rPr>
          <w:sz w:val="20"/>
          <w:szCs w:val="20"/>
          <w:color w:val="auto"/>
        </w:rPr>
      </w:pPr>
      <w:r>
        <w:rPr>
          <w:rFonts w:ascii="Times New Roman" w:cs="Times New Roman" w:eastAsia="Times New Roman" w:hAnsi="Times New Roman"/>
          <w:sz w:val="20"/>
          <w:szCs w:val="20"/>
          <w:color w:val="auto"/>
        </w:rPr>
        <w:t>Date:</w:t>
        <w:tab/>
        <w:t>August 2, 2019</w:t>
      </w:r>
      <w:r>
        <w:rPr>
          <w:sz w:val="20"/>
          <w:szCs w:val="20"/>
          <w:color w:val="auto"/>
        </w:rPr>
        <w:tab/>
      </w:r>
      <w:r>
        <w:rPr>
          <w:rFonts w:ascii="Times New Roman" w:cs="Times New Roman" w:eastAsia="Times New Roman" w:hAnsi="Times New Roman"/>
          <w:sz w:val="19"/>
          <w:szCs w:val="19"/>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31115</wp:posOffset>
            </wp:positionV>
            <wp:extent cx="40303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David J. Deno</w:t>
      </w:r>
    </w:p>
    <w:p>
      <w:pPr>
        <w:spacing w:after="0" w:line="5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420"/>
          </w:cols>
          <w:pgMar w:left="240" w:top="572"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of Bloomin’ Brands, Inc. (the “Company”) on Form 10-Q for the quarter ended June 30, 2019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spacing w:after="0" w:line="180"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35" w:lineRule="exact"/>
        <w:rPr>
          <w:sz w:val="20"/>
          <w:szCs w:val="20"/>
          <w:color w:val="auto"/>
        </w:rPr>
      </w:pPr>
    </w:p>
    <w:p>
      <w:pPr>
        <w:ind w:left="80"/>
        <w:spacing w:after="0"/>
        <w:tabs>
          <w:tab w:leader="none" w:pos="760" w:val="left"/>
          <w:tab w:leader="none" w:pos="5080" w:val="left"/>
        </w:tabs>
        <w:rPr>
          <w:sz w:val="20"/>
          <w:szCs w:val="20"/>
          <w:color w:val="auto"/>
        </w:rPr>
      </w:pPr>
      <w:r>
        <w:rPr>
          <w:rFonts w:ascii="Times New Roman" w:cs="Times New Roman" w:eastAsia="Times New Roman" w:hAnsi="Times New Roman"/>
          <w:sz w:val="20"/>
          <w:szCs w:val="20"/>
          <w:color w:val="auto"/>
        </w:rPr>
        <w:t>Date:</w:t>
        <w:tab/>
        <w:t>August 2, 2019</w:t>
      </w:r>
      <w:r>
        <w:rPr>
          <w:sz w:val="20"/>
          <w:szCs w:val="20"/>
          <w:color w:val="auto"/>
        </w:rPr>
        <w:tab/>
      </w:r>
      <w:r>
        <w:rPr>
          <w:rFonts w:ascii="Times New Roman" w:cs="Times New Roman" w:eastAsia="Times New Roman" w:hAnsi="Times New Roman"/>
          <w:sz w:val="19"/>
          <w:szCs w:val="19"/>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31115</wp:posOffset>
            </wp:positionV>
            <wp:extent cx="40303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Christopher Meyer</w:t>
      </w:r>
    </w:p>
    <w:p>
      <w:pPr>
        <w:spacing w:after="0" w:line="5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pacing w:after="0" w:line="2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420"/>
      </w:cols>
      <w:pgMar w:left="240" w:top="5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lowerRoman"/>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1."/>
      <w:numFmt w:val="decimal"/>
      <w:start w:val="1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1."/>
      <w:numFmt w:val="decimal"/>
      <w:start w:val="13"/>
    </w:lvl>
  </w:abstractNum>
  <w:abstractNum w:abstractNumId="13">
    <w:nsid w:val="2D517796"/>
    <w:multiLevelType w:val="hybridMultilevel"/>
    <w:lvl w:ilvl="0">
      <w:lvlJc w:val="left"/>
      <w:lvlText w:val="(%1)"/>
      <w:numFmt w:val="decimal"/>
      <w:start w:val="1"/>
    </w:lvl>
  </w:abstractNum>
  <w:abstractNum w:abstractNumId="14">
    <w:nsid w:val="580BD78F"/>
    <w:multiLevelType w:val="hybridMultilevel"/>
    <w:lvl w:ilvl="0">
      <w:lvlJc w:val="left"/>
      <w:lvlText w:val="(%1)"/>
      <w:numFmt w:val="decimal"/>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1)"/>
      <w:numFmt w:val="decimal"/>
      <w:start w:val="1"/>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1)"/>
      <w:numFmt w:val="lowerRoman"/>
      <w:start w:val="1"/>
    </w:lvl>
  </w:abstractNum>
  <w:abstractNum w:abstractNumId="21">
    <w:nsid w:val="725A06FB"/>
    <w:multiLevelType w:val="hybridMultilevel"/>
    <w:lvl w:ilvl="0">
      <w:lvlJc w:val="left"/>
      <w:lvlText w:val="(%1)"/>
      <w:numFmt w:val="lowerRoman"/>
      <w:start w:val="8"/>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1)"/>
      <w:numFmt w:val="lowerRoman"/>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1)"/>
      <w:numFmt w:val="lowerRoman"/>
      <w:start w:val="1"/>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lowerRoman"/>
      <w:start w:val="4"/>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45">
    <w:nsid w:val="275AC794"/>
    <w:multiLevelType w:val="hybridMultilevel"/>
    <w:lvl w:ilvl="0">
      <w:lvlJc w:val="left"/>
      <w:lvlText w:val="%1"/>
      <w:numFmt w:val="decimal"/>
      <w:start w:val="1"/>
    </w:lvl>
    <w:lvl w:ilvl="1">
      <w:lvlJc w:val="left"/>
      <w:lvlText w:val="%2."/>
      <w:numFmt w:val="upperLetter"/>
      <w:start w:val="3"/>
    </w:lvl>
    <w:lvl w:ilvl="2">
      <w:lvlJc w:val="left"/>
      <w:lvlText w:val="%3"/>
      <w:numFmt w:val="upperLetter"/>
      <w:start w:val="1"/>
    </w:lvl>
  </w:abstractNum>
  <w:abstractNum w:abstractNumId="46">
    <w:nsid w:val="39386575"/>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47">
    <w:nsid w:val="1CF10FD8"/>
    <w:multiLevelType w:val="hybridMultilevel"/>
    <w:lvl w:ilvl="0">
      <w:lvlJc w:val="left"/>
      <w:lvlText w:val="%1."/>
      <w:numFmt w:val="decimal"/>
      <w:start w:val="1"/>
    </w:lvl>
    <w:lvl w:ilvl="1">
      <w:lvlJc w:val="left"/>
      <w:lvlText w:val="(%2)"/>
      <w:numFmt w:val="decimal"/>
      <w:start w:val="30"/>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50">
    <w:nsid w:val="47398C89"/>
    <w:multiLevelType w:val="hybridMultilevel"/>
    <w:lvl w:ilvl="0">
      <w:lvlJc w:val="left"/>
      <w:lvlText w:val="%1"/>
      <w:numFmt w:val="decimal"/>
      <w:start w:val="1"/>
    </w:lvl>
    <w:lvl w:ilvl="1">
      <w:lvlJc w:val="left"/>
      <w:lvlText w:val="%2."/>
      <w:numFmt w:val="upperLetter"/>
      <w:start w:val="3"/>
    </w:lvl>
    <w:lvl w:ilvl="2">
      <w:lvlJc w:val="left"/>
      <w:lvlText w:val="%3"/>
      <w:numFmt w:val="upperLetter"/>
      <w:start w:val="1"/>
    </w:lvl>
  </w:abstractNum>
  <w:abstractNum w:abstractNumId="51">
    <w:nsid w:val="354FE9F9"/>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52">
    <w:nsid w:val="15B5AF5C"/>
    <w:multiLevelType w:val="hybridMultilevel"/>
    <w:lvl w:ilvl="0">
      <w:lvlJc w:val="left"/>
      <w:lvlText w:val="%1."/>
      <w:numFmt w:val="decimal"/>
      <w:start w:val="1"/>
    </w:lvl>
    <w:lvl w:ilvl="1">
      <w:lvlJc w:val="left"/>
      <w:lvlText w:val="(%2)"/>
      <w:numFmt w:val="decimal"/>
      <w:start w:val="30"/>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1."/>
      <w:numFmt w:val="decimal"/>
      <w:start w:val="3"/>
    </w:lvl>
  </w:abstractNum>
  <w:abstractNum w:abstractNumId="55">
    <w:nsid w:val="10233C99"/>
    <w:multiLevelType w:val="hybridMultilevel"/>
    <w:lvl w:ilvl="0">
      <w:lvlJc w:val="left"/>
      <w:lvlText w:val="%1."/>
      <w:numFmt w:val="decimal"/>
      <w:start w:val="4"/>
    </w:lvl>
  </w:abstractNum>
  <w:abstractNum w:abstractNumId="56">
    <w:nsid w:val="3F6AB60F"/>
    <w:multiLevelType w:val="hybridMultilevel"/>
    <w:lvl w:ilvl="0">
      <w:lvlJc w:val="left"/>
      <w:lvlText w:val="%1."/>
      <w:numFmt w:val="decimal"/>
      <w:start w:val="8"/>
    </w:lvl>
  </w:abstractNum>
  <w:abstractNum w:abstractNumId="57">
    <w:nsid w:val="61574095"/>
    <w:multiLevelType w:val="hybridMultilevel"/>
    <w:lvl w:ilvl="0">
      <w:lvlJc w:val="left"/>
      <w:lvlText w:val="%1."/>
      <w:numFmt w:val="decimal"/>
      <w:start w:val="9"/>
    </w:lvl>
  </w:abstractNum>
  <w:abstractNum w:abstractNumId="58">
    <w:nsid w:val="7E0C57B1"/>
    <w:multiLevelType w:val="hybridMultilevel"/>
    <w:lvl w:ilvl="0">
      <w:lvlJc w:val="left"/>
      <w:lvlText w:val="%1."/>
      <w:numFmt w:val="decimal"/>
      <w:start w:val="11"/>
    </w:lvl>
  </w:abstractNum>
  <w:abstractNum w:abstractNumId="59">
    <w:nsid w:val="77AE35EB"/>
    <w:multiLevelType w:val="hybridMultilevel"/>
    <w:lvl w:ilvl="0">
      <w:lvlJc w:val="left"/>
      <w:lvlText w:val="%1."/>
      <w:numFmt w:val="decimal"/>
      <w:start w:val="12"/>
    </w:lvl>
  </w:abstractNum>
  <w:abstractNum w:abstractNumId="60">
    <w:nsid w:val="579BE4F1"/>
    <w:multiLevelType w:val="hybridMultilevel"/>
    <w:lvl w:ilvl="0">
      <w:lvlJc w:val="left"/>
      <w:lvlText w:val="%1."/>
      <w:numFmt w:val="decimal"/>
      <w:start w:val="14"/>
    </w:lvl>
  </w:abstractNum>
  <w:abstractNum w:abstractNumId="61">
    <w:nsid w:val="310C50B3"/>
    <w:multiLevelType w:val="hybridMultilevel"/>
    <w:lvl w:ilvl="0">
      <w:lvlJc w:val="left"/>
      <w:lvlText w:val="%1."/>
      <w:numFmt w:val="decimal"/>
      <w:start w:val="19"/>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21" Type="http://schemas.openxmlformats.org/officeDocument/2006/relationships/hyperlink" Target="http://www.sec.gov/Archives/edgar/data/1546417/000154641719000068/blmn-33119_ex102.htm" TargetMode="External"/><Relationship Id="rId22" Type="http://schemas.openxmlformats.org/officeDocument/2006/relationships/hyperlink" Target="http://www.sec.gov/Archives/edgar/data/1546417/000154641719000068/blmn-33119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2019-12-28T08:52:48Z</dcterms:created>
  <dcterms:modified xsi:type="dcterms:W3CDTF">2019-12-28T08:52:48Z</dcterms:modified>
</cp:coreProperties>
</file>