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2" w:lineRule="exact"/>
        <w:rPr>
          <w:sz w:val="24"/>
          <w:szCs w:val="24"/>
          <w:color w:val="auto"/>
        </w:rPr>
      </w:pPr>
    </w:p>
    <w:p>
      <w:pPr>
        <w:ind w:left="1700" w:right="560" w:hanging="801"/>
        <w:spacing w:after="0" w:line="194" w:lineRule="auto"/>
        <w:tabs>
          <w:tab w:leader="none" w:pos="1700" w:val="left"/>
        </w:tabs>
        <w:numPr>
          <w:ilvl w:val="0"/>
          <w:numId w:val="1"/>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quarterly period ended March 31, 2024</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or</w:t>
      </w:r>
    </w:p>
    <w:p>
      <w:pPr>
        <w:spacing w:after="0" w:line="27" w:lineRule="exact"/>
        <w:rPr>
          <w:sz w:val="24"/>
          <w:szCs w:val="24"/>
          <w:color w:val="auto"/>
        </w:rPr>
      </w:pPr>
    </w:p>
    <w:p>
      <w:pPr>
        <w:ind w:left="1700" w:right="540" w:hanging="801"/>
        <w:spacing w:after="0" w:line="194" w:lineRule="auto"/>
        <w:tabs>
          <w:tab w:leader="none" w:pos="1700" w:val="left"/>
        </w:tabs>
        <w:numPr>
          <w:ilvl w:val="0"/>
          <w:numId w:val="2"/>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transition period from ______ to ______</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177165</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080"/>
          </w:cols>
          <w:pgMar w:left="320" w:top="923" w:right="499" w:bottom="48" w:gutter="0" w:footer="0" w:header="0"/>
        </w:sectPr>
      </w:pPr>
    </w:p>
    <w:p>
      <w:pPr>
        <w:spacing w:after="0" w:line="1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20-8023465</w:t>
      </w:r>
    </w:p>
    <w:p>
      <w:pPr>
        <w:spacing w:after="0" w:line="3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00" w:lineRule="exact"/>
        <w:rPr>
          <w:sz w:val="24"/>
          <w:szCs w:val="24"/>
          <w:color w:val="auto"/>
        </w:rPr>
      </w:pPr>
    </w:p>
    <w:p>
      <w:pPr>
        <w:sectPr>
          <w:pgSz w:w="11900" w:h="16838" w:orient="portrait"/>
          <w:cols w:equalWidth="0" w:num="2">
            <w:col w:w="6560" w:space="720"/>
            <w:col w:w="3800"/>
          </w:cols>
          <w:pgMar w:left="320" w:top="923" w:right="499" w:bottom="48"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2202 North West Shore Boulevard, Suite 500, Tampa, FL 33607</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(813) 282-1225</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080"/>
          </w:cols>
          <w:pgMar w:left="320" w:top="923" w:right="499" w:bottom="48"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left="114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left="1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4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80" w:space="480"/>
            <w:col w:w="3740" w:space="260"/>
            <w:col w:w="3320"/>
          </w:cols>
          <w:pgMar w:left="320" w:top="923" w:right="499" w:bottom="48" w:gutter="0" w:footer="0" w:header="0"/>
          <w:type w:val="continuous"/>
        </w:sectPr>
      </w:pPr>
    </w:p>
    <w:p>
      <w:pPr>
        <w:spacing w:after="0" w:line="95" w:lineRule="exact"/>
        <w:rPr>
          <w:sz w:val="24"/>
          <w:szCs w:val="24"/>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52"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99"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25"/>
          <w:szCs w:val="25"/>
          <w:color w:val="auto"/>
        </w:rPr>
        <w:t>☐</w:t>
      </w:r>
    </w:p>
    <w:p>
      <w:pPr>
        <w:spacing w:after="0" w:line="238" w:lineRule="exact"/>
        <w:rPr>
          <w:sz w:val="24"/>
          <w:szCs w:val="24"/>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080"/>
          </w:cols>
          <w:pgMar w:left="320" w:top="923" w:right="499" w:bottom="48" w:gutter="0" w:footer="0" w:header="0"/>
          <w:type w:val="continuous"/>
        </w:sectPr>
      </w:pPr>
    </w:p>
    <w:bookmarkStart w:id="1" w:name="page2"/>
    <w:bookmarkEnd w:id="1"/>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 2024, 86,476,371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0" w:type="dxa"/>
            <w:vAlign w:val="bottom"/>
            <w:gridSpan w:val="14"/>
          </w:tcPr>
          <w:p>
            <w:pPr>
              <w:jc w:val="center"/>
              <w:ind w:right="24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92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18"/>
          </w:tcPr>
          <w:p>
            <w:pPr>
              <w:jc w:val="center"/>
              <w:ind w:right="1440"/>
              <w:spacing w:after="0"/>
              <w:rPr>
                <w:sz w:val="20"/>
                <w:szCs w:val="20"/>
                <w:color w:val="auto"/>
              </w:rPr>
            </w:pPr>
            <w:r>
              <w:rPr>
                <w:rFonts w:ascii="Times New Roman" w:cs="Times New Roman" w:eastAsia="Times New Roman" w:hAnsi="Times New Roman"/>
                <w:sz w:val="20"/>
                <w:szCs w:val="20"/>
                <w:color w:val="auto"/>
                <w:w w:val="97"/>
              </w:rPr>
              <w:t>INDEX TO QUARTERLY REPORT ON FORM 10-Q</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40" w:type="dxa"/>
            <w:vAlign w:val="bottom"/>
            <w:gridSpan w:val="17"/>
          </w:tcPr>
          <w:p>
            <w:pPr>
              <w:jc w:val="center"/>
              <w:ind w:right="2100"/>
              <w:spacing w:after="0"/>
              <w:rPr>
                <w:sz w:val="20"/>
                <w:szCs w:val="20"/>
                <w:color w:val="auto"/>
              </w:rPr>
            </w:pPr>
            <w:r>
              <w:rPr>
                <w:rFonts w:ascii="Times New Roman" w:cs="Times New Roman" w:eastAsia="Times New Roman" w:hAnsi="Times New Roman"/>
                <w:sz w:val="20"/>
                <w:szCs w:val="20"/>
                <w:color w:val="auto"/>
                <w:w w:val="98"/>
              </w:rPr>
              <w:t>For the Quarterly Period Ended March 31, 2024</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8"/>
        </w:trPr>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740" w:type="dxa"/>
            <w:vAlign w:val="bottom"/>
            <w:gridSpan w:val="13"/>
          </w:tcPr>
          <w:p>
            <w:pPr>
              <w:jc w:val="center"/>
              <w:ind w:right="3300"/>
              <w:spacing w:after="0"/>
              <w:rPr>
                <w:sz w:val="20"/>
                <w:szCs w:val="20"/>
                <w:color w:val="auto"/>
              </w:rPr>
            </w:pPr>
            <w:r>
              <w:rPr>
                <w:rFonts w:ascii="Times New Roman" w:cs="Times New Roman" w:eastAsia="Times New Roman" w:hAnsi="Times New Roman"/>
                <w:sz w:val="20"/>
                <w:szCs w:val="20"/>
                <w:color w:val="auto"/>
                <w:w w:val="99"/>
              </w:rPr>
              <w:t>(Unaudited)</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48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4"/>
          </w:tcPr>
          <w:p>
            <w:pPr>
              <w:jc w:val="center"/>
              <w:ind w:right="244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40" w:type="dxa"/>
            <w:vAlign w:val="bottom"/>
            <w:gridSpan w:val="17"/>
          </w:tcPr>
          <w:p>
            <w:pPr>
              <w:jc w:val="center"/>
              <w:ind w:right="2580"/>
              <w:spacing w:after="0"/>
              <w:rPr>
                <w:sz w:val="20"/>
                <w:szCs w:val="20"/>
                <w:color w:val="auto"/>
              </w:rPr>
            </w:pPr>
            <w:r>
              <w:rPr>
                <w:rFonts w:ascii="Times New Roman" w:cs="Times New Roman" w:eastAsia="Times New Roman" w:hAnsi="Times New Roman"/>
                <w:sz w:val="20"/>
                <w:szCs w:val="20"/>
                <w:color w:val="0000FF"/>
                <w:w w:val="97"/>
              </w:rPr>
              <w:t>PART I — FINANCIAL INFORMATION</w:t>
            </w:r>
          </w:p>
        </w:tc>
        <w:tc>
          <w:tcPr>
            <w:tcW w:w="160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Page No.</w:t>
            </w:r>
          </w:p>
        </w:tc>
      </w:tr>
      <w:tr>
        <w:trPr>
          <w:trHeight w:val="41"/>
        </w:trPr>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3"/>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26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8"/>
              </w:rPr>
              <w:t>Financial Statements (Unaudited)</w:t>
            </w:r>
          </w:p>
        </w:tc>
        <w:tc>
          <w:tcPr>
            <w:tcW w:w="5860" w:type="dxa"/>
            <w:vAlign w:val="bottom"/>
            <w:gridSpan w:val="16"/>
          </w:tcPr>
          <w:p>
            <w:pPr>
              <w:spacing w:after="0"/>
              <w:rPr>
                <w:sz w:val="21"/>
                <w:szCs w:val="21"/>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3</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Consolidated Financial Statements: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w w:val="98"/>
              </w:rPr>
              <w:t>Consolidated Balance Sheets — March 31, 2024 and December 31, 2023</w:t>
            </w:r>
          </w:p>
        </w:tc>
        <w:tc>
          <w:tcPr>
            <w:tcW w:w="2400" w:type="dxa"/>
            <w:vAlign w:val="bottom"/>
            <w:gridSpan w:val="3"/>
          </w:tcPr>
          <w:p>
            <w:pPr>
              <w:spacing w:after="0"/>
              <w:rPr>
                <w:sz w:val="24"/>
                <w:szCs w:val="24"/>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3</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(Loss) Income —</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0" w:type="dxa"/>
            <w:vAlign w:val="bottom"/>
            <w:tcBorders>
              <w:top w:val="single" w:sz="8" w:color="0000FF"/>
              <w:bottom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20"/>
                <w:szCs w:val="20"/>
                <w:color w:val="0000FF"/>
                <w:w w:val="98"/>
              </w:rPr>
              <w:t>For the Thirteen Weeks Ended March 31, 2024 and March 26, 2023</w:t>
            </w:r>
          </w:p>
        </w:tc>
        <w:tc>
          <w:tcPr>
            <w:tcW w:w="760" w:type="dxa"/>
            <w:vAlign w:val="bottom"/>
            <w:tcBorders>
              <w:top w:val="single" w:sz="8" w:color="0000FF"/>
            </w:tcBorders>
            <w:gridSpan w:val="4"/>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79"/>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 —</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5</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80" w:type="dxa"/>
            <w:vAlign w:val="bottom"/>
            <w:tcBorders>
              <w:bottom w:val="single" w:sz="8" w:color="0000FF"/>
            </w:tcBorders>
            <w:gridSpan w:val="17"/>
          </w:tcPr>
          <w:p>
            <w:pPr>
              <w:spacing w:after="0" w:line="183" w:lineRule="exact"/>
              <w:rPr>
                <w:sz w:val="20"/>
                <w:szCs w:val="20"/>
                <w:color w:val="auto"/>
              </w:rPr>
            </w:pPr>
            <w:r>
              <w:rPr>
                <w:rFonts w:ascii="Times New Roman" w:cs="Times New Roman" w:eastAsia="Times New Roman" w:hAnsi="Times New Roman"/>
                <w:sz w:val="20"/>
                <w:szCs w:val="20"/>
                <w:color w:val="0000FF"/>
                <w:w w:val="98"/>
              </w:rPr>
              <w:t>For the Thirteen Weeks Ended March 31, 2024 and March 26, 2023</w:t>
            </w:r>
          </w:p>
        </w:tc>
        <w:tc>
          <w:tcPr>
            <w:tcW w:w="282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9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w w:val="98"/>
              </w:rPr>
              <w:t>Condensed Consolidated Statements of Cash Flows —</w:t>
            </w:r>
          </w:p>
        </w:tc>
        <w:tc>
          <w:tcPr>
            <w:tcW w:w="3860" w:type="dxa"/>
            <w:vAlign w:val="bottom"/>
            <w:gridSpan w:val="12"/>
          </w:tcPr>
          <w:p>
            <w:pPr>
              <w:spacing w:after="0"/>
              <w:rPr>
                <w:sz w:val="24"/>
                <w:szCs w:val="24"/>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6</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0" w:type="dxa"/>
            <w:vAlign w:val="bottom"/>
            <w:gridSpan w:val="24"/>
          </w:tcPr>
          <w:p>
            <w:pPr>
              <w:spacing w:after="0" w:line="183" w:lineRule="exact"/>
              <w:rPr>
                <w:sz w:val="20"/>
                <w:szCs w:val="20"/>
                <w:color w:val="auto"/>
              </w:rPr>
            </w:pPr>
            <w:r>
              <w:rPr>
                <w:rFonts w:ascii="Times New Roman" w:cs="Times New Roman" w:eastAsia="Times New Roman" w:hAnsi="Times New Roman"/>
                <w:sz w:val="20"/>
                <w:szCs w:val="20"/>
                <w:color w:val="0000FF"/>
              </w:rPr>
              <w:t>For the Thirteen Weeks Ended March 31, 2024 and March 26, 2023</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80"/>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2840" w:type="dxa"/>
            <w:vAlign w:val="bottom"/>
            <w:gridSpan w:val="8"/>
          </w:tcPr>
          <w:p>
            <w:pPr>
              <w:spacing w:after="0"/>
              <w:rPr>
                <w:sz w:val="24"/>
                <w:szCs w:val="24"/>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7</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21</w:t>
            </w:r>
          </w:p>
        </w:tc>
        <w:tc>
          <w:tcPr>
            <w:tcW w:w="700" w:type="dxa"/>
            <w:vAlign w:val="bottom"/>
          </w:tcPr>
          <w:p>
            <w:pPr>
              <w:spacing w:after="0"/>
              <w:rPr>
                <w:sz w:val="24"/>
                <w:szCs w:val="24"/>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72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38</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852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38</w:t>
            </w:r>
          </w:p>
        </w:tc>
        <w:tc>
          <w:tcPr>
            <w:tcW w:w="700" w:type="dxa"/>
            <w:vAlign w:val="bottom"/>
          </w:tcPr>
          <w:p>
            <w:pPr>
              <w:spacing w:after="0"/>
              <w:rPr>
                <w:sz w:val="24"/>
                <w:szCs w:val="24"/>
                <w:color w:val="auto"/>
              </w:rPr>
            </w:pPr>
          </w:p>
        </w:tc>
      </w:tr>
      <w:tr>
        <w:trPr>
          <w:trHeight w:val="507"/>
        </w:trPr>
        <w:tc>
          <w:tcPr>
            <w:tcW w:w="1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15"/>
          </w:tcPr>
          <w:p>
            <w:pPr>
              <w:jc w:val="center"/>
              <w:ind w:right="2760"/>
              <w:spacing w:after="0"/>
              <w:rPr>
                <w:sz w:val="20"/>
                <w:szCs w:val="20"/>
                <w:color w:val="auto"/>
              </w:rPr>
            </w:pPr>
            <w:r>
              <w:rPr>
                <w:rFonts w:ascii="Times New Roman" w:cs="Times New Roman" w:eastAsia="Times New Roman" w:hAnsi="Times New Roman"/>
                <w:sz w:val="20"/>
                <w:szCs w:val="20"/>
                <w:color w:val="0000FF"/>
                <w:w w:val="97"/>
              </w:rPr>
              <w:t>PART II — OTHER INFORMATION</w:t>
            </w:r>
          </w:p>
        </w:tc>
        <w:tc>
          <w:tcPr>
            <w:tcW w:w="7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27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3020" w:type="dxa"/>
            <w:vAlign w:val="bottom"/>
            <w:tcBorders>
              <w:top w:val="single" w:sz="8" w:color="0000FF"/>
            </w:tcBorders>
            <w:gridSpan w:val="10"/>
          </w:tcPr>
          <w:p>
            <w:pPr>
              <w:spacing w:after="0"/>
              <w:rPr>
                <w:sz w:val="20"/>
                <w:szCs w:val="20"/>
                <w:color w:val="auto"/>
              </w:rPr>
            </w:pPr>
          </w:p>
        </w:tc>
        <w:tc>
          <w:tcPr>
            <w:tcW w:w="2760" w:type="dxa"/>
            <w:vAlign w:val="bottom"/>
            <w:gridSpan w:val="5"/>
          </w:tcPr>
          <w:p>
            <w:pPr>
              <w:spacing w:after="0"/>
              <w:rPr>
                <w:sz w:val="20"/>
                <w:szCs w:val="20"/>
                <w:color w:val="auto"/>
              </w:rPr>
            </w:pP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39</w:t>
            </w:r>
          </w:p>
        </w:tc>
        <w:tc>
          <w:tcPr>
            <w:tcW w:w="700" w:type="dxa"/>
            <w:vAlign w:val="bottom"/>
          </w:tcPr>
          <w:p>
            <w:pPr>
              <w:spacing w:after="0"/>
              <w:rPr>
                <w:sz w:val="20"/>
                <w:szCs w:val="20"/>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Risk Factors</w:t>
            </w:r>
          </w:p>
        </w:tc>
        <w:tc>
          <w:tcPr>
            <w:tcW w:w="460" w:type="dxa"/>
            <w:vAlign w:val="bottom"/>
            <w:tcBorders>
              <w:top w:val="single" w:sz="8" w:color="0000FF"/>
            </w:tcBorders>
            <w:gridSpan w:val="2"/>
          </w:tcPr>
          <w:p>
            <w:pPr>
              <w:spacing w:after="0"/>
              <w:rPr>
                <w:sz w:val="24"/>
                <w:szCs w:val="24"/>
                <w:color w:val="auto"/>
              </w:rPr>
            </w:pPr>
          </w:p>
        </w:tc>
        <w:tc>
          <w:tcPr>
            <w:tcW w:w="7060" w:type="dxa"/>
            <w:vAlign w:val="bottom"/>
            <w:gridSpan w:val="19"/>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39</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4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Unregistered Sales of Equity Securities and Use of Proceeds</w:t>
            </w:r>
          </w:p>
        </w:tc>
        <w:tc>
          <w:tcPr>
            <w:tcW w:w="37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39</w:t>
            </w:r>
          </w:p>
        </w:tc>
        <w:tc>
          <w:tcPr>
            <w:tcW w:w="700" w:type="dxa"/>
            <w:vAlign w:val="bottom"/>
          </w:tcPr>
          <w:p>
            <w:pPr>
              <w:spacing w:after="0"/>
              <w:rPr>
                <w:sz w:val="24"/>
                <w:szCs w:val="24"/>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852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40</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5"/>
              </w:rPr>
              <w:t>Exhibits</w:t>
            </w:r>
          </w:p>
        </w:tc>
        <w:tc>
          <w:tcPr>
            <w:tcW w:w="780" w:type="dxa"/>
            <w:vAlign w:val="bottom"/>
            <w:tcBorders>
              <w:top w:val="single" w:sz="8" w:color="0000FF"/>
            </w:tcBorders>
            <w:gridSpan w:val="3"/>
          </w:tcPr>
          <w:p>
            <w:pPr>
              <w:spacing w:after="0"/>
              <w:rPr>
                <w:sz w:val="24"/>
                <w:szCs w:val="24"/>
                <w:color w:val="auto"/>
              </w:rPr>
            </w:pPr>
          </w:p>
        </w:tc>
        <w:tc>
          <w:tcPr>
            <w:tcW w:w="7080" w:type="dxa"/>
            <w:vAlign w:val="bottom"/>
            <w:gridSpan w:val="20"/>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40</w:t>
            </w:r>
          </w:p>
        </w:tc>
        <w:tc>
          <w:tcPr>
            <w:tcW w:w="700" w:type="dxa"/>
            <w:vAlign w:val="bottom"/>
          </w:tcPr>
          <w:p>
            <w:pPr>
              <w:spacing w:after="0"/>
              <w:rPr>
                <w:sz w:val="24"/>
                <w:szCs w:val="24"/>
                <w:color w:val="auto"/>
              </w:rPr>
            </w:pPr>
          </w:p>
        </w:tc>
      </w:tr>
      <w:tr>
        <w:trPr>
          <w:trHeight w:val="493"/>
        </w:trPr>
        <w:tc>
          <w:tcPr>
            <w:tcW w:w="1120" w:type="dxa"/>
            <w:vAlign w:val="bottom"/>
          </w:tcPr>
          <w:p>
            <w:pPr>
              <w:spacing w:after="0"/>
              <w:rPr>
                <w:sz w:val="24"/>
                <w:szCs w:val="24"/>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Signature</w:t>
            </w:r>
          </w:p>
        </w:tc>
        <w:tc>
          <w:tcPr>
            <w:tcW w:w="7760" w:type="dxa"/>
            <w:vAlign w:val="bottom"/>
            <w:gridSpan w:val="22"/>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41</w:t>
            </w:r>
          </w:p>
        </w:tc>
        <w:tc>
          <w:tcPr>
            <w:tcW w:w="700" w:type="dxa"/>
            <w:vAlign w:val="bottom"/>
          </w:tcPr>
          <w:p>
            <w:pPr>
              <w:spacing w:after="0"/>
              <w:rPr>
                <w:sz w:val="24"/>
                <w:szCs w:val="24"/>
                <w:color w:val="auto"/>
              </w:rPr>
            </w:pPr>
          </w:p>
        </w:tc>
      </w:tr>
      <w:tr>
        <w:trPr>
          <w:trHeight w:val="938"/>
        </w:trPr>
        <w:tc>
          <w:tcPr>
            <w:tcW w:w="1120" w:type="dxa"/>
            <w:vAlign w:val="bottom"/>
          </w:tcPr>
          <w:p>
            <w:pPr>
              <w:spacing w:after="0"/>
              <w:rPr>
                <w:sz w:val="24"/>
                <w:szCs w:val="24"/>
                <w:color w:val="auto"/>
              </w:rPr>
            </w:pPr>
          </w:p>
        </w:tc>
        <w:tc>
          <w:tcPr>
            <w:tcW w:w="4660" w:type="dxa"/>
            <w:vAlign w:val="bottom"/>
            <w:gridSpan w:val="14"/>
          </w:tcPr>
          <w:p>
            <w:pPr>
              <w:jc w:val="center"/>
              <w:ind w:left="4242"/>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1,031,922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276,317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85,187</w:t>
            </w:r>
          </w:p>
        </w:tc>
        <w:tc>
          <w:tcPr>
            <w:tcW w:w="0" w:type="dxa"/>
            <w:vAlign w:val="bottom"/>
          </w:tcPr>
          <w:p>
            <w:pPr>
              <w:spacing w:after="0"/>
              <w:rPr>
                <w:sz w:val="1"/>
                <w:szCs w:val="1"/>
                <w:color w:val="auto"/>
              </w:rPr>
            </w:pPr>
          </w:p>
        </w:tc>
      </w:tr>
      <w:tr>
        <w:trPr>
          <w:trHeight w:val="176"/>
        </w:trPr>
        <w:tc>
          <w:tcPr>
            <w:tcW w:w="7320" w:type="dxa"/>
            <w:vAlign w:val="bottom"/>
          </w:tcPr>
          <w:p>
            <w:pPr>
              <w:ind w:left="800"/>
              <w:spacing w:after="0" w:line="176"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3,394,239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3,424,081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189,202</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1,002,335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951,778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97,385</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3,088,804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3,012,078</w:t>
            </w:r>
          </w:p>
        </w:tc>
        <w:tc>
          <w:tcPr>
            <w:tcW w:w="0" w:type="dxa"/>
            <w:vAlign w:val="bottom"/>
          </w:tcPr>
          <w:p>
            <w:pPr>
              <w:spacing w:after="0"/>
              <w:rPr>
                <w:sz w:val="1"/>
                <w:szCs w:val="1"/>
                <w:color w:val="auto"/>
              </w:rPr>
            </w:pP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26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 and December 31, 2023</w:t>
            </w:r>
          </w:p>
        </w:tc>
        <w:tc>
          <w:tcPr>
            <w:tcW w:w="26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475,000,000 shares authorized; 87,811,312 and 86,968,536 shares issued and</w:t>
            </w:r>
          </w:p>
        </w:tc>
        <w:tc>
          <w:tcPr>
            <w:tcW w:w="2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2024 and December 31, 2023, respectively</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1,115,387</w:t>
            </w:r>
          </w:p>
        </w:tc>
        <w:tc>
          <w:tcPr>
            <w:tcW w:w="0" w:type="dxa"/>
            <w:vAlign w:val="bottom"/>
          </w:tcPr>
          <w:p>
            <w:pPr>
              <w:spacing w:after="0"/>
              <w:rPr>
                <w:sz w:val="1"/>
                <w:szCs w:val="1"/>
                <w:color w:val="auto"/>
              </w:rPr>
            </w:pPr>
          </w:p>
        </w:tc>
      </w:tr>
      <w:tr>
        <w:trPr>
          <w:trHeight w:val="21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0" w:type="dxa"/>
            <w:vAlign w:val="bottom"/>
          </w:tcPr>
          <w:p>
            <w:pPr>
              <w:spacing w:after="0"/>
              <w:rPr>
                <w:sz w:val="1"/>
                <w:szCs w:val="1"/>
                <w:color w:val="auto"/>
              </w:rPr>
            </w:pPr>
          </w:p>
        </w:tc>
      </w:tr>
      <w:tr>
        <w:trPr>
          <w:trHeight w:val="200"/>
        </w:trPr>
        <w:tc>
          <w:tcPr>
            <w:tcW w:w="7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409,122</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3,394,239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3,424,081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0"/>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1,228,234</w:t>
            </w:r>
          </w:p>
        </w:tc>
      </w:tr>
      <w:tr>
        <w:trPr>
          <w:trHeight w:val="226"/>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16,512</w:t>
            </w:r>
          </w:p>
        </w:tc>
      </w:tr>
      <w:tr>
        <w:trPr>
          <w:trHeight w:val="223"/>
        </w:trPr>
        <w:tc>
          <w:tcPr>
            <w:tcW w:w="75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1,195,327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1,244,746</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384,214</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341,542</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282,927</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46,302</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65,804</w:t>
            </w:r>
          </w:p>
        </w:tc>
      </w:tr>
      <w:tr>
        <w:trPr>
          <w:trHeight w:val="226"/>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r>
      <w:tr>
        <w:trPr>
          <w:trHeight w:val="223"/>
        </w:trPr>
        <w:tc>
          <w:tcPr>
            <w:tcW w:w="75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1,118,234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1,124,113</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120,633</w:t>
            </w: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(12,444)</w:t>
            </w:r>
          </w:p>
        </w:tc>
      </w:tr>
      <w:tr>
        <w:trPr>
          <w:trHeight w:val="20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provision for income taxes</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108,189</w:t>
            </w:r>
          </w:p>
        </w:tc>
      </w:tr>
      <w:tr>
        <w:trPr>
          <w:trHeight w:val="23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14,761</w:t>
            </w:r>
          </w:p>
        </w:tc>
      </w:tr>
      <w:tr>
        <w:trPr>
          <w:trHeight w:val="20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93,428</w:t>
            </w:r>
          </w:p>
        </w:tc>
      </w:tr>
      <w:tr>
        <w:trPr>
          <w:trHeight w:val="239"/>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r>
      <w:tr>
        <w:trPr>
          <w:trHeight w:val="176"/>
        </w:trPr>
        <w:tc>
          <w:tcPr>
            <w:tcW w:w="75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220" w:type="dxa"/>
            <w:vAlign w:val="bottom"/>
            <w:tcBorders>
              <w:bottom w:val="single" w:sz="8" w:color="auto"/>
            </w:tcBorders>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(83,872)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91,311</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93,428</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25"/>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derivatives,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92,294</w:t>
            </w:r>
          </w:p>
        </w:tc>
      </w:tr>
      <w:tr>
        <w:trPr>
          <w:trHeight w:val="226"/>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Bloomin’ Brands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share:</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4"/>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89,116</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5"/>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ULATED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3"/>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6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6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1,115,387</w:t>
            </w:r>
          </w:p>
        </w:tc>
        <w:tc>
          <w:tcPr>
            <w:tcW w:w="4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(82,290)</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$0.24 per</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(21,075)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(6,948)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(44,000)</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(232,903)</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convertible senior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216,078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Retirement of convertible senior</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hedges</w:t>
            </w: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Retirement of warrants</w:t>
            </w: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(102,213)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87,811</w:t>
            </w:r>
          </w:p>
        </w:tc>
        <w:tc>
          <w:tcPr>
            <w:tcW w:w="6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1,290,765</w:t>
            </w:r>
          </w:p>
        </w:tc>
        <w:tc>
          <w:tcPr>
            <w:tcW w:w="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305,435</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ULATED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3"/>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w:t>
            </w:r>
          </w:p>
        </w:tc>
        <w:tc>
          <w:tcPr>
            <w:tcW w:w="6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6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1,161,912</w:t>
            </w:r>
          </w:p>
        </w:tc>
        <w:tc>
          <w:tcPr>
            <w:tcW w:w="4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(706,109)</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25, 2022</w:t>
            </w: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93,428</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$0.24 per</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(21,014)</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(20,653)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(20,662)</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of $17</w:t>
            </w: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22"/>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87,465</w:t>
            </w:r>
          </w:p>
        </w:tc>
        <w:tc>
          <w:tcPr>
            <w:tcW w:w="60" w:type="dxa"/>
            <w:vAlign w:val="bottom"/>
          </w:tcPr>
          <w:p>
            <w:pPr>
              <w:spacing w:after="0"/>
              <w:rPr>
                <w:sz w:val="11"/>
                <w:szCs w:val="11"/>
                <w:color w:val="auto"/>
              </w:rPr>
            </w:pPr>
          </w:p>
        </w:tc>
        <w:tc>
          <w:tcPr>
            <w:tcW w:w="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60" w:type="dxa"/>
            <w:vAlign w:val="bottom"/>
          </w:tcPr>
          <w:p>
            <w:pPr>
              <w:spacing w:after="0"/>
              <w:rPr>
                <w:sz w:val="11"/>
                <w:szCs w:val="11"/>
                <w:color w:val="auto"/>
              </w:rPr>
            </w:pPr>
          </w:p>
        </w:tc>
        <w:tc>
          <w:tcPr>
            <w:tcW w:w="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1,141,017</w:t>
            </w:r>
          </w:p>
        </w:tc>
        <w:tc>
          <w:tcPr>
            <w:tcW w:w="40" w:type="dxa"/>
            <w:vAlign w:val="bottom"/>
          </w:tcPr>
          <w:p>
            <w:pPr>
              <w:spacing w:after="0"/>
              <w:rPr>
                <w:sz w:val="11"/>
                <w:szCs w:val="11"/>
                <w:color w:val="auto"/>
              </w:rPr>
            </w:pPr>
          </w:p>
        </w:tc>
        <w:tc>
          <w:tcPr>
            <w:tcW w:w="28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(635,451)</w:t>
            </w:r>
          </w:p>
        </w:tc>
        <w:tc>
          <w:tcPr>
            <w:tcW w:w="80" w:type="dxa"/>
            <w:vAlign w:val="bottom"/>
          </w:tcPr>
          <w:p>
            <w:pPr>
              <w:spacing w:after="0"/>
              <w:rPr>
                <w:sz w:val="11"/>
                <w:szCs w:val="11"/>
                <w:color w:val="auto"/>
              </w:rPr>
            </w:pP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(186,445)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322,841</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26, 2023</w:t>
            </w: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shares withheld for employee taxes.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60" w:type="dxa"/>
            <w:vAlign w:val="bottom"/>
            <w:gridSpan w:val="4"/>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7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7"/>
                <w:szCs w:val="17"/>
                <w:color w:val="auto"/>
              </w:rPr>
            </w:pPr>
          </w:p>
        </w:tc>
        <w:tc>
          <w:tcPr>
            <w:tcW w:w="17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cash provided by operating activities: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46,302</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189,668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(64,415)</w:t>
            </w:r>
          </w:p>
        </w:tc>
        <w:tc>
          <w:tcPr>
            <w:tcW w:w="0" w:type="dxa"/>
            <w:vAlign w:val="bottom"/>
          </w:tcPr>
          <w:p>
            <w:pPr>
              <w:spacing w:after="0"/>
              <w:rPr>
                <w:sz w:val="1"/>
                <w:szCs w:val="1"/>
                <w:color w:val="auto"/>
              </w:rPr>
            </w:pPr>
          </w:p>
        </w:tc>
      </w:tr>
      <w:tr>
        <w:trPr>
          <w:trHeight w:val="239"/>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investments, net</w:t>
            </w: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(62,945)</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finance lease obligations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settlements and repurchase of convertible senior notes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retirement of convertible senior note hedges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retirement of warrants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taxes from share-based compensation,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(20,898)</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(116,987)</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0" w:type="dxa"/>
            <w:vAlign w:val="bottom"/>
          </w:tcPr>
          <w:p>
            <w:pPr>
              <w:spacing w:after="0"/>
              <w:rPr>
                <w:sz w:val="1"/>
                <w:szCs w:val="1"/>
                <w:color w:val="auto"/>
              </w:rPr>
            </w:pP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end of the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94,441</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increase in liabilities from the acquisition of property, fixtures and equipment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issued on settlement of convertible senior notes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22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Shares received and retired on exercise of call option under bond hedge upon settlement of convertible</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notes</w:t>
            </w:r>
          </w:p>
        </w:tc>
        <w:tc>
          <w:tcPr>
            <w:tcW w:w="2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Description of the Business and Basis of Presentation</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Description of the Business - </w:t>
      </w:r>
      <w:r>
        <w:rPr>
          <w:rFonts w:ascii="Times New Roman" w:cs="Times New Roman" w:eastAsia="Times New Roman" w:hAnsi="Times New Roman"/>
          <w:sz w:val="20"/>
          <w:szCs w:val="20"/>
          <w:color w:val="auto"/>
        </w:rPr>
        <w:t>Bloomin’ Brands (“Bloomin’ Brands” or the “Company”) owns and operates casual, upscale casual and fine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dining restaurants. OSI Restaurant Partners, LLC (“OSI”) is the Company’s primary operating entity.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accompanying interim unaudited condensed consolidated financial statements have been prepared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pursuant 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2023.</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Recently Issued Financial Accounting Standards Not Yet Adopted </w:t>
      </w:r>
      <w:r>
        <w:rPr>
          <w:rFonts w:ascii="Times New Roman" w:cs="Times New Roman" w:eastAsia="Times New Roman" w:hAnsi="Times New Roman"/>
          <w:sz w:val="19"/>
          <w:szCs w:val="19"/>
          <w:color w:val="auto"/>
        </w:rPr>
        <w:t>- In November 2023, the Financial Accounting Standards Board (“FASB”)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issued Accounting Standards Update (“ASU”) No. 2023-07, “Segment Reporting (Topic 280): Improvements to Reportable Segment Disclosures,” (“ASU No. 2023-07”) which requires disclosure of significant segment expenses regularly provided to the Company’s chief operating decision-maker (“CODM”). ASU No. 2023-07 also allows for multiple measures of segment profit (loss) if the CODM utilizes such measures to allocate resources or assess performance. ASU No. 2023-07 is effective for the Company beginning with the 2024 Form 10-K, with early adoption permitted. The Company is currently evaluating the impact ASU No. 2023-07 will have on its disclosures.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The Company is currently evaluating the impact ASU No. 2023-09 will have on its disclosures.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March 2024, the SEC adopted the final rule under SEC Release No. 33-11275, “The Enhancement and Standardization of Climate-Related Disclosures for Investors,” which requires registrants to include climate-related disclosures in their annual reports, including, but not limited to, material Scope 1 and Scope 2 greenhouse gas emissions, climate-related financial metrics, and governance, oversight and risk management processes for material climate-related risks in their audited financial statements. The final rule also requires certain disclosures regarding expenses incurred in relation to severe weather events and other natural conditions. The disclosure requirements are first effective for the Company beginning with the 2026 Form 10-K. The Company is currently evaluating the impact this rule will have on its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Revenue Recognition</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includes the disaggregation of Restaurant sales and franchise revenues by restaurant concept and major international market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8"/>
                <w:szCs w:val="18"/>
                <w:color w:val="auto"/>
              </w:rPr>
            </w:pPr>
          </w:p>
        </w:tc>
        <w:tc>
          <w:tcPr>
            <w:tcW w:w="2720" w:type="dxa"/>
            <w:vAlign w:val="bottom"/>
            <w:gridSpan w:val="4"/>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1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4800" w:type="dxa"/>
            <w:vAlign w:val="bottom"/>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603,613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628,183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(1)(2)</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0" w:type="dxa"/>
            <w:vAlign w:val="bottom"/>
          </w:tcPr>
          <w:p>
            <w:pPr>
              <w:spacing w:after="0"/>
              <w:rPr>
                <w:sz w:val="1"/>
                <w:szCs w:val="1"/>
                <w:color w:val="auto"/>
              </w:rPr>
            </w:pPr>
          </w:p>
        </w:tc>
      </w:tr>
      <w:tr>
        <w:trPr>
          <w:trHeight w:val="216"/>
        </w:trPr>
        <w:tc>
          <w:tcPr>
            <w:tcW w:w="4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1,179,487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12,810</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1,228,234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13,523</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$9.6 million of Restaurant sales during the thirteen weeks ended March 26, 2023 in connection with value added tax exemptions resulting from Brazil tax legislation. See Note 14 -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details regarding the Brazil tax legislation.</w:t>
      </w:r>
    </w:p>
    <w:p>
      <w:pPr>
        <w:ind w:left="660" w:right="20" w:hanging="652"/>
        <w:spacing w:after="0" w:line="275"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for Company-owned Outback Steakhouse restaurants outside of Brazil and Abbraccio restaurants in Brazil. Franchise revenues primarily include revenues from franchised Outback Steakhouse restaurants.</w:t>
      </w:r>
    </w:p>
    <w:p>
      <w:pPr>
        <w:spacing w:after="0" w:line="18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r>
      <w:tr>
        <w:trPr>
          <w:trHeight w:val="259"/>
        </w:trPr>
        <w:tc>
          <w:tcPr>
            <w:tcW w:w="7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374,274</w:t>
            </w: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loyalty revenue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w:t>
            </w: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41"/>
        </w:trPr>
        <w:tc>
          <w:tcPr>
            <w:tcW w:w="7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Unearned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 amortization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 capitalization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is a rollforward of unearned gift card revenue for the periods indicated:</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beginning of the period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Gift card sales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Gift card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Gift card breakage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0"/>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374,274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386,495</w:t>
            </w:r>
          </w:p>
        </w:tc>
      </w:tr>
      <w:tr>
        <w:trPr>
          <w:trHeight w:val="216"/>
        </w:trPr>
        <w:tc>
          <w:tcPr>
            <w:tcW w:w="1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53,005</w:t>
            </w:r>
          </w:p>
        </w:tc>
      </w:tr>
      <w:tr>
        <w:trPr>
          <w:trHeight w:val="216"/>
        </w:trPr>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(118,283)</w:t>
            </w:r>
          </w:p>
        </w:tc>
      </w:tr>
      <w:tr>
        <w:trPr>
          <w:trHeight w:val="229"/>
        </w:trPr>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(7,121)</w:t>
            </w:r>
          </w:p>
        </w:tc>
      </w:tr>
      <w:tr>
        <w:trPr>
          <w:trHeight w:val="21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312,283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314,096</w:t>
            </w:r>
          </w:p>
        </w:tc>
      </w:tr>
      <w:tr>
        <w:trPr>
          <w:trHeight w:val="23"/>
        </w:trPr>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18" w:right="339" w:bottom="1440" w:gutter="0" w:footer="0" w:header="0"/>
          <w:type w:val="continuous"/>
        </w:sectPr>
      </w:pPr>
    </w:p>
    <w:p>
      <w:pPr>
        <w:spacing w:after="0" w:line="1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Impairments and Exit Costs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 indicated: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23"/>
        </w:trPr>
        <w:tc>
          <w:tcPr>
            <w:tcW w:w="8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w:t>
            </w:r>
          </w:p>
        </w:tc>
      </w:tr>
      <w:tr>
        <w:trPr>
          <w:trHeight w:val="20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closure charges (benefits)</w:t>
            </w:r>
          </w:p>
        </w:tc>
        <w:tc>
          <w:tcPr>
            <w:tcW w:w="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13"/>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r>
      <w:tr>
        <w:trPr>
          <w:trHeight w:val="226"/>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23"/>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restaurant closure charges</w:t>
            </w:r>
          </w:p>
        </w:tc>
        <w:tc>
          <w:tcPr>
            <w:tcW w:w="2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9,021</w:t>
            </w:r>
          </w:p>
        </w:tc>
      </w:tr>
      <w:tr>
        <w:trPr>
          <w:trHeight w:val="241"/>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2023 Closure Initiative </w:t>
      </w:r>
      <w:r>
        <w:rPr>
          <w:rFonts w:ascii="Times New Roman" w:cs="Times New Roman" w:eastAsia="Times New Roman" w:hAnsi="Times New Roman"/>
          <w:sz w:val="20"/>
          <w:szCs w:val="20"/>
          <w:color w:val="auto"/>
        </w:rPr>
        <w:t>- During 2023, the Company closed three U.S. and two international Aussie Grill restaurants and made the decision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close 36 predominantly older, underperforming U.S. restaurants (the “2023 Closure Initiative”). The Company has completed all restaurant closures under the 2023 Closure Initiative. Following is a summary of expenses related to the 2023 Closure Initiative charges recognized in the Consolidated Statements of Operations and Comprehensive (Loss) Income for the period indicated (dollars in thousands):</w:t>
      </w:r>
    </w:p>
    <w:p>
      <w:pPr>
        <w:sectPr>
          <w:pgSz w:w="11900" w:h="16838" w:orient="portrait"/>
          <w:cols w:equalWidth="0" w:num="1">
            <w:col w:w="11240"/>
          </w:cols>
          <w:pgMar w:left="320" w:top="118" w:right="339" w:bottom="1440" w:gutter="0" w:footer="0" w:header="0"/>
          <w:type w:val="continuous"/>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0" w:type="dxa"/>
            <w:vAlign w:val="bottom"/>
          </w:tcPr>
          <w:p>
            <w:pPr>
              <w:spacing w:after="0"/>
              <w:rPr>
                <w:sz w:val="1"/>
                <w:szCs w:val="1"/>
                <w:color w:val="auto"/>
              </w:rPr>
            </w:pPr>
          </w:p>
        </w:tc>
      </w:tr>
      <w:tr>
        <w:trPr>
          <w:trHeight w:val="196"/>
        </w:trPr>
        <w:tc>
          <w:tcPr>
            <w:tcW w:w="4720" w:type="dxa"/>
            <w:vAlign w:val="bottom"/>
            <w:gridSpan w:val="2"/>
            <w:vMerge w:val="continue"/>
          </w:tcPr>
          <w:p>
            <w:pPr>
              <w:spacing w:after="0"/>
              <w:rPr>
                <w:sz w:val="17"/>
                <w:szCs w:val="17"/>
                <w:color w:val="auto"/>
              </w:rPr>
            </w:pP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COMPREHENSIVE (LOSS) INCOME CLASSIFICATION</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 impairments and closure charges</w:t>
            </w:r>
          </w:p>
        </w:tc>
        <w:tc>
          <w:tcPr>
            <w:tcW w:w="100" w:type="dxa"/>
            <w:vAlign w:val="bottom"/>
          </w:tcPr>
          <w:p>
            <w:pPr>
              <w:spacing w:after="0"/>
              <w:rPr>
                <w:sz w:val="18"/>
                <w:szCs w:val="18"/>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0" w:type="dxa"/>
            <w:vAlign w:val="bottom"/>
          </w:tcPr>
          <w:p>
            <w:pPr>
              <w:spacing w:after="0"/>
              <w:rPr>
                <w:sz w:val="1"/>
                <w:szCs w:val="1"/>
                <w:color w:val="auto"/>
              </w:rPr>
            </w:pPr>
          </w:p>
        </w:tc>
      </w:tr>
      <w:tr>
        <w:trPr>
          <w:trHeight w:val="21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Severance and other expenses</w:t>
            </w: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Closure-related labor costs</w:t>
            </w: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0"/>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10,094</w:t>
            </w:r>
          </w:p>
        </w:tc>
      </w:tr>
      <w:tr>
        <w:trPr>
          <w:trHeight w:val="216"/>
        </w:trPr>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r>
      <w:tr>
        <w:trPr>
          <w:trHeight w:val="229"/>
        </w:trPr>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3"/>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w:t>
            </w:r>
          </w:p>
        </w:tc>
      </w:tr>
      <w:tr>
        <w:trPr>
          <w:trHeight w:val="23"/>
        </w:trPr>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9140" w:space="120"/>
            <w:col w:w="1980"/>
          </w:cols>
          <w:pgMar w:left="320" w:top="118"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remaining impairment and closure charges during the period presented resulted primarily from locations identified for closure.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(Loss)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(loss) earnings per share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4"/>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89,116</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41"/>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Share-based compensation-related weighted average securities outstanding not included in the computation of (loss) earnings per share because their effect was antidilutive were as follows for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1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Stock-based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0" w:type="dxa"/>
            <w:vAlign w:val="bottom"/>
          </w:tcPr>
          <w:p>
            <w:pPr>
              <w:spacing w:after="0"/>
              <w:rPr>
                <w:sz w:val="1"/>
                <w:szCs w:val="1"/>
                <w:color w:val="auto"/>
              </w:rPr>
            </w:pPr>
          </w:p>
        </w:tc>
      </w:tr>
      <w:tr>
        <w:trPr>
          <w:trHeight w:val="241"/>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stock-based compensation expense, net of capitalized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performance-based share units (“PSUs”) activity: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5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13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 (1)</w:t>
            </w: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23,026</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adjustment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as of March 31, 2024 (3)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$28.15 and $28.68 share price of the Company’s common stock on December 29, 2023 and March 28, 2024, the last trading day of the year ended December 31, 2023 and thirteen weeks ended March 31, 2024, respectively.</w:t>
      </w: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 to 200% payout for PSUs granted during 2021.</w:t>
      </w:r>
    </w:p>
    <w:p>
      <w:pPr>
        <w:spacing w:after="0" w:line="5"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number of units to be issued upon the vesting of outstanding PSUs based on Company performance projections of performance criteria set forth in the 2022, 2023 and 2024 PSU award agreements.</w:t>
      </w:r>
    </w:p>
    <w:p>
      <w:pPr>
        <w:spacing w:after="0" w:line="18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Assumptions used in the Monte Carlo simulation model and the grant date fair value of PSUs granted were as follows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0"/>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8"/>
                <w:szCs w:val="18"/>
                <w:color w:val="auto"/>
              </w:rPr>
            </w:pPr>
          </w:p>
        </w:tc>
        <w:tc>
          <w:tcPr>
            <w:tcW w:w="16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0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Risk-free interest rate (1)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yield (2)</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Volatility (3)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51.02 %</w:t>
            </w:r>
          </w:p>
        </w:tc>
      </w:tr>
      <w:tr>
        <w:trPr>
          <w:trHeight w:val="259"/>
        </w:trPr>
        <w:tc>
          <w:tcPr>
            <w:tcW w:w="7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per unit (4)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29.01</w:t>
            </w:r>
          </w:p>
        </w:tc>
      </w:tr>
      <w:tr>
        <w:trPr>
          <w:trHeight w:val="29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the performance period of the unit.</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 over the last seven years.</w:t>
      </w:r>
    </w:p>
    <w:p>
      <w:pPr>
        <w:spacing w:after="0" w:line="5" w:lineRule="exact"/>
        <w:rPr>
          <w:rFonts w:ascii="Times New Roman" w:cs="Times New Roman" w:eastAsia="Times New Roman" w:hAnsi="Times New Roman"/>
          <w:sz w:val="16"/>
          <w:szCs w:val="16"/>
          <w:color w:val="auto"/>
        </w:rPr>
      </w:pPr>
    </w:p>
    <w:p>
      <w:pPr>
        <w:ind w:left="660" w:right="20" w:hanging="652"/>
        <w:spacing w:after="0" w:line="275"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discount below and a premium above the grant date per share value of the Company’s common stock for the relative total shareholder return modifier of (1.6)% and 2.7% during the thirteen weeks ended March 31, 2024 and March 26,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unrecognized stock-based compensation expense and the remaining weighted average vesting period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WEIGHTED AVERAGE</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VESTING PERIOD (in years)</w:t>
            </w:r>
          </w:p>
        </w:tc>
        <w:tc>
          <w:tcPr>
            <w:tcW w:w="0" w:type="dxa"/>
            <w:vAlign w:val="bottom"/>
          </w:tcPr>
          <w:p>
            <w:pPr>
              <w:spacing w:after="0"/>
              <w:rPr>
                <w:sz w:val="1"/>
                <w:szCs w:val="1"/>
                <w:color w:val="auto"/>
              </w:rPr>
            </w:pPr>
          </w:p>
        </w:tc>
      </w:tr>
      <w:tr>
        <w:trPr>
          <w:trHeight w:val="216"/>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12,531</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Other Current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assets,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7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67,424</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r>
      <w:tr>
        <w:trPr>
          <w:trHeight w:val="22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r>
      <w:tr>
        <w:trPr>
          <w:trHeight w:val="213"/>
        </w:trPr>
        <w:tc>
          <w:tcPr>
            <w:tcW w:w="7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r>
      <w:tr>
        <w:trPr>
          <w:trHeight w:val="23"/>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Other Current Liabilities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and other current liabilities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other compensation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98,903</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19,310</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137,601</w:t>
            </w:r>
          </w:p>
        </w:tc>
      </w:tr>
      <w:tr>
        <w:trPr>
          <w:trHeight w:val="213"/>
        </w:trPr>
        <w:tc>
          <w:tcPr>
            <w:tcW w:w="72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255,814</w:t>
            </w:r>
          </w:p>
        </w:tc>
      </w:tr>
      <w:tr>
        <w:trPr>
          <w:trHeight w:val="23"/>
        </w:trPr>
        <w:tc>
          <w:tcPr>
            <w:tcW w:w="7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57"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thirteen weeks ended March 31, 2024, accrued payroll and other compensation decreased primarily due to timing of bonus payments and salary accruals.</w:t>
      </w: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Long-term Debt,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net,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2760" w:type="dxa"/>
            <w:vAlign w:val="bottom"/>
            <w:gridSpan w:val="3"/>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300" w:type="dxa"/>
            <w:vAlign w:val="bottom"/>
          </w:tcPr>
          <w:p>
            <w:pPr>
              <w:jc w:val="right"/>
              <w:ind w:right="12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1"/>
                <w:szCs w:val="11"/>
                <w:color w:val="auto"/>
              </w:rPr>
            </w:pPr>
          </w:p>
        </w:tc>
        <w:tc>
          <w:tcPr>
            <w:tcW w:w="1280" w:type="dxa"/>
            <w:vAlign w:val="bottom"/>
          </w:tcPr>
          <w:p>
            <w:pPr>
              <w:jc w:val="right"/>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3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7"/>
        </w:trPr>
        <w:tc>
          <w:tcPr>
            <w:tcW w:w="5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(2)</w:t>
            </w: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104,786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300,000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 (2)</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951,778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 average interest rate as of the respective periods.</w:t>
      </w:r>
    </w:p>
    <w:p>
      <w:pPr>
        <w:spacing w:after="0" w:line="8" w:lineRule="exact"/>
        <w:rPr>
          <w:rFonts w:ascii="Times New Roman" w:cs="Times New Roman" w:eastAsia="Times New Roman" w:hAnsi="Times New Roman"/>
          <w:sz w:val="16"/>
          <w:szCs w:val="16"/>
          <w:color w:val="auto"/>
        </w:rPr>
      </w:pPr>
    </w:p>
    <w:p>
      <w:pPr>
        <w:ind w:left="660" w:hanging="652"/>
        <w:spacing w:after="0" w:line="288" w:lineRule="auto"/>
        <w:tabs>
          <w:tab w:leader="none" w:pos="660" w:val="left"/>
        </w:tabs>
        <w:numPr>
          <w:ilvl w:val="0"/>
          <w:numId w:val="9"/>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 xml:space="preserve">During the thirteen weeks ended March 31, 2024, the Company repurchased $83.6 million of the 2025 Notes and as a result, wrote off $0.8 million of debt issuance costs. See Note 9 -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for additional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Debt Covenants - </w:t>
      </w:r>
      <w:r>
        <w:rPr>
          <w:rFonts w:ascii="Times New Roman" w:cs="Times New Roman" w:eastAsia="Times New Roman" w:hAnsi="Times New Roman"/>
          <w:sz w:val="20"/>
          <w:szCs w:val="20"/>
          <w:color w:val="auto"/>
        </w:rPr>
        <w:t>As of March 31, 2024 and December 31, 2023, the Company was in compliance with its debt covenants.</w:t>
      </w:r>
    </w:p>
    <w:p>
      <w:pPr>
        <w:spacing w:after="0" w:line="2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Convertible Senior Notes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On February 29, 2024, the Company entered into exchange agreements (the “Exchange Agreements”) with certain holders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“Noteholders”) of its 5.00% Convertible Senior Notes due 2025 (the “2025 Notes”). The Exchange Agreements provided for the Company to deliver and pay at the closing of the transactions on March 5, 2024, an aggregate of approximately 7.5 million shares of Common Stock and $3.3 million in cash, including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accrued interest, in exchange for $83.6 million in aggregate principal amount of the Company’s outstanding 2025 Notes (the “2025 Notes Partial Repurchase”). In connection with the 2025 Notes Partial Repurchase, the Company recognized a loss on extinguishment of debt of $135.8 million and recorded a $216.1 million increase to Additional paid-in capital during the thirteen weeks ended March 31, 2024.</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dividends paid during the thirteen weeks ended March 31, 2024, the conversion rate for the Company’s remaining 2025 Notes decreased to approximately $11.05 per share, which represents 90.494 shares of common stock per $1,000 principal amount of the 2025 Notes, or a total of approximately 1.875 million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outstanding principal amount and carrying value of the 2025 Notes as of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9"/>
                <w:szCs w:val="19"/>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9"/>
                <w:szCs w:val="19"/>
                <w:color w:val="auto"/>
              </w:rPr>
            </w:pPr>
          </w:p>
        </w:tc>
        <w:tc>
          <w:tcPr>
            <w:tcW w:w="18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6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104,786</w:t>
            </w:r>
          </w:p>
        </w:tc>
      </w:tr>
      <w:tr>
        <w:trPr>
          <w:trHeight w:val="223"/>
        </w:trPr>
        <w:tc>
          <w:tcPr>
            <w:tcW w:w="6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unamortized debt issuance costs (1)</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41"/>
        </w:trPr>
        <w:tc>
          <w:tcPr>
            <w:tcW w:w="6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During the thirteen weeks ended March 31, 2024, the Company wrote off $0.8 million of debt issuance costs as a result of the 2025 Notes Partial Repurchase.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interest expense for the 2025 Notes by component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Coupon interest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The effective rate of the 2025 Notes over their expected life is 5.85%.</w:t>
      </w: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daily closing prices of the Company’s stock during the quarter ended March 31, 2024, the remaining holders of the 2025 Notes are eligible to convert their notes during the second quarter of 2024.</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 </w:t>
      </w:r>
      <w:r>
        <w:rPr>
          <w:rFonts w:ascii="Times New Roman" w:cs="Times New Roman" w:eastAsia="Times New Roman" w:hAnsi="Times New Roman"/>
          <w:sz w:val="20"/>
          <w:szCs w:val="20"/>
          <w:color w:val="auto"/>
        </w:rPr>
        <w:t>In connection with the 2025 Notes Partial Repurchase, on February 29, 2024,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entered into partial unwind agreements with certain financial institutions (the “Derivative Counterparties”) relating to a portion of the convertible note hedge transactions (the “Note Hedge Early Termination Agreements”) and a portion of the warrant transactions (the “Warrant Early Termination Agreements” and together with the Note Hedge Early Termination Agreements, the “Early Termination Agreements”) that were previously entered into by the Company in connection with the issuance of the 2025 Notes. Pursuant to the Early Termination Agreements, the Derivative Counterparties made a termination payment to the Company which consisted of approximately $118.2 million in cash and 0.3 million shares of common stock and the Company made a termination payment to the Derivative Counterparties in an aggregate amount of approximately $102.2 million in cash. In connection with the Note Hedge Early Termination Agreements and the Warrant Early Termination Agreements, the Company recorded a $126.5 million increase and a $102.2 million decrease, respectively, to Additional paid-in capital during the thirteen weeks ended March 31, 2024. The Company also recorded a $8.3 million increase to Accumulated deficit in connection with the Note Hedge Early Termination Agreements.</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remaining warrants have a dilutive effect on the Company’s common stock to the extent that the price of its common stock exceeds the strike price of the warrants. In connection with dividends paid during thirteen weeks ended March 31, 2024, the strike price for the remaining warrants decreased to $15.47.</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19"/>
          <w:szCs w:val="19"/>
          <w:color w:val="auto"/>
        </w:rPr>
        <w:t>Stockholders’ Equity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In February 2024, the Company’s Board of Directors (the “Board”) canceled the remaining $57.5 million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former share repurchase authorization and approved a new $350.0 million share repurchase authorization (the “2024 Share Repurchase Program”). The 2024 Share Repurchase Program includes capacity above the Company’s normal repurchase activity to provide flexibility in retiring the 2025 Notes at or prior to their May 2025 maturity. The 2024 Share Repurchase Program will expire on August 13, 2025.</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March 1, 2024, the Company entered into an accelerated share repurchase agreement (the “ASR Agreement”), in connection with the 2024 Share Repurchase Program, with Wells Fargo Bank, National Association (“Wells Fargo”) to repurchase $220.0 million of the Company’s common stock.</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ASR Agreement, the Company made an aggregate payment of $220.0 million to Wells Fargo and received an aggregate initial delivery of approximately 6.5 million shares of common stock on March 4, 2024, representing approximately 80% of the total shares that were estimated to be repurchased under the ASR Agreement based on the price per share of common stock as of that date. The exact number of shares the Company repurchased under the ASR Agreement was based generally on the average of the daily volume-weighted average price per share of common stock during the repurchase period, less a discount and subject to adjustments pursuant to the terms and conditions of the ASR Agreement. On April 23, 2024, the Company received 1.4 million additional shares of common stock from Wells Fargo in connection with the final settlement of the ASR Agreement.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funded the payment under the ASR Agreement, together with the cash portion of the amounts payable under the Exchange Agreements, primarily with borrowings under the revolving credit facility and net proceeds from the Early Termination Agreements.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March 31, 2024, $130.0 million remained available for repurchase under the 2024 Share Repurchase Program. Following is a summary of the shares repurchased during fiscal year 2024:</w:t>
      </w: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PRICE</w:t>
            </w:r>
          </w:p>
        </w:tc>
        <w:tc>
          <w:tcPr>
            <w:tcW w:w="300" w:type="dxa"/>
            <w:vAlign w:val="bottom"/>
          </w:tcPr>
          <w:p>
            <w:pPr>
              <w:spacing w:after="0"/>
              <w:rPr>
                <w:sz w:val="12"/>
                <w:szCs w:val="12"/>
                <w:color w:val="auto"/>
              </w:rPr>
            </w:pPr>
          </w:p>
        </w:tc>
        <w:tc>
          <w:tcPr>
            <w:tcW w:w="134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 (1)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188,500</w:t>
            </w:r>
          </w:p>
        </w:tc>
        <w:tc>
          <w:tcPr>
            <w:tcW w:w="0" w:type="dxa"/>
            <w:vAlign w:val="bottom"/>
          </w:tcPr>
          <w:p>
            <w:pPr>
              <w:spacing w:after="0"/>
              <w:rPr>
                <w:sz w:val="1"/>
                <w:szCs w:val="1"/>
                <w:color w:val="auto"/>
              </w:rPr>
            </w:pPr>
          </w:p>
        </w:tc>
      </w:tr>
      <w:tr>
        <w:trPr>
          <w:trHeight w:val="28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75" w:lineRule="auto"/>
        <w:tabs>
          <w:tab w:leader="none" w:pos="660" w:val="left"/>
        </w:tabs>
        <w:numPr>
          <w:ilvl w:val="0"/>
          <w:numId w:val="12"/>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Excludes $0.4 million of fees recorded in Additional paid-in capital related to repurchases under the ASR Agreement. Also excludes $44.0 million paid in March 2024 for the repurchase of 1.4 million shares that settled on April 23, 2024 in connection with the ASR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 The Company declared and paid dividends per share during fiscal year 2024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22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8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April 2024, the Board declared a quarterly cash dividend of $0.24 per share, payable on May 31, 2024 to shareholders of record at the close of business on May 20,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 </w:t>
      </w:r>
      <w:r>
        <w:rPr>
          <w:rFonts w:ascii="Times New Roman" w:cs="Times New Roman" w:eastAsia="Times New Roman" w:hAnsi="Times New Roman"/>
          <w:sz w:val="20"/>
          <w:szCs w:val="20"/>
          <w:color w:val="auto"/>
        </w:rPr>
        <w:t>Following are the components of AOCL as of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(177,689)</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derivatives, net of tax</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are the components of Other comprehensive loss attributable to Bloomin’ Brands for the periods indicated: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derivatives, net of tax</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Reclassification realized in Net (loss) income,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derivatives,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attributable to Bloomin’ Brands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Derivative Instruments and Hedging Activities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auto"/>
        </w:rPr>
        <w:t>In March 2024 and December 2023, OSI entered into 11 interest rate swap agreements with 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counterparties (the “Swap Transactions”) to manage its exposure to fluctuations in variable interest rates. The Swap Transactions have an aggregate notional amount of $375.0 million and include one and two-year tenors with the following terms: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FIXED</w:t>
            </w:r>
          </w:p>
        </w:tc>
        <w:tc>
          <w:tcPr>
            <w:tcW w:w="80" w:type="dxa"/>
            <w:vAlign w:val="bottom"/>
          </w:tcPr>
          <w:p>
            <w:pPr>
              <w:spacing w:after="0"/>
              <w:rPr>
                <w:sz w:val="13"/>
                <w:szCs w:val="13"/>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(1)</w:t>
            </w:r>
          </w:p>
        </w:tc>
        <w:tc>
          <w:tcPr>
            <w:tcW w:w="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2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29, 2023</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26"/>
        </w:trPr>
        <w:tc>
          <w:tcPr>
            <w:tcW w:w="36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175,000,000</w:t>
            </w:r>
          </w:p>
        </w:tc>
        <w:tc>
          <w:tcPr>
            <w:tcW w:w="10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29, 2024</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13"/>
        </w:trPr>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375,000,000</w:t>
            </w:r>
          </w:p>
        </w:tc>
        <w:tc>
          <w:tcPr>
            <w:tcW w:w="1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fixed interest rate excludes the term SOFR adjustment and interest rate spread described below.</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Swap Transactions, the Company effectively converted $375.0 million of its outstanding indebtedness from the Secured Overnight Financing Rate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Swap Transactions have been designated and qualify as cash flow hedges, are recognized on the Company’s Consolidated Balance Sheets at fair value and are classified based on the instruments’ maturity dates. The Company estimated $1.6 million of interest income will be reclassified to Interest expense, net over the next 12 months related to the Company’s Swap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fair value and classification of the Company’s swap agreements as of the periods indicated:</w:t>
      </w:r>
    </w:p>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3"/>
                <w:szCs w:val="13"/>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4"/>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13 -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fair value discussion of the interest rate swaps.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March 31, 2024, all counterparties to the interest rate swaps performed in accordance with their contractual obligations.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has agreements with each of its derivative counterparties that contain a provision whereby the Company could be declared in default on its derivative obligations if the repayment of the underlying indebtedness is accelerated by the lender due to the Company’s default on indebtedness.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2023, the fair value of the Company’s interest rate swaps was in a net liability position, including accrued interest but excluding any adjustment for nonperformance risk, of $0.8 million. As of December 31, 2023, the Company has not posted any collateral related to these agreements. If the Company had breached any of these provisions as of December 31, 2023, it could have been required to settle its obligations under the agreements at their termination value of $0.8 million.</w:t>
      </w:r>
    </w:p>
    <w:p>
      <w:pPr>
        <w:spacing w:after="0" w:line="2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Leases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Sheets as of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280" w:type="dxa"/>
            <w:vAlign w:val="bottom"/>
          </w:tcPr>
          <w:p>
            <w:pPr>
              <w:spacing w:after="0"/>
              <w:rPr>
                <w:sz w:val="13"/>
                <w:szCs w:val="13"/>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3"/>
                <w:szCs w:val="13"/>
                <w:color w:val="auto"/>
              </w:rPr>
            </w:pPr>
          </w:p>
        </w:tc>
        <w:tc>
          <w:tcPr>
            <w:tcW w:w="1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372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 net</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1,094,892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1,319,730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1,317,692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$5.4 million and $4.7 million as of March 31, 2024 and December 31, 2023,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(Loss) Income for the periods indicated: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5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140" w:type="dxa"/>
            <w:vAlign w:val="bottom"/>
          </w:tcPr>
          <w:p>
            <w:pPr>
              <w:spacing w:after="0"/>
              <w:rPr>
                <w:sz w:val="16"/>
                <w:szCs w:val="16"/>
                <w:color w:val="auto"/>
              </w:rPr>
            </w:pPr>
          </w:p>
        </w:tc>
        <w:tc>
          <w:tcPr>
            <w:tcW w:w="29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16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51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COMPREHENSIVE (LOSS) INCOME CLASSIFICATION</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8"/>
                <w:szCs w:val="18"/>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(1)</w:t>
            </w:r>
          </w:p>
        </w:tc>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45,747</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5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revenue</w:t>
            </w:r>
          </w:p>
        </w:tc>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costs, net</w:t>
            </w:r>
          </w:p>
        </w:tc>
        <w:tc>
          <w:tcPr>
            <w:tcW w:w="5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line="27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of $3.5 million and $3.0 million for the thirteen weeks ended March 31, 2024 and March 26, 2023, respectively, which is included in General and administrative expense.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is a summary of cash flow impacts to the Company’s Consolidated Financial Statements related to its leases for the periods indicated: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7"/>
                <w:szCs w:val="17"/>
                <w:color w:val="auto"/>
              </w:rPr>
            </w:pPr>
          </w:p>
        </w:tc>
        <w:tc>
          <w:tcPr>
            <w:tcW w:w="14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0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49,883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Fair Value Measurements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13"/>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21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bl>
    <w:p>
      <w:pPr>
        <w:spacing w:after="0" w:line="2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gridSpan w:val="6"/>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LEVEL 1</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41"/>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 recurring fair value measurements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liability recurring fair value measurements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instruments is determined based on the following:</w:t>
      </w:r>
    </w:p>
    <w:p>
      <w:pPr>
        <w:spacing w:after="0" w:line="38" w:lineRule="exact"/>
        <w:rPr>
          <w:sz w:val="20"/>
          <w:szCs w:val="20"/>
          <w:color w:val="auto"/>
        </w:rPr>
      </w:pPr>
    </w:p>
    <w:p>
      <w:pPr>
        <w:ind w:left="2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FINANCIAL INSTRUMENT</w:t>
      </w:r>
      <w:r>
        <w:rPr>
          <w:sz w:val="20"/>
          <w:szCs w:val="20"/>
          <w:color w:val="auto"/>
        </w:rPr>
        <w:tab/>
      </w:r>
      <w:r>
        <w:rPr>
          <w:rFonts w:ascii="Times New Roman" w:cs="Times New Roman" w:eastAsia="Times New Roman" w:hAnsi="Times New Roman"/>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79"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p>
      <w:pPr>
        <w:spacing w:after="0" w:line="192" w:lineRule="exact"/>
        <w:rPr>
          <w:sz w:val="20"/>
          <w:szCs w:val="20"/>
          <w:color w:val="auto"/>
        </w:rPr>
      </w:pPr>
    </w:p>
    <w:p>
      <w:pPr>
        <w:sectPr>
          <w:pgSz w:w="11900" w:h="16838" w:orient="portrait"/>
          <w:cols w:equalWidth="0" w:num="2">
            <w:col w:w="2080" w:space="460"/>
            <w:col w:w="8700"/>
          </w:cols>
          <w:pgMar w:left="320" w:top="118" w:right="339" w:bottom="1440" w:gutter="0" w:footer="0" w:header="0"/>
          <w:type w:val="continuous"/>
        </w:sectPr>
      </w:pPr>
    </w:p>
    <w:p>
      <w:pPr>
        <w:ind w:left="20"/>
        <w:spacing w:after="0" w:line="237" w:lineRule="auto"/>
        <w:tabs>
          <w:tab w:leader="none" w:pos="2520" w:val="left"/>
        </w:tabs>
        <w:rPr>
          <w:sz w:val="20"/>
          <w:szCs w:val="20"/>
          <w:color w:val="auto"/>
        </w:rPr>
      </w:pPr>
      <w:r>
        <w:rPr>
          <w:rFonts w:ascii="Times New Roman" w:cs="Times New Roman" w:eastAsia="Times New Roman" w:hAnsi="Times New Roman"/>
          <w:sz w:val="16"/>
          <w:szCs w:val="16"/>
          <w:color w:val="auto"/>
        </w:rPr>
        <w:t>Derivative instruments</w:t>
      </w:r>
      <w:r>
        <w:rPr>
          <w:sz w:val="20"/>
          <w:szCs w:val="20"/>
          <w:color w:val="auto"/>
        </w:rPr>
        <w:tab/>
      </w:r>
      <w:r>
        <w:rPr>
          <w:rFonts w:ascii="Times New Roman" w:cs="Times New Roman" w:eastAsia="Times New Roman" w:hAnsi="Times New Roman"/>
          <w:sz w:val="16"/>
          <w:szCs w:val="16"/>
          <w:color w:val="auto"/>
        </w:rPr>
        <w:t>The Company’s derivative instruments include interest rate swaps. Fair value measurements are based on the contractual terms of the</w:t>
      </w:r>
    </w:p>
    <w:p>
      <w:pPr>
        <w:ind w:left="2540"/>
        <w:spacing w:after="0" w:line="212" w:lineRule="auto"/>
        <w:rPr>
          <w:sz w:val="20"/>
          <w:szCs w:val="20"/>
          <w:color w:val="auto"/>
        </w:rPr>
      </w:pPr>
      <w:r>
        <w:rPr>
          <w:rFonts w:ascii="Times New Roman" w:cs="Times New Roman" w:eastAsia="Times New Roman" w:hAnsi="Times New Roman"/>
          <w:sz w:val="16"/>
          <w:szCs w:val="16"/>
          <w:color w:val="auto"/>
        </w:rPr>
        <w:t>derivatives and observable market-based inputs. The interest rate swaps are valued using a discounted cash flow analysis on the</w:t>
      </w:r>
    </w:p>
    <w:p>
      <w:pPr>
        <w:jc w:val="right"/>
        <w:ind w:right="20"/>
        <w:spacing w:after="0" w:line="211" w:lineRule="auto"/>
        <w:rPr>
          <w:sz w:val="20"/>
          <w:szCs w:val="20"/>
          <w:color w:val="auto"/>
        </w:rPr>
      </w:pPr>
      <w:r>
        <w:rPr>
          <w:rFonts w:ascii="Times New Roman" w:cs="Times New Roman" w:eastAsia="Times New Roman" w:hAnsi="Times New Roman"/>
          <w:sz w:val="16"/>
          <w:szCs w:val="16"/>
          <w:color w:val="auto"/>
        </w:rPr>
        <w:t>expected cash flows of each derivative using observable inputs including interest rate curves and credit spreads. The Company also</w:t>
      </w:r>
    </w:p>
    <w:p>
      <w:pPr>
        <w:ind w:left="2540"/>
        <w:spacing w:after="0" w:line="211" w:lineRule="auto"/>
        <w:rPr>
          <w:sz w:val="20"/>
          <w:szCs w:val="20"/>
          <w:color w:val="auto"/>
        </w:rPr>
      </w:pPr>
      <w:r>
        <w:rPr>
          <w:rFonts w:ascii="Times New Roman" w:cs="Times New Roman" w:eastAsia="Times New Roman" w:hAnsi="Times New Roman"/>
          <w:sz w:val="16"/>
          <w:szCs w:val="16"/>
          <w:color w:val="auto"/>
        </w:rPr>
        <w:t>considers its own nonperformance risk and the respective counterparty’s nonperformance risk in the fair value measurements. As of</w:t>
      </w:r>
    </w:p>
    <w:p>
      <w:pPr>
        <w:ind w:left="2540"/>
        <w:spacing w:after="0" w:line="212" w:lineRule="auto"/>
        <w:rPr>
          <w:sz w:val="20"/>
          <w:szCs w:val="20"/>
          <w:color w:val="auto"/>
        </w:rPr>
      </w:pPr>
      <w:r>
        <w:rPr>
          <w:rFonts w:ascii="Times New Roman" w:cs="Times New Roman" w:eastAsia="Times New Roman" w:hAnsi="Times New Roman"/>
          <w:sz w:val="16"/>
          <w:szCs w:val="16"/>
          <w:color w:val="auto"/>
        </w:rPr>
        <w:t>March 31, 2024 and December 31, 2023, the Company determined that the credit valuation adjustments were not significant to the</w:t>
      </w:r>
    </w:p>
    <w:p>
      <w:pPr>
        <w:ind w:left="2540"/>
        <w:spacing w:after="0"/>
        <w:rPr>
          <w:sz w:val="20"/>
          <w:szCs w:val="20"/>
          <w:color w:val="auto"/>
        </w:rPr>
      </w:pPr>
      <w:r>
        <w:rPr>
          <w:rFonts w:ascii="Times New Roman" w:cs="Times New Roman" w:eastAsia="Times New Roman" w:hAnsi="Times New Roman"/>
          <w:sz w:val="16"/>
          <w:szCs w:val="16"/>
          <w:color w:val="auto"/>
        </w:rPr>
        <w:t>overall valuation of its derivatives.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Interim Disclosures about Fair Value of Financial Instruments - </w:t>
      </w:r>
      <w:r>
        <w:rPr>
          <w:rFonts w:ascii="Times New Roman" w:cs="Times New Roman" w:eastAsia="Times New Roman" w:hAnsi="Times New Roman"/>
          <w:sz w:val="20"/>
          <w:szCs w:val="20"/>
          <w:color w:val="auto"/>
        </w:rPr>
        <w:t>The Company’s non-derivative financial instruments consist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accounts receivable, accounts payable and long-term debt. The fair values of cash equivalents, accounts receivable and accounts payable approximate their carrying amounts reported on its Consolidated Balance Sheets due to their short duration.</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60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83"/>
              <w:spacing w:after="0" w:line="135"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63"/>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635,000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53,346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265,896</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278,517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277,809</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Income Taxes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7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provision for income taxes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(72,320)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108,189</w:t>
            </w:r>
          </w:p>
        </w:tc>
        <w:tc>
          <w:tcPr>
            <w:tcW w:w="0" w:type="dxa"/>
            <w:vAlign w:val="bottom"/>
          </w:tcPr>
          <w:p>
            <w:pPr>
              <w:spacing w:after="0"/>
              <w:rPr>
                <w:sz w:val="1"/>
                <w:szCs w:val="1"/>
                <w:color w:val="auto"/>
              </w:rPr>
            </w:pPr>
          </w:p>
        </w:tc>
      </w:tr>
      <w:tr>
        <w:trPr>
          <w:trHeight w:val="21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9,970</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14,761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effective income tax rate for the thirteen weeks ended March 31, 2024 includes the impact of nondeductible losses associated with the 2025 Notes Partial Repurchase which, relative to a pre-tax book loss during the quarter, resulted in a negative effective income tax rate.</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January 24, 2024, the Company’s Brazilian subsidiary received an unfavorable second level court ruling related to its ongoing litigation regarding its eligibility for tax exemptions under the Brazil tax legislation, that temporarily granted certain industries a 100% exemption from income tax (IRPJ and CSLL) and federal value added taxes (PIS and COFINS) for a five-year period. The Company will appeal this ruling, and believes that it will more likely than not prevail in this appeal and accordingly has not recorded any expense or liability for the disputed amounts.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(Loss) income before provision for income taxes.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effective income tax rate for the thirteen weeks ended March 31, 2024 was lower than the Company’s blended federal and state statutory rate of approximately 26% primarily due to the benefit of FICA tax credits on certain tipped wages and the impact of nondeductible losses associated with the 2025 Notes Partial Repurchase which, relative to a pre-tax book loss during the quarter, resulted in a negative effective income tax rate.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effective income tax rate for the thirteen weeks ended March 26, 2023 was lower than the Company’s blended federal and state statutory rate of approximately 26% primarily due to the benefit of FICA tax credits on certain tipped wages and benefits of Brazil tax legislation that include a temporary reduction in the Brazilian income tax rate from 34% to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Commitments and Contingencies</w:t>
      </w:r>
    </w:p>
    <w:p>
      <w:pPr>
        <w:spacing w:after="0" w:line="25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Litigation and Other Matters </w:t>
      </w:r>
      <w:r>
        <w:rPr>
          <w:rFonts w:ascii="Times New Roman" w:cs="Times New Roman" w:eastAsia="Times New Roman" w:hAnsi="Times New Roman"/>
          <w:sz w:val="20"/>
          <w:szCs w:val="20"/>
          <w:color w:val="auto"/>
        </w:rPr>
        <w:t>- The Company recorded reserves of $9.5 million and $13.3 million for certain of its outstanding legal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as of March 31, 2024 and December 31, 2023,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March 31, 2024, the undiscounted payments that the Company could be required to make in the event of non-payment by the primary lessees was $18.9 million. The present value of these potential payments discounted at the Company’s incremental borrowing rate as of March 31, 2024 was $15.1 million. In the event of default, the indemnity clauses in the Company’s purchase and sale agreements generally govern its ability to pursue and recover damages incurred. As of March 31, 2024 and December 31, 2023, the Company’s recorded contingent lease liability was $4.8 million and $5.3 million, respectively.</w:t>
      </w:r>
    </w:p>
    <w:p>
      <w:pPr>
        <w:spacing w:after="0" w:line="21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Segment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reporting segments: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right w:val="single" w:sz="8" w:color="auto"/>
            </w:tcBorders>
            <w:shd w:val="clear" w:color="auto" w:fill="CCEEFF"/>
          </w:tcPr>
          <w:p>
            <w:pPr>
              <w:spacing w:after="0"/>
              <w:rPr>
                <w:sz w:val="21"/>
                <w:szCs w:val="21"/>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21"/>
                <w:szCs w:val="21"/>
                <w:color w:val="auto"/>
              </w:rPr>
            </w:pPr>
          </w:p>
        </w:tc>
        <w:tc>
          <w:tcPr>
            <w:tcW w:w="38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3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Company’s Annual Report on Form 10-K for the year ended December 31, 2023.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tables summarize Total revenues, Depreciation and amortization, and Income from operations by segment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 MARCH 31, 2024</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1,043,104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1,195,327</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49,282</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77,093</w:t>
            </w:r>
          </w:p>
        </w:tc>
        <w:tc>
          <w:tcPr>
            <w:tcW w:w="0" w:type="dxa"/>
            <w:vAlign w:val="bottom"/>
          </w:tcPr>
          <w:p>
            <w:pPr>
              <w:spacing w:after="0"/>
              <w:rPr>
                <w:sz w:val="1"/>
                <w:szCs w:val="1"/>
                <w:color w:val="auto"/>
              </w:rPr>
            </w:pPr>
          </w:p>
        </w:tc>
      </w:tr>
      <w:tr>
        <w:trPr>
          <w:trHeight w:val="341"/>
        </w:trPr>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 MARCH 26, 2023</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1,244,746</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46,302</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120,633</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is a reconciliation of segment income from operations to (Loss) income before provision for income taxes for the periods indicated:</w:t>
      </w:r>
    </w:p>
    <w:p>
      <w:pPr>
        <w:sectPr>
          <w:pgSz w:w="11900" w:h="16838" w:orient="portrait"/>
          <w:cols w:equalWidth="0" w:num="1">
            <w:col w:w="11240"/>
          </w:cols>
          <w:pgMar w:left="320" w:top="118" w:right="3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from operations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(Loss) income before provision for income taxes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77,093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120,633</w:t>
            </w:r>
          </w:p>
        </w:tc>
      </w:tr>
      <w:tr>
        <w:trPr>
          <w:trHeight w:val="216"/>
        </w:trPr>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(12,444)</w:t>
            </w:r>
          </w:p>
        </w:tc>
      </w:tr>
      <w:tr>
        <w:trPr>
          <w:trHeight w:val="21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(72,320)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108,189</w:t>
            </w:r>
          </w:p>
        </w:tc>
      </w:tr>
      <w:tr>
        <w:trPr>
          <w:trHeight w:val="2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22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additional mandated employee benefits and fluctuations in the cost and availability of employees;</w:t>
      </w:r>
    </w:p>
    <w:p>
      <w:pPr>
        <w:spacing w:after="0" w:line="25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high-quality leadership, restaurant-level management and team members;</w:t>
      </w:r>
    </w:p>
    <w:p>
      <w:pPr>
        <w:spacing w:after="0" w:line="242"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geopolitical conditions and their effects on consumer confidence and discretionary spending, consumer traffic, the cost and availability of credit and interest rates;</w:t>
      </w:r>
    </w:p>
    <w:p>
      <w:pPr>
        <w:spacing w:after="0" w:line="186"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199"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cybersecurity threats, and to protect consumer data and personal employee information;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left="660" w:hanging="652"/>
        <w:spacing w:after="0" w:line="261" w:lineRule="auto"/>
        <w:tabs>
          <w:tab w:leader="none" w:pos="6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99"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strategic review process for our Brazil operations or any resulting action or inaction;</w:t>
      </w:r>
    </w:p>
    <w:p>
      <w:pPr>
        <w:spacing w:after="0" w:line="256"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new corporate citizenship and sustainability reporting requirements and investor expectations or our failure to achieve any goals, targets or objectives that we establish with respect to corporate citizenship and sustainability matters;</w:t>
      </w:r>
    </w:p>
    <w:p>
      <w:pPr>
        <w:spacing w:after="0" w:line="199"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including by maintaining relationships with third party delivery apps and services, consumer tastes and dietary habits;</w:t>
      </w:r>
    </w:p>
    <w:p>
      <w:pPr>
        <w:spacing w:after="0" w:line="173" w:lineRule="exact"/>
        <w:rPr>
          <w:rFonts w:ascii="Times New Roman" w:cs="Times New Roman" w:eastAsia="Times New Roman" w:hAnsi="Times New Roman"/>
          <w:sz w:val="20"/>
          <w:szCs w:val="20"/>
          <w:color w:val="auto"/>
        </w:rPr>
      </w:pPr>
    </w:p>
    <w:p>
      <w:pPr>
        <w:ind w:left="660" w:hanging="652"/>
        <w:spacing w:after="0" w:line="310" w:lineRule="auto"/>
        <w:tabs>
          <w:tab w:leader="none" w:pos="651"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51" w:lineRule="exact"/>
        <w:rPr>
          <w:rFonts w:ascii="Times New Roman" w:cs="Times New Roman" w:eastAsia="Times New Roman" w:hAnsi="Times New Roman"/>
          <w:sz w:val="19"/>
          <w:szCs w:val="19"/>
          <w:color w:val="auto"/>
        </w:rPr>
      </w:pPr>
    </w:p>
    <w:p>
      <w:pPr>
        <w:jc w:val="both"/>
        <w:ind w:left="660" w:hanging="652"/>
        <w:spacing w:after="0" w:line="257" w:lineRule="auto"/>
        <w:tabs>
          <w:tab w:leader="none" w:pos="65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spacing w:after="0" w:line="199"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5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5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spacing w:after="0" w:line="188" w:lineRule="exact"/>
        <w:rPr>
          <w:rFonts w:ascii="Times New Roman" w:cs="Times New Roman" w:eastAsia="Times New Roman" w:hAnsi="Times New Roman"/>
          <w:sz w:val="20"/>
          <w:szCs w:val="20"/>
          <w:color w:val="auto"/>
        </w:rPr>
      </w:pPr>
    </w:p>
    <w:p>
      <w:pPr>
        <w:ind w:left="660" w:hanging="652"/>
        <w:spacing w:after="0" w:line="283" w:lineRule="auto"/>
        <w:tabs>
          <w:tab w:leader="none" w:pos="6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65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discussed in Part I, Item IA. Risk Factors of our Annual Report on Form 10-K for the year ended December 31, 2023.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 are one of the largest casual dining restaurant companies in the world with a portfolio of leading, differentiated restaurant concepts. As of March 31, 2024, we owned and operated 1,162 restaurants and franchised 289 restaurants across 46 states, Guam and 13 countries. We have four founder-inspired concepts: Outback Steakhouse, Carrabba’s Italian Grill, Bonefish Grill and Fleming’s Prime Steakhouse &amp; Wine Bar.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Financial Overview - </w:t>
      </w:r>
      <w:r>
        <w:rPr>
          <w:rFonts w:ascii="Times New Roman" w:cs="Times New Roman" w:eastAsia="Times New Roman" w:hAnsi="Times New Roman"/>
          <w:sz w:val="20"/>
          <w:szCs w:val="20"/>
          <w:color w:val="auto"/>
        </w:rPr>
        <w:t>Our financial overview for the thirteen weeks ended March 31, 2024 includes the following:</w:t>
      </w:r>
    </w:p>
    <w:p>
      <w:pPr>
        <w:spacing w:after="0" w:line="26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combined and Outback Steakhouse comparable restaurant sales of (1.6)% and (1.2)%, respectively;</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Total revenues of (4.0)% as compared to the first quarter of 2023;</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and restaurant-level operating margins of 6.4% and 16.0%, respectively, as compared to 9.7% and 17.9%, respectively, for the first quarter of 2023;</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$77.1 million as compared to $120.6 million in the first quarter of 2023;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loss per share of $(0.96) as compared to diluted earnings per share of $0.93 for the first quarter of 2023.</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Reviewing Strategic Alternatives for Brazil Operations - </w:t>
      </w:r>
      <w:r>
        <w:rPr>
          <w:rFonts w:ascii="Times New Roman" w:cs="Times New Roman" w:eastAsia="Times New Roman" w:hAnsi="Times New Roman"/>
          <w:sz w:val="20"/>
          <w:szCs w:val="20"/>
          <w:color w:val="auto"/>
        </w:rPr>
        <w:t>On May 7, 2024, we announced that we are exploring and evaluating strategic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alternatives for our Brazil operations that have the potential to maximize value for our shareholders, including but not limited to, a possible sale of the operations. The Board has retained BofA Securities, Inc. as its financial advisor.</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plan to proceed in a timely manner, but have not set a definitive timetable for completion of this process. There can be no assurance that this review will result in a transaction or other strategic alternative of any kind. We do not intend to make any further public comment regarding the review unless it determines that disclosure is appropriate or necessary.</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Key Financial Performance Indicators </w:t>
      </w:r>
      <w:r>
        <w:rPr>
          <w:rFonts w:ascii="Times New Roman" w:cs="Times New Roman" w:eastAsia="Times New Roman" w:hAnsi="Times New Roman"/>
          <w:sz w:val="20"/>
          <w:szCs w:val="20"/>
          <w:color w:val="auto"/>
        </w:rPr>
        <w:t>- Key measures that we use in evaluating our restaurants and assessing our business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w:t>
      </w:r>
    </w:p>
    <w:p>
      <w:pPr>
        <w:spacing w:after="0" w:line="165" w:lineRule="exact"/>
        <w:rPr>
          <w:sz w:val="20"/>
          <w:szCs w:val="20"/>
          <w:color w:val="auto"/>
        </w:rPr>
      </w:pPr>
    </w:p>
    <w:p>
      <w:pPr>
        <w:ind w:left="660" w:right="20" w:hanging="328"/>
        <w:spacing w:after="0" w:line="287"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and the benefit of value added tax exemptions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Brazil) per restaurant to measure changes in customer traffic, pricing and development of the brand.</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48" w:val="left"/>
        </w:tabs>
        <w:numPr>
          <w:ilvl w:val="0"/>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the change in sales volumes (excluding gift card breakage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of value added tax exemptions in Brazil) for Company-owned restaurants that are open 18 months or more in order to remove the impact of new restaurant openings in comparing the operations of existing restaurants.</w:t>
      </w:r>
    </w:p>
    <w:p>
      <w:pPr>
        <w:spacing w:after="0" w:line="182" w:lineRule="exact"/>
        <w:rPr>
          <w:rFonts w:ascii="Times New Roman" w:cs="Times New Roman" w:eastAsia="Times New Roman" w:hAnsi="Times New Roman"/>
          <w:sz w:val="20"/>
          <w:szCs w:val="20"/>
          <w:i w:val="1"/>
          <w:iCs w:val="1"/>
          <w:color w:val="auto"/>
        </w:rPr>
      </w:pPr>
    </w:p>
    <w:p>
      <w:pPr>
        <w:ind w:left="660" w:hanging="328"/>
        <w:spacing w:after="0" w:line="287"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65"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Restaurant-level operating margin, Income from operations, Net (loss) income and Diluted (loss) earnings per share</w:t>
      </w:r>
      <w:r>
        <w:rPr>
          <w:rFonts w:ascii="Times New Roman" w:cs="Times New Roman" w:eastAsia="Times New Roman" w:hAnsi="Times New Roman"/>
          <w:sz w:val="20"/>
          <w:szCs w:val="20"/>
          <w:color w:val="auto"/>
        </w:rPr>
        <w:t>—financial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measures utilized to evaluate our operating performance.</w:t>
      </w:r>
    </w:p>
    <w:p>
      <w:pPr>
        <w:spacing w:after="0" w:line="182" w:lineRule="exact"/>
        <w:rPr>
          <w:rFonts w:ascii="Times New Roman" w:cs="Times New Roman" w:eastAsia="Times New Roman" w:hAnsi="Times New Roman"/>
          <w:sz w:val="20"/>
          <w:szCs w:val="20"/>
          <w:i w:val="1"/>
          <w:iCs w:val="1"/>
          <w:color w:val="auto"/>
        </w:rPr>
      </w:pPr>
    </w:p>
    <w:p>
      <w:pPr>
        <w:jc w:val="both"/>
        <w:ind w:left="660"/>
        <w:spacing w:after="0" w:line="254"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 and Other restaurant operating expense (including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advertising expenses) represent, in each case as such items are reflected in our Consolidated Statements of Operations and Comprehensive (Loss) Income. The following categories of revenue and operating expenses are not included in restaurant-level operating income and corresponding margin because we do not consider them reflective of operating performance at the restaurant-level within a period:</w:t>
      </w:r>
    </w:p>
    <w:p>
      <w:pPr>
        <w:spacing w:after="0" w:line="199" w:lineRule="exact"/>
        <w:rPr>
          <w:sz w:val="20"/>
          <w:szCs w:val="20"/>
          <w:color w:val="auto"/>
        </w:rPr>
      </w:pPr>
    </w:p>
    <w:p>
      <w:pPr>
        <w:ind w:left="1300" w:hanging="644"/>
        <w:spacing w:after="0" w:line="261" w:lineRule="auto"/>
        <w:tabs>
          <w:tab w:leader="none" w:pos="129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Times New Roman" w:cs="Times New Roman" w:eastAsia="Times New Roman" w:hAnsi="Times New Roman"/>
          <w:sz w:val="20"/>
          <w:szCs w:val="20"/>
          <w:color w:val="auto"/>
        </w:rPr>
      </w:pPr>
    </w:p>
    <w:p>
      <w:pPr>
        <w:ind w:left="1300" w:right="20" w:hanging="644"/>
        <w:spacing w:after="0" w:line="246" w:lineRule="auto"/>
        <w:tabs>
          <w:tab w:leader="none" w:pos="129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 and</w:t>
      </w:r>
    </w:p>
    <w:p>
      <w:pPr>
        <w:spacing w:after="0" w:line="1" w:lineRule="exact"/>
        <w:rPr>
          <w:rFonts w:ascii="Times New Roman" w:cs="Times New Roman" w:eastAsia="Times New Roman" w:hAnsi="Times New Roman"/>
          <w:sz w:val="20"/>
          <w:szCs w:val="20"/>
          <w:color w:val="auto"/>
        </w:rPr>
      </w:pPr>
    </w:p>
    <w:p>
      <w:pPr>
        <w:ind w:left="1300" w:hanging="644"/>
        <w:spacing w:after="0" w:line="267" w:lineRule="auto"/>
        <w:tabs>
          <w:tab w:leader="none" w:pos="128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18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Statements of Operations and Comprehensive (Loss) Income. As a result, restaurant-level operating margin is not indicative of our consolidated results of operations and is presented exclusively as a supplement to, and not a substitute for, Net (loss) income or Income from operations. In addition, our presentation of restaurant-level operating margin may not be comparable to similarly titled measures used by other companies in our industry.</w:t>
      </w:r>
    </w:p>
    <w:p>
      <w:pPr>
        <w:spacing w:after="0" w:line="196" w:lineRule="exact"/>
        <w:rPr>
          <w:sz w:val="20"/>
          <w:szCs w:val="20"/>
          <w:color w:val="auto"/>
        </w:rPr>
      </w:pPr>
    </w:p>
    <w:p>
      <w:pPr>
        <w:ind w:left="660" w:right="20" w:hanging="328"/>
        <w:spacing w:after="0" w:line="287" w:lineRule="auto"/>
        <w:tabs>
          <w:tab w:leader="none" w:pos="648" w:val="left"/>
        </w:tabs>
        <w:numPr>
          <w:ilvl w:val="0"/>
          <w:numId w:val="2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w:t>
      </w:r>
    </w:p>
    <w:p>
      <w:pPr>
        <w:spacing w:after="0" w:line="169" w:lineRule="exact"/>
        <w:rPr>
          <w:rFonts w:ascii="Times New Roman" w:cs="Times New Roman" w:eastAsia="Times New Roman" w:hAnsi="Times New Roman"/>
          <w:sz w:val="20"/>
          <w:szCs w:val="20"/>
          <w:i w:val="1"/>
          <w:iCs w:val="1"/>
          <w:color w:val="auto"/>
        </w:rPr>
      </w:pPr>
    </w:p>
    <w:p>
      <w:pPr>
        <w:jc w:val="both"/>
        <w:ind w:left="660"/>
        <w:spacing w:after="0" w:line="251"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Selected Operating Data - </w:t>
      </w:r>
      <w:r>
        <w:rPr>
          <w:rFonts w:ascii="Times New Roman" w:cs="Times New Roman" w:eastAsia="Times New Roman" w:hAnsi="Times New Roman"/>
          <w:sz w:val="20"/>
          <w:szCs w:val="20"/>
          <w:color w:val="auto"/>
        </w:rPr>
        <w:t>The table below presents the number of our restaurants in operation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 (at end of the period):</w:t>
            </w:r>
          </w:p>
        </w:tc>
        <w:tc>
          <w:tcPr>
            <w:tcW w:w="19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9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U.S. total (1)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(2)(3)</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South Korea (1)</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60" w:type="dxa"/>
            <w:vAlign w:val="bottom"/>
            <w:vMerge w:val="continue"/>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four and 26 off-premises only kitchens as of March 31, 2024 and March 26, 2023, respectively. One location was Company-owned in the U.S. and all others were franchised in South Korea as of March 31, 2024 and March 26, 2023.</w:t>
      </w:r>
    </w:p>
    <w:p>
      <w:pPr>
        <w:ind w:left="660" w:hanging="652"/>
        <w:spacing w:after="0" w:line="252"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including Abbraccio and Aussie Grill restaurants within International Company-owned Other, are reported as of February 29, 2024 and February 28, 2023, respectively, to correspond with the balance sheet dates of this subsidiary.</w:t>
      </w:r>
    </w:p>
    <w:p>
      <w:pPr>
        <w:ind w:left="660" w:hanging="652"/>
        <w:spacing w:after="0" w:line="298"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Company-owned Other included two and four Aussie Grill locations as of March 31, 2024 and March 26, 2023, respectively. International Franchised Other included five and four Aussie Grill locations as of March 31, 2024 and March 26, 2023,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Restaurant sales for the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 ended March 26, 2023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Comparable restaurant sales (1)</w:t>
            </w:r>
          </w:p>
        </w:tc>
        <w:tc>
          <w:tcPr>
            <w:tcW w:w="34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closures</w:t>
            </w:r>
          </w:p>
        </w:tc>
        <w:tc>
          <w:tcPr>
            <w:tcW w:w="3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Brazil value added tax exemptions (2)</w:t>
            </w:r>
          </w:p>
        </w:tc>
        <w:tc>
          <w:tcPr>
            <w:tcW w:w="34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openings</w:t>
            </w:r>
          </w:p>
        </w:tc>
        <w:tc>
          <w:tcPr>
            <w:tcW w:w="3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3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period ended March 31, 2024</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1,179.5</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8" w:lineRule="exact"/>
        <w:rPr>
          <w:sz w:val="20"/>
          <w:szCs w:val="20"/>
          <w:color w:val="auto"/>
        </w:rPr>
      </w:pPr>
    </w:p>
    <w:p>
      <w:pPr>
        <w:ind w:left="660" w:hanging="652"/>
        <w:spacing w:after="0" w:line="21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weeks ended March 26, 2023 included high-volume days between December 26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and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the thirteen weeks ended March 31, 2024 excluded these days. This shift had an estimated $16.5 million negative impact on comparable restaurant sales.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60"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Beginning in the fourth quarter of 2023, we are once again subject to the value added taxes for which we were previously exempt under the Brazil tax legislation. See Note 14 -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Brazil tax legislation.</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decrease in Restaurant sales during the thirteen weeks ended March 31, 2024 was primarily due to: (i) lower comparable restaurant sales including the impact of the one-week shift in the fiscal calendar, (ii) the closure of 57 restaurants since December 25, 2022 and (iii) value added tax exemptions in Brazil during 2023. The decrease in Restaurant sales was partially offset by the opening of 53 new restaurants not included in our comparable restaurant sales base and the effect of foreign currency translation of the Brazilian Real relative to the U.S. dollar.</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Average Restaurant Unit Volumes and Operating Weeks - </w:t>
      </w:r>
      <w:r>
        <w:rPr>
          <w:rFonts w:ascii="Times New Roman" w:cs="Times New Roman" w:eastAsia="Times New Roman" w:hAnsi="Times New Roman"/>
          <w:sz w:val="20"/>
          <w:szCs w:val="20"/>
          <w:color w:val="auto"/>
        </w:rPr>
        <w:t>Following is a summary of the average restaurant unit volumes and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weeks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0"/>
        </w:trPr>
        <w:tc>
          <w:tcPr>
            <w:tcW w:w="8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0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restaurant unit volumes (weekly):</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83,012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84,506</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72,325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70,146</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115,580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121,625</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61,578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63,170</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weeks: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right="20" w:hanging="652"/>
        <w:spacing w:after="0" w:line="257"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Translated at average exchange rates of 4.92 and 5.21 for the thirteen weeks ended March 31, 2024 and March 26, 2023, respectively. Excludes the benefit of the Brazil value added tax exemptions discussed in Note 14 -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Comparable Restaurant Sales, Traffic and Average Check Per Person (Decreases) Increases - </w:t>
      </w:r>
      <w:r>
        <w:rPr>
          <w:rFonts w:ascii="Times New Roman" w:cs="Times New Roman" w:eastAsia="Times New Roman" w:hAnsi="Times New Roman"/>
          <w:sz w:val="20"/>
          <w:szCs w:val="20"/>
          <w:color w:val="auto"/>
        </w:rPr>
        <w:t>Following is a summary of comparable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 sales, traffic and average check per person (decreases) increases for the periods indicated:</w:t>
      </w:r>
    </w:p>
    <w:p>
      <w:pPr>
        <w:spacing w:after="0" w:line="6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19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1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0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(2)</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(3)(4)</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73"/>
        </w:trPr>
        <w:tc>
          <w:tcPr>
            <w:tcW w:w="75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73"/>
        </w:trPr>
        <w:tc>
          <w:tcPr>
            <w:tcW w:w="75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check per person (5):</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0"/>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Q1 2024, comparable restaurant sales, traffic and average check per person compare the thirteen weeks from January 1, 2024 through March 31, 2024 to the thirteen weeks from January 2, 2023 through April 2, 2023.</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15"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Excludes the effect of fluctuations in foreign currency rates and the benefit of the Brazil value added tax exemptions discussed in Note 14 -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trading day impact from calendar period reporting.</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percentages of certain items in our Consolidated Statements of Operations in relation to Restaurant sales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48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1"/>
        </w:trPr>
        <w:tc>
          <w:tcPr>
            <w:tcW w:w="776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7760" w:type="dxa"/>
            <w:vAlign w:val="bottom"/>
          </w:tcPr>
          <w:p>
            <w:pPr>
              <w:spacing w:after="0"/>
              <w:rPr>
                <w:sz w:val="18"/>
                <w:szCs w:val="18"/>
                <w:color w:val="auto"/>
              </w:rPr>
            </w:pP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0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sales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r>
      <w:tr>
        <w:trPr>
          <w:trHeight w:val="236"/>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7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Food and beverage (1)</w:t>
            </w:r>
          </w:p>
        </w:tc>
        <w:tc>
          <w:tcPr>
            <w:tcW w:w="1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1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w:t>
            </w: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1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1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r>
      <w:tr>
        <w:trPr>
          <w:trHeight w:val="225"/>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7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90.3</w:t>
            </w: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provision for income taxes</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36"/>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3"/>
        </w:trPr>
        <w:tc>
          <w:tcPr>
            <w:tcW w:w="77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Thirteen weeks ended March 31, 2024 as compared to thirteen weeks ended March 26, 2023</w:t>
      </w:r>
    </w:p>
    <w:p>
      <w:pPr>
        <w:spacing w:after="0" w:line="2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Food and beverage cost </w:t>
      </w:r>
      <w:r>
        <w:rPr>
          <w:rFonts w:ascii="Times New Roman" w:cs="Times New Roman" w:eastAsia="Times New Roman" w:hAnsi="Times New Roman"/>
          <w:sz w:val="20"/>
          <w:szCs w:val="20"/>
          <w:color w:val="auto"/>
        </w:rPr>
        <w:t>decreased as a percentage of Restaurant sales primarily due to 1.3% from increases in average check per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driven by an increase in menu pricing and 0.7% from cost saving and productivity initiatives. These decreases were partially offset by increases as a percentage of Restaurant sales of 0.6% from commodity inflation and 0.4% from unfavorable product mix.</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Labor and other related expense </w:t>
      </w:r>
      <w:r>
        <w:rPr>
          <w:rFonts w:ascii="Times New Roman" w:cs="Times New Roman" w:eastAsia="Times New Roman" w:hAnsi="Times New Roman"/>
          <w:sz w:val="20"/>
          <w:szCs w:val="20"/>
          <w:color w:val="auto"/>
        </w:rPr>
        <w:t>increased as a percentage of Restaurant sales primarily due to 2.0% from higher hourly and field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labor costs, primarily due to wage rate inflation, partially offset by a decrease of 0.5% from an increase in average check per person.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Other restaurant operating expense </w:t>
      </w:r>
      <w:r>
        <w:rPr>
          <w:rFonts w:ascii="Times New Roman" w:cs="Times New Roman" w:eastAsia="Times New Roman" w:hAnsi="Times New Roman"/>
          <w:sz w:val="20"/>
          <w:szCs w:val="20"/>
          <w:color w:val="auto"/>
        </w:rPr>
        <w:t>increased as a percentage of Restaurant sales primarily due to 0.9% from higher restaurant-level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operating and supply expenses, primarily due to inflation, and 0.7% from higher advertising expense, partially offset by a decrease of 0.2% from certain cost saving and productivity initiatives.</w:t>
      </w:r>
    </w:p>
    <w:p>
      <w:pPr>
        <w:spacing w:after="0" w:line="20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Depreciation and amortization expense </w:t>
      </w:r>
      <w:r>
        <w:rPr>
          <w:rFonts w:ascii="Times New Roman" w:cs="Times New Roman" w:eastAsia="Times New Roman" w:hAnsi="Times New Roman"/>
          <w:sz w:val="20"/>
          <w:szCs w:val="20"/>
          <w:color w:val="auto"/>
        </w:rPr>
        <w:t>increased primarily due to restaurant development and technology projects, partially offset by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decrease due to restaurant closures under the 2023 Closure Initiative.</w:t>
      </w:r>
    </w:p>
    <w:p>
      <w:pPr>
        <w:spacing w:after="0" w:line="19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General and administrative expense </w:t>
      </w:r>
      <w:r>
        <w:rPr>
          <w:rFonts w:ascii="Times New Roman" w:cs="Times New Roman" w:eastAsia="Times New Roman" w:hAnsi="Times New Roman"/>
          <w:sz w:val="20"/>
          <w:szCs w:val="20"/>
          <w:color w:val="auto"/>
        </w:rPr>
        <w:t>increased primarily due to higher severance partially offset by a decrease in employee stock-based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Provision for impaired assets and restaurant closings </w:t>
      </w:r>
      <w:r>
        <w:rPr>
          <w:rFonts w:ascii="Times New Roman" w:cs="Times New Roman" w:eastAsia="Times New Roman" w:hAnsi="Times New Roman"/>
          <w:sz w:val="20"/>
          <w:szCs w:val="20"/>
          <w:color w:val="auto"/>
        </w:rPr>
        <w:t>increased primarily due to charges in connection with the 2023 Closure Initiative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the U.S. segment.</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Income from operations </w:t>
      </w:r>
      <w:r>
        <w:rPr>
          <w:rFonts w:ascii="Times New Roman" w:cs="Times New Roman" w:eastAsia="Times New Roman" w:hAnsi="Times New Roman"/>
          <w:sz w:val="20"/>
          <w:szCs w:val="20"/>
          <w:color w:val="auto"/>
        </w:rPr>
        <w:t>during the thirteen weeks ended March 31, 2024 includes a net operating margin decrease of approximately 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attributable to the lapping of the 2023 Brazil value added tax exemptions (PIS and COFINS). See Note 14 -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of the Notes to Consolidated Financial Statements for further discussion regarding Brazil tax legislation.</w:t>
      </w:r>
    </w:p>
    <w:p>
      <w:pPr>
        <w:spacing w:after="0" w:line="20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Loss on extinguishment of debt </w:t>
      </w:r>
      <w:r>
        <w:rPr>
          <w:rFonts w:ascii="Times New Roman" w:cs="Times New Roman" w:eastAsia="Times New Roman" w:hAnsi="Times New Roman"/>
          <w:sz w:val="20"/>
          <w:szCs w:val="20"/>
          <w:color w:val="auto"/>
        </w:rPr>
        <w:t>during the thirteen weeks ended March 31, 2024 was in connection with the 2025 Notes Partial Repurchase,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which is described in further detail within Note 9 -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w:t>
      </w:r>
    </w:p>
    <w:p>
      <w:pPr>
        <w:spacing w:after="0" w:line="16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Provision for income taxes </w:t>
      </w:r>
      <w:r>
        <w:rPr>
          <w:rFonts w:ascii="Times New Roman" w:cs="Times New Roman" w:eastAsia="Times New Roman" w:hAnsi="Times New Roman"/>
          <w:sz w:val="20"/>
          <w:szCs w:val="20"/>
          <w:color w:val="auto"/>
        </w:rPr>
        <w:t>for the thirteen weeks ended March 31, 2024 includes the impact of nondeductible losses associated with the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Notes Partial Repurchase which, relative to a pre-tax book loss during the quarter, resulted in a negative effective income tax 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PERFORMANCE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reporting segments: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1"/>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right w:val="single" w:sz="8" w:color="auto"/>
            </w:tcBorders>
            <w:shd w:val="clear" w:color="auto" w:fill="CCEEFF"/>
          </w:tcPr>
          <w:p>
            <w:pPr>
              <w:spacing w:after="0"/>
              <w:rPr>
                <w:sz w:val="21"/>
                <w:szCs w:val="21"/>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21"/>
                <w:szCs w:val="21"/>
                <w:color w:val="auto"/>
              </w:rPr>
            </w:pPr>
          </w:p>
        </w:tc>
        <w:tc>
          <w:tcPr>
            <w:tcW w:w="38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spacing w:after="0" w:line="19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Refer to Note 16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reconciliations of segment income from operations to the consolidated operating results.</w:t>
      </w:r>
    </w:p>
    <w:p>
      <w:pPr>
        <w:spacing w:after="0" w:line="18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 w:cs="Times New Roman" w:eastAsia="Times New Roman" w:hAnsi="Times New Roman"/>
          <w:sz w:val="20"/>
          <w:szCs w:val="20"/>
          <w:i w:val="1"/>
          <w:iCs w:val="1"/>
          <w:color w:val="auto"/>
        </w:rPr>
        <w:t>Overview-Key Financial Performance Indicators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 xml:space="preserve"> sections of Management’s Discussion and Analysis of Financial Condition and Results of Operations for additional details regarding the calculation of restaurant-level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Summary financial data </w:t>
      </w:r>
      <w:r>
        <w:rPr>
          <w:rFonts w:ascii="Times New Roman" w:cs="Times New Roman" w:eastAsia="Times New Roman" w:hAnsi="Times New Roman"/>
          <w:sz w:val="20"/>
          <w:szCs w:val="20"/>
          <w:color w:val="auto"/>
        </w:rPr>
        <w:t>- Following is a summary of financial data by segment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INTERNATIONAL</w:t>
            </w: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6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3120" w:type="dxa"/>
            <w:vAlign w:val="bottom"/>
            <w:gridSpan w:val="4"/>
          </w:tcPr>
          <w:p>
            <w:pPr>
              <w:spacing w:after="0"/>
              <w:rPr>
                <w:sz w:val="2"/>
                <w:szCs w:val="2"/>
                <w:color w:val="auto"/>
              </w:rPr>
            </w:pPr>
          </w:p>
        </w:tc>
      </w:tr>
      <w:tr>
        <w:trPr>
          <w:trHeight w:val="209"/>
        </w:trPr>
        <w:tc>
          <w:tcPr>
            <w:tcW w:w="4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0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1,030,896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1,080,569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148,591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147,665</w:t>
            </w:r>
          </w:p>
        </w:tc>
      </w:tr>
      <w:tr>
        <w:trPr>
          <w:trHeight w:val="239"/>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3,632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4,085</w:t>
            </w:r>
          </w:p>
        </w:tc>
      </w:tr>
      <w:tr>
        <w:trPr>
          <w:trHeight w:val="197"/>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1,043,104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1,092,996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152,223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151,750</w:t>
            </w:r>
          </w:p>
        </w:tc>
      </w:tr>
      <w:tr>
        <w:trPr>
          <w:trHeight w:val="21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97,484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15,762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24,508</w:t>
            </w:r>
          </w:p>
        </w:tc>
      </w:tr>
      <w:tr>
        <w:trPr>
          <w:trHeight w:val="21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161,976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187,808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27,157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34,015</w:t>
            </w:r>
          </w:p>
        </w:tc>
      </w:tr>
      <w:tr>
        <w:trPr>
          <w:trHeight w:val="210"/>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segment Restaurant sales for the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5"/>
                <w:szCs w:val="15"/>
                <w:color w:val="auto"/>
              </w:rPr>
            </w:pP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 ended March 26,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1,080.6</w:t>
            </w:r>
          </w:p>
        </w:tc>
        <w:tc>
          <w:tcPr>
            <w:tcW w:w="100" w:type="dxa"/>
            <w:vAlign w:val="bottom"/>
            <w:shd w:val="clear" w:color="auto" w:fill="CCEEFF"/>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 ended March 26,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Comparable restaurant sales (1)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closures (2)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Restaurant openings (3)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openings (3)</w:t>
            </w:r>
          </w:p>
        </w:tc>
        <w:tc>
          <w:tcPr>
            <w:tcW w:w="1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Brazil value added tax exemptions (4)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For the period ended March 31, 2024</w:t>
            </w: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2"/>
              <w:spacing w:after="0" w:line="176" w:lineRule="exact"/>
              <w:rPr>
                <w:sz w:val="20"/>
                <w:szCs w:val="20"/>
                <w:color w:val="auto"/>
              </w:rPr>
            </w:pPr>
            <w:r>
              <w:rPr>
                <w:rFonts w:ascii="Times New Roman" w:cs="Times New Roman" w:eastAsia="Times New Roman" w:hAnsi="Times New Roman"/>
                <w:sz w:val="16"/>
                <w:szCs w:val="16"/>
                <w:color w:val="auto"/>
              </w:rPr>
              <w:t>1,030.9</w:t>
            </w:r>
          </w:p>
        </w:tc>
        <w:tc>
          <w:tcPr>
            <w:tcW w:w="100" w:type="dxa"/>
            <w:vAlign w:val="bottom"/>
          </w:tcPr>
          <w:p>
            <w:pPr>
              <w:spacing w:after="0"/>
              <w:rPr>
                <w:sz w:val="15"/>
                <w:szCs w:val="15"/>
                <w:color w:val="auto"/>
              </w:rPr>
            </w:pPr>
          </w:p>
        </w:tc>
        <w:tc>
          <w:tcPr>
            <w:tcW w:w="4060" w:type="dxa"/>
            <w:vAlign w:val="bottom"/>
          </w:tcPr>
          <w:p>
            <w:pPr>
              <w:ind w:left="340"/>
              <w:spacing w:after="0" w:line="176" w:lineRule="exact"/>
              <w:rPr>
                <w:sz w:val="20"/>
                <w:szCs w:val="20"/>
                <w:color w:val="auto"/>
              </w:rPr>
            </w:pPr>
            <w:r>
              <w:rPr>
                <w:rFonts w:ascii="Times New Roman" w:cs="Times New Roman" w:eastAsia="Times New Roman" w:hAnsi="Times New Roman"/>
                <w:sz w:val="16"/>
                <w:szCs w:val="16"/>
                <w:color w:val="auto"/>
              </w:rPr>
              <w:t>Comparable restaurant sales</w:t>
            </w:r>
          </w:p>
        </w:tc>
        <w:tc>
          <w:tcPr>
            <w:tcW w:w="10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Restaurant closures (2)</w:t>
            </w: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 the period ended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estimated $16.5 million negative impact on comparable restaurant sales from a one-week shift in the fiscal calendar.</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restaurant sales impact from the closure of 55 U.S. and two international restaurants since December 25, 2022.</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17 U.S. and 36 international new restaurants not included in our comparable restaurant sales base.</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Beginning in the fourth quarter of 2023, we are once again subject to the value added taxes for which we were previously exempt under the Brazil tax legislation. See Note 14 -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Brazil tax legislation.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U.S. - </w:t>
      </w:r>
      <w:r>
        <w:rPr>
          <w:rFonts w:ascii="Times New Roman" w:cs="Times New Roman" w:eastAsia="Times New Roman" w:hAnsi="Times New Roman"/>
          <w:sz w:val="20"/>
          <w:szCs w:val="20"/>
          <w:color w:val="auto"/>
        </w:rPr>
        <w:t>The decrease in U.S. Income from operations generated during the thirteen weeks ended March 31, 2024 as compared to the thirteen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weeks ended March 26, 2023 was primarily due to: (i) lower restaurant sales, as discussed above, (ii) higher labor, operating and commodity costs, primarily due to inflation, (iii) impairment and closure costs in connection with the 2023 Closure Initiative, (iv) higher advertising expense and (v) unfavorable product mix. These decreases were offset by an increase in average check per person and the impact of certain cost saving and productivity initiatives.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International - </w:t>
      </w:r>
      <w:r>
        <w:rPr>
          <w:rFonts w:ascii="Times New Roman" w:cs="Times New Roman" w:eastAsia="Times New Roman" w:hAnsi="Times New Roman"/>
          <w:sz w:val="20"/>
          <w:szCs w:val="20"/>
          <w:color w:val="auto"/>
        </w:rPr>
        <w:t>The decrease in international Income from operations generated during the thirteen weeks ended March 31, 2024 as compared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thirteen weeks ended March 26, 2023 was primarily due to: (i) higher operating and labor costs, primarily due to inflation, (ii) lapping value added tax exemptions in Brazil during 2023, (iii) a decline in customer traffic and (iv) commodity inflation. These decreases were partially offset by an increase in average check per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Consolidated Restaurant-level Operating Income and Adjusted Restaurant-level Operating Income and Corresponding Margins Non-GAAP Reconciliations </w:t>
      </w:r>
      <w:r>
        <w:rPr>
          <w:rFonts w:ascii="Times New Roman" w:cs="Times New Roman" w:eastAsia="Times New Roman" w:hAnsi="Times New Roman"/>
          <w:sz w:val="20"/>
          <w:szCs w:val="20"/>
          <w:color w:val="auto"/>
        </w:rPr>
        <w:t>- The following table reconciles consolidated Income from operations and the corresponding margin to restaurant-level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income and adjusted restaurant-level operating income and the corresponding margins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77,093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120,633</w:t>
            </w:r>
          </w:p>
        </w:tc>
      </w:tr>
      <w:tr>
        <w:trPr>
          <w:trHeight w:val="214"/>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8"/>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15,840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16,512</w:t>
            </w:r>
          </w:p>
        </w:tc>
      </w:tr>
      <w:tr>
        <w:trPr>
          <w:trHeight w:val="21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46,302</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65,804</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3,324</w:t>
            </w: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219,551</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costs (1)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188,618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219,551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 connection with the 2023 Closure Initiative.</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Segment Restaurant-level and Adjusted Restaurant-level Operating Income and Corresponding Margins Non-GAAP Reconciliations </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tables reconcile segment Income from operations and the corresponding margin to segment restaurant-level operating income and adjusted restaurant-level operating income and the corresponding margins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97,484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133,243</w:t>
            </w:r>
          </w:p>
        </w:tc>
      </w:tr>
      <w:tr>
        <w:trPr>
          <w:trHeight w:val="214"/>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18"/>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12,427</w:t>
            </w:r>
          </w:p>
        </w:tc>
      </w:tr>
      <w:tr>
        <w:trPr>
          <w:trHeight w:val="21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38,163</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25,505</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10,936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3,324</w:t>
            </w: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161,976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187,808</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costs (1)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162,410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187,808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78"/>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 connection with the 2023 Closure Initiative.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4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24,508</w:t>
            </w:r>
          </w:p>
        </w:tc>
      </w:tr>
      <w:tr>
        <w:trPr>
          <w:trHeight w:val="214"/>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18"/>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4,085</w:t>
            </w:r>
          </w:p>
        </w:tc>
      </w:tr>
      <w:tr>
        <w:trPr>
          <w:trHeight w:val="21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5,919</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7,673</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34,015</w:t>
            </w:r>
          </w:p>
        </w:tc>
      </w:tr>
      <w:tr>
        <w:trPr>
          <w:trHeight w:val="197"/>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r>
    </w:tbl>
    <w:p>
      <w:pPr>
        <w:spacing w:after="0" w:line="3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Non-GAAP Reconciliations (continued) - </w:t>
      </w:r>
      <w:r>
        <w:rPr>
          <w:rFonts w:ascii="Times New Roman" w:cs="Times New Roman" w:eastAsia="Times New Roman" w:hAnsi="Times New Roman"/>
          <w:sz w:val="20"/>
          <w:szCs w:val="20"/>
          <w:color w:val="auto"/>
        </w:rPr>
        <w:t>The following table presents the percentages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operating cost financial statement line items in relation to Restaurant sales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0" w:type="dxa"/>
            <w:vAlign w:val="bottom"/>
          </w:tcPr>
          <w:p>
            <w:pPr>
              <w:spacing w:after="0"/>
              <w:rPr>
                <w:sz w:val="16"/>
                <w:szCs w:val="16"/>
                <w:color w:val="auto"/>
              </w:rPr>
            </w:pPr>
          </w:p>
        </w:tc>
      </w:tr>
      <w:tr>
        <w:trPr>
          <w:trHeight w:val="30"/>
        </w:trPr>
        <w:tc>
          <w:tcPr>
            <w:tcW w:w="4120" w:type="dxa"/>
            <w:vAlign w:val="bottom"/>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4120" w:type="dxa"/>
            <w:vAlign w:val="bottom"/>
          </w:tcPr>
          <w:p>
            <w:pPr>
              <w:spacing w:after="0"/>
              <w:rPr>
                <w:sz w:val="18"/>
                <w:szCs w:val="18"/>
                <w:color w:val="auto"/>
              </w:rPr>
            </w:pPr>
          </w:p>
        </w:tc>
        <w:tc>
          <w:tcPr>
            <w:tcW w:w="36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200" w:type="dxa"/>
            <w:vAlign w:val="bottom"/>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88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ADJUSTED (1)</w:t>
            </w:r>
          </w:p>
        </w:tc>
        <w:tc>
          <w:tcPr>
            <w:tcW w:w="120" w:type="dxa"/>
            <w:vAlign w:val="bottom"/>
          </w:tcPr>
          <w:p>
            <w:pPr>
              <w:spacing w:after="0"/>
              <w:rPr>
                <w:sz w:val="18"/>
                <w:szCs w:val="18"/>
                <w:color w:val="auto"/>
              </w:rPr>
            </w:pPr>
          </w:p>
        </w:tc>
        <w:tc>
          <w:tcPr>
            <w:tcW w:w="232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7"/>
        </w:trPr>
        <w:tc>
          <w:tcPr>
            <w:tcW w:w="4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56"/>
        </w:trPr>
        <w:tc>
          <w:tcPr>
            <w:tcW w:w="4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78"/>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jc w:val="both"/>
        <w:ind w:left="660" w:hanging="652"/>
        <w:spacing w:after="0" w:line="267"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the restaurant-level operating margin adjustments. All restaurant-level operating margin adjustments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presented were recorded within Labor and other related expense.</w:t>
      </w:r>
    </w:p>
    <w:p>
      <w:pPr>
        <w:spacing w:after="0" w:line="18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Income from Operations Non-GAAP Reconciliations </w:t>
      </w:r>
      <w:r>
        <w:rPr>
          <w:rFonts w:ascii="Times New Roman" w:cs="Times New Roman" w:eastAsia="Times New Roman" w:hAnsi="Times New Roman"/>
          <w:sz w:val="20"/>
          <w:szCs w:val="20"/>
          <w:color w:val="auto"/>
        </w:rPr>
        <w:t>- The following table reconciles Income from operations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corresponding margin to adjusted income from operations and the corresponding margin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8"/>
                <w:szCs w:val="18"/>
                <w:color w:val="auto"/>
              </w:rPr>
            </w:pPr>
          </w:p>
        </w:tc>
        <w:tc>
          <w:tcPr>
            <w:tcW w:w="15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77,093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120,633</w:t>
            </w:r>
          </w:p>
        </w:tc>
        <w:tc>
          <w:tcPr>
            <w:tcW w:w="0" w:type="dxa"/>
            <w:vAlign w:val="bottom"/>
          </w:tcPr>
          <w:p>
            <w:pPr>
              <w:spacing w:after="0"/>
              <w:rPr>
                <w:sz w:val="1"/>
                <w:szCs w:val="1"/>
                <w:color w:val="auto"/>
              </w:rPr>
            </w:pPr>
          </w:p>
        </w:tc>
      </w:tr>
      <w:tr>
        <w:trPr>
          <w:trHeight w:val="214"/>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16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(2)</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12,521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12,955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90,048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120,633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9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4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the restaurant-level operating income adjustments.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asset impairment, closure costs and severance in connection with the 2023 Closure Initiative.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Adjusted Net Income and Adjusted Diluted Earnings Per Share Non-GAAP Reconciliations </w:t>
      </w:r>
      <w:r>
        <w:rPr>
          <w:rFonts w:ascii="Times New Roman" w:cs="Times New Roman" w:eastAsia="Times New Roman" w:hAnsi="Times New Roman"/>
          <w:sz w:val="20"/>
          <w:szCs w:val="20"/>
          <w:color w:val="auto"/>
        </w:rPr>
        <w:t>- The following table reconciles Net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attributable to Bloomin’ Brands to adjusted net income and adjusted diluted earnings per share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7"/>
                <w:szCs w:val="17"/>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Bloomin’ Brands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 (2)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 to provision for income taxes (3)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 (4)</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(4)</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91,055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93,180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Adjusted Income from Operations Non-GAAP Reconciliations</w:t>
      </w:r>
      <w:r>
        <w:rPr>
          <w:rFonts w:ascii="Times New Roman" w:cs="Times New Roman" w:eastAsia="Times New Roman" w:hAnsi="Times New Roman"/>
          <w:sz w:val="16"/>
          <w:szCs w:val="16"/>
          <w:color w:val="auto"/>
        </w:rPr>
        <w:t xml:space="preserve"> table above for details regarding Income from operations adjustments.</w:t>
      </w:r>
    </w:p>
    <w:p>
      <w:pPr>
        <w:spacing w:after="0" w:line="5"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losses in connection with the 2025 Notes Partial Repurchase. See Note 9 -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of the Notes to Consolidated Financial Statements for additional details.</w:t>
      </w:r>
    </w:p>
    <w:p>
      <w:pPr>
        <w:jc w:val="both"/>
        <w:ind w:left="660" w:hanging="652"/>
        <w:spacing w:after="0" w:line="252"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tax effects of non-GAAP adjustments determined based on the nature of the underlying non-GAAP adjustments and their relevant jurisdictional tax rates for all periods presented. The primary difference between GAAP and adjusted effective income tax rates relates to certain non-deductible losses and other tax costs associated with the 2025 Notes Partial Repurchase.</w:t>
      </w: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GAAP net loss, antidilutive securities are excluded from diluted weighted average common shares outstanding for the thirteen weeks ended March 31, 2024. However, considering the adjusted net income position, adjusted diluted weighted average common shares outstanding incorporates 4,031 dilutive securities, including 3,132 for outstanding warrants. Adjusted diluted weighted average common shares outstanding was calculated including the benefit of our convertible notes hedge.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sales for off-premises only kitchens in South Korea.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March 31, 2024, we had $131.7 million in cash and cash equivalents, of which $57.5 million was held by foreign affiliates. The international jurisdictions in which we have significant cash do not have any known restrictions that would prohibit repatriation.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2024, we had aggregate undistributed foreign earnings of approximately $46.7 million that may be repatriated to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additional material U.S. federal income tax. These amounts are not considered indefinitely reinvested in our foreign subsidiaries.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Borrowing Capacity and Debt Service</w:t>
      </w:r>
    </w:p>
    <w:p>
      <w:pPr>
        <w:spacing w:after="0" w:line="2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Following is a summary of our outstanding credit facilities as of the dates indicated and principal payments and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during the period indicated:</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SENIOR SECURED CREDIT</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FACILITY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ind w:right="101"/>
              <w:spacing w:after="0" w:line="154"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20" w:type="dxa"/>
            <w:vAlign w:val="bottom"/>
          </w:tcPr>
          <w:p>
            <w:pPr>
              <w:spacing w:after="0"/>
              <w:rPr>
                <w:sz w:val="13"/>
                <w:szCs w:val="13"/>
                <w:color w:val="auto"/>
              </w:rPr>
            </w:pPr>
          </w:p>
        </w:tc>
        <w:tc>
          <w:tcPr>
            <w:tcW w:w="1280" w:type="dxa"/>
            <w:vAlign w:val="bottom"/>
          </w:tcPr>
          <w:p>
            <w:pPr>
              <w:jc w:val="right"/>
              <w:ind w:right="82"/>
              <w:spacing w:after="0" w:line="154" w:lineRule="exact"/>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207"/>
        </w:trPr>
        <w:tc>
          <w:tcPr>
            <w:tcW w:w="4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FACILITY</w:t>
            </w:r>
          </w:p>
        </w:tc>
        <w:tc>
          <w:tcPr>
            <w:tcW w:w="2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381,000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new debt</w:t>
            </w:r>
          </w:p>
        </w:tc>
        <w:tc>
          <w:tcPr>
            <w:tcW w:w="180" w:type="dxa"/>
            <w:vAlign w:val="bottom"/>
          </w:tcPr>
          <w:p>
            <w:pPr>
              <w:spacing w:after="0"/>
              <w:rPr>
                <w:sz w:val="18"/>
                <w:szCs w:val="18"/>
                <w:color w:val="auto"/>
              </w:rPr>
            </w:pPr>
          </w:p>
        </w:tc>
        <w:tc>
          <w:tcPr>
            <w:tcW w:w="18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 payments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(296,000)</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conversions</w:t>
            </w:r>
          </w:p>
        </w:tc>
        <w:tc>
          <w:tcPr>
            <w:tcW w:w="18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0" w:type="dxa"/>
            <w:vAlign w:val="bottom"/>
          </w:tcPr>
          <w:p>
            <w:pPr>
              <w:spacing w:after="0"/>
              <w:rPr>
                <w:sz w:val="1"/>
                <w:szCs w:val="1"/>
                <w:color w:val="auto"/>
              </w:rPr>
            </w:pPr>
          </w:p>
        </w:tc>
      </w:tr>
      <w:tr>
        <w:trPr>
          <w:trHeight w:val="24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635,000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955,724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rates, as of March 31, 2024 (1)</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maturity date</w:t>
            </w:r>
          </w:p>
        </w:tc>
        <w:tc>
          <w:tcPr>
            <w:tcW w:w="180" w:type="dxa"/>
            <w:vAlign w:val="bottom"/>
          </w:tcPr>
          <w:p>
            <w:pPr>
              <w:spacing w:after="0"/>
              <w:rPr>
                <w:sz w:val="18"/>
                <w:szCs w:val="18"/>
                <w:color w:val="auto"/>
              </w:rPr>
            </w:pPr>
          </w:p>
        </w:tc>
        <w:tc>
          <w:tcPr>
            <w:tcW w:w="19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April 2026</w:t>
            </w:r>
          </w:p>
        </w:tc>
        <w:tc>
          <w:tcPr>
            <w:tcW w:w="20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May 2025</w:t>
            </w:r>
          </w:p>
        </w:tc>
        <w:tc>
          <w:tcPr>
            <w:tcW w:w="200" w:type="dxa"/>
            <w:vAlign w:val="bottom"/>
          </w:tcPr>
          <w:p>
            <w:pPr>
              <w:spacing w:after="0"/>
              <w:rPr>
                <w:sz w:val="18"/>
                <w:szCs w:val="18"/>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April 2029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for revolving credit facility represents the weighted average interest rate as of March 31, 2024.</w:t>
      </w:r>
    </w:p>
    <w:p>
      <w:pPr>
        <w:spacing w:after="0" w:line="200" w:lineRule="exact"/>
        <w:rPr>
          <w:rFonts w:ascii="Times New Roman" w:cs="Times New Roman" w:eastAsia="Times New Roman" w:hAnsi="Times New Roman"/>
          <w:sz w:val="16"/>
          <w:szCs w:val="16"/>
          <w:color w:val="auto"/>
        </w:rPr>
      </w:pPr>
    </w:p>
    <w:p>
      <w:pPr>
        <w:spacing w:after="0" w:line="38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of March 31, 2024, we had $346.7 million in available unused borrowing capacity under our revolving credit facility, net of letters of credit of $18.3 million.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12 - </w:t>
      </w: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xml:space="preserve"> in our Annual Report on Form 10-K for the year ended December 31, 2023 for further information.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March 31, 2024 and December 31, 2023, we were in compliance with our debt covenants. We believe that we will remain in compliance with our debt covenants during the next 12 months and beyond.</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2025 Notes Partial Repurchase </w:t>
      </w:r>
      <w:r>
        <w:rPr>
          <w:rFonts w:ascii="Times New Roman" w:cs="Times New Roman" w:eastAsia="Times New Roman" w:hAnsi="Times New Roman"/>
          <w:sz w:val="20"/>
          <w:szCs w:val="20"/>
          <w:color w:val="auto"/>
        </w:rPr>
        <w:t>- On February 29, 2024, we and the Noteholders entered into the Exchange Agreements in which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Noteholders agreed to exchange $83.6 million in aggregate principal amount of our outstanding 2025 Notes for approximately 7.5 million shares of our common stock and $3.3 million in cash, including accrued interest.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auto"/>
        </w:rPr>
        <w:t>- In connection with the 2025 Notes Partial Repurchase, we entered into the Early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Termination Agreements with the Derivative Counterparties. Upon settlement, we received approximately $118.2 million in cash and 0.3 million shares of common stock from the Derivative Counterparties and paid $102.2 million in cash to the Derivative Counterparties during the thirteen weeks ended March 31, 2024.</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See Note 9 -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 for additional details regarding the 2025 Notes Partial Repurchase and related Early Termination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Cash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Cash flows generated from operating activities and availability under our revolving credit facility are our principal sources of liquidity, which we use for operating expenses, development of new restaurants, remodeling or relocating older restaurants, investments in technology, dividend payments and share repurchases.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$270 million to $290 million in 2024.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raw material constraints.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Dividends and Share Repurchases </w:t>
      </w:r>
      <w:r>
        <w:rPr>
          <w:rFonts w:ascii="Times New Roman" w:cs="Times New Roman" w:eastAsia="Times New Roman" w:hAnsi="Times New Roman"/>
          <w:sz w:val="20"/>
          <w:szCs w:val="20"/>
          <w:color w:val="auto"/>
        </w:rPr>
        <w:t>- In April 2024, our Board declared a quarterly cash dividend of $0.24 per share, payable on May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Future dividend payments are dependent on our earnings, financial condition, capital expenditure requirements, surplus and other factors that our Board considers relevant, as well as continued compliance with the financial covenants in our debt agreements.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February 2024, our Board canceled the remaining $57.5 million under our former share repurchase authorization and approved a new $350.0 million share repurchase authorization. The 2024 Share Repurchase Program includes capacity above our normal share repurchases activity to provide flexibility in retiring our 2025 Notes at or prior to their May 2025 maturity. The 2024 Share Repurchase Program will expire on August 13,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March 1, 2024, we entered into the ASR Agreement, in connection with our previously announced 2024 Share Repurchase Program, with Wells Fargo to repurchase $220.0 million of our common stock. Under the ASR Agreement, we made an aggregate payment of $220.0 million to Wells Fargo and received an aggregate initial delivery of approximately 6.5 million shares of common stock on March 4, 2024, representing approximately 80% of the total shares that are estimated to be repurchased under the ASR Agreement based on the price per share of common stock on that date. On April 23, 2024, we received 1.4 million additional shares of common stock from Wells Fargo in connection with the final settlement of the ASR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10 - </w:t>
      </w:r>
      <w:r>
        <w:rPr>
          <w:rFonts w:ascii="Times New Roman" w:cs="Times New Roman" w:eastAsia="Times New Roman" w:hAnsi="Times New Roman"/>
          <w:sz w:val="20"/>
          <w:szCs w:val="20"/>
          <w:i w:val="1"/>
          <w:iCs w:val="1"/>
          <w:color w:val="auto"/>
        </w:rPr>
        <w:t>Stockholders’ Equity</w:t>
      </w:r>
      <w:r>
        <w:rPr>
          <w:rFonts w:ascii="Times New Roman" w:cs="Times New Roman" w:eastAsia="Times New Roman" w:hAnsi="Times New Roman"/>
          <w:sz w:val="20"/>
          <w:szCs w:val="20"/>
          <w:color w:val="auto"/>
        </w:rPr>
        <w:t xml:space="preserve"> of the Notes to Consolidated Financial Statements for additional details regarding the ASR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2024, $130.0 million remained available for repurchase under the 2024 Share Repurchase Program.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dividends and share repurchases from fiscal year 2023 through March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60" w:type="dxa"/>
            <w:vAlign w:val="bottom"/>
          </w:tcPr>
          <w:p>
            <w:pPr>
              <w:spacing w:after="0"/>
              <w:rPr>
                <w:sz w:val="19"/>
                <w:szCs w:val="19"/>
                <w:color w:val="auto"/>
              </w:rPr>
            </w:pPr>
          </w:p>
        </w:tc>
        <w:tc>
          <w:tcPr>
            <w:tcW w:w="14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153,742</w:t>
            </w:r>
          </w:p>
        </w:tc>
      </w:tr>
      <w:tr>
        <w:trPr>
          <w:trHeight w:val="21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First fiscal quarter 2024</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209,575</w:t>
            </w:r>
          </w:p>
        </w:tc>
      </w:tr>
      <w:tr>
        <w:trPr>
          <w:trHeight w:val="241"/>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363,317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right="20" w:hanging="652"/>
        <w:spacing w:after="0" w:line="257" w:lineRule="auto"/>
        <w:tabs>
          <w:tab w:leader="none" w:pos="660" w:val="left"/>
        </w:tabs>
        <w:numPr>
          <w:ilvl w:val="0"/>
          <w:numId w:val="38"/>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Excludes $44.0 million paid in March 2024 for the repurchase of 1.4 million shares that settled on April 23, 2024 in connection with the ASR Agreement. Also excludes $0.4 million of fees recorded in Additional paid-in capital related to repurchases under the ASR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Cash Flows and Financial Condition</w:t>
      </w:r>
    </w:p>
    <w:p>
      <w:pPr>
        <w:spacing w:after="0" w:line="2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Cash Flows </w:t>
      </w:r>
      <w:r>
        <w:rPr>
          <w:rFonts w:ascii="Times New Roman" w:cs="Times New Roman" w:eastAsia="Times New Roman" w:hAnsi="Times New Roman"/>
          <w:sz w:val="20"/>
          <w:szCs w:val="20"/>
          <w:color w:val="auto"/>
        </w:rPr>
        <w:t>- The following table presents a summary of our cash flows provided by (used in) operating, investing and financing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periods indicated:</w:t>
      </w:r>
    </w:p>
    <w:p>
      <w:pPr>
        <w:spacing w:after="0" w:line="60"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ectPr>
          <w:pgSz w:w="11900" w:h="16838" w:orient="portrait"/>
          <w:cols w:equalWidth="0" w:num="1">
            <w:col w:w="11240"/>
          </w:cols>
          <w:pgMar w:left="320" w:top="118" w:right="339" w:bottom="1440" w:gutter="0" w:footer="0" w:header="0"/>
        </w:sectPr>
      </w:pP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26, 2023</w:t>
            </w: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73,786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189,668</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(62,945)</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(116,987)</w:t>
            </w:r>
          </w:p>
        </w:tc>
      </w:tr>
      <w:tr>
        <w:trPr>
          <w:trHeight w:val="229"/>
        </w:trPr>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w:t>
            </w:r>
          </w:p>
        </w:tc>
      </w:tr>
      <w:tr>
        <w:trPr>
          <w:trHeight w:val="23"/>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118" w:right="339" w:bottom="1440" w:gutter="0" w:footer="0" w:header="0"/>
          <w:type w:val="continuous"/>
        </w:sectPr>
      </w:pP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 The decrease in net cash provided by operating activities during the thirteen weeks ended March 31, 2024 as compared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thirteen weeks ended March 26, 2023 was primarily due to changes in working capital and lower net earnings.</w:t>
      </w:r>
    </w:p>
    <w:p>
      <w:pPr>
        <w:spacing w:after="0" w:line="1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Financing Activities - </w:t>
      </w:r>
      <w:r>
        <w:rPr>
          <w:rFonts w:ascii="Times New Roman" w:cs="Times New Roman" w:eastAsia="Times New Roman" w:hAnsi="Times New Roman"/>
          <w:sz w:val="20"/>
          <w:szCs w:val="20"/>
          <w:color w:val="auto"/>
        </w:rPr>
        <w:t>The net cash provided by financing activities during the thirteen weeks ended March 31, 2024 was due to net draws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revolving credit facility exceeding cash used to repurchase common stock and net cash received from the Early Termination Agreements. Net cash used in financing activities during thirteen weeks ended March 26, 2023 was primarily due to net repayments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Financial Condition </w:t>
      </w:r>
      <w:r>
        <w:rPr>
          <w:rFonts w:ascii="Times New Roman" w:cs="Times New Roman" w:eastAsia="Times New Roman" w:hAnsi="Times New Roman"/>
          <w:sz w:val="20"/>
          <w:szCs w:val="20"/>
          <w:color w:val="auto"/>
        </w:rPr>
        <w:t>- Following is a summary of our current assets, current liabilities and working capital (deficit) as of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center"/>
              <w:ind w:left="961"/>
              <w:spacing w:after="0"/>
              <w:rPr>
                <w:sz w:val="20"/>
                <w:szCs w:val="20"/>
                <w:color w:val="auto"/>
              </w:rPr>
            </w:pPr>
            <w:r>
              <w:rPr>
                <w:rFonts w:ascii="Times New Roman" w:cs="Times New Roman" w:eastAsia="Times New Roman" w:hAnsi="Times New Roman"/>
                <w:sz w:val="16"/>
                <w:szCs w:val="16"/>
                <w:color w:val="auto"/>
              </w:rPr>
              <w:t>298,172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961"/>
              <w:spacing w:after="0"/>
              <w:rPr>
                <w:sz w:val="20"/>
                <w:szCs w:val="20"/>
                <w:color w:val="auto"/>
              </w:rPr>
            </w:pPr>
            <w:r>
              <w:rPr>
                <w:rFonts w:ascii="Times New Roman" w:cs="Times New Roman" w:eastAsia="Times New Roman" w:hAnsi="Times New Roman"/>
                <w:sz w:val="16"/>
                <w:szCs w:val="16"/>
                <w:color w:val="auto"/>
              </w:rPr>
              <w:t>894,057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1,002,335</w:t>
            </w:r>
          </w:p>
        </w:tc>
      </w:tr>
      <w:tr>
        <w:trPr>
          <w:trHeight w:val="241"/>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Working capital (deficit)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color w:val="auto"/>
              </w:rPr>
              <w:t>(595,885)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(659,021)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$320.0 million and $381.9 million as of March 31, 2024 and December 31, 2023, respectively, and (ii) current operating lease liabilities of $171.2 million and $175.4 million as of March 31, 2024 and December 31, 2023,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For a description of recently issued Financial Accounting Standards that we adopted during the thirteen weeks ended March 31, 2024 and, that are applicable to us and likely to have material effect on our consolidated financial statements, but have not yet been adopted, see Note 1</w:t>
      </w:r>
    </w:p>
    <w:p>
      <w:pPr>
        <w:spacing w:after="0" w:line="2" w:lineRule="exact"/>
        <w:rPr>
          <w:sz w:val="20"/>
          <w:szCs w:val="20"/>
          <w:color w:val="auto"/>
        </w:rPr>
      </w:pPr>
    </w:p>
    <w:p>
      <w:pPr>
        <w:ind w:firstLine="8"/>
        <w:spacing w:after="0" w:line="267" w:lineRule="auto"/>
        <w:tabs>
          <w:tab w:leader="none" w:pos="11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Description of the Business and Basis of Presentation </w:t>
      </w:r>
      <w:r>
        <w:rPr>
          <w:rFonts w:ascii="Times New Roman" w:cs="Times New Roman" w:eastAsia="Times New Roman" w:hAnsi="Times New Roman"/>
          <w:sz w:val="20"/>
          <w:szCs w:val="20"/>
          <w:color w:val="auto"/>
        </w:rPr>
        <w:t>of the Notes to Consolidated Financial Statements of this Quarterly Report on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10-Q.</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exposed to market risk from changes in commodity prices, labor inflation and foreign currency exchange rates and interest rates. We believe that there have been no material changes in our market risk since December 31, 2023. See Part II, Item 7A., “Quantitative and Qualitative Disclosures about Market Risk,” in our Annual Report on Form 10-K for the year ended December 31, 2023 for further information regarding market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March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 13a-15(f) under the Exchange Act) during the thirteen weeks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15 -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of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other information discussed in this report, please consider the factors described in Part I, Item 1A., “Risk Factors,” in our 2023 Form 10-K which could materially affect our business, financial condition or future results. There have not been any material changes to the risk factors described in our 2023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In connection with the 2025 Notes Partial Repurchase, which is described in further detail within Note 9 -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the Consolidated Financial Statements, the Company delivered to the Noteholders an aggregate amount of 7,489,712 shares of common stock and $3.3 million in cash, including accrued interest, in exchange for $83.6 million in aggregate principal amount of the Company’s outstanding 2025 Notes. The 2025 Notes Partial Repurchase transaction closed on March 5, 2024.</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thirteen weeks ended March 31, 2024, certain holders of our 2025 Notes elected to convert $0.5 million in aggregate principal amount of 2025 Notes for a combination of $0.5 million in cash and 26,031 shares of common stock. In connection with this conversion, we exercised our rights under certain convertible note hedge transactions and received a proportionate amount of our common stock during the thirteen weeks ended March 31, 2024.</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shares of common stock issued in connection with the 2025 Notes Partial Repurchase were not registered under the Securities Act, and were issued in reliance on exemptions from the registration requirements thereof provided by Section 4(a)(2) of the Securities Act in transactions by an issuer not involving a public offering. The Company’s shares of common stock issued in connection with the 2025 Notes conversion were not registered under the Securities Act, and were issued in reliance on exemptions from the registration requirements thereof provided by Sections 4(a)(2) and 3(a)(9) of the Securities Act.</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There were no other sales of equity securities during the thirteen weeks ended March 31, 2024 that were not registered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The following table provides information regarding our purchases of common stock during the thirteen weeks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PERIOD</w:t>
            </w: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43"/>
              <w:spacing w:after="0" w:line="137"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7"/>
        </w:trPr>
        <w:tc>
          <w:tcPr>
            <w:tcW w:w="3900" w:type="dxa"/>
            <w:vAlign w:val="bottom"/>
            <w:gridSpan w:val="2"/>
            <w:vMerge w:val="continue"/>
          </w:tcPr>
          <w:p>
            <w:pPr>
              <w:spacing w:after="0"/>
              <w:rPr>
                <w:sz w:val="18"/>
                <w:szCs w:val="18"/>
                <w:color w:val="auto"/>
              </w:rPr>
            </w:pPr>
          </w:p>
        </w:tc>
        <w:tc>
          <w:tcPr>
            <w:tcW w:w="18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1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through January 28, 2024</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272,594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62,890,980</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29, 2024 through February 25,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Pr>
          <w:p>
            <w:pPr>
              <w:spacing w:after="0"/>
              <w:rPr>
                <w:sz w:val="18"/>
                <w:szCs w:val="18"/>
                <w:color w:val="auto"/>
              </w:rPr>
            </w:pPr>
          </w:p>
        </w:tc>
        <w:tc>
          <w:tcPr>
            <w:tcW w:w="1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199,967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57,500,724</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26, 2024 through March 31,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6,475,350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27.18</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6,475,350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130,000,000</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6,947,911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6,947,911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hanging="652"/>
        <w:spacing w:after="0" w:line="26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our Board cancelled the remaining $57.5 million under the former share repurchase authorization and approved a new share repurchase authorization of up to $350.0 million of our outstanding common stock as announced in our press release issued February 23, 2024 (the “2024 Share Repurchase Program”). The 2024 Share Repurchase Program will expire on August 13,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82"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2025. The remaining share repurchase authorization under the 2024 Share Repurchase Program as of March 31, 2024 gives effect to the full $220.0 million amount of our March 2024 accelerated share repurchase agreement, notwithstanding that final settlement occurred on April 23,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Rule 10b5-1 Trading Plans - </w:t>
      </w:r>
      <w:r>
        <w:rPr>
          <w:rFonts w:ascii="Times New Roman" w:cs="Times New Roman" w:eastAsia="Times New Roman" w:hAnsi="Times New Roman"/>
          <w:sz w:val="20"/>
          <w:szCs w:val="20"/>
          <w:color w:val="auto"/>
        </w:rPr>
        <w:t>During the thirteen weeks ended March 31, 2024, none of the Company’s directors or executive officers adopted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terminated any contract, instruction or written plan for the purchase or sale of Company securities that was intended to satisfy the affirmative defense conditions of Rule 10b5-1(c) or any “non-Rule 10b5-1 trading arrangement.”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40" w:type="dxa"/>
            <w:vAlign w:val="bottom"/>
            <w:gridSpan w:val="14"/>
            <w:vMerge w:val="restart"/>
          </w:tcPr>
          <w:p>
            <w:pPr>
              <w:ind w:left="142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37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gridSpan w:val="14"/>
            <w:vMerge w:val="continue"/>
          </w:tcPr>
          <w:p>
            <w:pPr>
              <w:spacing w:after="0"/>
              <w:rPr>
                <w:sz w:val="19"/>
                <w:szCs w:val="19"/>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300" w:type="dxa"/>
            <w:vAlign w:val="bottom"/>
            <w:tcBorders>
              <w:top w:val="single" w:sz="8" w:color="auto"/>
            </w:tcBorders>
            <w:gridSpan w:val="15"/>
          </w:tcPr>
          <w:p>
            <w:pPr>
              <w:spacing w:after="0"/>
              <w:rPr>
                <w:rFonts w:ascii="Times New Roman" w:cs="Times New Roman" w:eastAsia="Times New Roman" w:hAnsi="Times New Roman"/>
                <w:sz w:val="20"/>
                <w:szCs w:val="20"/>
                <w:color w:val="0000FF"/>
              </w:rPr>
            </w:pPr>
            <w:hyperlink r:id="rId64">
              <w:r>
                <w:rPr>
                  <w:rFonts w:ascii="Times New Roman" w:cs="Times New Roman" w:eastAsia="Times New Roman" w:hAnsi="Times New Roman"/>
                  <w:sz w:val="20"/>
                  <w:szCs w:val="20"/>
                  <w:color w:val="0000FF"/>
                </w:rPr>
                <w:t>Agreement, dated as of January 2, 2024, by and among Bloomin’ Brands,</w:t>
              </w:r>
            </w:hyperlink>
          </w:p>
        </w:tc>
        <w:tc>
          <w:tcPr>
            <w:tcW w:w="3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January 2, 2024, Form 8-K, Exhibit 10.1</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rPr>
            </w:pPr>
            <w:hyperlink r:id="rId64">
              <w:r>
                <w:rPr>
                  <w:rFonts w:ascii="Times New Roman" w:cs="Times New Roman" w:eastAsia="Times New Roman" w:hAnsi="Times New Roman"/>
                  <w:sz w:val="20"/>
                  <w:szCs w:val="20"/>
                  <w:color w:val="0000FF"/>
                </w:rPr>
                <w:t>Inc, Starboard Value LP and other parties set forth on the signature pages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7"/>
              </w:rPr>
            </w:pPr>
            <w:hyperlink r:id="rId64">
              <w:r>
                <w:rPr>
                  <w:rFonts w:ascii="Times New Roman" w:cs="Times New Roman" w:eastAsia="Times New Roman" w:hAnsi="Times New Roman"/>
                  <w:sz w:val="20"/>
                  <w:szCs w:val="20"/>
                  <w:color w:val="0000FF"/>
                  <w:w w:val="97"/>
                </w:rPr>
                <w:t>thereto</w:t>
              </w:r>
            </w:hyperlink>
          </w:p>
        </w:tc>
        <w:tc>
          <w:tcPr>
            <w:tcW w:w="562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Form of Accelerated Share Repurchase Confirmation</w:t>
            </w:r>
          </w:p>
        </w:tc>
        <w:tc>
          <w:tcPr>
            <w:tcW w:w="2060" w:type="dxa"/>
            <w:vAlign w:val="bottom"/>
            <w:gridSpan w:val="10"/>
          </w:tcPr>
          <w:p>
            <w:pPr>
              <w:spacing w:after="0"/>
              <w:rPr>
                <w:sz w:val="24"/>
                <w:szCs w:val="24"/>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Form of Exchange Agreement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Employment Offer Letter Agreement, dated as of April 3, 2024, between</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20"/>
                <w:szCs w:val="20"/>
                <w:color w:val="0000FF"/>
                <w:w w:val="98"/>
              </w:rPr>
              <w:t>Bloomin’ Brands, Inc. and Michael Healy</w:t>
            </w:r>
          </w:p>
        </w:tc>
        <w:tc>
          <w:tcPr>
            <w:tcW w:w="2820" w:type="dxa"/>
            <w:vAlign w:val="bottom"/>
            <w:tcBorders>
              <w:top w:val="single" w:sz="8" w:color="0000FF"/>
            </w:tcBorders>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Section 302 of the</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FF"/>
                <w:w w:val="98"/>
              </w:rPr>
              <w:t>Sarbanes-Oxley Act of 2002</w:t>
            </w:r>
          </w:p>
        </w:tc>
        <w:tc>
          <w:tcPr>
            <w:tcW w:w="40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Section 302 of the</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FF"/>
                <w:w w:val="98"/>
              </w:rPr>
              <w:t>Sarbanes-Oxley Act of 2002</w:t>
            </w:r>
          </w:p>
        </w:tc>
        <w:tc>
          <w:tcPr>
            <w:tcW w:w="396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18 U.S.C. Section 1350,</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tcBorders>
              <w:top w:val="single" w:sz="8" w:color="0000FF"/>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FF"/>
                <w:w w:val="98"/>
              </w:rPr>
              <w:t>as adopted pursuant to Section 906 of the Sarbanes-Oxley Act of 2002 (1)</w:t>
            </w:r>
          </w:p>
        </w:tc>
        <w:tc>
          <w:tcPr>
            <w:tcW w:w="4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20"/>
                <w:szCs w:val="20"/>
                <w:color w:val="0000FF"/>
              </w:rPr>
              <w:t>as adopted pursuant to Section 906 of the Sarbanes-Oxley Act of 2002 (1)</w:t>
            </w:r>
          </w:p>
        </w:tc>
        <w:tc>
          <w:tcPr>
            <w:tcW w:w="60" w:type="dxa"/>
            <w:vAlign w:val="bottom"/>
            <w:gridSpan w:val="3"/>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440" w:type="dxa"/>
            <w:vAlign w:val="bottom"/>
            <w:gridSpan w:val="9"/>
          </w:tcPr>
          <w:p>
            <w:pPr>
              <w:spacing w:after="0"/>
              <w:rPr>
                <w:sz w:val="24"/>
                <w:szCs w:val="24"/>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5"/>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Exhibit 101)</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 required to be filed as an exhibit.</w:t>
      </w:r>
    </w:p>
    <w:p>
      <w:pPr>
        <w:spacing w:after="0" w:line="243" w:lineRule="exact"/>
        <w:rPr>
          <w:sz w:val="20"/>
          <w:szCs w:val="20"/>
          <w:color w:val="auto"/>
        </w:rPr>
      </w:pPr>
    </w:p>
    <w:p>
      <w:pPr>
        <w:jc w:val="both"/>
        <w:ind w:left="20" w:right="20" w:firstLine="6"/>
        <w:spacing w:after="0" w:line="230" w:lineRule="auto"/>
        <w:tabs>
          <w:tab w:leader="none" w:pos="30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20"/>
        <w:spacing w:after="0"/>
        <w:tabs>
          <w:tab w:leader="none" w:pos="660" w:val="left"/>
          <w:tab w:leader="none" w:pos="4640" w:val="left"/>
        </w:tabs>
        <w:rPr>
          <w:sz w:val="20"/>
          <w:szCs w:val="20"/>
          <w:color w:val="auto"/>
        </w:rPr>
      </w:pPr>
      <w:r>
        <w:rPr>
          <w:rFonts w:ascii="Times New Roman" w:cs="Times New Roman" w:eastAsia="Times New Roman" w:hAnsi="Times New Roman"/>
          <w:sz w:val="20"/>
          <w:szCs w:val="20"/>
          <w:color w:val="auto"/>
        </w:rPr>
        <w:t>Date:</w:t>
        <w:tab/>
        <w:t>May 8, 2024</w:t>
      </w:r>
      <w:r>
        <w:rPr>
          <w:sz w:val="20"/>
          <w:szCs w:val="20"/>
          <w:color w:val="auto"/>
        </w:rPr>
        <w:tab/>
      </w:r>
      <w:r>
        <w:rPr>
          <w:rFonts w:ascii="Times New Roman" w:cs="Times New Roman" w:eastAsia="Times New Roman" w:hAnsi="Times New Roman"/>
          <w:sz w:val="19"/>
          <w:szCs w:val="19"/>
          <w:color w:val="auto"/>
        </w:rPr>
        <w:t>BLOOMIN’ BRANDS, INC.</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(Registrant)</w:t>
      </w:r>
    </w:p>
    <w:p>
      <w:pPr>
        <w:spacing w:after="0" w:line="1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 /s/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22860</wp:posOffset>
            </wp:positionV>
            <wp:extent cx="41662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Philip Pace</w:t>
      </w:r>
    </w:p>
    <w:p>
      <w:pPr>
        <w:ind w:left="5140"/>
        <w:spacing w:after="0" w:line="211" w:lineRule="auto"/>
        <w:rPr>
          <w:sz w:val="20"/>
          <w:szCs w:val="20"/>
          <w:color w:val="auto"/>
        </w:rPr>
      </w:pPr>
      <w:r>
        <w:rPr>
          <w:rFonts w:ascii="Times New Roman" w:cs="Times New Roman" w:eastAsia="Times New Roman" w:hAnsi="Times New Roman"/>
          <w:sz w:val="20"/>
          <w:szCs w:val="20"/>
          <w:color w:val="auto"/>
        </w:rPr>
        <w:t>Senior Vice President, Chief Accounting Officer</w:t>
      </w:r>
    </w:p>
    <w:p>
      <w:pPr>
        <w:ind w:left="514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10001-2170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93" w:lineRule="exact"/>
        <w:rPr>
          <w:sz w:val="20"/>
          <w:szCs w:val="20"/>
          <w:color w:val="auto"/>
        </w:rPr>
      </w:pPr>
    </w:p>
    <w:p>
      <w:pPr>
        <w:sectPr>
          <w:pgSz w:w="11900" w:h="16838" w:orient="portrait"/>
          <w:cols w:equalWidth="0" w:num="2">
            <w:col w:w="460" w:space="500"/>
            <w:col w:w="10280"/>
          </w:cols>
          <w:pgMar w:left="320" w:top="117" w:right="339" w:bottom="1440" w:gutter="0" w:footer="0" w:header="0"/>
          <w:type w:val="continuous"/>
        </w:sectPr>
      </w:pPr>
    </w:p>
    <w:p>
      <w:pPr>
        <w:ind w:left="10160"/>
        <w:spacing w:after="0"/>
        <w:rPr>
          <w:sz w:val="20"/>
          <w:szCs w:val="20"/>
          <w:color w:val="auto"/>
        </w:rPr>
      </w:pPr>
      <w:r>
        <w:rPr>
          <w:rFonts w:ascii="Times New Roman" w:cs="Times New Roman" w:eastAsia="Times New Roman" w:hAnsi="Times New Roman"/>
          <w:sz w:val="18"/>
          <w:szCs w:val="18"/>
          <w:color w:val="auto"/>
        </w:rPr>
        <w:t>March 1, 2024</w:t>
      </w:r>
    </w:p>
    <w:p>
      <w:pPr>
        <w:sectPr>
          <w:pgSz w:w="11900" w:h="16838" w:orient="portrait"/>
          <w:cols w:equalWidth="0" w:num="1">
            <w:col w:w="11240"/>
          </w:cols>
          <w:pgMar w:left="320" w:top="117" w:right="339" w:bottom="1440" w:gutter="0" w:footer="0" w:header="0"/>
          <w:type w:val="continuous"/>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Bloomin’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2202 North West Shore Blvd., Suite 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Jamieson Bump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00" w:lineRule="exact"/>
        <w:rPr>
          <w:sz w:val="20"/>
          <w:szCs w:val="20"/>
          <w:color w:val="auto"/>
        </w:rPr>
      </w:pPr>
    </w:p>
    <w:p>
      <w:pPr>
        <w:sectPr>
          <w:pgSz w:w="11900" w:h="16838" w:orient="portrait"/>
          <w:cols w:equalWidth="0" w:num="2">
            <w:col w:w="260" w:space="700"/>
            <w:col w:w="10280"/>
          </w:cols>
          <w:pgMar w:left="320" w:top="117" w:right="339" w:bottom="1440" w:gutter="0" w:footer="0" w:header="0"/>
          <w:type w:val="continuous"/>
        </w:sectPr>
      </w:pPr>
    </w:p>
    <w:p>
      <w:pPr>
        <w:spacing w:after="0" w:line="15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Re:</w:t>
        <w:tab/>
        <w:t>Master Confirmation—Uncollared Accelerated Share Repurchase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master confirmation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dated as of March 1, 2024, is intended to set forth certain terms and provisions of certain Transactions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entered into from time to time between Wells Fargo Bank, National Association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Bloomin’ Brands, Inc., a Delaware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Master Confirmation, taken alone, is neither a commitment by either party to enter into any Transaction nor evidence of a Transaction. The additional terms of any particular Transaction shall be set forth in a Supplemental Confirmation in the form of Schedule A hereto (a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which shall reference this Master Confirmation and supplement, form a part of, and be subject to this Master Confirmation. This Master Confirmation and each Supplemental Confirmation together shall constitute a “Confirmation” as referred to in the Agreement specified below.</w:t>
      </w:r>
    </w:p>
    <w:p>
      <w:pPr>
        <w:spacing w:after="0" w:line="14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are incorporated into this Master Confirmation. This Master Confirmation and each Supplemental Confirmation evidence a complete binding agreement between Counterparty and Dealer as to the subject matter and terms of each Transaction to which this Master Confirmation and such Supplemental Confirmation relate and shall supersede all prior or contemporaneous written or oral communications with respect thereto.</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Master Confirmation and each Supplemental Confirmation supplement, form a part of, and are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the Agreement on the date of this Master Confirmation, without any Schedule, but with the elections set forth in this Master Confirmation, including:</w:t>
      </w:r>
    </w:p>
    <w:p>
      <w:pPr>
        <w:spacing w:after="0" w:line="135"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New York law as the governing law (without reference to its choice of law provisions).</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that subparagraph (ii) of Section 2(c) will not apply to the Transactions.</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that the “Cross Default” provisions of Section 5(a)(vi) of the Agreement shall apply to Dealer, with a “Threshold Amount” of 3% of shareholders’ equity for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phrase “, or becoming capable at such time of being declared,” shall be deleted from clause (1) of such Section 5(a)(vi) of the Agreement, (b) “Specified Indebtedness” shall have the meaning specified in Section 14 of the Agreement, except that such term shall not include obligations in respect of deposits received in the ordinary course of Dealer’s banking business and (c) the following sentence shall be added to the end thereof: “Notwithstanding the foregoing, an Event of Default shall not occur under either (1) or (2) above if (a) the event or condition referred to in (1) or the failure to pay referred to in (2) is caused by an error or omission of an administrative or operational nature, (b) funds were available to Dealer to enable it to make the relevant payment when due, and (c) such payment is made within three Local Business Days after notice of such failure is given by Counterparty.”).</w:t>
      </w:r>
    </w:p>
    <w:p>
      <w:pPr>
        <w:spacing w:after="0" w:line="15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3(f) of the Agreement, Dealer makes the following representation:</w:t>
      </w:r>
    </w:p>
    <w:p>
      <w:pPr>
        <w:sectPr>
          <w:pgSz w:w="11900" w:h="16838" w:orient="portrait"/>
          <w:cols w:equalWidth="0" w:num="1">
            <w:col w:w="11240"/>
          </w:cols>
          <w:pgMar w:left="320" w:top="117" w:right="339" w:bottom="1440" w:gutter="0" w:footer="0" w:header="0"/>
          <w:type w:val="continuous"/>
        </w:sectPr>
      </w:pPr>
    </w:p>
    <w:bookmarkStart w:id="43" w:name="page44"/>
    <w:bookmarkEnd w:id="43"/>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It is a national banking association organized or formed under the laws of the United States and is a United States resident for United States federal income tax purposes.</w:t>
      </w:r>
    </w:p>
    <w:p>
      <w:pPr>
        <w:spacing w:after="0" w:line="121" w:lineRule="exact"/>
        <w:rPr>
          <w:sz w:val="20"/>
          <w:szCs w:val="20"/>
          <w:color w:val="auto"/>
        </w:rPr>
      </w:pPr>
    </w:p>
    <w:p>
      <w:pPr>
        <w:ind w:left="1300" w:right="2300" w:firstLine="4"/>
        <w:spacing w:after="0" w:line="488" w:lineRule="auto"/>
        <w:tabs>
          <w:tab w:leader="none" w:pos="193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Section 3(f) of the Agreement, Counterparty makes the following representation: It is a U.S. person, and it is a corporation organized under the laws of the State of Delaware.</w:t>
      </w:r>
    </w:p>
    <w:p>
      <w:pPr>
        <w:spacing w:after="0" w:line="1" w:lineRule="exact"/>
        <w:rPr>
          <w:rFonts w:ascii="Times New Roman" w:cs="Times New Roman" w:eastAsia="Times New Roman" w:hAnsi="Times New Roman"/>
          <w:sz w:val="17"/>
          <w:szCs w:val="17"/>
          <w:color w:val="auto"/>
        </w:rPr>
      </w:pPr>
    </w:p>
    <w:p>
      <w:pPr>
        <w:jc w:val="both"/>
        <w:ind w:left="660" w:firstLine="644"/>
        <w:spacing w:after="0" w:line="266" w:lineRule="auto"/>
        <w:tabs>
          <w:tab w:leader="none" w:pos="19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to deliver a complete and accurate United States Internal Revenue Service Form W-9 to Dealer (x) upon execution of this Agreement, (y) promptly upon reasonable demand by Dealer and (z) promptly upon learning that the previously delivered form has become obsolete or incorrect.</w:t>
      </w:r>
    </w:p>
    <w:p>
      <w:pPr>
        <w:spacing w:after="0" w:line="13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agrees to deliver a complete and accurate United States Internal Revenue Service Form W-9 to Counterparty (x) upon execution of this Agreement, (y) promptly upon reasonable demand by Counterparty and (z) promptly upon learning that the previously delivered form has become obsolete or incorrect.</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Transactions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shall not be considered Transactions under, or otherwise governed by, such existing or deemed ISDA Master Agreement, and the occurrence of any Event of Default or Termination Event under the Agreement with respect to either party or any Transaction shall not, by itself, give rise to any right or obligation under any such other agreement or deemed agreement. Notwithstanding anything to the contrary in any other agreement between the parties or their Affiliates, the Transactions shall not be “Specified Transactions” (or similarly treated) under any other agreement between the parties or their Affiliates.</w:t>
      </w:r>
    </w:p>
    <w:p>
      <w:pPr>
        <w:spacing w:after="0" w:line="1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provisions contained or incorporated by reference in the Agreement shall govern this Master Confirmation and each Supplemental Confirmation except as expressly modified herein or in the related Supplemental Confirmation.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in relation to any Transaction to which this Master Confirmation and a Supplemental Confirmation relate, there is any inconsistency between the Agreement, this Master Confirmation, such Supplemental Confirmation and the Equity Definitions, the following will prevail for purposes of such Transaction in the order of precedence indicated: (i) such Supplemental Confirmation; (ii) this Master Confirmation; (iii) the Equity Definitions; and (iv) the Agreement.</w:t>
      </w:r>
    </w:p>
    <w:p>
      <w:pPr>
        <w:spacing w:after="0" w:line="153" w:lineRule="exact"/>
        <w:rPr>
          <w:sz w:val="20"/>
          <w:szCs w:val="20"/>
          <w:color w:val="auto"/>
        </w:rPr>
      </w:pPr>
    </w:p>
    <w:p>
      <w:pPr>
        <w:ind w:firstLine="8"/>
        <w:spacing w:after="0" w:line="282" w:lineRule="auto"/>
        <w:tabs>
          <w:tab w:leader="none" w:pos="6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Transaction constitutes a Share Forward Transaction for the purposes of the Equity Definitions. Set forth below are the terms and conditions that, together with the terms and conditions set forth in the Supplemental Confirmation relating to any Transaction, shall govern such Transaction.</w:t>
      </w:r>
    </w:p>
    <w:p>
      <w:pPr>
        <w:sectPr>
          <w:pgSz w:w="11900" w:h="16838" w:orient="portrait"/>
          <w:cols w:equalWidth="0" w:num="1">
            <w:col w:w="11240"/>
          </w:cols>
          <w:pgMar w:left="320" w:top="1309" w:right="33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General Terms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Trade Date:</w:t>
      </w:r>
    </w:p>
    <w:p>
      <w:pPr>
        <w:spacing w:after="0" w:line="200" w:lineRule="exact"/>
        <w:rPr>
          <w:sz w:val="20"/>
          <w:szCs w:val="20"/>
          <w:color w:val="auto"/>
        </w:rPr>
      </w:pP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Buyer:</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Seller:</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Counterparty, par value</w:t>
      </w:r>
    </w:p>
    <w:p>
      <w:pPr>
        <w:spacing w:after="0" w:line="27" w:lineRule="exact"/>
        <w:rPr>
          <w:sz w:val="20"/>
          <w:szCs w:val="20"/>
          <w:color w:val="auto"/>
        </w:rPr>
      </w:pPr>
    </w:p>
    <w:p>
      <w:pPr>
        <w:spacing w:after="0"/>
        <w:tabs>
          <w:tab w:leader="none" w:pos="520" w:val="left"/>
          <w:tab w:leader="none" w:pos="820" w:val="left"/>
          <w:tab w:leader="none" w:pos="1180" w:val="left"/>
          <w:tab w:leader="none" w:pos="1580" w:val="left"/>
          <w:tab w:leader="none" w:pos="2140" w:val="left"/>
          <w:tab w:leader="none" w:pos="3080" w:val="left"/>
        </w:tabs>
        <w:rPr>
          <w:sz w:val="20"/>
          <w:szCs w:val="20"/>
          <w:color w:val="auto"/>
        </w:rPr>
      </w:pPr>
      <w:r>
        <w:rPr>
          <w:rFonts w:ascii="Times New Roman" w:cs="Times New Roman" w:eastAsia="Times New Roman" w:hAnsi="Times New Roman"/>
          <w:sz w:val="18"/>
          <w:szCs w:val="18"/>
          <w:color w:val="auto"/>
        </w:rPr>
        <w:t>USD</w:t>
        <w:tab/>
        <w:t>0.</w:t>
        <w:tab/>
        <w:t>01</w:t>
        <w:tab/>
        <w:t>per</w:t>
        <w:tab/>
        <w:t>share</w:t>
        <w:tab/>
        <w:t>(Exchange</w:t>
        <w:tab/>
        <w:t>symbol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“BLMN”)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800" w:space="720"/>
            <w:col w:w="7720"/>
          </w:cols>
          <w:pgMar w:left="320" w:top="1309" w:right="339" w:bottom="1440" w:gutter="0" w:footer="0" w:header="0"/>
          <w:type w:val="continuous"/>
        </w:sectPr>
      </w:pPr>
    </w:p>
    <w:p>
      <w:pPr>
        <w:spacing w:after="0" w:line="101" w:lineRule="exact"/>
        <w:rPr>
          <w:sz w:val="20"/>
          <w:szCs w:val="20"/>
          <w:color w:val="auto"/>
        </w:rPr>
      </w:pPr>
    </w:p>
    <w:p>
      <w:pPr>
        <w:jc w:val="both"/>
        <w:ind w:left="1000"/>
        <w:spacing w:after="0"/>
        <w:tabs>
          <w:tab w:leader="none" w:pos="3500" w:val="left"/>
        </w:tabs>
        <w:rPr>
          <w:sz w:val="20"/>
          <w:szCs w:val="20"/>
          <w:color w:val="auto"/>
        </w:rPr>
      </w:pPr>
      <w:r>
        <w:rPr>
          <w:rFonts w:ascii="Times New Roman" w:cs="Times New Roman" w:eastAsia="Times New Roman" w:hAnsi="Times New Roman"/>
          <w:sz w:val="18"/>
          <w:szCs w:val="18"/>
          <w:color w:val="auto"/>
        </w:rPr>
        <w:t>Exchange:</w:t>
      </w:r>
      <w:r>
        <w:rPr>
          <w:sz w:val="20"/>
          <w:szCs w:val="20"/>
          <w:color w:val="auto"/>
        </w:rPr>
        <w:tab/>
      </w:r>
      <w:r>
        <w:rPr>
          <w:rFonts w:ascii="Times New Roman" w:cs="Times New Roman" w:eastAsia="Times New Roman" w:hAnsi="Times New Roman"/>
          <w:sz w:val="18"/>
          <w:szCs w:val="18"/>
          <w:color w:val="auto"/>
        </w:rPr>
        <w:t>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type w:val="continuous"/>
        </w:sectPr>
      </w:pPr>
    </w:p>
    <w:bookmarkStart w:id="44" w:name="page45"/>
    <w:bookmarkEnd w:id="44"/>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Related Exchange(s):</w:t>
            </w: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Equity Definitions shall be amended to add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words   “United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States”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before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word</w:t>
            </w:r>
          </w:p>
        </w:tc>
      </w:tr>
      <w:tr>
        <w:trPr>
          <w:trHeight w:val="234"/>
        </w:trPr>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“exchange” in the tenth line of that Section.</w:t>
            </w:r>
          </w:p>
        </w:tc>
        <w:tc>
          <w:tcPr>
            <w:tcW w:w="420" w:type="dxa"/>
            <w:vAlign w:val="bottom"/>
          </w:tcPr>
          <w:p>
            <w:pPr>
              <w:spacing w:after="0"/>
              <w:rPr>
                <w:sz w:val="20"/>
                <w:szCs w:val="20"/>
                <w:color w:val="auto"/>
              </w:rPr>
            </w:pPr>
          </w:p>
        </w:tc>
      </w:tr>
      <w:tr>
        <w:trPr>
          <w:trHeight w:val="373"/>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Prepayment/Variable</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w:t>
            </w: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60"/>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Prepayment Amount:</w:t>
            </w: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Supplemental Confirmation.</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46"/>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Prepayment Date:</w:t>
            </w: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Supplemental Confirmation.</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r>
      <w:tr>
        <w:trPr>
          <w:trHeight w:val="448"/>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VWAP Price:</w:t>
            </w: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 any Exchange Business Day, the volume-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weighted average price at which the Shares trade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as  reported  in  the  composite  transactions  for</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United States exchanges and quotation systems,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during  the  regular  trading  session  for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Exchange  on  such  Exchange  Business  Day,</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excluding (i) trades that do not settle regular way,</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(ii) opening (regular way) reported trades in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consolidated system on such Exchange Business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Day, (iii) trades that occur in the last ten minutes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the scheduled close of trading on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Exchange on such Exchange Business Day and</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ten minutes before the scheduled close of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primary trading in the market where the trade is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effected,  and  (iv)  trades  on  such  Exchange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 that do not satisfy the requirements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Rule  10b-18(b)(3)  under  the  Securities</w:t>
            </w:r>
          </w:p>
        </w:tc>
      </w:tr>
      <w:tr>
        <w:trPr>
          <w:trHeight w:val="212"/>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1934,</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  amended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20"/>
        </w:trPr>
        <w:tc>
          <w:tcPr>
            <w:tcW w:w="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published by Bloomberg at</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4:15  p.m.  New  York  time  (or  15  minutes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following the end of any extension of the regular</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trading session) on such Exchange Business Day,</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Bloomberg</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“BLMN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&lt;Equity&gt;</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AQR_SEC” (or any successor thereto), or if such</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price  is  not  so  reported  on  such  Exchange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  for  any  reason  or  is,  in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Calculation Agent’s good faith and commercially</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reasonable determination, erroneous, such VWAP</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Price shall be as determined in good faith and in a</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commercially   reasonable   manner   by   the</w:t>
            </w:r>
          </w:p>
        </w:tc>
      </w:tr>
      <w:tr>
        <w:trPr>
          <w:trHeight w:val="212"/>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Calculation Agent (all such trades other than any</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trades described in clauses (i) to (iv) above, “</w:t>
            </w:r>
            <w:r>
              <w:rPr>
                <w:rFonts w:ascii="Times New Roman" w:cs="Times New Roman" w:eastAsia="Times New Roman" w:hAnsi="Times New Roman"/>
                <w:sz w:val="18"/>
                <w:szCs w:val="18"/>
                <w:b w:val="1"/>
                <w:bCs w:val="1"/>
                <w:color w:val="auto"/>
                <w:w w:val="99"/>
              </w:rPr>
              <w:t>Rule</w:t>
            </w:r>
          </w:p>
        </w:tc>
      </w:tr>
      <w:tr>
        <w:trPr>
          <w:trHeight w:val="220"/>
        </w:trPr>
        <w:tc>
          <w:tcPr>
            <w:tcW w:w="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10b-18 Eligible Transactions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that the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first trade in the Shares during the regular trading</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session on the Exchange (even if such trade is</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reported  on  such  Bloomberg  page)  shall  be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excluded  from  the  VWAP  Price  for  such</w:t>
            </w:r>
          </w:p>
        </w:tc>
      </w:tr>
      <w:tr>
        <w:trPr>
          <w:trHeight w:val="234"/>
        </w:trPr>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Business Day.</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46"/>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Forward Price:</w:t>
            </w: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 each Transaction, the arithmetic average of</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VWAP  Prices  for  all  of  the  Exchange</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Days in the Calculation Period for such</w:t>
            </w:r>
          </w:p>
        </w:tc>
      </w:tr>
      <w:tr>
        <w:trPr>
          <w:trHeight w:val="216"/>
        </w:trPr>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Transaction,  subject  to  “Valuation  Disruption”</w:t>
            </w:r>
          </w:p>
        </w:tc>
      </w:tr>
      <w:tr>
        <w:trPr>
          <w:trHeight w:val="234"/>
        </w:trPr>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below.</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3"/>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Forward   Price   Adjustment</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w:t>
            </w: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Supplemental Confirmation.</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0139"/>
          </w:cols>
          <w:pgMar w:left="320" w:top="1440" w:right="1440" w:bottom="0" w:gutter="0" w:footer="0" w:header="0"/>
        </w:sectPr>
      </w:pPr>
    </w:p>
    <w:bookmarkStart w:id="45" w:name="page46"/>
    <w:bookmarkEnd w:id="45"/>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Calculation Period Start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Scheduled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Termination Date: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Acceleration 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Disruption: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the  period  from,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Calculation Period Start Date for</w:t>
      </w:r>
    </w:p>
    <w:p>
      <w:pPr>
        <w:spacing w:after="0" w:line="9" w:lineRule="exact"/>
        <w:rPr>
          <w:sz w:val="20"/>
          <w:szCs w:val="20"/>
          <w:color w:val="auto"/>
        </w:rPr>
      </w:pPr>
    </w:p>
    <w:p>
      <w:pPr>
        <w:spacing w:after="0"/>
        <w:tabs>
          <w:tab w:leader="none" w:pos="520" w:val="left"/>
          <w:tab w:leader="none" w:pos="1580" w:val="left"/>
          <w:tab w:leader="none" w:pos="1980" w:val="left"/>
          <w:tab w:leader="none" w:pos="2440" w:val="left"/>
          <w:tab w:leader="none" w:pos="3380" w:val="left"/>
        </w:tabs>
        <w:rPr>
          <w:sz w:val="20"/>
          <w:szCs w:val="20"/>
          <w:color w:val="auto"/>
        </w:rPr>
      </w:pPr>
      <w:r>
        <w:rPr>
          <w:rFonts w:ascii="Times New Roman" w:cs="Times New Roman" w:eastAsia="Times New Roman" w:hAnsi="Times New Roman"/>
          <w:sz w:val="18"/>
          <w:szCs w:val="18"/>
          <w:color w:val="auto"/>
        </w:rPr>
        <w:t>such</w:t>
        <w:tab/>
        <w:t>Transaction</w:t>
        <w:tab/>
        <w:t>to,</w:t>
        <w:tab/>
        <w:t>and</w:t>
        <w:tab/>
        <w:t>including,</w:t>
        <w:tab/>
        <w:t>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for such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the Scheduled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for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shall the Scheduled Termination Date be</w:t>
      </w:r>
    </w:p>
    <w:p>
      <w:pPr>
        <w:spacing w:after="0" w:line="9" w:lineRule="exact"/>
        <w:rPr>
          <w:sz w:val="20"/>
          <w:szCs w:val="20"/>
          <w:color w:val="auto"/>
        </w:rPr>
      </w:pPr>
    </w:p>
    <w:p>
      <w:pPr>
        <w:spacing w:after="0"/>
        <w:tabs>
          <w:tab w:leader="none" w:pos="880" w:val="left"/>
          <w:tab w:leader="none" w:pos="1200" w:val="left"/>
          <w:tab w:leader="none" w:pos="1440" w:val="left"/>
          <w:tab w:leader="none" w:pos="1900" w:val="left"/>
          <w:tab w:leader="none" w:pos="2380" w:val="left"/>
          <w:tab w:leader="none" w:pos="2860" w:val="left"/>
          <w:tab w:leader="none" w:pos="3240" w:val="left"/>
        </w:tabs>
        <w:rPr>
          <w:sz w:val="20"/>
          <w:szCs w:val="20"/>
          <w:color w:val="auto"/>
        </w:rPr>
      </w:pPr>
      <w:r>
        <w:rPr>
          <w:rFonts w:ascii="Times New Roman" w:cs="Times New Roman" w:eastAsia="Times New Roman" w:hAnsi="Times New Roman"/>
          <w:sz w:val="18"/>
          <w:szCs w:val="18"/>
          <w:color w:val="auto"/>
        </w:rPr>
        <w:t>postponed</w:t>
        <w:tab/>
        <w:t>to</w:t>
        <w:tab/>
        <w:t>a</w:t>
        <w:tab/>
        <w:t>date</w:t>
        <w:tab/>
        <w:t>later</w:t>
        <w:tab/>
        <w:t>than</w:t>
        <w:tab/>
        <w:t>the</w:t>
        <w:tab/>
        <w:t>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right to designate any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on or after the First 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be the Termination Date for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“Accelerated 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delivering notice (the “Acceleration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Counterparty of any such designation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p.m. (New York City time) on the Exchange</w:t>
      </w:r>
    </w:p>
    <w:p>
      <w:pPr>
        <w:spacing w:after="0" w:line="9" w:lineRule="exact"/>
        <w:rPr>
          <w:sz w:val="20"/>
          <w:szCs w:val="20"/>
          <w:color w:val="auto"/>
        </w:rPr>
      </w:pPr>
    </w:p>
    <w:p>
      <w:pPr>
        <w:spacing w:after="0"/>
        <w:tabs>
          <w:tab w:leader="none" w:pos="840" w:val="left"/>
          <w:tab w:leader="none" w:pos="1360" w:val="left"/>
          <w:tab w:leader="none" w:pos="2480" w:val="left"/>
          <w:tab w:leader="none" w:pos="3380" w:val="left"/>
        </w:tabs>
        <w:rPr>
          <w:sz w:val="20"/>
          <w:szCs w:val="20"/>
          <w:color w:val="auto"/>
        </w:rPr>
      </w:pPr>
      <w:r>
        <w:rPr>
          <w:rFonts w:ascii="Times New Roman" w:cs="Times New Roman" w:eastAsia="Times New Roman" w:hAnsi="Times New Roman"/>
          <w:sz w:val="18"/>
          <w:szCs w:val="18"/>
          <w:color w:val="auto"/>
        </w:rPr>
        <w:t>Business</w:t>
        <w:tab/>
        <w:t>Day</w:t>
        <w:tab/>
        <w:t>immediately</w:t>
        <w:tab/>
        <w:t>following</w:t>
        <w:tab/>
        <w:t>the</w:t>
      </w:r>
    </w:p>
    <w:p>
      <w:pPr>
        <w:spacing w:after="0" w:line="9" w:lineRule="exact"/>
        <w:rPr>
          <w:sz w:val="20"/>
          <w:szCs w:val="20"/>
          <w:color w:val="auto"/>
        </w:rPr>
      </w:pPr>
    </w:p>
    <w:p>
      <w:pPr>
        <w:spacing w:after="0"/>
        <w:tabs>
          <w:tab w:leader="none" w:pos="1000" w:val="left"/>
          <w:tab w:leader="none" w:pos="2100" w:val="left"/>
          <w:tab w:leader="none" w:pos="3220" w:val="left"/>
        </w:tabs>
        <w:rPr>
          <w:sz w:val="20"/>
          <w:szCs w:val="20"/>
          <w:color w:val="auto"/>
        </w:rPr>
      </w:pPr>
      <w:r>
        <w:rPr>
          <w:rFonts w:ascii="Times New Roman" w:cs="Times New Roman" w:eastAsia="Times New Roman" w:hAnsi="Times New Roman"/>
          <w:sz w:val="18"/>
          <w:szCs w:val="18"/>
          <w:color w:val="auto"/>
        </w:rPr>
        <w:t>designated</w:t>
        <w:tab/>
        <w:t>Accelerated</w:t>
        <w:tab/>
        <w:t>Termination</w:t>
      </w:r>
      <w:r>
        <w:rPr>
          <w:sz w:val="20"/>
          <w:szCs w:val="20"/>
          <w:color w:val="auto"/>
        </w:rPr>
        <w:tab/>
      </w:r>
      <w:r>
        <w:rPr>
          <w:rFonts w:ascii="Times New Roman" w:cs="Times New Roman" w:eastAsia="Times New Roman" w:hAnsi="Times New Roman"/>
          <w:sz w:val="17"/>
          <w:szCs w:val="17"/>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further that if Dealer expects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to be Delivered will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number as a result of any 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Scheduled Termination Date,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 shall use its reasonable efforts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feasible, the Counterparty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Acceleration prior to any such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tabs>
          <w:tab w:leader="none" w:pos="1300" w:val="left"/>
          <w:tab w:leader="none" w:pos="2640" w:val="left"/>
          <w:tab w:leader="none" w:pos="3460" w:val="left"/>
        </w:tabs>
        <w:rPr>
          <w:sz w:val="20"/>
          <w:szCs w:val="20"/>
          <w:color w:val="auto"/>
        </w:rPr>
      </w:pPr>
      <w:r>
        <w:rPr>
          <w:rFonts w:ascii="Times New Roman" w:cs="Times New Roman" w:eastAsia="Times New Roman" w:hAnsi="Times New Roman"/>
          <w:sz w:val="18"/>
          <w:szCs w:val="18"/>
          <w:color w:val="auto"/>
        </w:rPr>
        <w:t>Supplemental</w:t>
      </w:r>
      <w:r>
        <w:rPr>
          <w:sz w:val="20"/>
          <w:szCs w:val="20"/>
          <w:color w:val="auto"/>
        </w:rPr>
        <w:tab/>
      </w:r>
      <w:r>
        <w:rPr>
          <w:rFonts w:ascii="Times New Roman" w:cs="Times New Roman" w:eastAsia="Times New Roman" w:hAnsi="Times New Roman"/>
          <w:sz w:val="18"/>
          <w:szCs w:val="18"/>
          <w:color w:val="auto"/>
        </w:rPr>
        <w:t>Confirmation,</w:t>
      </w:r>
      <w:r>
        <w:rPr>
          <w:sz w:val="20"/>
          <w:szCs w:val="20"/>
          <w:color w:val="auto"/>
        </w:rPr>
        <w:tab/>
      </w: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spacing w:after="0"/>
        <w:tabs>
          <w:tab w:leader="none" w:pos="1220" w:val="left"/>
          <w:tab w:leader="none" w:pos="1600" w:val="left"/>
          <w:tab w:leader="none" w:pos="2480" w:val="left"/>
          <w:tab w:leader="none" w:pos="2840" w:val="left"/>
        </w:tabs>
        <w:rPr>
          <w:sz w:val="20"/>
          <w:szCs w:val="20"/>
          <w:color w:val="auto"/>
        </w:rPr>
      </w:pPr>
      <w:r>
        <w:rPr>
          <w:rFonts w:ascii="Times New Roman" w:cs="Times New Roman" w:eastAsia="Times New Roman" w:hAnsi="Times New Roman"/>
          <w:sz w:val="18"/>
          <w:szCs w:val="18"/>
          <w:color w:val="auto"/>
        </w:rPr>
        <w:t>postponement</w:t>
        <w:tab/>
        <w:t>as</w:t>
        <w:tab/>
        <w:t>provided</w:t>
        <w:tab/>
        <w:t>in</w:t>
      </w:r>
      <w:r>
        <w:rPr>
          <w:sz w:val="20"/>
          <w:szCs w:val="20"/>
          <w:color w:val="auto"/>
        </w:rPr>
        <w:tab/>
      </w:r>
      <w:r>
        <w:rPr>
          <w:rFonts w:ascii="Times New Roman" w:cs="Times New Roman" w:eastAsia="Times New Roman" w:hAnsi="Times New Roman"/>
          <w:sz w:val="17"/>
          <w:szCs w:val="17"/>
          <w:color w:val="auto"/>
        </w:rPr>
        <w:t>“Valuation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Disruption”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Scheduled Termination Date be postponed to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later than the Final Termination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 of “Market Disruption Event”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6.3(a) of the Equity Definitions is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by deleting the words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one-hour  period  that  ends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Valuation Time, Latest Exercise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Knock-in Valuation Time or Knock-out 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as the case may be” and inserting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on any Scheduled Trading Day</w:t>
      </w:r>
    </w:p>
    <w:p>
      <w:pPr>
        <w:spacing w:after="0" w:line="9" w:lineRule="exact"/>
        <w:rPr>
          <w:sz w:val="20"/>
          <w:szCs w:val="20"/>
          <w:color w:val="auto"/>
        </w:rPr>
      </w:pPr>
    </w:p>
    <w:p>
      <w:pPr>
        <w:spacing w:after="0"/>
        <w:tabs>
          <w:tab w:leader="none" w:pos="600" w:val="left"/>
          <w:tab w:leader="none" w:pos="960" w:val="left"/>
          <w:tab w:leader="none" w:pos="1940" w:val="left"/>
          <w:tab w:leader="none" w:pos="2560" w:val="left"/>
          <w:tab w:leader="none" w:pos="2840" w:val="left"/>
        </w:tabs>
        <w:rPr>
          <w:sz w:val="20"/>
          <w:szCs w:val="20"/>
          <w:color w:val="auto"/>
        </w:rPr>
      </w:pPr>
      <w:r>
        <w:rPr>
          <w:rFonts w:ascii="Times New Roman" w:cs="Times New Roman" w:eastAsia="Times New Roman" w:hAnsi="Times New Roman"/>
          <w:sz w:val="18"/>
          <w:szCs w:val="18"/>
          <w:color w:val="auto"/>
        </w:rPr>
        <w:t>during</w:t>
        <w:tab/>
        <w:t>the</w:t>
        <w:tab/>
        <w:t>Calculation</w:t>
        <w:tab/>
        <w:t>Period</w:t>
        <w:tab/>
        <w:t>or</w:t>
        <w:tab/>
        <w:t>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Period” after the word “material,”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line thereof.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6.3(d) of the Equity Definitions is hereby</w:t>
      </w:r>
    </w:p>
    <w:p>
      <w:pPr>
        <w:spacing w:after="0" w:line="27" w:lineRule="exact"/>
        <w:rPr>
          <w:sz w:val="20"/>
          <w:szCs w:val="20"/>
          <w:color w:val="auto"/>
        </w:rPr>
      </w:pPr>
    </w:p>
    <w:p>
      <w:pPr>
        <w:spacing w:after="0"/>
        <w:tabs>
          <w:tab w:leader="none" w:pos="780" w:val="left"/>
          <w:tab w:leader="none" w:pos="1120" w:val="left"/>
          <w:tab w:leader="none" w:pos="1840" w:val="left"/>
          <w:tab w:leader="none" w:pos="2220" w:val="left"/>
          <w:tab w:leader="none" w:pos="3100" w:val="left"/>
          <w:tab w:leader="none" w:pos="3400" w:val="left"/>
        </w:tabs>
        <w:rPr>
          <w:sz w:val="20"/>
          <w:szCs w:val="20"/>
          <w:color w:val="auto"/>
        </w:rPr>
      </w:pPr>
      <w:r>
        <w:rPr>
          <w:rFonts w:ascii="Times New Roman" w:cs="Times New Roman" w:eastAsia="Times New Roman" w:hAnsi="Times New Roman"/>
          <w:sz w:val="18"/>
          <w:szCs w:val="18"/>
          <w:color w:val="auto"/>
        </w:rPr>
        <w:t>amended</w:t>
        <w:tab/>
        <w:t>by</w:t>
        <w:tab/>
        <w:t>deleting</w:t>
        <w:tab/>
        <w:t>the</w:t>
        <w:tab/>
        <w:t>remainder</w:t>
        <w:tab/>
        <w:t>of</w:t>
        <w:tab/>
        <w:t>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following the term “Scheduled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in the fourth line thereof.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Definitions, if a Disrupted Day occurs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Calculation Period, the Calculation Agent</w:t>
      </w:r>
    </w:p>
    <w:p>
      <w:pPr>
        <w:spacing w:after="0" w:line="9" w:lineRule="exact"/>
        <w:rPr>
          <w:sz w:val="20"/>
          <w:szCs w:val="20"/>
          <w:color w:val="auto"/>
        </w:rPr>
      </w:pPr>
    </w:p>
    <w:p>
      <w:pPr>
        <w:spacing w:after="0"/>
        <w:tabs>
          <w:tab w:leader="none" w:pos="500" w:val="left"/>
          <w:tab w:leader="none" w:pos="820" w:val="left"/>
          <w:tab w:leader="none" w:pos="1160" w:val="left"/>
          <w:tab w:leader="none" w:pos="1680" w:val="left"/>
          <w:tab w:leader="none" w:pos="2200" w:val="left"/>
          <w:tab w:leader="none" w:pos="2620" w:val="left"/>
        </w:tabs>
        <w:rPr>
          <w:sz w:val="20"/>
          <w:szCs w:val="20"/>
          <w:color w:val="auto"/>
        </w:rPr>
      </w:pPr>
      <w:r>
        <w:rPr>
          <w:rFonts w:ascii="Times New Roman" w:cs="Times New Roman" w:eastAsia="Times New Roman" w:hAnsi="Times New Roman"/>
          <w:sz w:val="18"/>
          <w:szCs w:val="18"/>
          <w:color w:val="auto"/>
        </w:rPr>
        <w:t>may,</w:t>
        <w:tab/>
        <w:t>in</w:t>
        <w:tab/>
        <w:t>its</w:t>
        <w:tab/>
        <w:t>good</w:t>
        <w:tab/>
        <w:t>faith</w:t>
        <w:tab/>
        <w:t>and</w:t>
        <w:tab/>
        <w:t>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judgment,  postpone  the  Scheduled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by one Scheduled Trading</w:t>
      </w:r>
    </w:p>
    <w:p>
      <w:pPr>
        <w:spacing w:after="0" w:line="200" w:lineRule="exact"/>
        <w:rPr>
          <w:sz w:val="20"/>
          <w:szCs w:val="20"/>
          <w:color w:val="auto"/>
        </w:rPr>
      </w:pPr>
    </w:p>
    <w:p>
      <w:pPr>
        <w:sectPr>
          <w:pgSz w:w="11900" w:h="16908" w:orient="portrait"/>
          <w:cols w:equalWidth="0" w:num="2">
            <w:col w:w="1800" w:space="720"/>
            <w:col w:w="6619"/>
          </w:cols>
          <w:pgMar w:left="1320" w:top="13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4</w:t>
      </w:r>
    </w:p>
    <w:p>
      <w:pPr>
        <w:sectPr>
          <w:pgSz w:w="11900" w:h="16908" w:orient="portrait"/>
          <w:cols w:equalWidth="0" w:num="1">
            <w:col w:w="9139"/>
          </w:cols>
          <w:pgMar w:left="1320" w:top="1363" w:right="14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0139"/>
          </w:cols>
          <w:pgMar w:left="320" w:top="157" w:right="1440" w:bottom="1440" w:gutter="0" w:footer="0" w:header="0"/>
        </w:sectPr>
      </w:pPr>
    </w:p>
    <w:bookmarkStart w:id="47" w:name="page48"/>
    <w:bookmarkEnd w:id="47"/>
    <w:p>
      <w:pPr>
        <w:ind w:left="2420"/>
        <w:spacing w:after="0"/>
        <w:rPr>
          <w:sz w:val="20"/>
          <w:szCs w:val="20"/>
          <w:color w:val="auto"/>
        </w:rPr>
      </w:pPr>
      <w:r>
        <w:rPr>
          <w:rFonts w:ascii="Times New Roman" w:cs="Times New Roman" w:eastAsia="Times New Roman" w:hAnsi="Times New Roman"/>
          <w:sz w:val="18"/>
          <w:szCs w:val="18"/>
          <w:color w:val="auto"/>
        </w:rPr>
        <w:t>Day for each Disrupted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w:t>
      </w:r>
    </w:p>
    <w:p>
      <w:pPr>
        <w:spacing w:after="0" w:line="2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event shall the Scheduled Termination Date be</w:t>
      </w:r>
    </w:p>
    <w:p>
      <w:pPr>
        <w:spacing w:after="0" w:line="9" w:lineRule="exact"/>
        <w:rPr>
          <w:sz w:val="20"/>
          <w:szCs w:val="20"/>
          <w:color w:val="auto"/>
        </w:rPr>
      </w:pPr>
    </w:p>
    <w:p>
      <w:pPr>
        <w:ind w:left="2420"/>
        <w:spacing w:after="0"/>
        <w:tabs>
          <w:tab w:leader="none" w:pos="3300" w:val="left"/>
          <w:tab w:leader="none" w:pos="3600" w:val="left"/>
          <w:tab w:leader="none" w:pos="3840" w:val="left"/>
          <w:tab w:leader="none" w:pos="4300" w:val="left"/>
          <w:tab w:leader="none" w:pos="4780" w:val="left"/>
          <w:tab w:leader="none" w:pos="5260" w:val="left"/>
          <w:tab w:leader="none" w:pos="5640" w:val="left"/>
        </w:tabs>
        <w:rPr>
          <w:sz w:val="20"/>
          <w:szCs w:val="20"/>
          <w:color w:val="auto"/>
        </w:rPr>
      </w:pPr>
      <w:r>
        <w:rPr>
          <w:rFonts w:ascii="Times New Roman" w:cs="Times New Roman" w:eastAsia="Times New Roman" w:hAnsi="Times New Roman"/>
          <w:sz w:val="18"/>
          <w:szCs w:val="18"/>
          <w:color w:val="auto"/>
        </w:rPr>
        <w:t>postponed</w:t>
        <w:tab/>
        <w:t>to</w:t>
        <w:tab/>
        <w:t>a</w:t>
        <w:tab/>
        <w:t>date</w:t>
        <w:tab/>
        <w:t>later</w:t>
        <w:tab/>
        <w:t>than</w:t>
        <w:tab/>
        <w:t>the</w:t>
        <w:tab/>
        <w:t>Final</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Termination  Date),  or  (ii)  in  the  Settlement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Valuation  Period,  the  Calculation  Agent  may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extend the Settlement Valuation Period by one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Scheduled Trading Day for each Disrupted Day.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Calculation Agent may also determine that</w:t>
      </w:r>
    </w:p>
    <w:p>
      <w:pPr>
        <w:spacing w:after="0" w:line="9" w:lineRule="exact"/>
        <w:rPr>
          <w:sz w:val="20"/>
          <w:szCs w:val="20"/>
          <w:color w:val="auto"/>
        </w:rPr>
      </w:pPr>
    </w:p>
    <w:p>
      <w:pPr>
        <w:jc w:val="both"/>
        <w:ind w:left="2420" w:right="2979" w:hanging="4"/>
        <w:spacing w:after="0" w:line="250" w:lineRule="auto"/>
        <w:tabs>
          <w:tab w:leader="none" w:pos="26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Disrupted Day is a Disrupted Day in full, in which case the VWAP Price for such Disrupted Day shall not be included for purposes of determining the Forward Price or the Settlement Price, as the case may be, or (y) such Disrupted Day is a Disrupted Day only in part, in which case the VWAP Price for such Disrupted Day shall be determined by the Calculation Agent based on Rule 10b-18 Eligible Transactions in the Shares on such Disrupted Day taking into account the nature and duration of the relevant Market Disruption Event, and the weighting of the VWAP Price for the relevant Exchange Business Days during the Calculation Period or the Settlement Valuation Period, as the case may be, shall be adjusted in a commercially reasonable manner by the Calculation Agent for purposes of determining the Forward Price or the Settlement Price, as the case may be, with such adjustments based on, among other factors, the duration of any Market Disruption Event and the volume, historical trading patterns and price of the Shares. Any Disrupted Day resulting from a Regulatory Disruption arising solely pursuant to clause (y) of Section 7 below and solely to the extent that the Regulatory Disruption arises solely as a result of the Dealer’s voluntarily adopted policies and procedures shall be deemed to be a Disrupted Day in full.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23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If a Disrupted Day occurs during the Calculation</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Period for any Transaction or the Settlement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Valuation Period for any Transaction, as the case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may  be,  and  each  of  the  nine  immediately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following Scheduled Trading Days is a Disrupted</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Day (a “</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then the Calculation</w:t>
      </w:r>
    </w:p>
    <w:p>
      <w:pPr>
        <w:spacing w:after="0" w:line="9" w:lineRule="exact"/>
        <w:rPr>
          <w:sz w:val="20"/>
          <w:szCs w:val="20"/>
          <w:color w:val="auto"/>
        </w:rPr>
      </w:pPr>
    </w:p>
    <w:p>
      <w:pPr>
        <w:ind w:left="2420"/>
        <w:spacing w:after="0"/>
        <w:tabs>
          <w:tab w:leader="none" w:pos="3020" w:val="left"/>
          <w:tab w:leader="none" w:pos="3320" w:val="left"/>
          <w:tab w:leader="none" w:pos="3620" w:val="left"/>
          <w:tab w:leader="none" w:pos="4140" w:val="left"/>
          <w:tab w:leader="none" w:pos="4620" w:val="left"/>
          <w:tab w:leader="none" w:pos="5020" w:val="left"/>
        </w:tabs>
        <w:rPr>
          <w:sz w:val="20"/>
          <w:szCs w:val="20"/>
          <w:color w:val="auto"/>
        </w:rPr>
      </w:pPr>
      <w:r>
        <w:rPr>
          <w:rFonts w:ascii="Times New Roman" w:cs="Times New Roman" w:eastAsia="Times New Roman" w:hAnsi="Times New Roman"/>
          <w:sz w:val="18"/>
          <w:szCs w:val="18"/>
          <w:color w:val="auto"/>
        </w:rPr>
        <w:t>Agent,</w:t>
        <w:tab/>
        <w:t>in</w:t>
        <w:tab/>
        <w:t>its</w:t>
        <w:tab/>
        <w:t>good</w:t>
        <w:tab/>
        <w:t>faith</w:t>
        <w:tab/>
        <w:t>and</w:t>
      </w:r>
      <w:r>
        <w:rPr>
          <w:sz w:val="20"/>
          <w:szCs w:val="20"/>
          <w:color w:val="auto"/>
        </w:rPr>
        <w:tab/>
      </w:r>
      <w:r>
        <w:rPr>
          <w:rFonts w:ascii="Times New Roman" w:cs="Times New Roman" w:eastAsia="Times New Roman" w:hAnsi="Times New Roman"/>
          <w:sz w:val="17"/>
          <w:szCs w:val="17"/>
          <w:color w:val="auto"/>
        </w:rPr>
        <w:t>commercially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reasonable discretion, may deem such Disruption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Event  (and  each  consecutive  Disrupted  Day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thereafter) to be a Potential Adjustment Event in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respect of such Transaction.</w:t>
      </w:r>
    </w:p>
    <w:p>
      <w:pPr>
        <w:spacing w:after="0" w:line="23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Calculation Agent shall notify the parties of</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occurrence of any Disrupted Day as promptly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as practicable, and shall use good faith efforts to</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notify the parties of any determination pursuant to</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these Valuation Disruption provisions no later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than the Exchange Business Day immediately</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following such determination, including,</w:t>
      </w:r>
    </w:p>
    <w:p>
      <w:pPr>
        <w:sectPr>
          <w:pgSz w:w="11900" w:h="16838" w:orient="portrait"/>
          <w:cols w:equalWidth="0" w:num="1">
            <w:col w:w="9019"/>
          </w:cols>
          <w:pgMar w:left="1440" w:top="13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361" w:right="1440" w:bottom="0" w:gutter="0" w:footer="0" w:header="0"/>
          <w:type w:val="continuous"/>
        </w:sectPr>
      </w:pPr>
    </w:p>
    <w:bookmarkStart w:id="48" w:name="page49"/>
    <w:bookmarkEnd w:id="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without  limitation,  any  adjustments  to  the</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Forward Price or Settlement Price.</w:t>
            </w:r>
          </w:p>
        </w:tc>
        <w:tc>
          <w:tcPr>
            <w:tcW w:w="440" w:type="dxa"/>
            <w:vAlign w:val="bottom"/>
          </w:tcPr>
          <w:p>
            <w:pPr>
              <w:spacing w:after="0"/>
              <w:rPr>
                <w:sz w:val="20"/>
                <w:szCs w:val="20"/>
                <w:color w:val="auto"/>
              </w:rPr>
            </w:pPr>
          </w:p>
        </w:tc>
      </w:tr>
      <w:tr>
        <w:trPr>
          <w:trHeight w:val="29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r>
              <w:rPr>
                <w:rFonts w:ascii="Times New Roman" w:cs="Times New Roman" w:eastAsia="Times New Roman" w:hAnsi="Times New Roman"/>
                <w:sz w:val="18"/>
                <w:szCs w:val="18"/>
                <w:color w:val="auto"/>
              </w:rPr>
              <w:t>.</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33"/>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Procedures:</w:t>
            </w: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each Transaction:</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6"/>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  if the Number of Shares to be Delivered</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for such Transaction is positive, Physical</w:t>
            </w:r>
          </w:p>
        </w:tc>
      </w:tr>
      <w:tr>
        <w:trPr>
          <w:trHeight w:val="214"/>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Settlement  shall  be  applicable  to  such</w:t>
            </w:r>
          </w:p>
        </w:tc>
      </w:tr>
      <w:tr>
        <w:trPr>
          <w:trHeight w:val="218"/>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provided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that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“Representation</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and</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Agreement”</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contained in Section 9.11 of the Equity</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Definitions shall be modified by excluding</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any  representations  therein  relating  to</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restrictions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obligations,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limitations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requirements</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w:t>
            </w: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applicable securities</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laws arising as a result of the fact that</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Buyer is the Issuer of the Shares; or</w:t>
            </w:r>
          </w:p>
        </w:tc>
        <w:tc>
          <w:tcPr>
            <w:tcW w:w="440" w:type="dxa"/>
            <w:vAlign w:val="bottom"/>
          </w:tcPr>
          <w:p>
            <w:pPr>
              <w:spacing w:after="0"/>
              <w:rPr>
                <w:sz w:val="20"/>
                <w:szCs w:val="20"/>
                <w:color w:val="auto"/>
              </w:rPr>
            </w:pPr>
          </w:p>
        </w:tc>
      </w:tr>
      <w:tr>
        <w:trPr>
          <w:trHeight w:val="346"/>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(ii) if the Number of Shares to be Delivered</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for  such  Transaction  is  negative,  then</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Counterparty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Settlement</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Annex  A  hereto  shall  apply  to  such</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724"/>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Shares  to  be</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each  Transaction,  a  number  of  Shares</w:t>
            </w:r>
          </w:p>
        </w:tc>
      </w:tr>
      <w:tr>
        <w:trPr>
          <w:trHeight w:val="216"/>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Delivered:</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(rounded down to the nearest whole number)</w:t>
            </w:r>
          </w:p>
        </w:tc>
      </w:tr>
      <w:tr>
        <w:trPr>
          <w:trHeight w:val="214"/>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equal to (a)(i) the Prepayment Amount for such</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(ii)(A) the Forward Price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for such Transaction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Forward Price</w:t>
            </w:r>
          </w:p>
        </w:tc>
      </w:tr>
      <w:tr>
        <w:trPr>
          <w:trHeight w:val="218"/>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Adjustment Amount for such Transaction, </w:t>
            </w:r>
            <w:r>
              <w:rPr>
                <w:rFonts w:ascii="Times New Roman" w:cs="Times New Roman" w:eastAsia="Times New Roman" w:hAnsi="Times New Roman"/>
                <w:sz w:val="18"/>
                <w:szCs w:val="18"/>
                <w:i w:val="1"/>
                <w:iCs w:val="1"/>
                <w:color w:val="auto"/>
              </w:rPr>
              <w:t>minus</w:t>
            </w:r>
          </w:p>
        </w:tc>
      </w:tr>
      <w:tr>
        <w:trPr>
          <w:trHeight w:val="214"/>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(b)  the  number  of  Initial  Shares  for  such</w:t>
            </w:r>
          </w:p>
        </w:tc>
      </w:tr>
      <w:tr>
        <w:trPr>
          <w:trHeight w:val="218"/>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result of 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calculation in clause (a)(ii) is equal to or less than</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the Floor Price for such Transaction, then 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Number  of  Shares  to  be  Delivered  for  such</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Transaction shall be determined as if clause (a)(ii)</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were replaced with “(ii) the Floor Price for such</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46"/>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Floor Price:</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Supplemental Confirmation.</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22"/>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Excess Dividend Amount:</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the avoidance of doubt, all references to 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Excess Dividend Amount shall be deleted from</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Section 9.2(a)(iii) of the Equity Definitions.</w:t>
            </w:r>
          </w:p>
        </w:tc>
        <w:tc>
          <w:tcPr>
            <w:tcW w:w="440" w:type="dxa"/>
            <w:vAlign w:val="bottom"/>
          </w:tcPr>
          <w:p>
            <w:pPr>
              <w:spacing w:after="0"/>
              <w:rPr>
                <w:sz w:val="20"/>
                <w:szCs w:val="20"/>
                <w:color w:val="auto"/>
              </w:rPr>
            </w:pPr>
          </w:p>
        </w:tc>
      </w:tr>
      <w:tr>
        <w:trPr>
          <w:trHeight w:val="522"/>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Date:</w:t>
            </w: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each Transaction, if the Number of Shares to</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be Delivered for such Transaction is positive, (x)</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 the case of an Accelerated Termination Date,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the date that is one Settlement Cycle immediately</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following the date on which Dealer delivers 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relevant Acceleration Notice and (y) in the case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of a Termination Date occurring on the Scheduled</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Termination Date, the date that is one Settlement</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Cycle  immediately  following  the  Termination</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Date for such Transaction (which, in each case, as</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of the date hereof shall be no more than two</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Clearance System Business Days following the</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date on which Dealer delivers the Acceleration</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Notice or the Termination Date, as applicable, for</w:t>
            </w:r>
          </w:p>
        </w:tc>
      </w:tr>
      <w:tr>
        <w:trPr>
          <w:trHeight w:val="234"/>
        </w:trPr>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such Transaction).</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40"/>
        </w:trPr>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Currency:</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USD</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9479"/>
          </w:cols>
          <w:pgMar w:left="980" w:top="1440" w:right="1440" w:bottom="190" w:gutter="0" w:footer="0" w:header="0"/>
        </w:sectPr>
      </w:pPr>
    </w:p>
    <w:bookmarkStart w:id="50" w:name="page51"/>
    <w:bookmarkEnd w:id="50"/>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0139"/>
          </w:cols>
          <w:pgMar w:left="320" w:top="378" w:right="1440" w:bottom="1440" w:gutter="0" w:footer="0" w:header="0"/>
        </w:sectPr>
      </w:pPr>
    </w:p>
    <w:bookmarkStart w:id="51" w:name="page52"/>
    <w:bookmarkEnd w:id="5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Initial Share Delivery:</w:t>
            </w: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Dealer  shall  deliver  a</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Shares equal to the Initial Shares for</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Transaction to Counterparty on the Initial</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Delivery  Date  for  such  Transaction  in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accordance  with  Section  9.4  of  the  Equity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with such Initial Share Delivery Date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deemed to be a “Settlement Date” for purposes of</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Section 9.4.</w:t>
            </w:r>
          </w:p>
        </w:tc>
      </w:tr>
      <w:tr>
        <w:trPr>
          <w:trHeight w:val="346"/>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Initial Share Delivery Date:</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Confirmation.</w:t>
            </w:r>
          </w:p>
        </w:tc>
      </w:tr>
      <w:tr>
        <w:trPr>
          <w:trHeight w:val="522"/>
        </w:trPr>
        <w:tc>
          <w:tcPr>
            <w:tcW w:w="1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Initial Shares:</w:t>
            </w:r>
          </w:p>
        </w:tc>
        <w:tc>
          <w:tcPr>
            <w:tcW w:w="80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Confirmation.</w:t>
            </w:r>
          </w:p>
        </w:tc>
      </w:tr>
      <w:tr>
        <w:trPr>
          <w:trHeight w:val="648"/>
        </w:trPr>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Share Adjustments</w:t>
            </w: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
        </w:trPr>
        <w:tc>
          <w:tcPr>
            <w:tcW w:w="1340" w:type="dxa"/>
            <w:vAlign w:val="bottom"/>
            <w:gridSpan w:val="2"/>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48"/>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Potential Adjustment Event:</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addition to the events described in Section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11.2(e)  of  the  Equity  Definitions,  it  shall</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constitute  an  additional  Potential  Adjustment</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if the Scheduled Termination Date for any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is postponed pursuant to “Valuation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Disruption” above, in which case the Calculation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may, in good faith and in its commercially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reasonable discretion, adjust any relevant terms of</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such  Transaction  in  a  commercially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reasonable manner as necessary to preserve as</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nearly  as  practicable  the  fair  value  of  such</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prior to such postponement; provided</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the parties agree that the following shall not</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 considered Potential Adjustment Events (1)</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open market Share repurchases by Counterparty,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any, in accordance with Rule 10b5-1 or Rule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10b-18 pursuant to documentation entered into</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between Dealer (or an Affiliate of Dealer) and</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Counterparty shall not be considered a Potential</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Event, (2) any repurchase of Shares</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this Transaction, (3) any purchase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deemed  to  occur  pursuant  to  those  certain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agreements  and  call  spread  unwind</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agreements entered into prior to the date hereof</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(4) any Permitted Purchase described in the</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last paragraph of Section 9.</w:t>
            </w:r>
          </w:p>
        </w:tc>
      </w:tr>
      <w:tr>
        <w:trPr>
          <w:trHeight w:val="306"/>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Extraordinary Dividend: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calendar  quarter,  any  dividend  or</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on the Shares with an ex-dividend</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date occurring during such calendar quarter (other</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than any dividend or distribution of the type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described in Section 11.2(e)(i) or Section 11.2(e)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(ii)(A) of the Equity Definitions) (a “Dividend”)</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amount or value of which (as determined by</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Calculation Agent), when aggregated with the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or  value  (as  determined  by  the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  Agent)  of  any  and  all  previous</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Dividends with ex-dividend dates occurring in the</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same  calendar  quarter,  exceeds  the  Ordinary</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Amount.</w:t>
            </w:r>
          </w:p>
        </w:tc>
      </w:tr>
      <w:tr>
        <w:trPr>
          <w:trHeight w:val="481"/>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Ordinary Dividend Amount:</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Confirmation.</w:t>
            </w:r>
          </w:p>
        </w:tc>
      </w:tr>
      <w:tr>
        <w:trPr>
          <w:trHeight w:val="481"/>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if an ex-dividend date for</w:t>
            </w:r>
          </w:p>
        </w:tc>
      </w:tr>
      <w:tr>
        <w:trPr>
          <w:trHeight w:val="216"/>
        </w:trPr>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Payment: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Dividend  that  is  not  (x)  a  dividend  or</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the  type  described  in  Section</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11.2(e)(i) or Section 11.2(e)(ii)(A) of the Equity</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or (y) an</w:t>
            </w:r>
          </w:p>
        </w:tc>
      </w:tr>
    </w:tbl>
    <w:p>
      <w:pPr>
        <w:sectPr>
          <w:pgSz w:w="11900" w:h="16838" w:orient="portrait"/>
          <w:cols w:equalWidth="0" w:num="1">
            <w:col w:w="9479"/>
          </w:cols>
          <w:pgMar w:left="980" w:top="1440" w:right="1440" w:bottom="82" w:gutter="0" w:footer="0" w:header="0"/>
        </w:sectPr>
      </w:pPr>
    </w:p>
    <w:bookmarkStart w:id="52" w:name="page53"/>
    <w:bookmarkEnd w:id="52"/>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0139"/>
          </w:cols>
          <w:pgMar w:left="320" w:top="675" w:right="1440" w:bottom="1440" w:gutter="0" w:footer="0" w:header="0"/>
        </w:sectPr>
      </w:pPr>
    </w:p>
    <w:bookmarkStart w:id="53" w:name="page54"/>
    <w:bookmarkEnd w:id="53"/>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Extraordinary  Dividend,  occurs  during  any</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calendar quarter occurring (in whole or in part)</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during the Relevant Dividend Period for such</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is prior to the Scheduled Ex-</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Date  for  such  Transaction  for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relevant calendar quarter, the Calculation Agent</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shall  make  such  adjustment  to  the  exercise,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payment or any other terms of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relevant Transaction as the Calculation Agent</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determines, in a good faith and commercially</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reasonable manner, is appropriate to account for</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economic effect on such Transaction of such</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w:t>
            </w:r>
          </w:p>
        </w:tc>
      </w:tr>
      <w:tr>
        <w:trPr>
          <w:trHeight w:val="365"/>
        </w:trPr>
        <w:tc>
          <w:tcPr>
            <w:tcW w:w="2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Method of Adjustment:</w:t>
            </w:r>
          </w:p>
        </w:tc>
        <w:tc>
          <w:tcPr>
            <w:tcW w:w="68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46"/>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Scheduled Ex-Dividend Dates:</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for each calendar quarter, as</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   forth   in   the   related   Supplemental</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Confirmation.</w:t>
            </w:r>
          </w:p>
        </w:tc>
      </w:tr>
      <w:tr>
        <w:trPr>
          <w:trHeight w:val="346"/>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Regarding</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Notwithstanding  any  other  provisions  of  this</w:t>
            </w:r>
          </w:p>
        </w:tc>
      </w:tr>
      <w:tr>
        <w:trPr>
          <w:trHeight w:val="216"/>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Confirmation,  the  Equity  Definitions  or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to the contrary, in calculating any</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payable in respect of any termination or</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cancellation of the Transaction pursuant to Article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 of the Equity Definitions or Section 6 of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the Calculation Agent shall not take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into account changes to any dividends since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Date. For the avoidance of doubt, if an</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Date occurs in respect of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the  amount  payable  pursuant  to</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6 of the Agreement in respect of such</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Date  shall  be  determined</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regard to the difference between actual</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(including  Extraordinary</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and  expected  dividends  as  of  the</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Date.</w:t>
            </w:r>
          </w:p>
        </w:tc>
      </w:tr>
      <w:tr>
        <w:trPr>
          <w:trHeight w:val="346"/>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Relevant Dividend Period: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the  period  from,  and</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the Trade Date for such Transaction to,</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including, the Relevant Dividend Period End</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for such Transaction.</w:t>
            </w:r>
          </w:p>
        </w:tc>
      </w:tr>
      <w:tr>
        <w:trPr>
          <w:trHeight w:val="346"/>
        </w:trPr>
        <w:tc>
          <w:tcPr>
            <w:tcW w:w="2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Relevant Dividend Period End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if the Number of Shares to</w:t>
            </w:r>
          </w:p>
        </w:tc>
      </w:tr>
      <w:tr>
        <w:trPr>
          <w:trHeight w:val="216"/>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Date: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 Delivered for such Transaction is negative,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last  day  of  the  Settlement  Valuation  Period;</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otherwise,  the  Termination  Date  for  such</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w:t>
            </w:r>
          </w:p>
        </w:tc>
      </w:tr>
      <w:tr>
        <w:trPr>
          <w:trHeight w:val="47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Extraordinary Events</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48"/>
        </w:trPr>
        <w:tc>
          <w:tcPr>
            <w:tcW w:w="1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Consequences</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Merger</w:t>
            </w:r>
          </w:p>
        </w:tc>
        <w:tc>
          <w:tcPr>
            <w:tcW w:w="3760" w:type="dxa"/>
            <w:vAlign w:val="bottom"/>
          </w:tcPr>
          <w:p>
            <w:pPr>
              <w:spacing w:after="0"/>
              <w:rPr>
                <w:sz w:val="24"/>
                <w:szCs w:val="24"/>
                <w:color w:val="auto"/>
              </w:rPr>
            </w:pPr>
          </w:p>
        </w:tc>
      </w:tr>
      <w:tr>
        <w:trPr>
          <w:trHeight w:val="234"/>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Events: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65"/>
        </w:trPr>
        <w:tc>
          <w:tcPr>
            <w:tcW w:w="20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 Share-for-Share:</w:t>
            </w:r>
          </w:p>
        </w:tc>
        <w:tc>
          <w:tcPr>
            <w:tcW w:w="68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Payment</w:t>
            </w:r>
          </w:p>
        </w:tc>
      </w:tr>
      <w:tr>
        <w:trPr>
          <w:trHeight w:val="364"/>
        </w:trPr>
        <w:tc>
          <w:tcPr>
            <w:tcW w:w="20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(b) Share-for-Other:</w:t>
            </w:r>
          </w:p>
        </w:tc>
        <w:tc>
          <w:tcPr>
            <w:tcW w:w="68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Payment</w:t>
            </w:r>
          </w:p>
        </w:tc>
      </w:tr>
      <w:tr>
        <w:trPr>
          <w:trHeight w:val="365"/>
        </w:trPr>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 Share-for-Combined: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Payment</w:t>
            </w:r>
          </w:p>
        </w:tc>
      </w:tr>
      <w:tr>
        <w:trPr>
          <w:trHeight w:val="346"/>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Tender Offer:</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12.1(d) of the</w:t>
            </w:r>
          </w:p>
        </w:tc>
      </w:tr>
      <w:tr>
        <w:trPr>
          <w:trHeight w:val="216"/>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Definitions shall be amended by replacing</w:t>
            </w:r>
          </w:p>
        </w:tc>
      </w:tr>
      <w:tr>
        <w:trPr>
          <w:trHeight w:val="234"/>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in the third line thereof with “25%”</w:t>
            </w:r>
          </w:p>
        </w:tc>
      </w:tr>
      <w:tr>
        <w:trPr>
          <w:trHeight w:val="346"/>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Consequences</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Tender</w:t>
            </w:r>
          </w:p>
        </w:tc>
        <w:tc>
          <w:tcPr>
            <w:tcW w:w="3760" w:type="dxa"/>
            <w:vAlign w:val="bottom"/>
          </w:tcPr>
          <w:p>
            <w:pPr>
              <w:spacing w:after="0"/>
              <w:rPr>
                <w:sz w:val="24"/>
                <w:szCs w:val="24"/>
                <w:color w:val="auto"/>
              </w:rPr>
            </w:pPr>
          </w:p>
        </w:tc>
      </w:tr>
      <w:tr>
        <w:trPr>
          <w:trHeight w:val="234"/>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Offers: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64"/>
        </w:trPr>
        <w:tc>
          <w:tcPr>
            <w:tcW w:w="20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 Share-for-Share:</w:t>
            </w:r>
          </w:p>
        </w:tc>
        <w:tc>
          <w:tcPr>
            <w:tcW w:w="68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97" w:orient="portrait"/>
          <w:cols w:equalWidth="0" w:num="1">
            <w:col w:w="10139"/>
          </w:cols>
          <w:pgMar w:left="320" w:top="1363" w:right="1440" w:bottom="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97" w:orient="portrait"/>
          <w:cols w:equalWidth="0" w:num="1">
            <w:col w:w="10139"/>
          </w:cols>
          <w:pgMar w:left="320" w:top="1363" w:right="1440" w:bottom="0" w:gutter="0" w:footer="0" w:header="0"/>
          <w:type w:val="continuous"/>
        </w:sectPr>
      </w:pPr>
    </w:p>
    <w:bookmarkStart w:id="54" w:name="page55"/>
    <w:bookmarkEnd w:id="54"/>
    <w:p>
      <w:pPr>
        <w:ind w:left="1160"/>
        <w:spacing w:after="0"/>
        <w:tabs>
          <w:tab w:leader="none" w:pos="3620" w:val="left"/>
        </w:tabs>
        <w:rPr>
          <w:sz w:val="20"/>
          <w:szCs w:val="20"/>
          <w:color w:val="auto"/>
        </w:rPr>
      </w:pPr>
      <w:r>
        <w:rPr>
          <w:rFonts w:ascii="Times New Roman" w:cs="Times New Roman" w:eastAsia="Times New Roman" w:hAnsi="Times New Roman"/>
          <w:sz w:val="18"/>
          <w:szCs w:val="18"/>
          <w:color w:val="auto"/>
        </w:rPr>
        <w:t>(b) Share-for-Other:</w:t>
      </w:r>
      <w:r>
        <w:rPr>
          <w:sz w:val="20"/>
          <w:szCs w:val="20"/>
          <w:color w:val="auto"/>
        </w:rPr>
        <w:tab/>
      </w:r>
      <w:r>
        <w:rPr>
          <w:rFonts w:ascii="Times New Roman" w:cs="Times New Roman" w:eastAsia="Times New Roman" w:hAnsi="Times New Roman"/>
          <w:sz w:val="17"/>
          <w:szCs w:val="17"/>
          <w:color w:val="auto"/>
        </w:rPr>
        <w:t>Modified Calculation Agent Adjustment</w:t>
      </w:r>
    </w:p>
    <w:p>
      <w:pPr>
        <w:spacing w:after="0" w:line="158" w:lineRule="exact"/>
        <w:rPr>
          <w:sz w:val="20"/>
          <w:szCs w:val="20"/>
          <w:color w:val="auto"/>
        </w:rPr>
      </w:pPr>
    </w:p>
    <w:p>
      <w:pPr>
        <w:ind w:left="1160"/>
        <w:spacing w:after="0"/>
        <w:tabs>
          <w:tab w:leader="none" w:pos="3620" w:val="left"/>
        </w:tabs>
        <w:rPr>
          <w:sz w:val="20"/>
          <w:szCs w:val="20"/>
          <w:color w:val="auto"/>
        </w:rPr>
      </w:pPr>
      <w:r>
        <w:rPr>
          <w:rFonts w:ascii="Times New Roman" w:cs="Times New Roman" w:eastAsia="Times New Roman" w:hAnsi="Times New Roman"/>
          <w:sz w:val="18"/>
          <w:szCs w:val="18"/>
          <w:color w:val="auto"/>
        </w:rPr>
        <w:t>(c) Share-for-Combined:</w:t>
      </w:r>
      <w:r>
        <w:rPr>
          <w:sz w:val="20"/>
          <w:szCs w:val="20"/>
          <w:color w:val="auto"/>
        </w:rPr>
        <w:tab/>
      </w:r>
      <w:r>
        <w:rPr>
          <w:rFonts w:ascii="Times New Roman" w:cs="Times New Roman" w:eastAsia="Times New Roman" w:hAnsi="Times New Roman"/>
          <w:sz w:val="17"/>
          <w:szCs w:val="17"/>
          <w:color w:val="auto"/>
        </w:rPr>
        <w:t>Modified Calculation Agent Adjustment</w:t>
      </w:r>
    </w:p>
    <w:p>
      <w:pPr>
        <w:spacing w:after="0" w:line="158" w:lineRule="exact"/>
        <w:rPr>
          <w:sz w:val="20"/>
          <w:szCs w:val="20"/>
          <w:color w:val="auto"/>
        </w:rPr>
      </w:pPr>
    </w:p>
    <w:p>
      <w:pPr>
        <w:jc w:val="both"/>
        <w:ind w:left="1040" w:right="2959"/>
        <w:spacing w:after="0" w:line="258" w:lineRule="auto"/>
        <w:rPr>
          <w:sz w:val="20"/>
          <w:szCs w:val="20"/>
          <w:color w:val="auto"/>
        </w:rPr>
      </w:pPr>
      <w:r>
        <w:rPr>
          <w:rFonts w:ascii="Times New Roman" w:cs="Times New Roman" w:eastAsia="Times New Roman" w:hAnsi="Times New Roman"/>
          <w:sz w:val="18"/>
          <w:szCs w:val="18"/>
          <w:color w:val="auto"/>
        </w:rPr>
        <w:t>Any adjustment to the terms of any Transaction hereunder and the determination of any amounts due upon termination of any Transaction hereunder as a result of a Merger Event or Tender Offer shall be made without duplication in respect of any prior adjustment hereunder (including, without limitation, any prior adjustment pursuant to Sections 10 and 11 below).</w:t>
      </w:r>
    </w:p>
    <w:p>
      <w:pPr>
        <w:spacing w:after="0" w:line="316" w:lineRule="exact"/>
        <w:rPr>
          <w:sz w:val="20"/>
          <w:szCs w:val="20"/>
          <w:color w:val="auto"/>
        </w:rPr>
      </w:pPr>
    </w:p>
    <w:p>
      <w:pPr>
        <w:ind w:left="1040"/>
        <w:spacing w:after="0"/>
        <w:tabs>
          <w:tab w:leader="none" w:pos="3620" w:val="left"/>
          <w:tab w:leader="none" w:pos="4680" w:val="left"/>
          <w:tab w:leader="none" w:pos="5100" w:val="left"/>
          <w:tab w:leader="none" w:pos="59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Nationalization,  Insolvency  or</w:t>
      </w:r>
      <w:r>
        <w:rPr>
          <w:sz w:val="20"/>
          <w:szCs w:val="20"/>
          <w:color w:val="auto"/>
        </w:rPr>
        <w:tab/>
      </w:r>
      <w:r>
        <w:rPr>
          <w:rFonts w:ascii="Times New Roman" w:cs="Times New Roman" w:eastAsia="Times New Roman" w:hAnsi="Times New Roman"/>
          <w:sz w:val="18"/>
          <w:szCs w:val="18"/>
          <w:color w:val="auto"/>
        </w:rPr>
        <w:t>Cancellation</w:t>
        <w:tab/>
        <w:t>and</w:t>
        <w:tab/>
        <w:t>Payment;</w:t>
      </w:r>
      <w:r>
        <w:rPr>
          <w:sz w:val="20"/>
          <w:szCs w:val="20"/>
          <w:color w:val="auto"/>
        </w:rPr>
        <w:tab/>
      </w:r>
      <w:r>
        <w:rPr>
          <w:rFonts w:ascii="Times New Roman" w:cs="Times New Roman" w:eastAsia="Times New Roman" w:hAnsi="Times New Roman"/>
          <w:sz w:val="18"/>
          <w:szCs w:val="18"/>
          <w:i w:val="1"/>
          <w:iCs w:val="1"/>
          <w:color w:val="auto"/>
        </w:rPr>
        <w:t>provided</w:t>
      </w:r>
      <w:r>
        <w:rPr>
          <w:sz w:val="20"/>
          <w:szCs w:val="20"/>
          <w:color w:val="auto"/>
        </w:rPr>
        <w:tab/>
      </w:r>
      <w:r>
        <w:rPr>
          <w:rFonts w:ascii="Times New Roman" w:cs="Times New Roman" w:eastAsia="Times New Roman" w:hAnsi="Times New Roman"/>
          <w:sz w:val="18"/>
          <w:szCs w:val="18"/>
          <w:color w:val="auto"/>
        </w:rPr>
        <w:t>that</w:t>
      </w:r>
      <w:r>
        <w:rPr>
          <w:sz w:val="20"/>
          <w:szCs w:val="20"/>
          <w:color w:val="auto"/>
        </w:rPr>
        <w:tab/>
      </w:r>
      <w:r>
        <w:rPr>
          <w:rFonts w:ascii="Times New Roman" w:cs="Times New Roman" w:eastAsia="Times New Roman" w:hAnsi="Times New Roman"/>
          <w:sz w:val="17"/>
          <w:szCs w:val="17"/>
          <w:color w:val="auto"/>
        </w:rPr>
        <w:t>in</w:t>
      </w:r>
    </w:p>
    <w:p>
      <w:pPr>
        <w:spacing w:after="0" w:line="29" w:lineRule="exact"/>
        <w:rPr>
          <w:sz w:val="20"/>
          <w:szCs w:val="20"/>
          <w:color w:val="auto"/>
        </w:rPr>
      </w:pPr>
    </w:p>
    <w:p>
      <w:pPr>
        <w:ind w:left="1040"/>
        <w:spacing w:after="0"/>
        <w:tabs>
          <w:tab w:leader="none" w:pos="3620" w:val="left"/>
        </w:tabs>
        <w:rPr>
          <w:sz w:val="20"/>
          <w:szCs w:val="20"/>
          <w:color w:val="auto"/>
        </w:rPr>
      </w:pPr>
      <w:r>
        <w:rPr>
          <w:rFonts w:ascii="Times New Roman" w:cs="Times New Roman" w:eastAsia="Times New Roman" w:hAnsi="Times New Roman"/>
          <w:sz w:val="18"/>
          <w:szCs w:val="18"/>
          <w:color w:val="auto"/>
        </w:rPr>
        <w:t>Delisting:</w:t>
      </w:r>
      <w:r>
        <w:rPr>
          <w:sz w:val="20"/>
          <w:szCs w:val="20"/>
          <w:color w:val="auto"/>
        </w:rPr>
        <w:tab/>
      </w:r>
      <w:r>
        <w:rPr>
          <w:rFonts w:ascii="Times New Roman" w:cs="Times New Roman" w:eastAsia="Times New Roman" w:hAnsi="Times New Roman"/>
          <w:sz w:val="18"/>
          <w:szCs w:val="18"/>
          <w:color w:val="auto"/>
        </w:rPr>
        <w:t>addition to the provisions of Section 12.6(a)(iii)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Equity Definitions, it shall also constitute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Delisting if the Exchange is located in the United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States and the Shares are not immediately re-listed,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re-traded or re-quoted on any of the New York</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Stock Exchange, The NASDAQ Global Select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Market or The NASDAQ Global Market (or their</w:t>
      </w:r>
    </w:p>
    <w:p>
      <w:pPr>
        <w:spacing w:after="0" w:line="9" w:lineRule="exact"/>
        <w:rPr>
          <w:sz w:val="20"/>
          <w:szCs w:val="20"/>
          <w:color w:val="auto"/>
        </w:rPr>
      </w:pPr>
    </w:p>
    <w:p>
      <w:pPr>
        <w:ind w:left="3640"/>
        <w:spacing w:after="0"/>
        <w:tabs>
          <w:tab w:leader="none" w:pos="4560" w:val="left"/>
          <w:tab w:leader="none" w:pos="5640" w:val="left"/>
          <w:tab w:leader="none" w:pos="5960" w:val="left"/>
          <w:tab w:leader="none" w:pos="6400" w:val="left"/>
          <w:tab w:leader="none" w:pos="7100" w:val="left"/>
        </w:tabs>
        <w:rPr>
          <w:sz w:val="20"/>
          <w:szCs w:val="20"/>
          <w:color w:val="auto"/>
        </w:rPr>
      </w:pPr>
      <w:r>
        <w:rPr>
          <w:rFonts w:ascii="Times New Roman" w:cs="Times New Roman" w:eastAsia="Times New Roman" w:hAnsi="Times New Roman"/>
          <w:sz w:val="18"/>
          <w:szCs w:val="18"/>
          <w:color w:val="auto"/>
        </w:rPr>
        <w:t>respective</w:t>
        <w:tab/>
        <w:t>successors);</w:t>
        <w:tab/>
        <w:t>if</w:t>
        <w:tab/>
        <w:t>the</w:t>
        <w:tab/>
        <w:t>Shares</w:t>
        <w:tab/>
        <w:t>are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immediately re-listed, re-traded or re-quoted on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any  such  exchange  or  quotation  system,  such</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exchange or quotation system shall be deemed to</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be the Exchange.</w:t>
      </w:r>
    </w:p>
    <w:p>
      <w:pPr>
        <w:spacing w:after="0" w:line="2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56" w:lineRule="exact"/>
        <w:rPr>
          <w:sz w:val="20"/>
          <w:szCs w:val="20"/>
          <w:color w:val="auto"/>
        </w:rPr>
      </w:pPr>
    </w:p>
    <w:p>
      <w:pPr>
        <w:ind w:left="1040"/>
        <w:spacing w:after="0"/>
        <w:tabs>
          <w:tab w:leader="none" w:pos="3620" w:val="left"/>
        </w:tabs>
        <w:rPr>
          <w:sz w:val="20"/>
          <w:szCs w:val="20"/>
          <w:color w:val="auto"/>
        </w:rPr>
      </w:pPr>
      <w:r>
        <w:rPr>
          <w:rFonts w:ascii="Times New Roman" w:cs="Times New Roman" w:eastAsia="Times New Roman" w:hAnsi="Times New Roman"/>
          <w:sz w:val="18"/>
          <w:szCs w:val="18"/>
          <w:color w:val="auto"/>
        </w:rPr>
        <w:t>(a) Change in Law:</w:t>
      </w:r>
      <w:r>
        <w:rPr>
          <w:sz w:val="20"/>
          <w:szCs w:val="20"/>
          <w:color w:val="auto"/>
        </w:rPr>
        <w:tab/>
      </w: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12.9(a)(ii) of</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Equity Definitions is hereby amended by (i)</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replacing the phrase “the interpretation” in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third line thereof with the phrase “, or public</w:t>
      </w:r>
    </w:p>
    <w:p>
      <w:pPr>
        <w:spacing w:after="0" w:line="9" w:lineRule="exact"/>
        <w:rPr>
          <w:sz w:val="20"/>
          <w:szCs w:val="20"/>
          <w:color w:val="auto"/>
        </w:rPr>
      </w:pPr>
    </w:p>
    <w:p>
      <w:pPr>
        <w:ind w:left="3640"/>
        <w:spacing w:after="0"/>
        <w:tabs>
          <w:tab w:leader="none" w:pos="4860" w:val="left"/>
          <w:tab w:leader="none" w:pos="5260" w:val="left"/>
          <w:tab w:leader="none" w:pos="5660" w:val="left"/>
          <w:tab w:leader="none" w:pos="6340" w:val="left"/>
          <w:tab w:leader="none" w:pos="6700" w:val="left"/>
        </w:tabs>
        <w:rPr>
          <w:sz w:val="20"/>
          <w:szCs w:val="20"/>
          <w:color w:val="auto"/>
        </w:rPr>
      </w:pPr>
      <w:r>
        <w:rPr>
          <w:rFonts w:ascii="Times New Roman" w:cs="Times New Roman" w:eastAsia="Times New Roman" w:hAnsi="Times New Roman"/>
          <w:sz w:val="18"/>
          <w:szCs w:val="18"/>
          <w:color w:val="auto"/>
        </w:rPr>
        <w:t>announcement</w:t>
        <w:tab/>
        <w:t>of,</w:t>
        <w:tab/>
        <w:t>the</w:t>
        <w:tab/>
        <w:t>formal</w:t>
        <w:tab/>
        <w:t>or</w:t>
      </w:r>
      <w:r>
        <w:rPr>
          <w:sz w:val="20"/>
          <w:szCs w:val="20"/>
          <w:color w:val="auto"/>
        </w:rPr>
        <w:tab/>
      </w:r>
      <w:r>
        <w:rPr>
          <w:rFonts w:ascii="Times New Roman" w:cs="Times New Roman" w:eastAsia="Times New Roman" w:hAnsi="Times New Roman"/>
          <w:sz w:val="17"/>
          <w:szCs w:val="17"/>
          <w:color w:val="auto"/>
        </w:rPr>
        <w:t>informal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interpretation”, (ii) by replacing the word “Shares”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where it appears in clause (X) thereof with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words “Hedge Positions”, (iii) by immediately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following the word “Transaction” in clause (X)</w:t>
      </w:r>
    </w:p>
    <w:p>
      <w:pPr>
        <w:spacing w:after="0" w:line="9" w:lineRule="exact"/>
        <w:rPr>
          <w:sz w:val="20"/>
          <w:szCs w:val="20"/>
          <w:color w:val="auto"/>
        </w:rPr>
      </w:pPr>
    </w:p>
    <w:p>
      <w:pPr>
        <w:ind w:left="3640"/>
        <w:spacing w:after="0"/>
        <w:tabs>
          <w:tab w:leader="none" w:pos="4340" w:val="left"/>
          <w:tab w:leader="none" w:pos="4980" w:val="left"/>
          <w:tab w:leader="none" w:pos="5380" w:val="left"/>
          <w:tab w:leader="none" w:pos="6000" w:val="left"/>
          <w:tab w:leader="none" w:pos="6400" w:val="left"/>
          <w:tab w:leader="none" w:pos="6780" w:val="left"/>
        </w:tabs>
        <w:rPr>
          <w:sz w:val="20"/>
          <w:szCs w:val="20"/>
          <w:color w:val="auto"/>
        </w:rPr>
      </w:pPr>
      <w:r>
        <w:rPr>
          <w:rFonts w:ascii="Times New Roman" w:cs="Times New Roman" w:eastAsia="Times New Roman" w:hAnsi="Times New Roman"/>
          <w:sz w:val="18"/>
          <w:szCs w:val="18"/>
          <w:color w:val="auto"/>
        </w:rPr>
        <w:t>thereof,</w:t>
        <w:tab/>
        <w:t>adding</w:t>
        <w:tab/>
        <w:t>the</w:t>
        <w:tab/>
        <w:t>phrase</w:t>
        <w:tab/>
        <w:t>“in</w:t>
        <w:tab/>
        <w:t>the</w:t>
        <w:tab/>
        <w:t>manner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contemplated by the Hedging Party on the Trade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Date” and (iv) by adding the words “provided that,</w:t>
      </w:r>
    </w:p>
    <w:p>
      <w:pPr>
        <w:spacing w:after="0" w:line="9" w:lineRule="exact"/>
        <w:rPr>
          <w:sz w:val="20"/>
          <w:szCs w:val="20"/>
          <w:color w:val="auto"/>
        </w:rPr>
      </w:pPr>
    </w:p>
    <w:p>
      <w:pPr>
        <w:ind w:left="3640"/>
        <w:spacing w:after="0"/>
        <w:tabs>
          <w:tab w:leader="none" w:pos="3980" w:val="left"/>
          <w:tab w:leader="none" w:pos="5060" w:val="left"/>
          <w:tab w:leader="none" w:pos="5360" w:val="left"/>
          <w:tab w:leader="none" w:pos="5840" w:val="left"/>
          <w:tab w:leader="none" w:pos="6280" w:val="left"/>
          <w:tab w:leader="none" w:pos="7160" w:val="left"/>
        </w:tabs>
        <w:rPr>
          <w:sz w:val="20"/>
          <w:szCs w:val="20"/>
          <w:color w:val="auto"/>
        </w:rPr>
      </w:pPr>
      <w:r>
        <w:rPr>
          <w:rFonts w:ascii="Times New Roman" w:cs="Times New Roman" w:eastAsia="Times New Roman" w:hAnsi="Times New Roman"/>
          <w:sz w:val="18"/>
          <w:szCs w:val="18"/>
          <w:color w:val="auto"/>
        </w:rPr>
        <w:t>the</w:t>
        <w:tab/>
        <w:t>consequence</w:t>
        <w:tab/>
        <w:t>of</w:t>
        <w:tab/>
        <w:t>such</w:t>
        <w:tab/>
        <w:t>law,</w:t>
        <w:tab/>
        <w:t>regulation</w:t>
        <w:tab/>
        <w:t>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interpretation is applied equally by Dealer to all</w:t>
      </w:r>
    </w:p>
    <w:p>
      <w:pPr>
        <w:spacing w:after="0" w:line="9" w:lineRule="exact"/>
        <w:rPr>
          <w:sz w:val="20"/>
          <w:szCs w:val="20"/>
          <w:color w:val="auto"/>
        </w:rPr>
      </w:pPr>
    </w:p>
    <w:p>
      <w:pPr>
        <w:ind w:left="3640"/>
        <w:spacing w:after="0"/>
        <w:tabs>
          <w:tab w:leader="none" w:pos="4300" w:val="left"/>
          <w:tab w:leader="none" w:pos="5340" w:val="left"/>
          <w:tab w:leader="none" w:pos="5660" w:val="left"/>
          <w:tab w:leader="none" w:pos="5920" w:val="left"/>
        </w:tabs>
        <w:rPr>
          <w:sz w:val="20"/>
          <w:szCs w:val="20"/>
          <w:color w:val="auto"/>
        </w:rPr>
      </w:pPr>
      <w:r>
        <w:rPr>
          <w:rFonts w:ascii="Times New Roman" w:cs="Times New Roman" w:eastAsia="Times New Roman" w:hAnsi="Times New Roman"/>
          <w:sz w:val="18"/>
          <w:szCs w:val="18"/>
          <w:color w:val="auto"/>
        </w:rPr>
        <w:t>similar</w:t>
        <w:tab/>
        <w:t>transactions</w:t>
        <w:tab/>
        <w:t>in</w:t>
        <w:tab/>
        <w:t>a</w:t>
      </w:r>
      <w:r>
        <w:rPr>
          <w:sz w:val="20"/>
          <w:szCs w:val="20"/>
          <w:color w:val="auto"/>
        </w:rPr>
        <w:tab/>
      </w:r>
      <w:r>
        <w:rPr>
          <w:rFonts w:ascii="Times New Roman" w:cs="Times New Roman" w:eastAsia="Times New Roman" w:hAnsi="Times New Roman"/>
          <w:sz w:val="17"/>
          <w:szCs w:val="17"/>
          <w:color w:val="auto"/>
        </w:rPr>
        <w:t>non-discriminatory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manner;” after the semi-colon in the last line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thereof; and (b) Section 12.9(a)(ii) of the Equity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Definitions is hereby amended by replacing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parenthetical beginning after the word “regulation”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 the second line thereof the words “(including,</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for the avoidance of doubt and without limitation,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(x) any tax law or (y) adoption or promulgation of</w:t>
      </w:r>
    </w:p>
    <w:p>
      <w:pPr>
        <w:spacing w:after="0" w:line="9" w:lineRule="exact"/>
        <w:rPr>
          <w:sz w:val="20"/>
          <w:szCs w:val="20"/>
          <w:color w:val="auto"/>
        </w:rPr>
      </w:pPr>
    </w:p>
    <w:p>
      <w:pPr>
        <w:ind w:left="3640"/>
        <w:spacing w:after="0"/>
        <w:tabs>
          <w:tab w:leader="none" w:pos="4080" w:val="left"/>
          <w:tab w:leader="none" w:pos="5040" w:val="left"/>
          <w:tab w:leader="none" w:pos="5960" w:val="left"/>
          <w:tab w:leader="none" w:pos="6260" w:val="left"/>
          <w:tab w:leader="none" w:pos="7120" w:val="left"/>
        </w:tabs>
        <w:rPr>
          <w:sz w:val="20"/>
          <w:szCs w:val="20"/>
          <w:color w:val="auto"/>
        </w:rPr>
      </w:pPr>
      <w:r>
        <w:rPr>
          <w:rFonts w:ascii="Times New Roman" w:cs="Times New Roman" w:eastAsia="Times New Roman" w:hAnsi="Times New Roman"/>
          <w:sz w:val="18"/>
          <w:szCs w:val="18"/>
          <w:color w:val="auto"/>
        </w:rPr>
        <w:t>new</w:t>
        <w:tab/>
        <w:t>regulations</w:t>
        <w:tab/>
        <w:t>authorized</w:t>
        <w:tab/>
        <w:t>or</w:t>
        <w:tab/>
        <w:t>mandated</w:t>
        <w:tab/>
        <w:t>by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existing statute)”. Notwithstanding anything to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contrary in the Equity Definitions, a Change 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Law described in clause (Y) of Section 12.9(a)(ii)</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of the Equity Definitions shall not constitute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Change in Law and instead shall constitute an</w:t>
      </w:r>
    </w:p>
    <w:p>
      <w:pPr>
        <w:spacing w:after="0" w:line="9"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Increased Cost of Hedging as described in Section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12.9(a)(vi) of the Equity Definitions.</w:t>
      </w:r>
    </w:p>
    <w:p>
      <w:pPr>
        <w:spacing w:after="0" w:line="139" w:lineRule="exact"/>
        <w:rPr>
          <w:sz w:val="20"/>
          <w:szCs w:val="20"/>
          <w:color w:val="auto"/>
        </w:rPr>
      </w:pPr>
    </w:p>
    <w:p>
      <w:pPr>
        <w:ind w:left="1040"/>
        <w:spacing w:after="0"/>
        <w:tabs>
          <w:tab w:leader="none" w:pos="3620" w:val="left"/>
        </w:tabs>
        <w:rPr>
          <w:sz w:val="20"/>
          <w:szCs w:val="20"/>
          <w:color w:val="auto"/>
        </w:rPr>
      </w:pPr>
      <w:r>
        <w:rPr>
          <w:rFonts w:ascii="Times New Roman" w:cs="Times New Roman" w:eastAsia="Times New Roman" w:hAnsi="Times New Roman"/>
          <w:sz w:val="18"/>
          <w:szCs w:val="18"/>
          <w:color w:val="auto"/>
        </w:rPr>
        <w:t>(b) Failure to Deliver:</w:t>
      </w:r>
      <w:r>
        <w:rPr>
          <w:sz w:val="20"/>
          <w:szCs w:val="20"/>
          <w:color w:val="auto"/>
        </w:rPr>
        <w:tab/>
      </w:r>
      <w:r>
        <w:rPr>
          <w:rFonts w:ascii="Times New Roman" w:cs="Times New Roman" w:eastAsia="Times New Roman" w:hAnsi="Times New Roman"/>
          <w:sz w:val="17"/>
          <w:szCs w:val="17"/>
          <w:color w:val="auto"/>
        </w:rPr>
        <w:t>Applicable</w:t>
      </w:r>
    </w:p>
    <w:p>
      <w:pPr>
        <w:spacing w:after="0" w:line="158" w:lineRule="exact"/>
        <w:rPr>
          <w:sz w:val="20"/>
          <w:szCs w:val="20"/>
          <w:color w:val="auto"/>
        </w:rPr>
      </w:pPr>
    </w:p>
    <w:p>
      <w:pPr>
        <w:ind w:left="1040"/>
        <w:spacing w:after="0"/>
        <w:tabs>
          <w:tab w:leader="none" w:pos="3620" w:val="left"/>
        </w:tabs>
        <w:rPr>
          <w:sz w:val="20"/>
          <w:szCs w:val="20"/>
          <w:color w:val="auto"/>
        </w:rPr>
      </w:pPr>
      <w:r>
        <w:rPr>
          <w:rFonts w:ascii="Times New Roman" w:cs="Times New Roman" w:eastAsia="Times New Roman" w:hAnsi="Times New Roman"/>
          <w:sz w:val="18"/>
          <w:szCs w:val="18"/>
          <w:color w:val="auto"/>
        </w:rPr>
        <w:t>(c) Insolvency Filing:</w:t>
      </w:r>
      <w:r>
        <w:rPr>
          <w:sz w:val="20"/>
          <w:szCs w:val="20"/>
          <w:color w:val="auto"/>
        </w:rPr>
        <w:tab/>
      </w:r>
      <w:r>
        <w:rPr>
          <w:rFonts w:ascii="Times New Roman" w:cs="Times New Roman" w:eastAsia="Times New Roman" w:hAnsi="Times New Roman"/>
          <w:sz w:val="17"/>
          <w:szCs w:val="17"/>
          <w:color w:val="auto"/>
        </w:rPr>
        <w:t>Applicable</w:t>
      </w:r>
    </w:p>
    <w:p>
      <w:pPr>
        <w:spacing w:after="0" w:line="158" w:lineRule="exact"/>
        <w:rPr>
          <w:sz w:val="20"/>
          <w:szCs w:val="20"/>
          <w:color w:val="auto"/>
        </w:rPr>
      </w:pPr>
    </w:p>
    <w:p>
      <w:pPr>
        <w:ind w:left="1040"/>
        <w:spacing w:after="0"/>
        <w:tabs>
          <w:tab w:leader="none" w:pos="3620" w:val="left"/>
        </w:tabs>
        <w:rPr>
          <w:sz w:val="20"/>
          <w:szCs w:val="20"/>
          <w:color w:val="auto"/>
        </w:rPr>
      </w:pPr>
      <w:r>
        <w:rPr>
          <w:rFonts w:ascii="Times New Roman" w:cs="Times New Roman" w:eastAsia="Times New Roman" w:hAnsi="Times New Roman"/>
          <w:sz w:val="18"/>
          <w:szCs w:val="18"/>
          <w:color w:val="auto"/>
        </w:rPr>
        <w:t>(d) Loss of Stock Borrow:</w:t>
      </w:r>
      <w:r>
        <w:rPr>
          <w:sz w:val="20"/>
          <w:szCs w:val="20"/>
          <w:color w:val="auto"/>
        </w:rPr>
        <w:tab/>
      </w: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1363" w:right="1440" w:bottom="5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0139"/>
          </w:cols>
          <w:pgMar w:left="320" w:top="1363" w:right="1440" w:bottom="50" w:gutter="0" w:footer="0" w:header="0"/>
          <w:type w:val="continuous"/>
        </w:sectPr>
      </w:pPr>
    </w:p>
    <w:bookmarkStart w:id="55" w:name="page56"/>
    <w:bookmarkEnd w:id="55"/>
    <w:p>
      <w:pPr>
        <w:spacing w:after="0" w:line="3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Maximum Stock Loan</w:t>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139" w:lineRule="exact"/>
        <w:rPr>
          <w:sz w:val="20"/>
          <w:szCs w:val="20"/>
          <w:color w:val="auto"/>
        </w:rPr>
      </w:pPr>
    </w:p>
    <w:p>
      <w:pPr>
        <w:sectPr>
          <w:pgSz w:w="11900" w:h="16838" w:orient="portrait"/>
          <w:cols w:equalWidth="0" w:num="2">
            <w:col w:w="2940" w:space="660"/>
            <w:col w:w="7420"/>
          </w:cols>
          <w:pgMar w:left="320" w:top="1440" w:right="559" w:bottom="630" w:gutter="0" w:footer="0" w:header="0"/>
        </w:sectPr>
      </w:pPr>
    </w:p>
    <w:p>
      <w:pPr>
        <w:jc w:val="center"/>
        <w:ind w:left="860"/>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 or an Affiliate of Dealer that is involved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hedging of the relevant Transaction.</w:t>
      </w:r>
    </w:p>
    <w:p>
      <w:pPr>
        <w:spacing w:after="0" w:line="139"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58"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(e) 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7"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 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Not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Law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clause (Y) of Section 12.9(a)(ii)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Definitions shall constitute an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Hedging  to  which  the  consequences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12.9(b)(vi) of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 shall apply.</w:t>
      </w:r>
    </w:p>
    <w:p>
      <w:pPr>
        <w:spacing w:after="0" w:line="139" w:lineRule="exact"/>
        <w:rPr>
          <w:sz w:val="20"/>
          <w:szCs w:val="20"/>
          <w:color w:val="auto"/>
        </w:rPr>
      </w:pPr>
    </w:p>
    <w:p>
      <w:pPr>
        <w:sectPr>
          <w:pgSz w:w="11900" w:h="16838" w:orient="portrait"/>
          <w:cols w:equalWidth="0" w:num="2">
            <w:col w:w="3200" w:space="400"/>
            <w:col w:w="7420"/>
          </w:cols>
          <w:pgMar w:left="320" w:top="1440" w:right="559" w:bottom="63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 or an Affiliate of Dealer that is involved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hedging of the relevant Transaction.</w:t>
      </w:r>
    </w:p>
    <w:p>
      <w:pPr>
        <w:spacing w:after="0" w:line="139"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58"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ind w:left="1000"/>
        <w:spacing w:after="0" w:line="282" w:lineRule="auto"/>
        <w:rPr>
          <w:sz w:val="20"/>
          <w:szCs w:val="20"/>
          <w:color w:val="auto"/>
        </w:rPr>
      </w:pPr>
      <w:r>
        <w:rPr>
          <w:rFonts w:ascii="Times New Roman" w:cs="Times New Roman" w:eastAsia="Times New Roman" w:hAnsi="Times New Roman"/>
          <w:sz w:val="18"/>
          <w:szCs w:val="18"/>
          <w:color w:val="auto"/>
        </w:rPr>
        <w:t>(g) 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373" w:lineRule="exact"/>
        <w:rPr>
          <w:sz w:val="20"/>
          <w:szCs w:val="20"/>
          <w:color w:val="auto"/>
        </w:rPr>
      </w:pPr>
    </w:p>
    <w:p>
      <w:pPr>
        <w:sectPr>
          <w:pgSz w:w="11900" w:h="16838" w:orient="portrait"/>
          <w:cols w:equalWidth="0" w:num="2">
            <w:col w:w="3340" w:space="260"/>
            <w:col w:w="7420"/>
          </w:cols>
          <w:pgMar w:left="320" w:top="1440" w:right="559" w:bottom="63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139" w:lineRule="exact"/>
        <w:rPr>
          <w:sz w:val="20"/>
          <w:szCs w:val="20"/>
          <w:color w:val="auto"/>
        </w:rPr>
      </w:pPr>
    </w:p>
    <w:p>
      <w:pPr>
        <w:sectPr>
          <w:pgSz w:w="11900" w:h="16838" w:orient="portrait"/>
          <w:cols w:equalWidth="0" w:num="2">
            <w:col w:w="3040" w:space="560"/>
            <w:col w:w="7420"/>
          </w:cols>
          <w:pgMar w:left="320" w:top="1440" w:right="559" w:bottom="63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 or an Affiliate of Dealer that is involved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hedging of the relevant Transaction.</w:t>
      </w:r>
    </w:p>
    <w:p>
      <w:pPr>
        <w:spacing w:after="0" w:line="139"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58"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7"/>
          <w:szCs w:val="17"/>
          <w:color w:val="auto"/>
        </w:rPr>
        <w:t>Hedging Adjustments:</w:t>
      </w:r>
    </w:p>
    <w:p>
      <w:pPr>
        <w:spacing w:after="0" w:line="20" w:lineRule="exact"/>
        <w:rPr>
          <w:sz w:val="20"/>
          <w:szCs w:val="20"/>
          <w:color w:val="auto"/>
        </w:rPr>
      </w:pPr>
      <w:r>
        <w:rPr>
          <w:sz w:val="20"/>
          <w:szCs w:val="20"/>
          <w:color w:val="auto"/>
        </w:rPr>
        <w:br w:type="column"/>
      </w:r>
    </w:p>
    <w:p>
      <w:pPr>
        <w:spacing w:after="0"/>
        <w:tabs>
          <w:tab w:leader="none" w:pos="400" w:val="left"/>
          <w:tab w:leader="none" w:pos="780" w:val="left"/>
          <w:tab w:leader="none" w:pos="1660" w:val="left"/>
          <w:tab w:leader="none" w:pos="1980" w:val="left"/>
          <w:tab w:leader="none" w:pos="2600" w:val="left"/>
          <w:tab w:leader="none" w:pos="3460" w:val="left"/>
        </w:tabs>
        <w:rPr>
          <w:sz w:val="20"/>
          <w:szCs w:val="20"/>
          <w:color w:val="auto"/>
        </w:rPr>
      </w:pPr>
      <w:r>
        <w:rPr>
          <w:rFonts w:ascii="Times New Roman" w:cs="Times New Roman" w:eastAsia="Times New Roman" w:hAnsi="Times New Roman"/>
          <w:sz w:val="18"/>
          <w:szCs w:val="18"/>
          <w:color w:val="auto"/>
        </w:rPr>
        <w:t>For</w:t>
        <w:tab/>
        <w:t>the</w:t>
        <w:tab/>
        <w:t>avoidance</w:t>
        <w:tab/>
        <w:t>of</w:t>
        <w:tab/>
        <w:t>doubt,</w:t>
        <w:tab/>
        <w:t>whenever</w:t>
        <w:tab/>
        <w:t>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 is  called  upon  to  make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pursuant to the terms of this Master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or the Equity Definitions to take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the effect of an event, the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make such adjustment by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such event on Dealer, assuming that</w:t>
      </w:r>
    </w:p>
    <w:p>
      <w:pPr>
        <w:spacing w:after="0" w:line="9" w:lineRule="exact"/>
        <w:rPr>
          <w:sz w:val="20"/>
          <w:szCs w:val="20"/>
          <w:color w:val="auto"/>
        </w:rPr>
      </w:pPr>
    </w:p>
    <w:p>
      <w:pPr>
        <w:spacing w:after="0"/>
        <w:tabs>
          <w:tab w:leader="none" w:pos="640" w:val="left"/>
          <w:tab w:leader="none" w:pos="1500" w:val="left"/>
          <w:tab w:leader="none" w:pos="1760" w:val="left"/>
          <w:tab w:leader="none" w:pos="2920" w:val="left"/>
        </w:tabs>
        <w:rPr>
          <w:sz w:val="20"/>
          <w:szCs w:val="20"/>
          <w:color w:val="auto"/>
        </w:rPr>
      </w:pPr>
      <w:r>
        <w:rPr>
          <w:rFonts w:ascii="Times New Roman" w:cs="Times New Roman" w:eastAsia="Times New Roman" w:hAnsi="Times New Roman"/>
          <w:sz w:val="18"/>
          <w:szCs w:val="18"/>
          <w:color w:val="auto"/>
        </w:rPr>
        <w:t>Dealer</w:t>
        <w:tab/>
        <w:t>maintains</w:t>
        <w:tab/>
        <w:t>a</w:t>
        <w:tab/>
        <w:t>commercially</w:t>
      </w:r>
      <w:r>
        <w:rPr>
          <w:sz w:val="20"/>
          <w:szCs w:val="20"/>
          <w:color w:val="auto"/>
        </w:rPr>
        <w:tab/>
      </w:r>
      <w:r>
        <w:rPr>
          <w:rFonts w:ascii="Times New Roman" w:cs="Times New Roman" w:eastAsia="Times New Roman" w:hAnsi="Times New Roman"/>
          <w:sz w:val="17"/>
          <w:szCs w:val="17"/>
          <w:color w:val="auto"/>
        </w:rPr>
        <w:t>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Position.</w:t>
      </w:r>
    </w:p>
    <w:p>
      <w:pPr>
        <w:spacing w:after="0" w:line="139" w:lineRule="exact"/>
        <w:rPr>
          <w:sz w:val="20"/>
          <w:szCs w:val="20"/>
          <w:color w:val="auto"/>
        </w:rPr>
      </w:pPr>
    </w:p>
    <w:p>
      <w:pPr>
        <w:sectPr>
          <w:pgSz w:w="11900" w:h="16838" w:orient="portrait"/>
          <w:cols w:equalWidth="0" w:num="2">
            <w:col w:w="2880" w:space="720"/>
            <w:col w:w="7420"/>
          </w:cols>
          <w:pgMar w:left="320" w:top="1440" w:right="559" w:bottom="630" w:gutter="0" w:footer="0" w:header="0"/>
          <w:type w:val="continuous"/>
        </w:sectPr>
      </w:pPr>
    </w:p>
    <w:p>
      <w:pPr>
        <w:jc w:val="both"/>
        <w:ind w:left="1000"/>
        <w:spacing w:after="0" w:line="281" w:lineRule="auto"/>
        <w:rPr>
          <w:sz w:val="20"/>
          <w:szCs w:val="20"/>
          <w:color w:val="auto"/>
        </w:rPr>
      </w:pPr>
      <w:r>
        <w:rPr>
          <w:rFonts w:ascii="Times New Roman" w:cs="Times New Roman" w:eastAsia="Times New Roman" w:hAnsi="Times New Roman"/>
          <w:sz w:val="17"/>
          <w:szCs w:val="17"/>
          <w:color w:val="auto"/>
        </w:rPr>
        <w:t>Non-Reliance/Agreements and Acknowledgements Regarding Hedging Activities/Additional Acknowledgements: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60" w:lineRule="exact"/>
        <w:rPr>
          <w:sz w:val="20"/>
          <w:szCs w:val="20"/>
          <w:color w:val="auto"/>
        </w:rPr>
      </w:pPr>
    </w:p>
    <w:p>
      <w:pPr>
        <w:sectPr>
          <w:pgSz w:w="11900" w:h="16838" w:orient="portrait"/>
          <w:cols w:equalWidth="0" w:num="2">
            <w:col w:w="3220" w:space="380"/>
            <w:col w:w="7420"/>
          </w:cols>
          <w:pgMar w:left="320" w:top="1440" w:right="559" w:bottom="630" w:gutter="0" w:footer="0" w:header="0"/>
          <w:type w:val="continuous"/>
        </w:sectPr>
      </w:pPr>
    </w:p>
    <w:p>
      <w:pPr>
        <w:spacing w:after="0" w:line="41"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Calculation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Dealer.</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w:t>
      </w:r>
      <w:r>
        <w:rPr>
          <w:rFonts w:ascii="Times New Roman" w:cs="Times New Roman" w:eastAsia="Times New Roman" w:hAnsi="Times New Roman"/>
          <w:sz w:val="17"/>
          <w:szCs w:val="17"/>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BIC:</w:t>
      </w:r>
      <w:r>
        <w:rPr>
          <w:rFonts w:ascii="Times New Roman" w:cs="Times New Roman" w:eastAsia="Times New Roman" w:hAnsi="Times New Roman"/>
          <w:sz w:val="17"/>
          <w:szCs w:val="17"/>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Acct:</w:t>
      </w:r>
      <w:r>
        <w:rPr>
          <w:rFonts w:ascii="Times New Roman" w:cs="Times New Roman" w:eastAsia="Times New Roman" w:hAnsi="Times New Roman"/>
          <w:sz w:val="17"/>
          <w:szCs w:val="17"/>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w:t>
      </w:r>
    </w:p>
    <w:p>
      <w:pPr>
        <w:spacing w:after="0" w:line="233"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The shares will be delivered to Counterparty’s Authorized but Unissued Account at its transfer agent, Computershare (DTC participant # 50150)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020"/>
          </w:cols>
          <w:pgMar w:left="320" w:top="1440" w:right="559" w:bottom="630" w:gutter="0" w:footer="0" w:header="0"/>
          <w:type w:val="continuous"/>
        </w:sectPr>
      </w:pPr>
    </w:p>
    <w:bookmarkStart w:id="56" w:name="page57"/>
    <w:bookmarkEnd w:id="56"/>
    <w:p>
      <w:pPr>
        <w:jc w:val="both"/>
        <w:ind w:left="1300" w:right="40"/>
        <w:spacing w:after="0" w:line="266" w:lineRule="auto"/>
        <w:rPr>
          <w:sz w:val="20"/>
          <w:szCs w:val="20"/>
          <w:color w:val="auto"/>
        </w:rPr>
      </w:pPr>
      <w:r>
        <w:rPr>
          <w:rFonts w:ascii="Times New Roman" w:cs="Times New Roman" w:eastAsia="Times New Roman" w:hAnsi="Times New Roman"/>
          <w:sz w:val="18"/>
          <w:szCs w:val="18"/>
          <w:color w:val="auto"/>
        </w:rPr>
        <w:t>Dealer shall deliver the Shares to the Depository Trust Company’s DWAC system for acceptance by Computershare, as transfer agent for Counterparty, and such shares shall be credited to Company's unallocated position. Contact information for Counterparty's representative at Computershare is: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Jeff Seiders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Assistant Vice President &gt; Relationship Manager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 ; M: [***] ; F: [***]</w:t>
      </w:r>
    </w:p>
    <w:p>
      <w:pPr>
        <w:spacing w:after="0" w:line="200" w:lineRule="exact"/>
        <w:rPr>
          <w:sz w:val="20"/>
          <w:szCs w:val="20"/>
          <w:color w:val="auto"/>
        </w:rPr>
      </w:pPr>
    </w:p>
    <w:p>
      <w:pPr>
        <w:spacing w:after="0" w:line="276" w:lineRule="exact"/>
        <w:rPr>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 [***]</w:t>
      </w:r>
    </w:p>
    <w:p>
      <w:pPr>
        <w:spacing w:after="0" w:line="27" w:lineRule="exact"/>
        <w:rPr>
          <w:rFonts w:ascii="Times New Roman" w:cs="Times New Roman" w:eastAsia="Times New Roman" w:hAnsi="Times New Roman"/>
          <w:sz w:val="18"/>
          <w:szCs w:val="18"/>
          <w:color w:val="auto"/>
        </w:rPr>
      </w:pPr>
    </w:p>
    <w:p>
      <w:pPr>
        <w:ind w:left="1300" w:right="70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Bank, National Association Account: [***]</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Name: [***]</w:t>
      </w:r>
    </w:p>
    <w:p>
      <w:pPr>
        <w:spacing w:after="0" w:line="9" w:lineRule="exact"/>
        <w:rPr>
          <w:rFonts w:ascii="Times New Roman" w:cs="Times New Roman" w:eastAsia="Times New Roman" w:hAnsi="Times New Roman"/>
          <w:sz w:val="18"/>
          <w:szCs w:val="18"/>
          <w:color w:val="auto"/>
        </w:rPr>
      </w:pPr>
    </w:p>
    <w:p>
      <w:pPr>
        <w:ind w:left="1300" w:right="628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Instructions: To be provided as needed. Account for delivery of Shares to Dealer: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Number:  [***]</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ID: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ID:  [***]</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20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each Transaction is: Inapplicable, Counterparty is not a Multibranch Party.</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each Transaction is: Charlotte, NC</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9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Bloomin’ Brands, Inc.</w:t>
      </w:r>
    </w:p>
    <w:p>
      <w:pPr>
        <w:spacing w:after="0" w:line="27" w:lineRule="exact"/>
        <w:rPr>
          <w:rFonts w:ascii="Times New Roman" w:cs="Times New Roman" w:eastAsia="Times New Roman" w:hAnsi="Times New Roman"/>
          <w:sz w:val="18"/>
          <w:szCs w:val="18"/>
          <w:color w:val="auto"/>
        </w:rPr>
      </w:pPr>
    </w:p>
    <w:p>
      <w:pPr>
        <w:ind w:left="1300" w:right="70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2202 North West Shore Blvd., Suite 500 Tampa, FL 33607</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Jamieson Bump</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No.: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Address:  [***]</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184" w:lineRule="exact"/>
        <w:rPr>
          <w:rFonts w:ascii="Times New Roman" w:cs="Times New Roman" w:eastAsia="Times New Roman" w:hAnsi="Times New Roman"/>
          <w:sz w:val="18"/>
          <w:szCs w:val="18"/>
          <w:color w:val="auto"/>
        </w:rPr>
      </w:pPr>
    </w:p>
    <w:p>
      <w:pPr>
        <w:ind w:left="130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Agreement, all notices to Dealer in connection with the Transaction are effective only upon receipt of email message to [***]</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Agreements.</w:t>
      </w:r>
    </w:p>
    <w:p>
      <w:pPr>
        <w:spacing w:after="0" w:line="254" w:lineRule="exact"/>
        <w:rPr>
          <w:rFonts w:ascii="Times New Roman" w:cs="Times New Roman" w:eastAsia="Times New Roman" w:hAnsi="Times New Roman"/>
          <w:sz w:val="18"/>
          <w:szCs w:val="18"/>
          <w:b w:val="1"/>
          <w:bCs w:val="1"/>
          <w:color w:val="auto"/>
        </w:rPr>
      </w:pPr>
    </w:p>
    <w:p>
      <w:pPr>
        <w:ind w:left="1300" w:hanging="644"/>
        <w:spacing w:after="0" w:line="284"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Representations, Warranties and Covenants of Each Party</w:t>
      </w:r>
      <w:r>
        <w:rPr>
          <w:rFonts w:ascii="Times New Roman" w:cs="Times New Roman" w:eastAsia="Times New Roman" w:hAnsi="Times New Roman"/>
          <w:sz w:val="18"/>
          <w:szCs w:val="18"/>
          <w:color w:val="auto"/>
        </w:rPr>
        <w:t>. In addition to the representations, warranties and covenants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each party represents, warrants and covenants to the other party that:</w:t>
      </w:r>
    </w:p>
    <w:p>
      <w:pPr>
        <w:spacing w:after="0" w:line="160"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“eligible contract participant” (as such term is defined in the Commodity Exchange Act, as amended).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309"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20"/>
          </w:cols>
          <w:pgMar w:left="320" w:top="1309" w:right="359" w:bottom="1440" w:gutter="0" w:footer="0" w:header="0"/>
          <w:type w:val="continuous"/>
        </w:sectPr>
      </w:pPr>
    </w:p>
    <w:bookmarkStart w:id="57" w:name="page58"/>
    <w:bookmarkEnd w:id="57"/>
    <w:p>
      <w:pPr>
        <w:jc w:val="both"/>
        <w:ind w:left="1960" w:hanging="656"/>
        <w:spacing w:after="0" w:line="256" w:lineRule="auto"/>
        <w:tabs>
          <w:tab w:leader="none" w:pos="19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offer and sale of each Transaction to it is intended to be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virtue of Section 4(a)(2) thereof. Accordingly, each party represents and warrants to the other that (A) it has the financial ability to bear the economic risk of its investment in each Transaction and is able to bear a total loss of its investment, (B) it is a “qualified institutional buyer” as defined in Rule 144A under the Securities Act or an “accredited investor” as that term is defined under Regulation D under the Securities Act and (C) the disposition of each Transaction is restricted under this Master Confirmation, the Securities Act and state securities laws.</w:t>
      </w:r>
    </w:p>
    <w:p>
      <w:pPr>
        <w:spacing w:after="0" w:line="185" w:lineRule="exact"/>
        <w:rPr>
          <w:rFonts w:ascii="Times New Roman" w:cs="Times New Roman" w:eastAsia="Times New Roman" w:hAnsi="Times New Roman"/>
          <w:sz w:val="18"/>
          <w:szCs w:val="18"/>
          <w:color w:val="auto"/>
        </w:rPr>
      </w:pPr>
    </w:p>
    <w:p>
      <w:pPr>
        <w:ind w:left="1300" w:hanging="644"/>
        <w:spacing w:after="0" w:line="284" w:lineRule="auto"/>
        <w:tabs>
          <w:tab w:leader="none" w:pos="12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Representations, Warranties and Covenants of Counterparty</w:t>
      </w:r>
      <w:r>
        <w:rPr>
          <w:rFonts w:ascii="Times New Roman" w:cs="Times New Roman" w:eastAsia="Times New Roman" w:hAnsi="Times New Roman"/>
          <w:sz w:val="18"/>
          <w:szCs w:val="18"/>
          <w:color w:val="auto"/>
        </w:rPr>
        <w:t>. In addition to the representations, warranties and covenants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Counterparty represents, warrants and covenants to Dealer that:</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for each Transaction hereunder, (A) such Transaction is being entered into pursuant to a publicly disclosed Share buy-back program and its Board of Directors has approved the use of agreements such as this Master Confirmation to effect the Share buy-back program, and (B) there is no internal policy of Counterparty, whether written or oral, that would prohibit Counterparty from entering into any aspect of such Transaction, including, without limitation, the purchases of Shares to be made pursuant to such Transaction.</w:t>
      </w:r>
    </w:p>
    <w:p>
      <w:pPr>
        <w:spacing w:after="0" w:line="183" w:lineRule="exact"/>
        <w:rPr>
          <w:sz w:val="20"/>
          <w:szCs w:val="20"/>
          <w:color w:val="auto"/>
        </w:rPr>
      </w:pPr>
    </w:p>
    <w:p>
      <w:pPr>
        <w:ind w:left="1960" w:right="20" w:hanging="656"/>
        <w:spacing w:after="0" w:line="282" w:lineRule="auto"/>
        <w:tabs>
          <w:tab w:leader="none" w:pos="19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for each Transaction hereunder, the purchase or writing of such Transaction and the transactions contemplated hereby will not violate Rule 13e-1 or Rule 13e-4 under the Exchange Act.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for each Transaction hereunder, it is not entering into such Transaction, and as of the date of any election with respect to any Transaction hereunder, it is not making such election, in each case (A) on the basis of, and is not aware of, any material non-public information regarding Counterparty or the Shares, (B) in anticipation of, in connection with, or to facilitate, a distribution of its securities, a self tender offer or a third-party tender offer in violation of the Exchange Act or (C) to create actual or apparent trading activity in the Shares (or any security convertible into or exchangeable for the Shares) or to manipulate the price of the Shares (or any security convertible into or exchangeable for the Shares).</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72" w:lineRule="auto"/>
        <w:tabs>
          <w:tab w:leader="none" w:pos="195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w:t>
      </w:r>
    </w:p>
    <w:p>
      <w:pPr>
        <w:spacing w:after="0" w:line="1" w:lineRule="exact"/>
        <w:rPr>
          <w:rFonts w:ascii="Times New Roman" w:cs="Times New Roman" w:eastAsia="Times New Roman" w:hAnsi="Times New Roman"/>
          <w:sz w:val="17"/>
          <w:szCs w:val="17"/>
          <w:color w:val="auto"/>
        </w:rPr>
      </w:pPr>
    </w:p>
    <w:p>
      <w:pPr>
        <w:ind w:left="1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has total assets of at least USD 50,000,000 as of the date hereof.</w:t>
      </w:r>
    </w:p>
    <w:p>
      <w:pPr>
        <w:spacing w:after="0" w:line="206" w:lineRule="exact"/>
        <w:rPr>
          <w:rFonts w:ascii="Times New Roman" w:cs="Times New Roman" w:eastAsia="Times New Roman" w:hAnsi="Times New Roman"/>
          <w:sz w:val="17"/>
          <w:szCs w:val="17"/>
          <w:color w:val="auto"/>
        </w:rPr>
      </w:pPr>
    </w:p>
    <w:p>
      <w:pPr>
        <w:ind w:left="1960" w:hanging="656"/>
        <w:spacing w:after="0" w:line="282" w:lineRule="auto"/>
        <w:tabs>
          <w:tab w:leader="none" w:pos="19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for each Transaction hereunder, and as of the date of any election with respect to any Transaction hereunder, Counterparty is in compliance in all material respects with its reporting obligations under the Exchange Act.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made, and will make, all filings required to be made by it with the Securities and Exchange Commission, any securities exchange or any other regulatory body with respect to each Transaction during the term of the relevant Transaction.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not, and Counterparty will not cause the Shares to be, subject to a “restricted period” (as defined in Regulation M promulgated under the Exchange Act) (excluding for the purposes of this provision any issuances by the Counterparty of securities or undertaking of activities exempted from Regulation M by means of Rule 102(b), (c) or (d) of Regulation M (as defined below)) at any time during any Regulation M Period for any Transaction unless Counterparty has provided written notice to Dealer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58" w:name="page59"/>
    <w:bookmarkEnd w:id="58"/>
    <w:p>
      <w:pPr>
        <w:jc w:val="both"/>
        <w:ind w:left="1960"/>
        <w:spacing w:after="0" w:line="252" w:lineRule="auto"/>
        <w:rPr>
          <w:sz w:val="20"/>
          <w:szCs w:val="20"/>
          <w:color w:val="auto"/>
        </w:rPr>
      </w:pPr>
      <w:r>
        <w:rPr>
          <w:rFonts w:ascii="Times New Roman" w:cs="Times New Roman" w:eastAsia="Times New Roman" w:hAnsi="Times New Roman"/>
          <w:sz w:val="18"/>
          <w:szCs w:val="18"/>
          <w:color w:val="auto"/>
        </w:rPr>
        <w:t>of such restricted period not later than the Scheduled Trading Day immediately preceding the first day of such “restricted period”; Counterparty acknowledges that any such notice may be treated as a Regulatory Disruption pursuant to Section 7 below; accordingly, Counterparty acknowledges that its delivery of such notice must comply with the standards set forth in Section 8 below. Counterparty is not currently, as of the Trade Date, contemplating any “distribution” (as defined in Regulation M promulgated under the Exchange Act) of Shares, or any security for which Shares are a “reference security” (as defined in Regulation M promulgated under the Exchange Act), in respect of which the related “restricted period” would overlap with any day during the Regulation M Period. “</w:t>
      </w:r>
      <w:r>
        <w:rPr>
          <w:rFonts w:ascii="Times New Roman" w:cs="Times New Roman" w:eastAsia="Times New Roman" w:hAnsi="Times New Roman"/>
          <w:sz w:val="18"/>
          <w:szCs w:val="18"/>
          <w:b w:val="1"/>
          <w:bCs w:val="1"/>
          <w:color w:val="auto"/>
        </w:rPr>
        <w:t>Regulation M Period</w:t>
      </w:r>
      <w:r>
        <w:rPr>
          <w:rFonts w:ascii="Times New Roman" w:cs="Times New Roman" w:eastAsia="Times New Roman" w:hAnsi="Times New Roman"/>
          <w:sz w:val="18"/>
          <w:szCs w:val="18"/>
          <w:color w:val="auto"/>
        </w:rPr>
        <w:t>” means, for any Transaction, (A) the Relevant Period (as defined below) for such Transaction, (B) the Settlement Valuation Period, if any, for such Transaction and (C) the Seller Termination Purchase Period (as defined below), if any, for such Transaction.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for any Transaction, the period commencing on the Calculation Period Start Date for such Transaction and ending on the later of (1) the earlier of (x) the Scheduled Termination Date and (y) the last Additional Relevant Day (as specified in the related Supplemental Confirmation) for such Transaction, or such earlier day as elected by Dealer and communicated to Counterparty on such day (or, if later, the First Acceleration Date without regard to any acceleration thereof pursuant to “Special Provisions for Acquisition Transaction Announcements” below) and (2) if Section 15 is applicable to such Transaction, the date on which all deliveries owed pursuant to Section 15 have been made.</w:t>
      </w:r>
    </w:p>
    <w:p>
      <w:pPr>
        <w:spacing w:after="0" w:line="196" w:lineRule="exact"/>
        <w:rPr>
          <w:sz w:val="20"/>
          <w:szCs w:val="20"/>
          <w:color w:val="auto"/>
        </w:rPr>
      </w:pPr>
    </w:p>
    <w:p>
      <w:pPr>
        <w:jc w:val="both"/>
        <w:ind w:left="1960" w:hanging="656"/>
        <w:spacing w:after="0" w:line="258" w:lineRule="auto"/>
        <w:tabs>
          <w:tab w:leader="none" w:pos="19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the Prepayment Date, the Initial Share Delivery Date, the Settlement Date, any Cash Settlement Payment Date and any Settlement Method Election Date for each Transaction,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Counterparty would be able to purchase a number of Shares with a value equal to the Prepayment Amount in compliance with the laws of the jurisdiction of Counterparty’s incorporation.</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each Transaction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at least one day prior to the first day of the Calculation Period, the Settlement Valuation Period, if any, or the Seller Termination Purchase Period, if any, for any Transaction, notify Dealer of the total number of Shares purchased in Rule 10b-18 purchases of blocks pursuant to the once-a-week block exception set forth in paragraph (b)(4) of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by or for Counterparty or any of its “affiliated purchasers” (as defined in Rule 10b-18) during each of the four calendar weeks preceding such day and during the calendar week in which such day occurs (“Rule 10b-18 purchase” and “blocks” each being used as defined in Rule 10b-18), which notice shall be substantially in the form set forth in Schedule B hereto.</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Trade Date for each Transaction hereunder, and as of the date of any election with respect to any Transaction hereunder, there has not been any Merger Announcement (as defined below).</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warranties and covenants in this Agreement, Dealer represents, warrants and covenants to Counterparty that: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81" w:lineRule="auto"/>
        <w:tabs>
          <w:tab w:leader="none" w:pos="1954"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covenants in the Agreement and herein, Dealer agrees to use commercially reasonable efforts, during the Calculation Period and any Settlement Valuation Period (as defined in Annex A) for any Transaction, to make all purchases of Shares in connection with such Transaction in a manner that would comply with the limitations set forth in clauses (b)(1), (b)(2), (b)(3) and (b)(4) and (c) of Rule 10b-18, as if such rule were applicable to such purchases and taking into account any applicable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59" w:name="page60"/>
    <w:bookmarkEnd w:id="59"/>
    <w:p>
      <w:pPr>
        <w:jc w:val="both"/>
        <w:ind w:left="1960"/>
        <w:spacing w:after="0" w:line="254" w:lineRule="auto"/>
        <w:rPr>
          <w:sz w:val="20"/>
          <w:szCs w:val="20"/>
          <w:color w:val="auto"/>
        </w:rPr>
      </w:pPr>
      <w:r>
        <w:rPr>
          <w:rFonts w:ascii="Times New Roman" w:cs="Times New Roman" w:eastAsia="Times New Roman" w:hAnsi="Times New Roman"/>
          <w:sz w:val="18"/>
          <w:szCs w:val="18"/>
          <w:color w:val="auto"/>
        </w:rPr>
        <w:t>Securities and Exchange Commission no-action letters as appropriate, and subject to any delays between the execution and reporting of a trade of the Shares on the Exchange and other circumstances beyond Dealer’s control; provided that, during the Calculation Period, the foregoing agreement shall not apply to purchases made to dynamically hedge for Dealer’s own account or the account of its affiliate(s) the optionality arising under a Transaction (including, for the avoidance of doubt, timing optionality); provided further that, without limiting the generality of the first sentence of this Section 6(c)(i), Dealer shall not be responsible for any failure to comply with Rule 10b-18(b)(3) to the extent any transaction that was executed (or deemed to be executed) by or on behalf of Counterparty or an “affiliated purchaser” (as defined under Rule 10b-18) pursuant to a separate agreement is not deemed to be an “independent bid” or an “independent transaction” for purposes of Rule 10b-18(b)(3).</w:t>
      </w:r>
    </w:p>
    <w:p>
      <w:pPr>
        <w:spacing w:after="0" w:line="192" w:lineRule="exact"/>
        <w:rPr>
          <w:sz w:val="20"/>
          <w:szCs w:val="20"/>
          <w:color w:val="auto"/>
        </w:rPr>
      </w:pPr>
    </w:p>
    <w:p>
      <w:pPr>
        <w:jc w:val="both"/>
        <w:ind w:left="1960" w:hanging="656"/>
        <w:spacing w:after="0" w:line="266" w:lineRule="auto"/>
        <w:tabs>
          <w:tab w:leader="none" w:pos="1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Transaction, Dealer represents and warrants to Counterparty that it has not, at any time before the filing of a Form 8-K reporting the entry into such Transaction on the Trade Date for such Transaction, discussed any offsetting transaction(s) in respect of such Transaction with any third party.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hereby represents and covenants to Counterparty that it has implemented policies and procedures, taking into consideration the nature of its business, reasonably designed to ensure that individuals making investment decisions related to any Transaction do not have access to material nonpublic information regarding Issuer or the Shares.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Exchange Business Day of purchasing any Shares on behalf of Counterparty pursuant to the once-a-week block exception set forth in paragraph (b)(4) of Rule 10b-18, Dealer shall notify Counterparty of the total number of Shares so purchased.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Exchange Business Day of each week, Dealer shall provide weekly reports (the “</w:t>
      </w:r>
      <w:r>
        <w:rPr>
          <w:rFonts w:ascii="Times New Roman" w:cs="Times New Roman" w:eastAsia="Times New Roman" w:hAnsi="Times New Roman"/>
          <w:sz w:val="18"/>
          <w:szCs w:val="18"/>
          <w:b w:val="1"/>
          <w:bCs w:val="1"/>
          <w:color w:val="auto"/>
        </w:rPr>
        <w:t>Weekly Reports</w:t>
      </w:r>
      <w:r>
        <w:rPr>
          <w:rFonts w:ascii="Times New Roman" w:cs="Times New Roman" w:eastAsia="Times New Roman" w:hAnsi="Times New Roman"/>
          <w:sz w:val="18"/>
          <w:szCs w:val="18"/>
          <w:color w:val="auto"/>
        </w:rPr>
        <w:t>”) in connection with such Transaction to the Counterparty and to such other persons or agents of the Counterparty as the Counterparty shall reasonably designate in writing, by electronic mail to the Counterparty or its designee. Each weekly report shall include the ADTV in the Shares for each Scheduled Trading Day during the immediately preceding week (as defined and determined in accordance with Rule 10b-18, as defined herein), the VWAP Price for each such Scheduled Trading Day and the high and low price on each such Scheduled Trading Day. For the avoidance of doubt and notwithstanding anything to the contrary in the two immediately preceding sentences, the VWAP Price for purposes of this Master Confirmation shall be determined pursuant the language opposite the caption “VWAP Price” in Section 1 of this Master Confirmation under the heading “Valuation” and not on the basis of, or by reference to, the VWAP Price set forth in any Weekly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Disruption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Dealer concludes, in its good faith, reasonable judgment, based on the advice of counsel,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with respect to (x) any legal, regulatory or self-regulatory requirements or (y) related policies and procedures, similarly applicable to accelerated share repurchase transactions and consistently applied (whether or not such requirements, policies or procedures are imposed by law or have been voluntarily adopted by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requirements, policies and procedures relate to regulatory issues and are generally applicable in similar situations and are applied in a consistent manner in similar transactions) for it to refrain from or decrease any market activity on any Scheduled Trading Day or Days during the Calculation Period or, if applicable, the Settlement Valuation Period, Dealer may, in its commercially reasonable discretion, by written notice to Counterparty elect to deem that a Market Disruption Event has occurred and will be continuing on such Scheduled Trading Day or Days. Dealer shall notify Counterparty as soon as practicable (but in no event later than one Trading Day) that a Regulatory Disruption has occurred and the reasons for such Regulatory Disruption and the Scheduled Trading Days affected by it, provided that the Dealer shall not be obligated to disclose any proprietary or confidential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0" w:name="page61"/>
    <w:bookmarkEnd w:id="60"/>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models or any other confidential or proprietary information, in each case, used by it for such determination. If a Regulatory Disruption is deemed to have occurred such Scheduled Trading Day or Scheduled Trading Days will each be a Disrupted Day in full, or other than in the event Dealer determines in good faith that such Regulatory Disruption pursuant to clause (y) above arises solely as a result of the Dealer’s voluntarily adopted policies and procedures, in part. In no event shall a Regulatory Disruption result from the involvement of Dealer or any of its Affiliates in any capacity in any transaction (or any proposed or contemplated transaction) with or involving any third party.</w:t>
      </w:r>
    </w:p>
    <w:p>
      <w:pPr>
        <w:spacing w:after="0" w:line="20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10b5-1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represents, warrants and covenants to Dealer that:</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2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entering into this Master Confirmation and each Transaction hereunder in good faith and not as part of a plan or scheme to evade the prohibitions of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or any other antifraud or anti-manipulation provisions of the federal or applicable state securities laws and will act in good faith with respect to this Master Confirmation and each Transaction hereunder. Counterparty has not entered into or altered and will not enter into or alter any corresponding or hedging transaction or position with respect to the Shares. Counterparty acknowledges that it is the intent of the parties that each Transaction entered into under this Master Confirmation comply with the requirements of paragraphs (c)(1)(i)(A) and (B) of Rule 10b5-1 and each Transaction entered into under this Master Confirmation shall be interpreted to comply with the requirements of Rule 10b5-1(c).</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2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Calculation Period and the Settlement Valuation Period, if any, for any Transaction and in connection with the delivery of any Alternative Delivery Units for any Transaction, Dealer (or its agent or Affiliate) may effect transactions in Shares in connection with such Transaction. The timing of such transactions by Dealer, the price paid or received per Share pursuant to such transactions and the manner in which such transactions are made, including, without limitation, whether such transactions are made on any securities exchange or privately, shall be within the sole judgment of Dealer. Counterparty acknowledges and agrees that all such transactions shall be made in Dealer’s sole judgment and for Dealer’s own account.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does not have, and shall not attempt to exercise, any control or influence over how, when or whether Dealer (or its agent or Affiliate) makes any “purchases or sales” (within the meaning of Rule 10b5-1(c)(1)(i)(B)(3)) in connection with any Transaction, including, without limitation, over how, when or whether Dealer (or its agent or Affiliate) enters into any hedging transactions. Counterparty represents and warrants that it has consulted with its own advisors as to the legal aspects of its adoption and implementation of this Master Confirmation and each Supplemental Confirmation under Rule 10b5-1.</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2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not, directly or indirectly, communicate any information relating to the Shares or any Transaction (including, without limitation, any notices required by Section 10(a)) to any employee of Dealer, other than as set forth in the Communications Procedures attached as Annex B hereto.</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(or any “affiliate” or “affiliated purchaser” as defined in Rule 10b-18) shall not,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Dealer, directly or indirectly (including, without limitation, by means of a derivative instrument) purchase, offer to purchase, place any bid or limit order that would effect a purchase of, or commence any tender offer relating to, any Shares (or equivalent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1" w:name="page62"/>
    <w:bookmarkEnd w:id="6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interest, including, without limitation, a unit of beneficial interest in a trust or limited partnership or a depository share), listed contracts on the Shares or securities that are convertible into, or exchangeable or exercisable for Shares (including, without limitation, any Rule 10b-18 purchases of blocks (as defined in Rule 10b-18)) during any Relevant Period, any Settlement Valuation Period (if applicable) or any Seller Termination Purchase Period (if applicable), under this Master Confirmation.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Notwithstanding the immediately preceding paragraph or anything herein to the contrary (i) an agent independent of Counterparty may purchase Shares effected by or for an issuer plan Counterparty in accordance with the requirements of Section 10b-18(a)(13)(ii) under the Exchange Act (with “issuer plan” and “agent independent of Counterparty” each being used herein as defined in Rule 10b-18), and (ii) Counterparty or any “affiliated purchaser” may purchase (A) Shares in (x) unsolicited transactions or (y) privately negotiated (off-market) transactions, in each case, that are not “Rule 10b-18 purchases” (as defined in Rule 10b-18) or (B) 5.00% Convertible Notes due 2025 and/or Shares, which purchase may be deemed to occur pursuant to those certain exchange agreements and call spread unwind agreements entered into prior to the date hereof.</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Nothing in this Section 9 will (i) limit the Counterparty’s ability, pursuant to its employee incentive plans or dividend reinvestment program, to reacquire Shares in connection with the related equity transactions, (ii) limit Counterparty’s ability to withhold shares to cover tax liabilities associated with such equity transaction, or (iii) limit Counterparty’s ability to grant stock, restricted stock units and options to “affiliated partners” (as defined in Rule 10b-18) or the ability of such affiliated purchasers to acquire such stock or options, in connection with the Counterparty’s compensation policies for directors, officers or employees of any entities that are acquisition targets of Counterparty, and in connection with such purchase Counterparty will be deemed to represent to Dealer that such purchase does not constitute a “Rule 10b-18 Purchase” (as defined in Rule 10b-18) (collectively with the purchases described in the preceding paragraph, “</w:t>
      </w:r>
      <w:r>
        <w:rPr>
          <w:rFonts w:ascii="Times New Roman" w:cs="Times New Roman" w:eastAsia="Times New Roman" w:hAnsi="Times New Roman"/>
          <w:sz w:val="18"/>
          <w:szCs w:val="18"/>
          <w:b w:val="1"/>
          <w:bCs w:val="1"/>
          <w:color w:val="auto"/>
        </w:rPr>
        <w:t>Permitted Purchases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Provisions for Merger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or in the Equity Definitions: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5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during the period commencing on the Trade Date for any Transaction and ending on the last day of the Relevant Period or, if applicable, the later of the last day of the Settlement Valuation Period and the last day of the Seller Termination Purchase Period, for such Transaction make, or to the extent within Counterparty’s reasonable control, permit to be made, any public announcement (as defined in Rule 165(f) under the Securities Act) of any Merger Transaction or potential Merger Transaction (a “</w:t>
      </w:r>
      <w:r>
        <w:rPr>
          <w:rFonts w:ascii="Times New Roman" w:cs="Times New Roman" w:eastAsia="Times New Roman" w:hAnsi="Times New Roman"/>
          <w:sz w:val="18"/>
          <w:szCs w:val="18"/>
          <w:b w:val="1"/>
          <w:bCs w:val="1"/>
          <w:color w:val="auto"/>
        </w:rPr>
        <w:t>Merger Announcement</w:t>
      </w:r>
      <w:r>
        <w:rPr>
          <w:rFonts w:ascii="Times New Roman" w:cs="Times New Roman" w:eastAsia="Times New Roman" w:hAnsi="Times New Roman"/>
          <w:sz w:val="18"/>
          <w:szCs w:val="18"/>
          <w:color w:val="auto"/>
        </w:rPr>
        <w:t xml:space="preserve">”) unless such Merger Announcement is made prior to the opening or after the close of the regular trading session on the Exchange for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Merger Announcement during such period, as applicable, that is made at any time other than prior to the opening or after the close of the regular trading session on the Exchange for the Shares, the provisions of Section 6(c)(i) hereof shall no longer apply to Dealer;</w:t>
      </w:r>
    </w:p>
    <w:p>
      <w:pPr>
        <w:spacing w:after="0" w:line="191"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(but in any event prior to the next opening of the regular trading session on the Exchange) notify Dealer following any such Merger Announcement that such Merger Announcement has been made;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of any Merger Transaction or potential Merger Transaction that were not effected through Dealer or its Affiliates and (ii) the number of Shares purchased pursuant to the proviso in Rule 10b-18(b)(4) under the Exchange Act for the three full calendar months preceding the announcement date of any Merger Transaction or potential Merger Transaction. Such</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2" w:name="page63"/>
    <w:bookmarkEnd w:id="62"/>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shareowners.</w:t>
      </w:r>
    </w:p>
    <w:p>
      <w:pPr>
        <w:spacing w:after="0" w:line="176" w:lineRule="exact"/>
        <w:rPr>
          <w:sz w:val="20"/>
          <w:szCs w:val="20"/>
          <w:color w:val="auto"/>
        </w:rPr>
      </w:pPr>
    </w:p>
    <w:p>
      <w:pPr>
        <w:jc w:val="both"/>
        <w:ind w:left="1300" w:hanging="644"/>
        <w:spacing w:after="0" w:line="261" w:lineRule="auto"/>
        <w:tabs>
          <w:tab w:leader="none" w:pos="12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 any such Merger Announcement or delivery of a notice with respect thereto may cause the terms of any Transaction to be adjusted as a Regulatory Disruption, other than a Regulatory Disruption arising pursuant to clause (y) thereof solely from Dealer’s voluntarily adopted policies and procedures, or result in such Transaction being terminated; accordingly, Counterparty acknowledges that its delivery of such notice must comply with the standards set forth in Section 8 above.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Merger Announcement or the receipt of a notice with respect thereto by the Dealer may be treated by the Dealer as a Regulatory Disruption and, other than a Regulatory Disruption arising pursuant to clause (y) thereof solely from Dealer’s voluntarily adopted policies and procedures, may result in the terms of any Transaction being adjusted by the Dealer in a commercially reasonable manner (solely to account for the economic effect of such Public Announcement on the relevant Transaction as a result of such Regulatory Disruption) or result in such Transaction being treated as an Additional Termination Event by Dealer.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w:t>
      </w:r>
    </w:p>
    <w:p>
      <w:pPr>
        <w:spacing w:after="0" w:line="31" w:lineRule="exact"/>
        <w:rPr>
          <w:sz w:val="20"/>
          <w:szCs w:val="20"/>
          <w:color w:val="auto"/>
        </w:rPr>
      </w:pPr>
    </w:p>
    <w:p>
      <w:pPr>
        <w:jc w:val="both"/>
        <w:ind w:left="660" w:hanging="4"/>
        <w:spacing w:after="0" w:line="253" w:lineRule="auto"/>
        <w:tabs>
          <w:tab w:leader="none" w:pos="9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pursuant to which the Dealer determines, in its reasonable discretion, that Dealer would be limited in purchasing Shares during the term of the relevant Transaction under Rule 10b-18 in the same manner that Rule 10b-18 would limit the Counterparty from purchasing Shares of its Common Stock under Rule 10b-18, other than, solely for purposes of this Section 10, any such transaction in which the consideration consists solely of cash and there is no valuation period.</w:t>
      </w:r>
    </w:p>
    <w:p>
      <w:pPr>
        <w:spacing w:after="0" w:line="14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adjustment to the terms of any Transaction hereunder and the determination of any amounts due upon termination of any Transaction hereunder as a result of a Merger Transaction shall be made without duplication in respect of any prior adjustment hereunder (including, without limitation, any prior adjustment pursuant to Section 11 below).</w:t>
      </w:r>
    </w:p>
    <w:p>
      <w:pPr>
        <w:spacing w:after="0" w:line="145"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Provisions for Acquisition Transaction Announcements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or in the Equity Definitions: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6" w:lineRule="auto"/>
        <w:tabs>
          <w:tab w:leader="none" w:pos="12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Acquisition Transaction Announcement occurs on or prior to the Settlement Date for any Transaction, then the Calculation Agent shall make such adjustment, in a commercially reasonable manner, to the Forward Price Adjustment Amount as the Calculation Agent determines appropriate, at such time or times as the Calculation Agent determines appropriate, to account for the economic effect of such Acquisition Transaction Announcement on the value of such Transaction to the parties in a manner consistent with “Method of Adjustment” as set forth in Section 1 above, as amended pursuant to Section 23(a)-(c) of this Master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Forward Price Adjustment Amount be less than zero.</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2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 Announcement</w:t>
      </w:r>
      <w:r>
        <w:rPr>
          <w:rFonts w:ascii="Times New Roman" w:cs="Times New Roman" w:eastAsia="Times New Roman" w:hAnsi="Times New Roman"/>
          <w:sz w:val="18"/>
          <w:szCs w:val="18"/>
          <w:color w:val="auto"/>
        </w:rPr>
        <w:t xml:space="preserve">” means (i) the announcement by Counterparty or any of its subsidiaries of an Acquisition Transaction or an event that, if consummated, would result in an Acquisition Transaction, (ii) an announcement by Counterparty or any of its subsidiaries that Counterparty or any of its subsidiaries has entered into an agreement, a letter of intent or an understanding designed to result in an Acquisition Transaction, (iii) the announcement by Counterparty or any of its subsidiaries of the intention to solicit or enter into, or to explore strategic alternatives or other similar undertaking that may include, an Acquisition Transaction, (iv) the announcement by a bona fide person of such person’s intention to pursue an Acquisition Transaction that in the good faith commercially reasonable judgment of the Calculation Agent (based on changes in volatility, stock loan rate, value of any commercially reasonable Hedge Positions in connection with the relevant Transaction and liquidity relevant to the Shares or to the relevant Transaction) is reasonably likely to result in an Acquisition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3" w:name="page64"/>
    <w:bookmarkEnd w:id="63"/>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Calculation Agent shall in good faith determine whether any such person is a bona fide person or (v) any announcement of any change or amendment to any previous Acquisition Transaction Announcement (including any announcement of the abandonment of any such previously announced Acquisition Transaction, agreement, letter of intent, understanding or intention).</w:t>
      </w:r>
    </w:p>
    <w:p>
      <w:pPr>
        <w:spacing w:after="0" w:line="172" w:lineRule="exact"/>
        <w:rPr>
          <w:sz w:val="20"/>
          <w:szCs w:val="20"/>
          <w:color w:val="auto"/>
        </w:rPr>
      </w:pPr>
    </w:p>
    <w:p>
      <w:pPr>
        <w:jc w:val="both"/>
        <w:ind w:left="1300" w:hanging="644"/>
        <w:spacing w:after="0" w:line="253" w:lineRule="auto"/>
        <w:tabs>
          <w:tab w:leader="none" w:pos="12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“30%” and references to “50%” being replaced by “75%”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(iii) a recapitalization, reclassification, binding share exchange or other similar transaction with respect to Counterparty, (iv) any acquisition by Counterparty or any of its subsidiaries where the aggregate consideration transferable by Counterparty or its subsidiaries exceeds 25% of the market capitalization of Counterparty, (v) any lease, exchange, transfer, disposition (including, without limitation, by way of spin-off or distribution) of assets (including, without limitation, any capital stock or other ownership interests in subsidiaries) or other similar event by Counterparty or any of its subsidiaries where the aggregate consideration transferable or receivable by or to Counterparty or its subsidiaries exceeds 25% of the market capitalization of Counterparty (measured as of the relevant date of announcement) or (vi) any transaction in which Counterparty or its board of directors has a legal obligation to make a recommendation to its shareowners in respect of such transaction (whether pursuant to Rule 14e-2 under the Exchange Act or otherwise).</w:t>
      </w:r>
    </w:p>
    <w:p>
      <w:pPr>
        <w:spacing w:after="0" w:line="191" w:lineRule="exact"/>
        <w:rPr>
          <w:sz w:val="20"/>
          <w:szCs w:val="20"/>
          <w:color w:val="auto"/>
        </w:rPr>
      </w:pPr>
    </w:p>
    <w:p>
      <w:pPr>
        <w:ind w:left="660" w:right="560"/>
        <w:spacing w:after="0" w:line="312" w:lineRule="auto"/>
        <w:rPr>
          <w:sz w:val="20"/>
          <w:szCs w:val="20"/>
          <w:color w:val="auto"/>
        </w:rPr>
      </w:pPr>
      <w:r>
        <w:rPr>
          <w:rFonts w:ascii="Times New Roman" w:cs="Times New Roman" w:eastAsia="Times New Roman" w:hAnsi="Times New Roman"/>
          <w:sz w:val="17"/>
          <w:szCs w:val="17"/>
          <w:color w:val="auto"/>
        </w:rPr>
        <w:t>Any adjustment to the terms of any Transaction hereunder as a result of an Acquisition Transaction Announcement shall be made without duplication in respect of any prior adjustment hereunder (including, without limitation, any prior adjustment pursuant to Section 10 above).</w:t>
      </w:r>
    </w:p>
    <w:p>
      <w:pPr>
        <w:spacing w:after="0" w:line="13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2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for each Transaction to be a “securities contract” as defined in Section 741(7) of the Bankruptcy Code and a “forward contract” as defined in Section 101(25) of the Bankruptcy Code, and the parties hereto to be entitled to the protections afforded by, among other Sections, Sections 362(b)(6), 362(b)(27), 362(o), 546(e), 546(j), 555, 556, 560 and 561 of the Bankruptcy Code.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any Transaction, Dealer and its Affiliates may buy or sell Shares or other securities or buy or sell options or futures contracts or enter into swaps or other derivative securities in order to establish, adjust or unwind its hedge position with respect to such Transaction;</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may also be active in the market for the Shares and Share-linked transactions other than in connection with hedging activities in relation to any Transaction;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VWAP Price;</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Dealer and its Affiliates with respect to the Shares may affect the market price and volatility of the Shares, as well as the Forward Price and VWAP Price, each in a manner that may be adverse to Counterparty;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4" w:name="page65"/>
    <w:bookmarkEnd w:id="64"/>
    <w:p>
      <w:pPr>
        <w:jc w:val="both"/>
        <w:ind w:left="1960" w:hanging="656"/>
        <w:spacing w:after="0" w:line="266" w:lineRule="auto"/>
        <w:tabs>
          <w:tab w:leader="none" w:pos="19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is a derivatives transaction in which it has granted Dealer an option; Dealer may purchase shares for its own account at an average price that may be greater than, or less than, the price paid by Counterparty under the terms of the related Transaction.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73" w:lineRule="auto"/>
        <w:tabs>
          <w:tab w:leader="none" w:pos="655"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Collateral, Netting or Setoff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provision of the Agreement or any other agreement between the parties to the contrary,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of Counterparty hereunder are not secured by any collateral. Obligations under any Transaction shall not be netted, recouped or set off (including pursuant to Section 6 of the Agreement) against any other obligations of the parties, whether arising under the Agreement, this Master Confirmation or any Supplemental Confirmation, or under any other agreement between the parties hereto, by operation of law or otherwise, and no other obligations of the parties shall be netted, recouped or set off (including pursuant to Section 6 of the Agreement) against obligations under any Transaction, whether arising under the Agreement, this Master Confirmation or any Supplemental Confirmation, or under any other agreement between the parties hereto, by operation of law or otherwise, and each party hereby waives any such right of setoff, netting or recoupment.</w:t>
      </w:r>
    </w:p>
    <w:p>
      <w:pPr>
        <w:spacing w:after="0" w:line="171" w:lineRule="exact"/>
        <w:rPr>
          <w:rFonts w:ascii="Times New Roman" w:cs="Times New Roman" w:eastAsia="Times New Roman" w:hAnsi="Times New Roman"/>
          <w:sz w:val="17"/>
          <w:szCs w:val="17"/>
          <w:b w:val="1"/>
          <w:bCs w:val="1"/>
          <w:color w:val="auto"/>
        </w:rPr>
      </w:pPr>
    </w:p>
    <w:p>
      <w:pPr>
        <w:jc w:val="both"/>
        <w:ind w:left="660" w:hanging="652"/>
        <w:spacing w:after="0" w:line="262" w:lineRule="auto"/>
        <w:tabs>
          <w:tab w:leader="none" w:pos="65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Dealer may, by prior notice to Counterparty, satisfy its obligation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6" w:lineRule="exact"/>
        <w:rPr>
          <w:rFonts w:ascii="Times New Roman" w:cs="Times New Roman" w:eastAsia="Times New Roman" w:hAnsi="Times New Roman"/>
          <w:sz w:val="18"/>
          <w:szCs w:val="18"/>
          <w:b w:val="1"/>
          <w:bCs w:val="1"/>
          <w:color w:val="auto"/>
        </w:rPr>
      </w:pPr>
    </w:p>
    <w:p>
      <w:pPr>
        <w:jc w:val="both"/>
        <w:ind w:left="660" w:hanging="652"/>
        <w:spacing w:after="0" w:line="251" w:lineRule="auto"/>
        <w:tabs>
          <w:tab w:leader="none" w:pos="65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Alternative Termination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 an Early Termination Date (whether as a result of an Event of Default or a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occurs or is designated with respect to any Transaction or (b) any Transaction is cancelled or terminated upon the occurrence of an Extraordinary Event (except as a result of a Nationalization, Insolvency or Merger Event in which the consideration to be paid to holders of Shares consists solely of cash), if either party would owe any amount to the other 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Amount</w:t>
      </w:r>
      <w:r>
        <w:rPr>
          <w:rFonts w:ascii="Times New Roman" w:cs="Times New Roman" w:eastAsia="Times New Roman" w:hAnsi="Times New Roman"/>
          <w:sz w:val="18"/>
          <w:szCs w:val="18"/>
          <w:color w:val="auto"/>
        </w:rPr>
        <w:t>”), then, in lieu of any payment of such Payment Amount, unless Counterparty makes an election to the contrary no later than 9:00 a.m. (New York City time) on the Exchange Business Day immediately following the Early Termination Date or on the Exchange Business Day immediately following the date on which such Transaction is terminated or cancelled, Counterparty or Dealer, as the case may be, shall deliver to the other party a number of Shares (or, in the case of a Nationalization, Insolvency or Merger Event, a number of units, each comprising the number or amount of the securities or property that a hypothetical holder of one Share would receive in such Nationalization, Insolvency or Merger Event, as the case may be (each such unit, an “</w:t>
      </w:r>
      <w:r>
        <w:rPr>
          <w:rFonts w:ascii="Times New Roman" w:cs="Times New Roman" w:eastAsia="Times New Roman" w:hAnsi="Times New Roman"/>
          <w:sz w:val="18"/>
          <w:szCs w:val="18"/>
          <w:b w:val="1"/>
          <w:bCs w:val="1"/>
          <w:color w:val="auto"/>
        </w:rPr>
        <w:t>Alternative Delivery Unit</w:t>
      </w:r>
      <w:r>
        <w:rPr>
          <w:rFonts w:ascii="Times New Roman" w:cs="Times New Roman" w:eastAsia="Times New Roman" w:hAnsi="Times New Roman"/>
          <w:sz w:val="18"/>
          <w:szCs w:val="18"/>
          <w:color w:val="auto"/>
        </w:rPr>
        <w:t xml:space="preserve">”) with a value equal to the Payment Amount, as determined by the Calculation Agent in good faith and in a commercially reasonably manner over a commercially reasonable period of time (and the parties agree that, in making such determination of value, the Calculation Agent may take into account a number of factors, including, without limitation, the market price of the Shares or Alternative Delivery Units on the Early Termination Date or the date of early cancellation or termination, as the case may be, and, if such delivery is made by Dealer, the prices at which Dealer purchases Shares or Alternative Delivery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prices reflect prevailing market prices in order to unwind its commercially reasonable hedge positions as determined by the Calculation Agent in a commercially reasonable manner on any Exchange Business Day to fulfill its delivery obligations under this Section 15);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determining the composition of any Alternative Delivery Unit, if the relevant Nationalization, Insolvency or Merger Event involves a choice of consideration to be received by holders, such holder shall be deemed to have elected to receive the maximum possible amount of cash;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Counterparty may elect that the provisions of this Section 15 above providing for the delivery of Shares or Alternative Delivery Units, as the case may be, shall not apply only if Counterparty represents and warrants to Dealer, in writing on the date it notifies Dealer of such election, that, as of such date, Counterparty is not aware of any material non-public information regarding Counterparty or the Shares and is making such election in good faith and not as part of a plan or scheme to evade compliance with the federal securities laws. If delivery of Shares or Alternative Delivery Units, as the case may be, pursuant to this Section 15 is to be made by Counterparty, paragraphs 2 through 7 of Annex A hereto shall apply as if (A) such delivery were a settlement of such Transaction to which Net Share Settlement applied, (B) the Cash Settlement Payment Date were the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Termination Date or the date of early cancellation or termination, as the case may be, and (C) the Forward Cash Settlement Amount were equal to</w:t>
      </w:r>
    </w:p>
    <w:p>
      <w:pPr>
        <w:spacing w:after="0" w:line="27" w:lineRule="exact"/>
        <w:rPr>
          <w:sz w:val="20"/>
          <w:szCs w:val="20"/>
          <w:color w:val="auto"/>
        </w:rPr>
      </w:pPr>
    </w:p>
    <w:p>
      <w:pPr>
        <w:jc w:val="both"/>
        <w:ind w:left="660" w:hanging="4"/>
        <w:spacing w:after="0" w:line="252" w:lineRule="auto"/>
        <w:tabs>
          <w:tab w:leader="none" w:pos="9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zero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Payment Amount owed by Counterparty. For the avoidance of doubt, if Counterparty validly elects for the provisions of this Section 15 relating to the delivery of Shares or Alternative Delivery Units, as the case may be, not to apply to any Payment Amount, the provisions of Article 12 of the Equity Definitions, or the provisions of Section 6(d)(ii) of the Agreement, as the case may be, shall apply. If delivery of Shares or Alternative Delivery Units, as the case may be, is to be made by Dealer pursuant to this Section 15, the period during which Dealer purchases Shares or Alternative Delivery Units to fulfill its delivery obligations under this Section 15 shall be referred to as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Purchase Period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Calculations and Payment Date upon Early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and agree that in calculating (a) the Close-Out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6 of the Agreement and (b) the amount due upon cancellation or termination of any Transaction (whether in whole or in part) pursuant to Article 12 of the Equity Definitions as a result of an Extraordinary Event, Dealer may elect (in its commercially reasonable discretion) to determine such amount based on (i) expected losses assuming a commercially reasonable (including, without limitation, with regard to reasonable legal and regulatory guidelines customary for transactions of this type) risk bid corresponding to the unwind of Dealer’s commercially reasonable hedge positions were used to determine loss or (ii) the price at which one or more market participants would offer to sell to the Seller a block of shares of Common Stock equal in number to the Seller’s hedge position in relation to the relevant Transaction in order to unwind Dealer’s commercially reasonable hedge positions, in each case, assuming that Dealer maintains commercially reasonable hedge positions, and as determined by the Calculation Agent in a commercially reasonable manner. Notwithstanding anything to the contrary in Section 6(d)(ii) of the Agreement or Article 12 of the Equity Definitions, all amounts calculated as being due in respect of an Early Termination Date under Section 6(e) of the Agreement or upon cancellation or termination of the relevant Transaction under Article 12 of the Equity Definitions will be payable on the day that notice of the amount payable is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elects to receive or deliver Shares or Alternative Delivery Units in accordance with Section 15, such Shares or Alternative Delivery Units shall be delivered on a date selected by Dealer as promptly as practicable.</w:t>
      </w:r>
    </w:p>
    <w:p>
      <w:pPr>
        <w:spacing w:after="0" w:line="187"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 on Beneficial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Master Confirmation, Counterparty acknowledges and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on any day, Dealer shall not be obligated to receive from Counterparty any Shares, and Counterparty shall not be entitled to deliver to Dealer any Shares, to the extent (but only to the extent) that after such transactions Dealer’s ultimate parent entity would directly or indirectly “beneficially own” (as such term is defined for purposes of Section 13(d) of the Exchange Act) at any time on such day in excess of 8% of the outstanding Shares. Any purported receipt of Shares shall be void and have no effect to the extent (but only to the extent) that after such receipt, Dealer’s ultimate parent entity would directly or indirectly so beneficially own in excess of 8% of the outstanding Shares. If, on any day, any receipt of Shares by Dealer is not effected, in whole or in part, as a result of this Section 17, Counterparty’s obligations to deliver such Shares shall not be extinguished and any such delivery shall be effected over time by Counterparty as promptly as Dealer determines, such that after any such delivery, Dealer’s ultimate parent entity would not directly or indirectly beneficially own in excess of 8% of the outstanding Shares.</w:t>
      </w:r>
    </w:p>
    <w:p>
      <w:pPr>
        <w:spacing w:after="0" w:line="188"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Maximum Share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Master Confirmation, in no event shall Dealer be required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or any Shares or other securities comprising Alternative Delivery Units, in respect of any Transaction in excess of the Maximum Number of Shares set forth in the Supplemental Confirmation for such Transaction.</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Termination Events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described in paragraph III of Annex B hereto will constitute an Additional Termination Event, with Counterparty as the sole Affected Party and the Transactions specified in such paragraph III as the Affected Transactions.</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by the Issuer of any Extraordinary Dividend, the ex-dividend date for which occurs or is scheduled to occur during the Relevant Dividend Period, shall in each case constitute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6" w:name="page67"/>
    <w:bookmarkEnd w:id="66"/>
    <w:p>
      <w:pPr>
        <w:ind w:left="1300" w:right="880"/>
        <w:spacing w:after="0" w:line="282" w:lineRule="auto"/>
        <w:rPr>
          <w:sz w:val="20"/>
          <w:szCs w:val="20"/>
          <w:color w:val="auto"/>
        </w:rPr>
      </w:pPr>
      <w:r>
        <w:rPr>
          <w:rFonts w:ascii="Times New Roman" w:cs="Times New Roman" w:eastAsia="Times New Roman" w:hAnsi="Times New Roman"/>
          <w:sz w:val="18"/>
          <w:szCs w:val="18"/>
          <w:color w:val="auto"/>
        </w:rPr>
        <w:t>an Additional Termination Event, with Counterparty as the sole Affected Party and all Transactions hereunder as the Affected Transactions.</w:t>
      </w:r>
    </w:p>
    <w:p>
      <w:pPr>
        <w:spacing w:after="0" w:line="162" w:lineRule="exact"/>
        <w:rPr>
          <w:sz w:val="20"/>
          <w:szCs w:val="20"/>
          <w:color w:val="auto"/>
        </w:rPr>
      </w:pPr>
    </w:p>
    <w:p>
      <w:pPr>
        <w:jc w:val="both"/>
        <w:ind w:left="1300" w:hanging="644"/>
        <w:spacing w:after="0" w:line="261"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6 of the Agreement, if a Termination Price is specified in the Supplemental Confirmation for any Transaction, then an Additional Termination Event (with respect to which Counterparty shall be the sole Affected Party and such Transaction shall be the sole Affected Transaction) will occur without any notice or action by Dealer or Counterparty if, on two consecutive Exchange Business Days, the price of the Shares on the Exchange at any time falls below such Termination Price.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Dealer and Counterparty hereby acknowledge and agree that, subject to Section 8(e), each is authorized to disclose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 and tax treatment of the transactions contemplated by this Master Confirmation and any Supplemental Confirmation hereunder to any and all persons, without limitation of any kind, and there are no express or implied agreements, arrangements or understandings to the contrary.</w:t>
      </w:r>
    </w:p>
    <w:p>
      <w:pPr>
        <w:spacing w:after="0" w:line="170" w:lineRule="exact"/>
        <w:rPr>
          <w:rFonts w:ascii="Times New Roman" w:cs="Times New Roman" w:eastAsia="Times New Roman" w:hAnsi="Times New Roman"/>
          <w:sz w:val="18"/>
          <w:szCs w:val="18"/>
          <w:b w:val="1"/>
          <w:bCs w:val="1"/>
          <w:color w:val="auto"/>
        </w:rPr>
      </w:pPr>
    </w:p>
    <w:p>
      <w:pPr>
        <w:jc w:val="both"/>
        <w:ind w:left="660" w:hanging="652"/>
        <w:spacing w:after="0" w:line="252" w:lineRule="auto"/>
        <w:tabs>
          <w:tab w:leader="none" w:pos="6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and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the Agreement, without the consent of Counterparty, Dealer may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of its rights or duties hereunder to any one or more of its Affiliates (1) that has a long-term issuer rating that is equal to or better than Dealer’s credit rating at the time of such assignment, or (2) whose obligations hereunder will be guaranteed, pursuant to the terms of a customary guarantee in a form used generally for similar transactions, by Dealer or Dealer’s ultimate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the law in effect at the time of such assignment (i) Counterparty will not be required to pay (including a payment in kind) to the transferee any amount in respect of an Indemnifiable Tax under Section 2(d)(i)(4) of the Agreement greater than the amount in respect of which Counterparty would have been required to pay to Dealer in the absence of such transfer; and (ii) Counterparty will not receive any payment (including a payment in kind) from which an amount had been withheld or deducted, on account of a Tax under Section 2(d)(i) of the Agreement, in excess of that which Dealer would have been required to so withhold or deduct in the absence of such transfer, except to the extent that the transferee will be required to make additional payments pursuant to Section 2(d)(i)(4) of the Agreement in respect of such excess. Notwithstanding any other provision in this Master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any Transaction and any such designee may assume such obligations. Dealer may assign the right to receive Settlement Shares to any third party who may legally receive Settlement Shares. Dealer shall be discharged of its obligations to Counterparty only to the extent of any such performance. For the avoidance of doubt, Dealer hereby acknowledges that notwithstanding any such designation hereunder, to the extent any of Dealer’s obligations in respect of any Transaction are not completed by its designee, Dealer shall be obligated to continue to perform or to cause any other of its designees to perform in respect of such obligations.</w:t>
      </w:r>
    </w:p>
    <w:p>
      <w:pPr>
        <w:spacing w:after="0" w:line="193" w:lineRule="exact"/>
        <w:rPr>
          <w:rFonts w:ascii="Times New Roman" w:cs="Times New Roman" w:eastAsia="Times New Roman" w:hAnsi="Times New Roman"/>
          <w:sz w:val="18"/>
          <w:szCs w:val="18"/>
          <w:b w:val="1"/>
          <w:bCs w:val="1"/>
          <w:color w:val="auto"/>
        </w:rPr>
      </w:pPr>
    </w:p>
    <w:p>
      <w:pPr>
        <w:ind w:left="660" w:hanging="652"/>
        <w:spacing w:after="0" w:line="253" w:lineRule="auto"/>
        <w:tabs>
          <w:tab w:leader="none" w:pos="6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Calculations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any calculation, adjustment or other determination made by Seller, the Calculation Agent, the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or a Determining Party hereunder, within five Local Business Days of receipt of Counterparty’s written request (which may be by electronic mail), Seller, the Calculation Agent, the Hedging Party or the Determining Party, as the case may be, will provide by electronic mail to Counterparty a written statement showing, in reasonable detail (and, if practicable, in a commonly used file format for the storage and manipulation of financial data), such calculation, adjustment or other determination and the basis therefor (including any quotations, market data and information from internal or external sources used in making such calculation, adjustment or other determination), it being understood that Dealer (in any capacity) shall have no obligation to disclose proprietary or confidential information or models;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determinations that are not calculations or adjustments, such a statement shall be required only to the extent that such a statement is reasonably necessary to show such determination or the basis therefor because such determination or basis is not apparent, and such a statement shall not be required where such determination is at Seller’s (in any capacity) sole election or discretion. All calculations, adjustments and determinations made by Seller hereunder, whether as Calculation Agent, as Determining Party, as Hedging Party or following the occurrence of an Early Termination Date, shall be made in good faith, and all such calculations and adjustments shall be made in 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7" w:name="page68"/>
    <w:bookmarkEnd w:id="67"/>
    <w:p>
      <w:pPr>
        <w:ind w:left="660" w:right="200"/>
        <w:spacing w:after="0" w:line="258" w:lineRule="auto"/>
        <w:rPr>
          <w:sz w:val="20"/>
          <w:szCs w:val="20"/>
          <w:color w:val="auto"/>
        </w:rPr>
      </w:pPr>
      <w:r>
        <w:rPr>
          <w:rFonts w:ascii="Times New Roman" w:cs="Times New Roman" w:eastAsia="Times New Roman" w:hAnsi="Times New Roman"/>
          <w:sz w:val="18"/>
          <w:szCs w:val="18"/>
          <w:color w:val="auto"/>
        </w:rPr>
        <w:t>commercially reasonable manner taking into account and reflecting the effect of any commercially reasonable Hedge Positions acquired, established, re-established, substituted, maintained, unwound, adjusted or disposed of by Seller in connection with the relevant event. Following the occurrence of an Event of Default of the type described in Section 5(a)(vii) of the Agreement with respect to Seller, and while such event is continuing, Counterparty shall have the right to designate a nationally recognized third-party dealer in over-the-counter corporate equity derivatives to act as the Calculation Agent.</w:t>
      </w:r>
    </w:p>
    <w:p>
      <w:pPr>
        <w:spacing w:after="0" w:line="206"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Equity Definitions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29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deleting the words “a diluting or concentrative” and replacing them with the words “in the commercially reasonable judgment of the Calculation Agent, a material economic”; and adding the phrase “or such Transaction” at the end of the sentence.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11.2(c) of the Equity Definitions is hereby amended by (i) replacing the words “a diluting or concentrative” with “a material economic” in the fifth line thereof, (ii) adding the phrase “or such Transaction” after the words “the relevant Shares” in the same sentence, (iii) replacing the words “dilutive or concentrative” in the sixth to last line thereof with “material economic”, and (iv) with respect to any Potential Adjustment Event under Sections 11.2(e)(ii)(B), (C) and (D), 11.2(e)(v), 11.2(e)(vi), or 11.2(e)(vii) only,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29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 of the Equity Definitions is hereby amended by deleting clause (iii) thereof in its entirety. Section 11.2(e)(v) of the Equity Definitions is amended by adding the words “at a premium to the current market price thereof (other than in connection with Permitted Purchases)” after the word “Shares” in such Section. Section 11.2(e)(vii) of the Equity Definitions is hereby amended and restated as follows: “any other similar corporate event involving the Issuer that affects all or substantially all holders of Shares and that in the commercially reasonable judgment of the Calculation Agent has a material economic effect on the theoretical value of the Shares or options on the Shares”.</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12.9(b)(iv) of the Equity Definitions is hereby amended by: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73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(1) subsection (A) in its entirety, (2) the phrase “or (B)” following subsection (A) and (3) the phrase “in each case” in subsection (B);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71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phrase “neither the Non-Hedging Party nor the Lending Party lends Shares” with the phrase “such Lending Party does not lend Shares” in the penultimate sentence.</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12.9(b)(v) of the Equity Definitions is hereby amended by adding the phrase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Non-Hedging Party may so elect to terminate the relevant Transaction only if the Non-Hedging Party represents and warrants to the Hedging Party in writing on the date it notifies the Hedging Party of such election that, as of such date, the Non-Hedging Party is not aware of any material non-public information regarding Counterparty or the Shares and is making such election in good faith and not as part of a plan or scheme to evade compliance with the federal securities laws” immediately prior to the period at the end of subsection (C).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8" w:name="page69"/>
    <w:bookmarkEnd w:id="68"/>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12.9(b)(v) of the Equity Definitions is hereby amended by deleting clause (X) in the final sentence.</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Counterparty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agrees to indemnify and hold harmless Dealer and its officers, directors, employees,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claims, damages and liabilities, joint or several (collectively,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to which an Indemnified Person may become subject arising out of or in connection with (x) any breach of any covenant, representation or warranty made by Counterparty in this Master Confirmation, any Supplemental Confirmation or the Agreement, or (y) any claim, litigation, investigation or proceeding (but excluding any claim, litigation, investigation or proceeding arising out of Dealer’s breach of this Master Confirmation, any Supplemental Confirmation or the Agreement or Dealer’s gross negligence or willful misconduct), in each case, regardless of whether any of such Indemnified Person is a party thereto, and to reimburse, within 30 days, upon written request, each such Indemnified Person for any reasonable legal or other expenses incurred in connection with investigating, preparation for, providing evidence for or defending any of the foregoing; provided, however, that Counterparty shall not have any liability to any Indemnified Person to the extent that such Obligations (a) are finally determined by a court of competent jurisdiction to have resulted from the gross negligence or willful misconduct of such Indemnified Person (and in such case, such Indemnified Person shall promptly return to Counterparty any amounts previously expended by Counterparty hereunder) or (b) are trading losses incurred by Dealer as part of its purchases or sales of Shares pursuant to this Master Confirmation or any Supplemental Confirmation (unless such trading losses are related to the breach of any agreement, term or covenant herein).</w:t>
      </w:r>
    </w:p>
    <w:p>
      <w:pPr>
        <w:spacing w:after="0" w:line="185" w:lineRule="exact"/>
        <w:rPr>
          <w:rFonts w:ascii="Times New Roman" w:cs="Times New Roman" w:eastAsia="Times New Roman" w:hAnsi="Times New Roman"/>
          <w:sz w:val="18"/>
          <w:szCs w:val="18"/>
          <w:b w:val="1"/>
          <w:bCs w:val="1"/>
          <w:color w:val="auto"/>
        </w:rPr>
      </w:pPr>
    </w:p>
    <w:p>
      <w:pPr>
        <w:jc w:val="both"/>
        <w:ind w:left="660" w:hanging="652"/>
        <w:spacing w:after="0" w:line="278" w:lineRule="auto"/>
        <w:tabs>
          <w:tab w:leader="none" w:pos="655"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Status of Claims in Bankruptcy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Dealer acknowledges and agrees that neither this Master Confirmation nor any Supplemental Confirmation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intended to convey to Dealer rights against Counterparty with respect to any Transaction that are senior to the claims of common stockholders of Counterparty in any United States bankruptcy proceedings of Counterparty;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herein shall limit or shall be deemed to limit Dealer’s right to pursue remedies in the event of a breach by Counterparty of its obligations and agreements with respect to any Transaction; </w:t>
      </w: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nothing herein shall limit or shall be deemed to limit Dealer’s rights in respect of any transactions other than any Transaction.</w:t>
      </w:r>
    </w:p>
    <w:p>
      <w:pPr>
        <w:spacing w:after="0" w:line="163" w:lineRule="exact"/>
        <w:rPr>
          <w:rFonts w:ascii="Times New Roman" w:cs="Times New Roman" w:eastAsia="Times New Roman" w:hAnsi="Times New Roman"/>
          <w:sz w:val="17"/>
          <w:szCs w:val="17"/>
          <w:b w:val="1"/>
          <w:bCs w:val="1"/>
          <w:color w:val="auto"/>
        </w:rPr>
      </w:pPr>
    </w:p>
    <w:p>
      <w:pPr>
        <w:jc w:val="both"/>
        <w:ind w:left="660" w:hanging="652"/>
        <w:spacing w:after="0" w:line="255" w:lineRule="auto"/>
        <w:tabs>
          <w:tab w:leader="none" w:pos="6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Wall Street Transparency and Accountability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Section 739 of the Wall Street Transparency and Accountability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nor any similar legal certainty provision in any legislation enacted, or rule or regulation promulgated, on or after the date of this Master Confirmation, shall limit or otherwise impair either party’s otherwise applicable rights to terminate, renegotiate, modify, amend or supplement any Supplemental Confirmation, this Master Confirmation or the Agreement, as applicable, arising from a termination event, force majeure, illegality, increased costs, regulatory change or similar event under any Supplemental Confirmation, this Master Confirmation, the Equity Definitions incorporated herein, or the Agreement (including, without limitation, rights arising from Change in Law, Loss of Stock Borrow, Increased Cost of Stock Borrow, Hedging Disruption, Increased Cost of Hedging, or Illegality).</w:t>
      </w:r>
    </w:p>
    <w:p>
      <w:pPr>
        <w:spacing w:after="0" w:line="184" w:lineRule="exact"/>
        <w:rPr>
          <w:rFonts w:ascii="Times New Roman" w:cs="Times New Roman" w:eastAsia="Times New Roman" w:hAnsi="Times New Roman"/>
          <w:sz w:val="18"/>
          <w:szCs w:val="18"/>
          <w:b w:val="1"/>
          <w:bCs w:val="1"/>
          <w:color w:val="auto"/>
        </w:rPr>
      </w:pPr>
    </w:p>
    <w:p>
      <w:pPr>
        <w:jc w:val="both"/>
        <w:ind w:left="660" w:hanging="652"/>
        <w:spacing w:after="0" w:line="257" w:lineRule="auto"/>
        <w:tabs>
          <w:tab w:leader="none" w:pos="6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other than payment of the Prepayment Amount by Buyer, nothing in this Master Confirmation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interpreted as requiring Buyer to cash settle any Transaction hereunder, except in circumstances where cash settlement is within Buyer’s control (including, without limitation, where Buyer elects to deliver or receive cash, where Buyer fails timely to elect to deliver Settlement Shares pursuant Annex A hereof in settlement of any Transaction hereunder or to deliver or receive Alternative Termination Delivery Units, or where Buyer has made settlement by delivery of Unregistered Settlement Shares in accordance with Annex A hereof unavailable due to the occurrence of events within its control) or in those circumstances in which holders of the Shares would also receive cash.</w:t>
      </w:r>
    </w:p>
    <w:p>
      <w:pPr>
        <w:spacing w:after="0" w:line="182"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Master Confirmation may be executed in any number of counterparts, all of which shall constitute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and any party hereto may execute this Master Confirmation by signing and delivering one or more counterparts.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9" w:right="339" w:bottom="1440" w:gutter="0" w:footer="0" w:header="0"/>
        </w:sectPr>
      </w:pPr>
    </w:p>
    <w:bookmarkStart w:id="69" w:name="page70"/>
    <w:bookmarkEnd w:id="69"/>
    <w:p>
      <w:pPr>
        <w:jc w:val="both"/>
        <w:ind w:left="660" w:hanging="652"/>
        <w:spacing w:after="0" w:line="254" w:lineRule="auto"/>
        <w:tabs>
          <w:tab w:leader="none" w:pos="65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TO A TRIAL BY JURY IN RESPECT OF ANY SUIT, ACTION OR PROCEEDING RELATING TO THE AGREEMENT, THIS MASTER CONFIRMATION, EACH SUPPLEMENTAL CONFIRMATION, THE TRANSACTIONS HEREUNDER AND ALL MATTERS ARISING IN CONNECTION WITH THE AGREEMENT, THIS MASTER CONFIRMATION AND ANY SUPPLEMENTAL CONFIRMATION AND THE TRANSACTIONS HEREUNDER.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TRANSACTIONS, AS APPLICABLE, BY, AMONG OTHER THINGS, THE MUTUAL WAIVERS AND CERTIFICATIONS PROVIDED HEREIN.</w:t>
      </w:r>
    </w:p>
    <w:p>
      <w:pPr>
        <w:spacing w:after="0" w:line="188" w:lineRule="exact"/>
        <w:rPr>
          <w:rFonts w:ascii="Times New Roman" w:cs="Times New Roman" w:eastAsia="Times New Roman" w:hAnsi="Times New Roman"/>
          <w:sz w:val="18"/>
          <w:szCs w:val="18"/>
          <w:b w:val="1"/>
          <w:bCs w:val="1"/>
          <w:color w:val="auto"/>
        </w:rPr>
      </w:pPr>
    </w:p>
    <w:p>
      <w:pPr>
        <w:jc w:val="both"/>
        <w:ind w:left="660" w:hanging="652"/>
        <w:spacing w:after="0" w:line="252" w:lineRule="auto"/>
        <w:tabs>
          <w:tab w:leader="none" w:pos="65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 QFC Stay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(i) to the extent that prior to the date hereof all parties have adhered to the 2018 ISDA U.S.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Wells Fargo Bank, National Association shall be deemed “Covered Entities” and Bloomin’ Brands, Inc. shall be deemed a “Counterparty Entity.” In the event that, after the date of this Agreement, all parties hereto become adhering parties to the Protocol, the terms of the Protocol will replace the terms of this section. In the event of any inconsistencies between this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w:t>
      </w:r>
    </w:p>
    <w:p>
      <w:pPr>
        <w:spacing w:after="0" w:line="19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1"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5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 Imposed under the United States Foreign Account Tax Compliance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Tax” as defined in Section 14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shall not include any U.S. federal withholding tax imposed or collected pursuant to Sections 1471 through 1474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5" w:right="339" w:bottom="1440" w:gutter="0" w:footer="0" w:header="0"/>
        </w:sectPr>
      </w:pPr>
    </w:p>
    <w:bookmarkStart w:id="70" w:name="page71"/>
    <w:bookmarkEnd w:id="70"/>
    <w:p>
      <w:pPr>
        <w:jc w:val="both"/>
        <w:ind w:left="660" w:hanging="652"/>
        <w:spacing w:after="0" w:line="255" w:lineRule="auto"/>
        <w:tabs>
          <w:tab w:leader="none" w:pos="65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either party to the Agreement with respect to any Transaction is not an adhering party to the ISDA 2015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the Transaction as if set forth in full herein. The parties further agree that, solely for purposes of applying such provisions and amendments to the Agreement with respect to the Transaction, references to “each Covered Master Agreement” in the 871(m) Protocol will be deemed to be references to the Agreement with respect to the Transaction, and references to the “Implementation Date” in the 871(m) Protocol will be deemed to be references to the Trade Date of the Transaction.</w:t>
      </w:r>
    </w:p>
    <w:p>
      <w:pPr>
        <w:spacing w:after="0" w:line="184" w:lineRule="exact"/>
        <w:rPr>
          <w:rFonts w:ascii="Times New Roman" w:cs="Times New Roman" w:eastAsia="Times New Roman" w:hAnsi="Times New Roman"/>
          <w:sz w:val="18"/>
          <w:szCs w:val="18"/>
          <w:b w:val="1"/>
          <w:bCs w:val="1"/>
          <w:color w:val="auto"/>
        </w:rPr>
      </w:pPr>
    </w:p>
    <w:p>
      <w:pPr>
        <w:jc w:val="both"/>
        <w:ind w:left="660" w:hanging="652"/>
        <w:spacing w:after="0" w:line="253" w:lineRule="auto"/>
        <w:tabs>
          <w:tab w:leader="none" w:pos="65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(x) represents and warrants that it has not, as of the Trade Date, applied for or received a loan, loan guarantee, direct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and is not in material breach of any Material Governmental Restrictions (as hereinafter defined) under any or other investment, or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Counterparty comply with certain a requirements (the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Governmental Restrictions</w:t>
      </w:r>
      <w:r>
        <w:rPr>
          <w:rFonts w:ascii="Times New Roman" w:cs="Times New Roman" w:eastAsia="Times New Roman" w:hAnsi="Times New Roman"/>
          <w:sz w:val="18"/>
          <w:szCs w:val="18"/>
          <w:color w:val="auto"/>
        </w:rPr>
        <w:t>") not to, or otherwise agree, attest, certify or warrant that it has not, as of the date specified in such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or will not repurchase, any equity security of Counterparty, and that it has not, as of the date specified in the condition, made a capital distribution or will make a capital distribution, or (ii) for which the terms of the Transaction would cause Counterparty to fail to satisfy any condition for application for or receipt or retention of the Financial Assistance and (y) acknowledges that entering into the Transaction may limit its ability to receive such loan, loan guarantee, or direct loan Financial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305" w:right="339" w:bottom="1440" w:gutter="0" w:footer="0" w:header="0"/>
        </w:sectPr>
      </w:pPr>
    </w:p>
    <w:bookmarkStart w:id="71" w:name="page72"/>
    <w:bookmarkEnd w:id="71"/>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Master Confirmation and returning it to us.</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tbl>
      <w:tblPr>
        <w:tblLayout w:type="fixed"/>
        <w:tblInd w:w="6100" w:type="dxa"/>
        <w:tblCellMar>
          <w:top w:w="0" w:type="dxa"/>
          <w:left w:w="0" w:type="dxa"/>
          <w:bottom w:w="0" w:type="dxa"/>
          <w:right w:w="0" w:type="dxa"/>
        </w:tblCellMar>
      </w:tblP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19"/>
                <w:szCs w:val="19"/>
                <w:color w:val="auto"/>
              </w:rPr>
            </w:pP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Brillhart</w:t>
            </w:r>
          </w:p>
        </w:tc>
      </w:tr>
      <w:tr>
        <w:trPr>
          <w:trHeight w:val="228"/>
        </w:trPr>
        <w:tc>
          <w:tcPr>
            <w:tcW w:w="36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65"/>
        </w:trPr>
        <w:tc>
          <w:tcPr>
            <w:tcW w:w="360" w:type="dxa"/>
            <w:vAlign w:val="bottom"/>
          </w:tcPr>
          <w:p>
            <w:pPr>
              <w:spacing w:after="0"/>
              <w:rPr>
                <w:sz w:val="23"/>
                <w:szCs w:val="23"/>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Kevin Brillhart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above:</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BLOOMIN’ BRANDS, INC.</w:t>
      </w:r>
    </w:p>
    <w:p>
      <w:pPr>
        <w:spacing w:after="0" w:line="31" w:lineRule="exact"/>
        <w:rPr>
          <w:sz w:val="20"/>
          <w:szCs w:val="20"/>
          <w:color w:val="auto"/>
        </w:rPr>
      </w:pPr>
    </w:p>
    <w:p>
      <w:pPr>
        <w:ind w:left="80"/>
        <w:spacing w:after="0"/>
        <w:tabs>
          <w:tab w:leader="none" w:pos="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Jamieson Bump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28117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 Jamieson Bump</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FORM OF SUPPLEMENTAL CONFIRMATION</w:t>
      </w:r>
    </w:p>
    <w:p>
      <w:pPr>
        <w:spacing w:after="0" w:line="6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NY 10001-2170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w:t>
      </w:r>
    </w:p>
    <w:p>
      <w:pPr>
        <w:spacing w:after="0" w:line="19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[___], 2024</w:t>
      </w:r>
    </w:p>
    <w:p>
      <w:pPr>
        <w:spacing w:after="0" w:line="21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Bloomin’ Brands, Inc.</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2202 North West Shore Blvd., Suite 500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Tampa, FL 33607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Jamieson Bump</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Telephone No.: [***]</w:t>
      </w:r>
    </w:p>
    <w:p>
      <w:pPr>
        <w:spacing w:after="0" w:line="2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Re:</w:t>
        <w:tab/>
        <w:t>Supplemental Confirmation—Uncollared Accelerated Share Repurchase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Supplemental Confirmation is to confirm the terms and conditions of the Transaction entered into between Wells Fargo Bank, National Association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Bloomin’ Brands, Inc., a Delaware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on the Trade Date specified below. This Supplemental Confirmation is a binding contract between Dealer and Counterparty as of the relevant Trade Date for the Transaction referenced below.</w:t>
      </w:r>
    </w:p>
    <w:p>
      <w:pPr>
        <w:spacing w:after="0" w:line="131" w:lineRule="exact"/>
        <w:rPr>
          <w:sz w:val="20"/>
          <w:szCs w:val="20"/>
          <w:color w:val="auto"/>
        </w:rPr>
      </w:pPr>
    </w:p>
    <w:p>
      <w:pPr>
        <w:jc w:val="both"/>
        <w:ind w:firstLine="8"/>
        <w:spacing w:after="0" w:line="268" w:lineRule="auto"/>
        <w:tabs>
          <w:tab w:leader="none" w:pos="3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supplements, forms part of, and is subject to the Master Confirmation, dated as of March 1, 2024 (the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between Dealer and Counterparty, as amended and supplemented from time to time. All provisions contained in the Master 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 this Supplemental Confirmation except as expressly modified below.</w:t>
      </w:r>
    </w:p>
    <w:p>
      <w:pPr>
        <w:spacing w:after="0" w:line="13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to which this Supplemental Confirmation relates are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 2024</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Adjustment Amount:</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USD [___]</w:t>
            </w:r>
          </w:p>
        </w:tc>
        <w:tc>
          <w:tcPr>
            <w:tcW w:w="0" w:type="dxa"/>
            <w:vAlign w:val="bottom"/>
          </w:tcPr>
          <w:p>
            <w:pPr>
              <w:spacing w:after="0"/>
              <w:rPr>
                <w:sz w:val="1"/>
                <w:szCs w:val="1"/>
                <w:color w:val="auto"/>
              </w:rPr>
            </w:pPr>
          </w:p>
        </w:tc>
      </w:tr>
      <w:tr>
        <w:trPr>
          <w:trHeight w:val="50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Calculation Period Start Date:</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[___________]</w:t>
            </w:r>
          </w:p>
        </w:tc>
        <w:tc>
          <w:tcPr>
            <w:tcW w:w="0" w:type="dxa"/>
            <w:vAlign w:val="bottom"/>
          </w:tcPr>
          <w:p>
            <w:pPr>
              <w:spacing w:after="0"/>
              <w:rPr>
                <w:sz w:val="1"/>
                <w:szCs w:val="1"/>
                <w:color w:val="auto"/>
              </w:rPr>
            </w:pPr>
          </w:p>
        </w:tc>
      </w:tr>
      <w:tr>
        <w:trPr>
          <w:trHeight w:val="49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Scheduled Termination Date:</w:t>
            </w:r>
          </w:p>
        </w:tc>
        <w:tc>
          <w:tcPr>
            <w:tcW w:w="6880" w:type="dxa"/>
            <w:vAlign w:val="bottom"/>
            <w:vMerge w:val="restart"/>
          </w:tcPr>
          <w:p>
            <w:pPr>
              <w:ind w:left="17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Final Termination Date:</w:t>
            </w:r>
          </w:p>
        </w:tc>
        <w:tc>
          <w:tcPr>
            <w:tcW w:w="6880" w:type="dxa"/>
            <w:vAlign w:val="bottom"/>
            <w:vMerge w:val="restart"/>
          </w:tcPr>
          <w:p>
            <w:pPr>
              <w:ind w:left="17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First Acceleration Date:</w:t>
            </w:r>
          </w:p>
        </w:tc>
        <w:tc>
          <w:tcPr>
            <w:tcW w:w="6880" w:type="dxa"/>
            <w:vAlign w:val="bottom"/>
            <w:vMerge w:val="restart"/>
          </w:tcPr>
          <w:p>
            <w:pPr>
              <w:ind w:left="170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USD [___________]</w:t>
            </w:r>
          </w:p>
        </w:tc>
        <w:tc>
          <w:tcPr>
            <w:tcW w:w="0" w:type="dxa"/>
            <w:vAlign w:val="bottom"/>
          </w:tcPr>
          <w:p>
            <w:pPr>
              <w:spacing w:after="0"/>
              <w:rPr>
                <w:sz w:val="1"/>
                <w:szCs w:val="1"/>
                <w:color w:val="auto"/>
              </w:rPr>
            </w:pPr>
          </w:p>
        </w:tc>
      </w:tr>
      <w:tr>
        <w:trPr>
          <w:trHeight w:val="49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[___], 2024</w:t>
            </w:r>
          </w:p>
        </w:tc>
        <w:tc>
          <w:tcPr>
            <w:tcW w:w="0" w:type="dxa"/>
            <w:vAlign w:val="bottom"/>
          </w:tcPr>
          <w:p>
            <w:pPr>
              <w:spacing w:after="0"/>
              <w:rPr>
                <w:sz w:val="1"/>
                <w:szCs w:val="1"/>
                <w:color w:val="auto"/>
              </w:rPr>
            </w:pPr>
          </w:p>
        </w:tc>
      </w:tr>
      <w:tr>
        <w:trPr>
          <w:trHeight w:val="48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 xml:space="preserve">[___]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 connection with the Transaction,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Dealer is unable, after using commercially reasonable efforts, to</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borrow or otherwise acquire a number of Shares equal to the initial</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Shares for delivery to Counterparty on the Initial Share Delivery Date,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the Initial Shares delivered on the Initial Share Delivery Date shall be</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reduced to such number of Shares that Dealer is able to so borrow or</w:t>
            </w:r>
          </w:p>
        </w:tc>
        <w:tc>
          <w:tcPr>
            <w:tcW w:w="0" w:type="dxa"/>
            <w:vAlign w:val="bottom"/>
          </w:tcPr>
          <w:p>
            <w:pPr>
              <w:spacing w:after="0"/>
              <w:rPr>
                <w:sz w:val="1"/>
                <w:szCs w:val="1"/>
                <w:color w:val="auto"/>
              </w:rPr>
            </w:pPr>
          </w:p>
        </w:tc>
      </w:tr>
      <w:tr>
        <w:trPr>
          <w:trHeight w:val="218"/>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9"/>
              </w:rPr>
              <w:t xml:space="preserve">otherwise acquire; </w:t>
            </w:r>
            <w:r>
              <w:rPr>
                <w:rFonts w:ascii="Times New Roman" w:cs="Times New Roman" w:eastAsia="Times New Roman" w:hAnsi="Times New Roman"/>
                <w:sz w:val="18"/>
                <w:szCs w:val="18"/>
                <w:i w:val="1"/>
                <w:iCs w:val="1"/>
                <w:color w:val="auto"/>
                <w:w w:val="99"/>
              </w:rPr>
              <w:t>provided further</w:t>
            </w:r>
            <w:r>
              <w:rPr>
                <w:rFonts w:ascii="Times New Roman" w:cs="Times New Roman" w:eastAsia="Times New Roman" w:hAnsi="Times New Roman"/>
                <w:sz w:val="18"/>
                <w:szCs w:val="18"/>
                <w:color w:val="auto"/>
                <w:w w:val="99"/>
              </w:rPr>
              <w:t xml:space="preserve"> that if the Initial Shares are reduced</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as  provided  in  the  preceding  proviso,  then  Dealer  shall  use</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6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commercially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11240"/>
          </w:cols>
          <w:pgMar w:left="320" w:top="1440"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200" w:lineRule="exact"/>
        <w:rPr>
          <w:sz w:val="20"/>
          <w:szCs w:val="20"/>
          <w:color w:val="auto"/>
        </w:rPr>
      </w:pPr>
    </w:p>
    <w:p>
      <w:pPr>
        <w:spacing w:after="0" w:line="26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reasonable efforts to borrow or otherwise acquire an additional number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 Shares equal to the shortfall in the Initial Shares delivered on the</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Initial Share Delivery Date and shall deliver such additional Shares as</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promptly as practicable, and all Shares so delivered shall be considered</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Initial Shares. All Shares delivered to Counterparty in respect of the</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Transaction pursuant to this paragraph shall be the “Initial Shares” for</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purposes of “Number of Shares to be Delivered” in the Master</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Confirmation.</w:t>
      </w:r>
    </w:p>
    <w:p>
      <w:pPr>
        <w:sectPr>
          <w:pgSz w:w="11900" w:h="16838" w:orient="portrait"/>
          <w:cols w:equalWidth="0" w:num="1">
            <w:col w:w="11240"/>
          </w:cols>
          <w:pgMar w:left="320" w:top="1440" w:right="339" w:bottom="1440" w:gutter="0" w:footer="0" w:header="0"/>
        </w:sectPr>
      </w:pP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Share Delivery Date: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color w:val="auto"/>
        </w:rPr>
        <w:t>Prepayment Date</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Ordinary Dividend Amount: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8"/>
          <w:szCs w:val="18"/>
          <w:color w:val="auto"/>
        </w:rPr>
        <w:t>USD [___]</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Scheduled Ex-Dividend Dates: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2024 and [_____], 2024</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Maximum Stock Loan Rate: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 basis points per annum</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Initial Stock Loan Rate: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basis points per annum</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Maximum Number of Shares: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8"/>
          <w:szCs w:val="18"/>
          <w:color w:val="auto"/>
        </w:rPr>
        <w:t>[___] Shares</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Floor Price: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1.00 per Share</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Termination Price: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[___] per Share</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Additional Relevant Days: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five (5) Exchange Business Days immediately following the Calculation Period.</w:t>
      </w:r>
    </w:p>
    <w:p>
      <w:pPr>
        <w:spacing w:after="0" w:line="54"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Reserved Shares: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the Master Confirmation, as of the date of this Supplemental Confirmation, the Reserved Shares shall be equal to [___] Shares.</w:t>
      </w:r>
    </w:p>
    <w:p>
      <w:pPr>
        <w:spacing w:after="0" w:line="200"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line="97" w:lineRule="exact"/>
        <w:rPr>
          <w:sz w:val="20"/>
          <w:szCs w:val="20"/>
          <w:color w:val="auto"/>
        </w:rPr>
      </w:pPr>
    </w:p>
    <w:p>
      <w:pPr>
        <w:jc w:val="both"/>
        <w:ind w:firstLine="8"/>
        <w:spacing w:after="0" w:line="261" w:lineRule="auto"/>
        <w:tabs>
          <w:tab w:leader="none" w:pos="3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Dealer that neither it nor any “affiliated purchaser” (as defined in Rule 10b-18 under the Exchange Act) has made any purchases of blocks pursuant to the proviso in Rule 10b-18(b)(4) under the Exchange Act during either (i) the four full calendar weeks immediately preceding the Trade Date or (ii) during the calendar week in which the Trade Date occurs, except as set forth in any notice delivered pursuant to Section 6(b)(xi) of the Master Confirmation.</w:t>
      </w:r>
    </w:p>
    <w:p>
      <w:pPr>
        <w:spacing w:after="0" w:line="139" w:lineRule="exact"/>
        <w:rPr>
          <w:rFonts w:ascii="Times New Roman" w:cs="Times New Roman" w:eastAsia="Times New Roman" w:hAnsi="Times New Roman"/>
          <w:sz w:val="18"/>
          <w:szCs w:val="18"/>
          <w:color w:val="auto"/>
        </w:rPr>
      </w:pPr>
    </w:p>
    <w:p>
      <w:pPr>
        <w:ind w:firstLine="8"/>
        <w:spacing w:after="0" w:line="282" w:lineRule="auto"/>
        <w:tabs>
          <w:tab w:leader="none" w:pos="3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may be executed in any number of counterparts, all of which shall constitute one and the same instrument, and any party hereto may execute this Supplemental Confirmation by signing and delivering one or more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Supplemental Confirmation and returning it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BLOOMIN’ BRANDS,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28117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90"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RULE 10B-18 PURCHASES</w:t>
      </w:r>
    </w:p>
    <w:p>
      <w:pPr>
        <w:sectPr>
          <w:pgSz w:w="11900" w:h="16838" w:orient="portrait"/>
          <w:cols w:equalWidth="0" w:num="1">
            <w:col w:w="11240"/>
          </w:cols>
          <w:pgMar w:left="320" w:top="1440"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Bloomin’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2202 North West Shore Blvd., Suite 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Jamieson Bump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00" w:lineRule="exact"/>
        <w:rPr>
          <w:sz w:val="20"/>
          <w:szCs w:val="20"/>
          <w:color w:val="auto"/>
        </w:rPr>
      </w:pPr>
    </w:p>
    <w:p>
      <w:pPr>
        <w:sectPr>
          <w:pgSz w:w="11900" w:h="16838" w:orient="portrait"/>
          <w:cols w:equalWidth="0" w:num="2">
            <w:col w:w="460" w:space="500"/>
            <w:col w:w="10280"/>
          </w:cols>
          <w:pgMar w:left="320" w:top="1440" w:right="339" w:bottom="1440" w:gutter="0" w:footer="0" w:header="0"/>
          <w:type w:val="continuous"/>
        </w:sectPr>
      </w:pP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10001-2170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60" w:space="700"/>
            <w:col w:w="10280"/>
          </w:cols>
          <w:pgMar w:left="320" w:top="1440"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Uncollared Accelerated Share Repurchase</w:t>
      </w:r>
    </w:p>
    <w:p>
      <w:pPr>
        <w:spacing w:after="0" w:line="211" w:lineRule="exact"/>
        <w:rPr>
          <w:sz w:val="20"/>
          <w:szCs w:val="20"/>
          <w:color w:val="auto"/>
        </w:rPr>
      </w:pPr>
    </w:p>
    <w:p>
      <w:pPr>
        <w:sectPr>
          <w:pgSz w:w="11900" w:h="16838" w:orient="portrait"/>
          <w:cols w:equalWidth="0" w:num="2">
            <w:col w:w="260" w:space="220"/>
            <w:col w:w="10760"/>
          </w:cols>
          <w:pgMar w:left="320" w:top="1440"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4" w:lineRule="exact"/>
        <w:rPr>
          <w:sz w:val="20"/>
          <w:szCs w:val="20"/>
          <w:color w:val="auto"/>
        </w:rPr>
      </w:pPr>
    </w:p>
    <w:p>
      <w:pPr>
        <w:jc w:val="both"/>
        <w:ind w:firstLine="197"/>
        <w:spacing w:after="0" w:line="256" w:lineRule="auto"/>
        <w:rPr>
          <w:sz w:val="20"/>
          <w:szCs w:val="20"/>
          <w:color w:val="auto"/>
        </w:rPr>
      </w:pPr>
      <w:r>
        <w:rPr>
          <w:rFonts w:ascii="Times New Roman" w:cs="Times New Roman" w:eastAsia="Times New Roman" w:hAnsi="Times New Roman"/>
          <w:sz w:val="18"/>
          <w:szCs w:val="18"/>
          <w:color w:val="auto"/>
        </w:rPr>
        <w:t>In connection with our entry into the Master Confirmation, dated as of March 1, 2024, between Wells Fargo Bank, National Association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Bloomin’ Brands, Inc., a Delaware corporation, as amended and supplemented from time to time (the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we hereby represent that set forth below is the total number of shares of our common stock purchased by or for us or any of our affiliated purchasers in Rule 10b-18 purchases of blocks (all as defined in Rule 10b-18 under the Securities Exchange Act of 1934) pursuant to the once-a-week block exception set forth in Rule 10b-18(b)</w:t>
      </w:r>
    </w:p>
    <w:p>
      <w:pPr>
        <w:spacing w:after="0" w:line="3" w:lineRule="exact"/>
        <w:rPr>
          <w:sz w:val="20"/>
          <w:szCs w:val="20"/>
          <w:color w:val="auto"/>
        </w:rPr>
      </w:pPr>
    </w:p>
    <w:p>
      <w:pPr>
        <w:jc w:val="both"/>
        <w:ind w:firstLine="8"/>
        <w:spacing w:after="0" w:line="255"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 full calendar weeks immediately preceding the first day of the [Calculation Period][Settlement Valuation Period][Seller Termination Purchase Period] (as defined in the Master Confirmation) and the week during which the first day of such [Calculation Period][Settlement Valuation Period][Seller Termination Purchase Period]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understand that you will use this information in calculating trading volume for purposes of Rule 10b-18.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BLOOMIN’ BRANDS, INC.</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COUNTERPARTY SETTLEMENT PROVISIONS</w:t>
      </w:r>
    </w:p>
    <w:p>
      <w:pPr>
        <w:spacing w:after="0" w:line="189" w:lineRule="exact"/>
        <w:rPr>
          <w:sz w:val="20"/>
          <w:szCs w:val="20"/>
          <w:color w:val="auto"/>
        </w:rPr>
      </w:pPr>
    </w:p>
    <w:p>
      <w:pPr>
        <w:jc w:val="center"/>
        <w:ind w:right="-199"/>
        <w:spacing w:after="0"/>
        <w:tabs>
          <w:tab w:leader="none" w:pos="1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following Counterparty Settlement Provisions shall apply to any Transaction to the extent indicated under the Master Confirmation: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Currency:</w:t>
      </w:r>
    </w:p>
    <w:p>
      <w:pPr>
        <w:jc w:val="center"/>
        <w:ind w:right="520"/>
        <w:spacing w:after="0"/>
        <w:rPr>
          <w:sz w:val="20"/>
          <w:szCs w:val="20"/>
          <w:color w:val="auto"/>
        </w:rPr>
      </w:pPr>
      <w:r>
        <w:rPr>
          <w:rFonts w:ascii="Times New Roman" w:cs="Times New Roman" w:eastAsia="Times New Roman" w:hAnsi="Times New Roman"/>
          <w:sz w:val="18"/>
          <w:szCs w:val="18"/>
          <w:color w:val="auto"/>
        </w:rPr>
        <w:t>USD</w:t>
      </w:r>
    </w:p>
    <w:p>
      <w:pPr>
        <w:sectPr>
          <w:pgSz w:w="11900" w:h="16838" w:orient="portrait"/>
          <w:cols w:equalWidth="0" w:num="1">
            <w:col w:w="11240"/>
          </w:cols>
          <w:pgMar w:left="320" w:top="1440" w:right="339" w:bottom="1440" w:gutter="0" w:footer="0" w:header="0"/>
        </w:sectPr>
      </w:pP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Method Election: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7.1 of the Equity Definitions is hereby amended by deleting the word “Physical” in the sixth line thereof and replacing it with the words “Net Share” and (ii) the Electing Party may make a settlement method election only if the Electing Party represents and warrants to Dealer in writing on the date it notifies Dealer of its election that, as of such date, the Electing Party is not aware of any material non-public information regarding Counterparty or the Shares and is electing the settlement method in good faith and not as part of a plan or scheme to evade compliance with the federal securities laws.</w:t>
      </w:r>
    </w:p>
    <w:p>
      <w:pPr>
        <w:spacing w:after="0" w:line="82"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200"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Method Election Date: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earlier of (x) the second Exchange Business Day immediately following the Accelerated Termination Date (in which case election under Section 7.1 of the Equity Definitions shall be made no later than 10 minutes prior to the open of trading on the Exchange on such second Exchange Business Day) and (y) the Scheduled Termination Date (such earlier date, the “</w:t>
      </w:r>
      <w:r>
        <w:rPr>
          <w:rFonts w:ascii="Times New Roman" w:cs="Times New Roman" w:eastAsia="Times New Roman" w:hAnsi="Times New Roman"/>
          <w:sz w:val="18"/>
          <w:szCs w:val="18"/>
          <w:b w:val="1"/>
          <w:bCs w:val="1"/>
          <w:color w:val="auto"/>
        </w:rPr>
        <w:t>Scheduled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Net Share Settlement</w:t>
      </w:r>
    </w:p>
    <w:p>
      <w:pPr>
        <w:spacing w:after="0" w:line="200"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Forward Cash Settlement Amount: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An amount equal to (a) the Number of Shares to be Delivered,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Settlement Price.</w:t>
      </w:r>
    </w:p>
    <w:p>
      <w:pPr>
        <w:spacing w:after="0" w:line="52"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Settlement Price:</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 amount equal to the average of the VWAP Prices for the Exchange Business Days in the Settlement Valuation Period, subject to Valuation Disruption as specified in the Master Confirmation.</w:t>
      </w:r>
    </w:p>
    <w:p>
      <w:pPr>
        <w:spacing w:after="0" w:line="68"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Settlement Valuation Period:</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 number of Scheduled Trading Days selected by Dealer in its commercially reasonable discretion, beginning on the Scheduled Trading Day immediately following the Termination Date. Dealer shall notify Counterparty of the last Scheduled Trading Day of the Settlement Valuation Period on or prior to the Exchange Business Day immediately following such last Scheduled Trading Day.</w:t>
      </w:r>
    </w:p>
    <w:p>
      <w:pPr>
        <w:spacing w:after="0" w:line="75"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Cash Settlement: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If Cash Settlement is applicable, then Buyer shall pay to Seller the absolute value of the Forward Cash Settlement Amount on the Cash Settlement Payment Date.</w:t>
      </w:r>
    </w:p>
    <w:p>
      <w:pPr>
        <w:spacing w:after="0" w:line="54"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Cash Settlement Payment Date:</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later of (x) the Exchange Business Day immediately following the last day of the Settlement Valuation Period and (y) the earlier of (i) the Exchange Business Day immediately</w:t>
      </w:r>
    </w:p>
    <w:p>
      <w:pPr>
        <w:spacing w:after="0" w:line="200"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248" w:lineRule="exact"/>
        <w:rPr>
          <w:sz w:val="20"/>
          <w:szCs w:val="20"/>
          <w:color w:val="auto"/>
        </w:rPr>
      </w:pPr>
    </w:p>
    <w:p>
      <w:pPr>
        <w:ind w:left="5180" w:right="20"/>
        <w:spacing w:after="0" w:line="282" w:lineRule="auto"/>
        <w:rPr>
          <w:sz w:val="20"/>
          <w:szCs w:val="20"/>
          <w:color w:val="auto"/>
        </w:rPr>
      </w:pPr>
      <w:r>
        <w:rPr>
          <w:rFonts w:ascii="Times New Roman" w:cs="Times New Roman" w:eastAsia="Times New Roman" w:hAnsi="Times New Roman"/>
          <w:sz w:val="18"/>
          <w:szCs w:val="18"/>
          <w:color w:val="auto"/>
        </w:rPr>
        <w:t>following the date of Counterparty’s Settlement Method Election and (ii) the Settlement Method Election Date.</w:t>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Share Settlement Procedures: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Net Share Settlement is applicable, Net Share Settlement shall be made in accordance with paragraphs 2 through 7 below.</w:t>
      </w:r>
    </w:p>
    <w:p>
      <w:pPr>
        <w:spacing w:after="0" w:line="200" w:lineRule="exact"/>
        <w:rPr>
          <w:sz w:val="20"/>
          <w:szCs w:val="20"/>
          <w:color w:val="auto"/>
        </w:rPr>
      </w:pPr>
    </w:p>
    <w:p>
      <w:pPr>
        <w:sectPr>
          <w:pgSz w:w="11900" w:h="16838" w:orient="portrait"/>
          <w:cols w:equalWidth="0" w:num="2">
            <w:col w:w="4460" w:space="720"/>
            <w:col w:w="6060"/>
          </w:cols>
          <w:pgMar w:left="320" w:top="1440" w:right="339" w:bottom="1440" w:gutter="0" w:footer="0" w:header="0"/>
          <w:type w:val="continuous"/>
        </w:sectPr>
      </w:pPr>
    </w:p>
    <w:p>
      <w:pPr>
        <w:spacing w:after="0" w:line="29" w:lineRule="exact"/>
        <w:rPr>
          <w:sz w:val="20"/>
          <w:szCs w:val="20"/>
          <w:color w:val="auto"/>
        </w:rPr>
      </w:pPr>
    </w:p>
    <w:p>
      <w:pPr>
        <w:jc w:val="both"/>
        <w:ind w:firstLine="656"/>
        <w:spacing w:after="0" w:line="255" w:lineRule="auto"/>
        <w:tabs>
          <w:tab w:leader="none" w:pos="96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Share Settlement shall be made by delivery on the Cash Settlement Payment Date of a number of Shares satisfying the conditions set forth in paragraph 3 below (the “</w:t>
      </w:r>
      <w:r>
        <w:rPr>
          <w:rFonts w:ascii="Times New Roman" w:cs="Times New Roman" w:eastAsia="Times New Roman" w:hAnsi="Times New Roman"/>
          <w:sz w:val="18"/>
          <w:szCs w:val="18"/>
          <w:b w:val="1"/>
          <w:bCs w:val="1"/>
          <w:color w:val="auto"/>
        </w:rPr>
        <w:t>Registered Settlement Shares</w:t>
      </w:r>
      <w:r>
        <w:rPr>
          <w:rFonts w:ascii="Times New Roman" w:cs="Times New Roman" w:eastAsia="Times New Roman" w:hAnsi="Times New Roman"/>
          <w:sz w:val="18"/>
          <w:szCs w:val="18"/>
          <w:color w:val="auto"/>
        </w:rPr>
        <w:t>”), or a number of Shares not satisfying such conditions (the “</w:t>
      </w:r>
      <w:r>
        <w:rPr>
          <w:rFonts w:ascii="Times New Roman" w:cs="Times New Roman" w:eastAsia="Times New Roman" w:hAnsi="Times New Roman"/>
          <w:sz w:val="18"/>
          <w:szCs w:val="18"/>
          <w:b w:val="1"/>
          <w:bCs w:val="1"/>
          <w:color w:val="auto"/>
        </w:rPr>
        <w:t>Unregistered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either case with a value equal to the absolute value of the Forward Cash Settlement Amount, with such Shares’ value based on the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Dealer (which value shall, in the case of Unregistered Settlement Shares, take into account a commercially reasonable illiquidity discount), in each case as determined by the Calculation Agent in good faith and a commercially reasonable manner. If all of the conditions for delivery of either Registered Settlement Shares or Unregistered Settlement Shares have not been satisfied, Cash Settlement shall be applicable in accordance with paragraph 1 above notwithstanding Counterparty’s election of Net Share Settlement.</w:t>
      </w:r>
    </w:p>
    <w:p>
      <w:pPr>
        <w:spacing w:after="0" w:line="1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only deliver Registered Settlement Shares pursuant to paragraph 2 above if:</w:t>
      </w:r>
    </w:p>
    <w:p>
      <w:pPr>
        <w:spacing w:after="0" w:line="181" w:lineRule="exact"/>
        <w:rPr>
          <w:sz w:val="20"/>
          <w:szCs w:val="20"/>
          <w:color w:val="auto"/>
        </w:rPr>
      </w:pPr>
    </w:p>
    <w:p>
      <w:pPr>
        <w:jc w:val="both"/>
        <w:ind w:firstLine="656"/>
        <w:spacing w:after="0" w:line="259" w:lineRule="auto"/>
        <w:tabs>
          <w:tab w:leader="none" w:pos="10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public resale of the Registered Settlement Shares by Dealer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without limitation, any prospectus supplement thereto,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have been delivered to Dealer, in such quantities as Dealer shall reasonably have requested, on or prior to the date of delivery;</w:t>
      </w:r>
    </w:p>
    <w:p>
      <w:pPr>
        <w:spacing w:after="0" w:line="156" w:lineRule="exact"/>
        <w:rPr>
          <w:rFonts w:ascii="Times New Roman" w:cs="Times New Roman" w:eastAsia="Times New Roman" w:hAnsi="Times New Roman"/>
          <w:sz w:val="18"/>
          <w:szCs w:val="18"/>
          <w:color w:val="auto"/>
        </w:rPr>
      </w:pPr>
    </w:p>
    <w:p>
      <w:pPr>
        <w:ind w:firstLine="656"/>
        <w:spacing w:after="0" w:line="282"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reasonably satisfactory to Dealer;</w:t>
      </w:r>
    </w:p>
    <w:p>
      <w:pPr>
        <w:spacing w:after="0" w:line="12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its agents shall have been afforded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receiving or being granted access to any such information, Dealer and any such agent may be required by Counterparty to enter into a customary nondisclosure agreement with Counterparty in respect of any such due diligence investigation) and the results of such investigation are satisfactory to Dealer, in its judgment; and</w:t>
      </w:r>
    </w:p>
    <w:p>
      <w:pPr>
        <w:spacing w:after="0" w:line="138" w:lineRule="exact"/>
        <w:rPr>
          <w:rFonts w:ascii="Times New Roman" w:cs="Times New Roman" w:eastAsia="Times New Roman" w:hAnsi="Times New Roman"/>
          <w:sz w:val="18"/>
          <w:szCs w:val="18"/>
          <w:color w:val="auto"/>
        </w:rPr>
      </w:pPr>
    </w:p>
    <w:p>
      <w:pPr>
        <w:jc w:val="both"/>
        <w:ind w:firstLine="656"/>
        <w:spacing w:after="0" w:line="257" w:lineRule="auto"/>
        <w:tabs>
          <w:tab w:leader="none" w:pos="10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shall have been entered into with Dealer in connection with the public resale of the Registered Settlement Shares by Dealer substantially similar to underwriting agreements customary for underwritten offerings of equity securities for companies of a similar size in a similar industry, in form and substance reasonably satisfactory to Dealer, which Underwriting Agreement shall include, without limitation, provisions substantially similar to those contained in such underwriting agreements relating, without limitation, to the mutual indemnification of, and contribution in connection with the liability of, the parties and the provision of customary opinions, accountants’ comfort letters and lawyers’ negative assurance letters.</w:t>
      </w:r>
    </w:p>
    <w:p>
      <w:pPr>
        <w:spacing w:after="0" w:line="15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If Counterparty delivers Unregistered Settlement Shares pursuant to paragraph 2 above:</w:t>
      </w:r>
    </w:p>
    <w:p>
      <w:pPr>
        <w:spacing w:after="0" w:line="185" w:lineRule="exact"/>
        <w:rPr>
          <w:sz w:val="20"/>
          <w:szCs w:val="20"/>
          <w:color w:val="auto"/>
        </w:rPr>
      </w:pPr>
    </w:p>
    <w:p>
      <w:pPr>
        <w:ind w:right="20" w:firstLine="656"/>
        <w:spacing w:after="0" w:line="282" w:lineRule="auto"/>
        <w:tabs>
          <w:tab w:leader="none" w:pos="106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2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any potential purchaser of any such shares from Dealer (or any Affiliate of Dealer designated by Dealer) identified by Dealer shall be afforded a commercially reasonable opportunity to conduct a due diligence investigation with respect to Counterparty customary in scope for private placements of equity securities of similar size by issuers similar to Counterparty (including, without limitation, the right to have made available to them for inspection all relevant financial and other records, pertinent corporate documents and other information reasonably requested by them) and the result of such due diligence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investigation shall be commercially reasonably satisfactory to Dealer and any such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receiving or being granted access to any such information, any such Dealer (or Affiliate) or potential purchaser may be required by Counterparty to enter into a customary nondisclosure agreement with Counterparty in respect of any such due diligence investigation;</w:t>
      </w:r>
    </w:p>
    <w:p>
      <w:pPr>
        <w:spacing w:after="0" w:line="131" w:lineRule="exact"/>
        <w:rPr>
          <w:sz w:val="20"/>
          <w:szCs w:val="20"/>
          <w:color w:val="auto"/>
        </w:rPr>
      </w:pPr>
    </w:p>
    <w:p>
      <w:pPr>
        <w:jc w:val="both"/>
        <w:ind w:firstLine="656"/>
        <w:spacing w:after="0" w:line="254" w:lineRule="auto"/>
        <w:tabs>
          <w:tab w:leader="none" w:pos="10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Counterparty to Dealer (or any such Affiliate) and the private resale of such shares by Dealer (or any such Affiliate), substantially similar to private placement purchase agreements customary for private placements of equity securities for companies of a similar size in a similar industry, in form and substance commercially reasonably satisfactory to Dealer, which Private Placement Agreement shall include, without limitation, provisions substantially similar to those contained in such private placement purchase agreements relating, without limitation, to the mutual indemnification of, and contribution in connection with the liability of, the parties and the provision of customary opinions, accountants’ comfort letters and lawyers’ negative assurance letters, and shall provide for the payment by Counterparty of all reasonable fees and actual, documented out-of-pocket expenses of Dealer (and any such Affiliate) in connection with such resale, including, without limitation, all reasonable fees and actual, documented out-of-pocket expenses of counsel for Dealer, and shall contain representations, warranties, covenants and agreements of the parties reasonably necessary or advisable to establish and maintain the availability of an exemption from the registration requirements of the Securities Act for such resales; and</w:t>
      </w:r>
    </w:p>
    <w:p>
      <w:pPr>
        <w:spacing w:after="0" w:line="15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Counterparty to Dealer (or any such Affiliate) and the private resale of such shares by Dealer (or any such Affiliate), Counterparty shall, if so requested by Dealer, prepare, in cooperation with Dealer, a private placement memorandum in form and substance reasonably satisfactory to Dealer for companies of a similar size and in a similar industry.</w:t>
      </w:r>
    </w:p>
    <w:p>
      <w:pPr>
        <w:spacing w:after="0" w:line="131" w:lineRule="exact"/>
        <w:rPr>
          <w:sz w:val="20"/>
          <w:szCs w:val="20"/>
          <w:color w:val="auto"/>
        </w:rPr>
      </w:pPr>
    </w:p>
    <w:p>
      <w:pPr>
        <w:jc w:val="both"/>
        <w:ind w:firstLine="656"/>
        <w:spacing w:after="0" w:line="253" w:lineRule="auto"/>
        <w:tabs>
          <w:tab w:leader="none" w:pos="10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itself or through an Affiliate (the “</w:t>
      </w:r>
      <w:r>
        <w:rPr>
          <w:rFonts w:ascii="Times New Roman" w:cs="Times New Roman" w:eastAsia="Times New Roman" w:hAnsi="Times New Roman"/>
          <w:sz w:val="18"/>
          <w:szCs w:val="18"/>
          <w:b w:val="1"/>
          <w:bCs w:val="1"/>
          <w:color w:val="auto"/>
        </w:rPr>
        <w:t>Selling Agent</w:t>
      </w:r>
      <w:r>
        <w:rPr>
          <w:rFonts w:ascii="Times New Roman" w:cs="Times New Roman" w:eastAsia="Times New Roman" w:hAnsi="Times New Roman"/>
          <w:sz w:val="18"/>
          <w:szCs w:val="18"/>
          <w:color w:val="auto"/>
        </w:rPr>
        <w:t>”) or any underwriter(s), will sell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delivered by Counterparty to Dealer pursuant to paragraph 6 below commencing on the Cash Settlement Payment Date and continuing until the date on which the aggregate Net Proceeds (as such term is defined below) of such sales, as determined by Dealer, is equal to the absolute value of the Forward Cash Settlement Amount (such date, the “</w:t>
      </w:r>
      <w:r>
        <w:rPr>
          <w:rFonts w:ascii="Times New Roman" w:cs="Times New Roman" w:eastAsia="Times New Roman" w:hAnsi="Times New Roman"/>
          <w:sz w:val="18"/>
          <w:szCs w:val="18"/>
          <w:b w:val="1"/>
          <w:bCs w:val="1"/>
          <w:color w:val="auto"/>
        </w:rPr>
        <w:t>Final Resale Date</w:t>
      </w:r>
      <w:r>
        <w:rPr>
          <w:rFonts w:ascii="Times New Roman" w:cs="Times New Roman" w:eastAsia="Times New Roman" w:hAnsi="Times New Roman"/>
          <w:sz w:val="18"/>
          <w:szCs w:val="18"/>
          <w:color w:val="auto"/>
        </w:rPr>
        <w:t>”). If Counterparty is prohibited by law or by contract from disclosing all material non-public information known to Counterparty with respect to Counterparty and the Shares to any potential purchasers of such Settlement Shares, then the sale of such Settlement Shares shall not be required to commence until the earlier of (x) the 30th calendar day immediately following the Cash Settlement Payment Date and (y) the first date immediately following the Cash Settlement Payment Date on which Counterparty reasonably concludes that it is able to disclose such information. If the proceeds of any sale(s) made by Dealer, the Selling Agent or any underwriter(s), net of any commercially reasonable fees and commissions (including, without limitation, underwriting or placement fees) customary for similar transactions under the circumstances at the time of the offering, together with commercially reasonable carrying charges and expenses incurred in connection with the offer and sale of the Shares (including, without limitation, the covering of any over-allotment or short position (syndicate or otherwise)) (the “</w:t>
      </w:r>
      <w:r>
        <w:rPr>
          <w:rFonts w:ascii="Times New Roman" w:cs="Times New Roman" w:eastAsia="Times New Roman" w:hAnsi="Times New Roman"/>
          <w:sz w:val="18"/>
          <w:szCs w:val="18"/>
          <w:b w:val="1"/>
          <w:b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exceed the absolute value of the Forward Cash Settlement Amount, Dealer will refund, in USD, such excess to Counterparty on the date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(3) Currency Business Days following the Final Resale Date, and, if any portion of the Settlement Shares remains unsold, Dealer shall return to Counterparty on that date such unsold Shares.</w:t>
      </w:r>
    </w:p>
    <w:p>
      <w:pPr>
        <w:spacing w:after="0" w:line="146" w:lineRule="exact"/>
        <w:rPr>
          <w:rFonts w:ascii="Times New Roman" w:cs="Times New Roman" w:eastAsia="Times New Roman" w:hAnsi="Times New Roman"/>
          <w:sz w:val="18"/>
          <w:szCs w:val="18"/>
          <w:color w:val="auto"/>
        </w:rPr>
      </w:pPr>
    </w:p>
    <w:p>
      <w:pPr>
        <w:jc w:val="both"/>
        <w:ind w:firstLine="656"/>
        <w:spacing w:after="0" w:line="254" w:lineRule="auto"/>
        <w:tabs>
          <w:tab w:leader="none" w:pos="9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in its commercially reasonable discretion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b w:val="1"/>
          <w:bCs w:val="1"/>
          <w:color w:val="auto"/>
        </w:rPr>
        <w:t>Deficiency Determination Date</w:t>
      </w:r>
      <w:r>
        <w:rPr>
          <w:rFonts w:ascii="Times New Roman" w:cs="Times New Roman" w:eastAsia="Times New Roman" w:hAnsi="Times New Roman"/>
          <w:sz w:val="18"/>
          <w:szCs w:val="18"/>
          <w:color w:val="auto"/>
        </w:rPr>
        <w:t>”), Counterparty shall on the Exchange Business Day next succeeding the Deficiency Determination Date (the “</w:t>
      </w:r>
      <w:r>
        <w:rPr>
          <w:rFonts w:ascii="Times New Roman" w:cs="Times New Roman" w:eastAsia="Times New Roman" w:hAnsi="Times New Roman"/>
          <w:sz w:val="18"/>
          <w:szCs w:val="18"/>
          <w:b w:val="1"/>
          <w:bCs w:val="1"/>
          <w:color w:val="auto"/>
        </w:rPr>
        <w:t>Makewhole Notice Date</w:t>
      </w:r>
      <w:r>
        <w:rPr>
          <w:rFonts w:ascii="Times New Roman" w:cs="Times New Roman" w:eastAsia="Times New Roman" w:hAnsi="Times New Roman"/>
          <w:sz w:val="18"/>
          <w:szCs w:val="18"/>
          <w:color w:val="auto"/>
        </w:rPr>
        <w:t>”) deliver to Dealer, through the Selling Agent, a notice of Counterparty’s election that Counterparty shall either (i) pay an amount in cash equal to the Shortfall on the day that is one Currency Business Day after the Makewhole Notice Date, or (ii) deliver additional Shares. If Counterparty elects to deliver to Dealer additional Shares, then Counterparty shall deliver additional Shares in compliance 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terms and conditions of paragraph 3 or paragraph 4 above, as the case may be (the “</w:t>
      </w:r>
      <w:r>
        <w:rPr>
          <w:rFonts w:ascii="Times New Roman" w:cs="Times New Roman" w:eastAsia="Times New Roman" w:hAnsi="Times New Roman"/>
          <w:sz w:val="18"/>
          <w:szCs w:val="18"/>
          <w:b w:val="1"/>
          <w:bCs w:val="1"/>
          <w:color w:val="auto"/>
        </w:rPr>
        <w:t>Makewhole Shares</w:t>
      </w:r>
      <w:r>
        <w:rPr>
          <w:rFonts w:ascii="Times New Roman" w:cs="Times New Roman" w:eastAsia="Times New Roman" w:hAnsi="Times New Roman"/>
          <w:sz w:val="18"/>
          <w:szCs w:val="18"/>
          <w:color w:val="auto"/>
        </w:rPr>
        <w:t xml:space="preserve">”), on the first Clearance System Business Day which is also an Exchange Business Day following the Makewhole Notice Date in such number as the Calculation Agent reasonably believes would have a market value on that Exchange Business Day equal to the Shortfall. Such Makewhole Shares shall be sold by Dealer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Dealer further Makewhole Shares until such Shortfall has been reduced to zero.</w:t>
      </w:r>
    </w:p>
    <w:p>
      <w:pPr>
        <w:spacing w:after="0" w:line="146" w:lineRule="exact"/>
        <w:rPr>
          <w:sz w:val="20"/>
          <w:szCs w:val="20"/>
          <w:color w:val="auto"/>
        </w:rPr>
      </w:pPr>
    </w:p>
    <w:p>
      <w:pPr>
        <w:jc w:val="both"/>
        <w:ind w:firstLine="656"/>
        <w:spacing w:after="0" w:line="261" w:lineRule="auto"/>
        <w:tabs>
          <w:tab w:leader="none" w:pos="97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no event shall the aggregate number of Settlement Shares for any Transaction be greater than the Reserved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any Shares actually delivered by Counterparty under any other Transaction under this Master Confirmation (the result of such calculation,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Counterparty represents and warrants (which shall be deemed to be repeated on each day that a Transaction is outstanding) that the Capped Number is equal to or less than the number of Shares determined according to the following formula:</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B</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number of authorized but unissued shares of Counterparty that are not reserved for future issuance on the date of the determination of the Capped Number; and</w:t>
      </w:r>
    </w:p>
    <w:p>
      <w:pPr>
        <w:spacing w:after="0" w:line="200" w:lineRule="exact"/>
        <w:rPr>
          <w:sz w:val="20"/>
          <w:szCs w:val="20"/>
          <w:color w:val="auto"/>
        </w:rPr>
      </w:pPr>
    </w:p>
    <w:p>
      <w:pPr>
        <w:sectPr>
          <w:pgSz w:w="11900" w:h="16838" w:orient="portrait"/>
          <w:cols w:equalWidth="0" w:num="3">
            <w:col w:w="1120" w:space="460"/>
            <w:col w:w="280" w:space="520"/>
            <w:col w:w="8860"/>
          </w:cols>
          <w:pgMar w:left="320" w:top="1440" w:right="339" w:bottom="1440" w:gutter="0" w:footer="0" w:header="0"/>
          <w:type w:val="continuous"/>
        </w:sectPr>
      </w:pPr>
    </w:p>
    <w:p>
      <w:pPr>
        <w:spacing w:after="0" w:line="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B =</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18"/>
          <w:szCs w:val="18"/>
          <w:color w:val="auto"/>
        </w:rPr>
        <w:t>the maximum number of Shares required to be delivered to third parties if Counterparty elected Net Share Settlement of all transactions in the Shares (other than Transactions in the Shares under this Master Confirmation) with all third parties that are then currently outstanding and unexercised.</w:t>
      </w:r>
    </w:p>
    <w:p>
      <w:pPr>
        <w:spacing w:after="0" w:line="200" w:lineRule="exact"/>
        <w:rPr>
          <w:sz w:val="20"/>
          <w:szCs w:val="20"/>
          <w:color w:val="auto"/>
        </w:rPr>
      </w:pPr>
    </w:p>
    <w:p>
      <w:pPr>
        <w:sectPr>
          <w:pgSz w:w="11900" w:h="16838" w:orient="portrait"/>
          <w:cols w:equalWidth="0" w:num="2">
            <w:col w:w="1860" w:space="520"/>
            <w:col w:w="8860"/>
          </w:cols>
          <w:pgMar w:left="320" w:top="1440" w:right="33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Shares</w:t>
      </w:r>
      <w:r>
        <w:rPr>
          <w:rFonts w:ascii="Times New Roman" w:cs="Times New Roman" w:eastAsia="Times New Roman" w:hAnsi="Times New Roman"/>
          <w:sz w:val="18"/>
          <w:szCs w:val="18"/>
          <w:color w:val="auto"/>
        </w:rPr>
        <w:t>” means, for each Transaction, as set forth in the Supplemental Confirmation for such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as a result of this paragraph 7, Counterparty fails to deliver to Dealer any Settlement Shares, Counterparty shall, to the extent that Counterparty has at such time authorized but unissued Shares not reserved for other purposes, promptly notify Dealer thereof and deliver to Dealer a number of Shares not previously delivered as a result of this paragraph 7. Counterparty agrees to use its best efforts to cause the number of authorized but unissued Shares to be increased, if necessary, to an amount sufficient to permit Counterparty to fulfill its obligation to deliver any Settlement Shares.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19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PROCEDURES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 2024</w:t>
      </w:r>
    </w:p>
    <w:p>
      <w:pPr>
        <w:spacing w:after="0" w:line="252" w:lineRule="exact"/>
        <w:rPr>
          <w:sz w:val="20"/>
          <w:szCs w:val="20"/>
          <w:color w:val="auto"/>
        </w:rPr>
      </w:pPr>
    </w:p>
    <w:p>
      <w:pPr>
        <w:ind w:left="940" w:hanging="284"/>
        <w:spacing w:after="0"/>
        <w:tabs>
          <w:tab w:leader="none" w:pos="9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Introduction</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Bloomin’ Brands,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and Wells Fargo Bank, National Association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have adopted these communications procedures (the “</w:t>
      </w:r>
      <w:r>
        <w:rPr>
          <w:rFonts w:ascii="Times New Roman" w:cs="Times New Roman" w:eastAsia="Times New Roman" w:hAnsi="Times New Roman"/>
          <w:sz w:val="18"/>
          <w:szCs w:val="18"/>
          <w:b w:val="1"/>
          <w:bCs w:val="1"/>
          <w:color w:val="auto"/>
        </w:rPr>
        <w:t>Communications Procedures</w:t>
      </w:r>
      <w:r>
        <w:rPr>
          <w:rFonts w:ascii="Times New Roman" w:cs="Times New Roman" w:eastAsia="Times New Roman" w:hAnsi="Times New Roman"/>
          <w:sz w:val="18"/>
          <w:szCs w:val="18"/>
          <w:color w:val="auto"/>
        </w:rPr>
        <w:t>”) in connection with entering into the Master Confirmation (the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dated as of March 1, 2024, between Dealer and Counterparty relating to Uncollared Accelerated Share Repurchase transactions. These Communications Procedures supplement, form part of, and are subject to the Master Confirmation.</w:t>
      </w:r>
    </w:p>
    <w:p>
      <w:pPr>
        <w:spacing w:after="0" w:line="140" w:lineRule="exact"/>
        <w:rPr>
          <w:sz w:val="20"/>
          <w:szCs w:val="20"/>
          <w:color w:val="auto"/>
        </w:rPr>
      </w:pPr>
    </w:p>
    <w:p>
      <w:pPr>
        <w:ind w:left="1000" w:hanging="344"/>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 Rules</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each Transaction, from the Trade Date for such Transaction until the date all payments or deliveries of Shares have been made with respect to such Transaction, Counterparty and its Employees and Designees shall not engage in any Program-Related Communication with, or disclose any Material Non-Public Information to, any Trading Personnel. Except as set forth in the preceding sentence, the Master Confirmation shall not limit Counterparty and its Employees and Designees in their communication with Affiliates and Employees of Dealer, including, without limitation, Employees who are Permitted Contacts.</w:t>
      </w:r>
    </w:p>
    <w:p>
      <w:pPr>
        <w:spacing w:after="0" w:line="143" w:lineRule="exact"/>
        <w:rPr>
          <w:sz w:val="20"/>
          <w:szCs w:val="20"/>
          <w:color w:val="auto"/>
        </w:rPr>
      </w:pPr>
    </w:p>
    <w:p>
      <w:pPr>
        <w:ind w:left="1060" w:hanging="404"/>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in the reasonable judgment of any Trading Personnel or any Affiliate or Employee of Dealer participating in any Communication with Counterparty or any Employee or Designee of Counterparty, such Communication would not be permitted by these Communications Procedures, such Trading Personnel or Affiliate or Employee of Dealer shall immediately terminate such Communication. In such case, or if such Trading Personnel or Affiliate or Employee of Dealer determines following completion of any Communication with Counterparty or any Employee or Designee of Counterparty that such Communication was not permitted by these Communications Procedures, such Trading Personnel or such Affiliate or Employee of Dealer shall promptly consult with his or her supervisors and with counsel for Dealer regarding such Communication. If, in the reasonable judgment of Dealer’s counsel following such consultation, there is more than an insignificant risk that such Communication could materially jeopardize the availability of the affirmative defenses provided in Rule 10b5-1 under the Exchange Act with respect to any ongoing or contemplated activities of Dealer or its Affiliates in respect of any Transaction pursuant to the Master Confirmation, it shall be an Additional Termination Event pursuant to Section 19(a) of the Master Confirmation, with Counterparty as the sole Affected Party and all Transactions under the Master Confirmation as Affected Transactions.</w:t>
      </w:r>
    </w:p>
    <w:p>
      <w:pPr>
        <w:spacing w:after="0" w:line="167"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ascribed to them in the Master Confirmation. As used herein, the following words and phrases shall have the following meanings:</w:t>
      </w:r>
    </w:p>
    <w:p>
      <w:pPr>
        <w:spacing w:after="0" w:line="11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any contact or communication (whether written, electronic, oral or otherwise) between Counterparty or any of its Employees or Designees, on the one hand, and Dealer or any of its Affiliates or Employees, on the other hand.</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means a person designated, in writing or orally, by Counterparty to communicate with Dealer on behalf of Counterparty.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Contact</w:t>
      </w:r>
      <w:r>
        <w:rPr>
          <w:rFonts w:ascii="Times New Roman" w:cs="Times New Roman" w:eastAsia="Times New Roman" w:hAnsi="Times New Roman"/>
          <w:sz w:val="18"/>
          <w:szCs w:val="18"/>
          <w:color w:val="auto"/>
        </w:rPr>
        <w:t xml:space="preserve">” means any of [__________] or any of their designees;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amend the list of Permitted Contacts by</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delivering a revised list of Permitted Contacts to Counterparty (which amended list shall become effective on the third Exchange Business-Day immediately following delivery of such list by Dealer to Counterparty).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Personnel</w:t>
      </w:r>
      <w:r>
        <w:rPr>
          <w:rFonts w:ascii="Times New Roman" w:cs="Times New Roman" w:eastAsia="Times New Roman" w:hAnsi="Times New Roman"/>
          <w:sz w:val="18"/>
          <w:szCs w:val="18"/>
          <w:color w:val="auto"/>
        </w:rPr>
        <w:t xml:space="preserve">” means anyone on Dealer’s Equity Derivatives trading desk;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amend the list of Trading Personnel by delivering a revised list of Trading Personnel to Counterparty (which amended list shall become effective on the third Exchange Business Day immediately following delivery of such list by Dealer to Counterparty);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the persons listed as Permitted Contacts are not Trading Personnel.</w:t>
      </w:r>
    </w:p>
    <w:p>
      <w:pPr>
        <w:spacing w:after="0" w:line="13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with respect to any entity, any owner, principal, officer, director, employee or other agent or representative of such entity, and any Affiliate of any of such owner, principal, officer, director, employee, agent or representative.</w:t>
      </w:r>
    </w:p>
    <w:p>
      <w:pPr>
        <w:spacing w:after="0" w:line="1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means information relating to Counterparty or the Shares that (a) has not been widely disseminated by wire service, in one or more newspapers of general circulation, by communication from Counterparty to its shareowners or in a press release, or contained in a public filing made by Counterparty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liquidity problems, extraordinary management developments, purchase or sale of substantial assets and similar matters.</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Program-Related Communication</w:t>
      </w:r>
      <w:r>
        <w:rPr>
          <w:rFonts w:ascii="Times New Roman" w:cs="Times New Roman" w:eastAsia="Times New Roman" w:hAnsi="Times New Roman"/>
          <w:sz w:val="18"/>
          <w:szCs w:val="18"/>
          <w:color w:val="auto"/>
        </w:rPr>
        <w:t>” means any Communication the subject matter of which relates to the Master Confirmation or any Transaction under the Master Confirmation or any activities of Dealer (or any of its Affiliates) in respect of the Master Confirmation or any Transaction under the Master Confirmation.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4853-6581-1886.1</w:t>
      </w:r>
    </w:p>
    <w:p>
      <w:pPr>
        <w:sectPr>
          <w:pgSz w:w="11900" w:h="16838" w:orient="portrait"/>
          <w:cols w:equalWidth="0" w:num="1">
            <w:col w:w="11240"/>
          </w:cols>
          <w:pgMar w:left="320" w:top="144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Agreement</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February 29, 2024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BLOOMIN’ BRANDS,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5.00% Convertible Senior Notes due 2025</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undersigned investor (the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xml:space="preserve">”), for itself and on behalf of the beneficial owners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for whom the Investor holds contractual and investment authority (each, including the Investor if it is a party exchanging Notes (as defined below), an “</w:t>
      </w:r>
      <w:r>
        <w:rPr>
          <w:rFonts w:ascii="Times New Roman" w:cs="Times New Roman" w:eastAsia="Times New Roman" w:hAnsi="Times New Roman"/>
          <w:sz w:val="20"/>
          <w:szCs w:val="20"/>
          <w:b w:val="1"/>
          <w:bCs w:val="1"/>
          <w:color w:val="auto"/>
        </w:rPr>
        <w:t>Exchanging Investor</w:t>
      </w:r>
      <w:r>
        <w:rPr>
          <w:rFonts w:ascii="Times New Roman" w:cs="Times New Roman" w:eastAsia="Times New Roman" w:hAnsi="Times New Roman"/>
          <w:sz w:val="20"/>
          <w:szCs w:val="20"/>
          <w:color w:val="auto"/>
        </w:rPr>
        <w:t>”), hereby agrees to exchange, with Bloomin’ Brands,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certain 5.00% Convertible Senior Notes due 2025, CUSIP 094235 AB4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for the Exchange Consideration (as defined below) pursuant to this exchange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Investor understands that the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is being made without registration of the offer or sale of the Shares (as defined below)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or any securities laws of any state of the United States or of any other jurisdiction pursuant to a private placement exemption from registration under Section 4(a)(2) of the Securities Act and that each Exchanging Investor participating in the Exchange is required to be an institutional “accredited investor” within the meaning of Rule 501(a)(1), (2), (3) or (7) of Regulation D under the Securities Act that is also a “qualified institutional buyer” within the meaning of Rule 144A under the Securities Act. Capitalized terms used but not defined in this Exchange Agreement have the respective meanings set forth in the indenture with respect to the Notes, dated as of May 8, 2020, between the Company and Wells Fargo Bank, National Association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On the basis of the representations, warranties and agreements herein contained and subject to the terms and conditions herein set forth, the Investor hereby agrees to exchange, and to cause the other Exchanging Investors to exchange, an aggregate principal amount of the Notes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Exchanged Notes</w:t>
      </w:r>
      <w:r>
        <w:rPr>
          <w:rFonts w:ascii="Times New Roman" w:cs="Times New Roman" w:eastAsia="Times New Roman" w:hAnsi="Times New Roman"/>
          <w:sz w:val="20"/>
          <w:szCs w:val="20"/>
          <w:color w:val="auto"/>
        </w:rPr>
        <w:t xml:space="preserve">”) for the consideration calculated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for each such Exchanged Note.</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amount of cash to be delivered to the Exchanging Investors is referred to as the “</w:t>
      </w:r>
      <w:r>
        <w:rPr>
          <w:rFonts w:ascii="Times New Roman" w:cs="Times New Roman" w:eastAsia="Times New Roman" w:hAnsi="Times New Roman"/>
          <w:sz w:val="20"/>
          <w:szCs w:val="20"/>
          <w:b w:val="1"/>
          <w:bCs w:val="1"/>
          <w:color w:val="auto"/>
        </w:rPr>
        <w:t>Cash Consideration</w:t>
      </w:r>
      <w:r>
        <w:rPr>
          <w:rFonts w:ascii="Times New Roman" w:cs="Times New Roman" w:eastAsia="Times New Roman" w:hAnsi="Times New Roman"/>
          <w:sz w:val="20"/>
          <w:szCs w:val="20"/>
          <w:color w:val="auto"/>
        </w:rPr>
        <w:t>”, and the number of shares of the Company’s common stock, $0.01 par value per share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to be delivered to the Exchanging Investors is referred to as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and, together with the Cash Consideration, the “</w:t>
      </w:r>
      <w:r>
        <w:rPr>
          <w:rFonts w:ascii="Times New Roman" w:cs="Times New Roman" w:eastAsia="Times New Roman" w:hAnsi="Times New Roman"/>
          <w:sz w:val="20"/>
          <w:szCs w:val="20"/>
          <w:b w:val="1"/>
          <w:bCs w:val="1"/>
          <w:color w:val="auto"/>
        </w:rPr>
        <w:t>Exchange Consideration</w:t>
      </w:r>
      <w:r>
        <w:rPr>
          <w:rFonts w:ascii="Times New Roman" w:cs="Times New Roman" w:eastAsia="Times New Roman" w:hAnsi="Times New Roman"/>
          <w:sz w:val="20"/>
          <w:szCs w:val="20"/>
          <w:color w:val="auto"/>
        </w:rPr>
        <w:t>”. The Company and the Investor agree that no Exchanging Investor shall deliver a Notice of Conversion with respect to any Exchanged Notes and each Exchanging Investor shall hold the Exchanged Notes until the Closing (as defined below). In consideration for the performance of its obligations hereunder (including as described in the immediately preceding sentence), the Company agrees to deliver the Exchange Consideration on the Closing Date to each Exchanging Investor in exchange for its Exchanged Notes.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The Exchange shall occur in accordance with the procedures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Exchange Procedures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of the Company and the Investor acknowledges that the delivery of the Shares to any Exchanging Investor may be delayed due to procedures and mechanics within the system of Computershare Trust Company, N.A., The Depositary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or the Nasdaq Global Select Market (the “</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xml:space="preserve">”) (including the procedures and mechanics regarding the listing of the Shares on the NASDAQ) or other events beyond the Company’s control and that such a delay will not be a default under this Agreement so long as (i) the Company is using its reasonable best efforts to effect such delivery, or (ii) such delay arises due to a failure by Investor to deliver settlement instructions;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no delivery of Shares will be made until the Exchanged Notes have been properly submitted for exchange in accordance with the Exchange Procedures and no accrued interest will be payable by reason of any delay in making such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83" w:name="page84"/>
    <w:bookmarkEnd w:id="83"/>
    <w:p>
      <w:pPr>
        <w:jc w:val="both"/>
        <w:spacing w:after="0" w:line="265" w:lineRule="auto"/>
        <w:rPr>
          <w:sz w:val="20"/>
          <w:szCs w:val="20"/>
          <w:color w:val="auto"/>
        </w:rPr>
      </w:pPr>
      <w:r>
        <w:rPr>
          <w:rFonts w:ascii="Times New Roman" w:cs="Times New Roman" w:eastAsia="Times New Roman" w:hAnsi="Times New Roman"/>
          <w:sz w:val="19"/>
          <w:szCs w:val="19"/>
          <w:color w:val="auto"/>
        </w:rPr>
        <w:t>The closing of the Exchange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shall take place remotely via the exchange of documents and signatures at 10:00 a.m., New York City time, on the third Trading Day following the date hereof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or at such other time and place as the Company and the Investor may mutually agree. On the Closing Date, subject to satisfaction of the conditions precedent specified herein and the prior receipt by the Trustee from the Investor of the Exchanged Notes, the Company shall deliver the Shares to the DTC account and the Cash Consideration by wire transfer to the account, in each case specified by the Investor for each relevant Exchanging Investor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All questions as to the form of all documents and the validity and acceptance of the Exchanged Notes and the Exchange Consideration will be determined by the Company, in its sole discretion, which determination shall be final and binding. Subject to the terms and conditions of this Agreement, the Investor hereby, for itself and on behalf of its Accounts, (a) waives any and all other rights with respect to such Exchanged Notes and (b) releases and discharges the Company from any and all claims the undersigned and its Accounts may now have, or may have in the future, arising out of, or related to, such Exchanged Notes. The Exchanged Notes shall be, upon receipt of the Exchange Consideration pursuant to the terms and conditions of this Agreement, terminated, cancelled and deemed satisfied in full without any further action.</w:t>
      </w:r>
    </w:p>
    <w:p>
      <w:pPr>
        <w:spacing w:after="0" w:line="185" w:lineRule="exact"/>
        <w:rPr>
          <w:sz w:val="20"/>
          <w:szCs w:val="20"/>
          <w:color w:val="auto"/>
        </w:rPr>
      </w:pPr>
    </w:p>
    <w:p>
      <w:pPr>
        <w:jc w:val="both"/>
        <w:ind w:firstLine="8"/>
        <w:spacing w:after="0" w:line="261"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and Covenants of the Company</w:t>
      </w:r>
      <w:r>
        <w:rPr>
          <w:rFonts w:ascii="Times New Roman" w:cs="Times New Roman" w:eastAsia="Times New Roman" w:hAnsi="Times New Roman"/>
          <w:sz w:val="20"/>
          <w:szCs w:val="20"/>
          <w:color w:val="auto"/>
        </w:rPr>
        <w:t>. As of the date hereof and the Closing Date, the Company represents and warrants to, and covenants with, the Exchanging Investors, and all such covenants, representations and warranties shall survive the Closing, that:</w:t>
      </w:r>
    </w:p>
    <w:p>
      <w:pPr>
        <w:spacing w:after="0" w:line="167" w:lineRule="exact"/>
        <w:rPr>
          <w:rFonts w:ascii="Times New Roman" w:cs="Times New Roman" w:eastAsia="Times New Roman" w:hAnsi="Times New Roman"/>
          <w:sz w:val="20"/>
          <w:szCs w:val="20"/>
          <w:color w:val="auto"/>
        </w:rPr>
      </w:pPr>
    </w:p>
    <w:p>
      <w:pPr>
        <w:jc w:val="both"/>
        <w:ind w:left="580" w:firstLine="643"/>
        <w:spacing w:after="0" w:line="250" w:lineRule="auto"/>
        <w:tabs>
          <w:tab w:leader="none" w:pos="194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are entities duly organized, validly existing and in good standing under the laws of the jurisdiction in which each is formed, and have the requisite power and authority to own their properties and to carry on their business as now being conducted, except as would not reasonably be expected to have a material adverse effect on the business, properties, assets, liabilities, operations (including results thereof), or condition (financial or otherwise) of the Company or its subsidiaries, taken as a whole, or would not individually or in the aggregate, materially impair the ability of the Company to perform its obligations under this Agreement or to consummate the transactions contemplated by this Agreement (a “</w:t>
      </w:r>
      <w:r>
        <w:rPr>
          <w:rFonts w:ascii="Times New Roman" w:cs="Times New Roman" w:eastAsia="Times New Roman" w:hAnsi="Times New Roman"/>
          <w:sz w:val="20"/>
          <w:szCs w:val="20"/>
          <w:b w:val="1"/>
          <w:bCs w:val="1"/>
          <w:color w:val="auto"/>
        </w:rPr>
        <w:t>Material Adverse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Effect</w:t>
      </w:r>
      <w:r>
        <w:rPr>
          <w:rFonts w:ascii="Times New Roman" w:cs="Times New Roman" w:eastAsia="Times New Roman" w:hAnsi="Times New Roman"/>
          <w:sz w:val="20"/>
          <w:szCs w:val="20"/>
          <w:color w:val="auto"/>
        </w:rPr>
        <w:t>”). The Company and each of its subsidiaries is duly qualified as a foreign entity to do business (where such concept exists)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in good standing in every jurisdiction (where such concept exists) in which its ownership of property or the nature of the business conducted by it makes such qualification necessary, except to the extent that the failure to be so qualified or be in good standing would not reasonably be expected to have a Material Adverse Effect. The Company has the power, authority and capacity to execute and deliver this Agreement, to perform its obligations hereunder, and to consummate the Exchange contemplated hereby. No consent, approval, order or authorization of, or registration, declaration or filing with any governmental entity is required on the part of the Company or any of its subsidiaries in connection with the execution, delivery and performance by the Company of this Agreement and the consummation by the Company of the Exchange, except as may be required under any state or federal securities laws or that may be obtained after the Closing without penalty.</w:t>
      </w:r>
    </w:p>
    <w:p>
      <w:pPr>
        <w:spacing w:after="0" w:line="186" w:lineRule="exact"/>
        <w:rPr>
          <w:rFonts w:ascii="Times New Roman" w:cs="Times New Roman" w:eastAsia="Times New Roman" w:hAnsi="Times New Roman"/>
          <w:sz w:val="20"/>
          <w:szCs w:val="20"/>
          <w:color w:val="auto"/>
        </w:rPr>
      </w:pPr>
    </w:p>
    <w:p>
      <w:pPr>
        <w:jc w:val="both"/>
        <w:ind w:left="580" w:firstLine="643"/>
        <w:spacing w:after="0" w:line="251" w:lineRule="auto"/>
        <w:tabs>
          <w:tab w:leader="none" w:pos="19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has been duly executed and delivered by the Company and constitutes a legal, valid and binding obligation of the Company, enforceable against the Company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 This Agreement and consummation of the Exchange will not violate, conflict with or result in a breach of or default under, assuming the truth and accuracy of the representations and warranties and compliance with the covenants of the Investor herein, (i) the charter, bylaws or other organizational documents of the Company, (ii) any agreement or instrument to which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23"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20"/>
          <w:szCs w:val="20"/>
          <w:color w:val="auto"/>
        </w:rPr>
        <w:t>is a party or by which the Company or any of its assets or subsidiaries are bound, or (iii) any laws, regulations or governmental or judicial decrees, injunctions or orders applicable to the Company and its subsidiaries, except in the case of clauses (ii) or (iii), where such violations, conflicts, breaches or defaults would not be reasonably expected to have a Material Adverse Effect.</w:t>
      </w:r>
    </w:p>
    <w:p>
      <w:pPr>
        <w:spacing w:after="0" w:line="181" w:lineRule="exact"/>
        <w:rPr>
          <w:sz w:val="20"/>
          <w:szCs w:val="20"/>
          <w:color w:val="auto"/>
        </w:rPr>
      </w:pPr>
    </w:p>
    <w:p>
      <w:pPr>
        <w:jc w:val="both"/>
        <w:ind w:firstLine="643"/>
        <w:spacing w:after="0" w:line="250" w:lineRule="auto"/>
        <w:tabs>
          <w:tab w:leader="none" w:pos="136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delivered to the applicable Exchanging Investor pursuant to the Exchange in accordance with the terms of this Agreement, the Shares will (i) be validly issued, fully paid and non-assessable, (ii) be free and clear of any Liens (as defined in Section 2(c) below), option, equity or other adverse claim thereto, including claims or rights under any voting trust agreements, shareholder agreements or other agreements, and (iii) will not be subject to any preemptive, participation, rights of first refusal or other similar rights (other than any such rights that will be waived prior to the Closing). Assuming the accuracy of the Investor’s and each Exchanging Investor’s representations and warranties hereunder, the Shares (a) will be issued in the Exchange exempt from the registration requirements of the Securities Act pursuant to Section 4(a)(2) of the Securities Act, (b) will be issued in unrestricted CUSIP No. 094235 108, and (c) will be issued in compliance with all applicable state and federal laws, and at the Closing, be free of any restrictive legend and any restrictions on resale by such Exchanging Investor pursuant to Rule 144 promulgated under the Securities Act.</w:t>
      </w:r>
    </w:p>
    <w:p>
      <w:pPr>
        <w:spacing w:after="0" w:line="196" w:lineRule="exact"/>
        <w:rPr>
          <w:rFonts w:ascii="Times New Roman" w:cs="Times New Roman" w:eastAsia="Times New Roman" w:hAnsi="Times New Roman"/>
          <w:sz w:val="20"/>
          <w:szCs w:val="20"/>
          <w:color w:val="auto"/>
        </w:rPr>
      </w:pPr>
    </w:p>
    <w:p>
      <w:pPr>
        <w:ind w:firstLine="643"/>
        <w:spacing w:after="0" w:line="269" w:lineRule="auto"/>
        <w:tabs>
          <w:tab w:leader="none" w:pos="136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the Common Stock shall be listed on NASDAQ and the Shares shall have been approved for listing on NASDAQ in accordance with the applicable rules thereof.</w:t>
      </w:r>
    </w:p>
    <w:p>
      <w:pPr>
        <w:spacing w:after="0" w:line="172" w:lineRule="exact"/>
        <w:rPr>
          <w:rFonts w:ascii="Times New Roman" w:cs="Times New Roman" w:eastAsia="Times New Roman" w:hAnsi="Times New Roman"/>
          <w:sz w:val="20"/>
          <w:szCs w:val="20"/>
          <w:color w:val="auto"/>
        </w:rPr>
      </w:pPr>
    </w:p>
    <w:p>
      <w:pPr>
        <w:jc w:val="both"/>
        <w:ind w:firstLine="643"/>
        <w:spacing w:after="0" w:line="249" w:lineRule="auto"/>
        <w:tabs>
          <w:tab w:leader="none" w:pos="136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January 1, 2023 to the date of this Agreement, the Company has timely filed all reports, schedules, forms, proxy statements, statements and other documents required to be filed by it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pursuant to the reporting requirements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timely filed notifications of late filings for any of the foregoing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0"/>
          <w:szCs w:val="20"/>
          <w:b w:val="1"/>
          <w:bCs w:val="1"/>
          <w:color w:val="auto"/>
        </w:rPr>
        <w:t>SEC Documents</w:t>
      </w:r>
      <w:r>
        <w:rPr>
          <w:rFonts w:ascii="Times New Roman" w:cs="Times New Roman" w:eastAsia="Times New Roman" w:hAnsi="Times New Roman"/>
          <w:sz w:val="20"/>
          <w:szCs w:val="20"/>
          <w:color w:val="auto"/>
        </w:rPr>
        <w:t>”).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of Regulations S-X and have been prepared in accordance with U.S.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w:t>
      </w:r>
    </w:p>
    <w:p>
      <w:pPr>
        <w:spacing w:after="0" w:line="191" w:lineRule="exact"/>
        <w:rPr>
          <w:rFonts w:ascii="Times New Roman" w:cs="Times New Roman" w:eastAsia="Times New Roman" w:hAnsi="Times New Roman"/>
          <w:sz w:val="20"/>
          <w:szCs w:val="20"/>
          <w:color w:val="auto"/>
        </w:rPr>
      </w:pPr>
    </w:p>
    <w:p>
      <w:pPr>
        <w:jc w:val="both"/>
        <w:ind w:firstLine="643"/>
        <w:spacing w:after="0" w:line="258" w:lineRule="auto"/>
        <w:tabs>
          <w:tab w:leader="none" w:pos="137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prior to 9:00 a.m., New York City time, on the first business day after the date hereof, the Company shall file with the SEC a current report on Form 8-K announcing the Exchange, which current report the Company acknowledges and agrees will disclose all confidential information (as described in the Wall Cross Email (as defined below)) to the extent the Company believes such confidential information constitutes material non-public information, if any,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60"/>
          </w:cols>
          <w:pgMar w:left="900" w:top="927" w:right="339"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20"/>
          <w:szCs w:val="20"/>
          <w:color w:val="auto"/>
        </w:rPr>
        <w:t>respect to the Exchange or otherwise communicated by the Company to the Investor in connection with the Exchange.</w:t>
      </w:r>
    </w:p>
    <w:p>
      <w:pPr>
        <w:spacing w:after="0" w:line="229" w:lineRule="exact"/>
        <w:rPr>
          <w:sz w:val="20"/>
          <w:szCs w:val="20"/>
          <w:color w:val="auto"/>
        </w:rPr>
      </w:pPr>
    </w:p>
    <w:p>
      <w:pPr>
        <w:ind w:left="580" w:right="880" w:firstLine="643"/>
        <w:spacing w:after="0" w:line="295" w:lineRule="auto"/>
        <w:tabs>
          <w:tab w:leader="none" w:pos="1945"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action, lawsuit, arbitration, claim or proceeding pending or, to the knowledge of the Company, threatened, against the Company that would reasonably be expected to impede the consummation of the Exchange.</w:t>
      </w:r>
    </w:p>
    <w:p>
      <w:pPr>
        <w:spacing w:after="0" w:line="178" w:lineRule="exact"/>
        <w:rPr>
          <w:rFonts w:ascii="Times New Roman" w:cs="Times New Roman" w:eastAsia="Times New Roman" w:hAnsi="Times New Roman"/>
          <w:sz w:val="19"/>
          <w:szCs w:val="19"/>
          <w:color w:val="auto"/>
        </w:rPr>
      </w:pPr>
    </w:p>
    <w:p>
      <w:pPr>
        <w:jc w:val="both"/>
        <w:ind w:left="580" w:firstLine="643"/>
        <w:spacing w:after="0" w:line="261" w:lineRule="auto"/>
        <w:tabs>
          <w:tab w:leader="none" w:pos="19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statement or printed material which is contrary to the publicly available filings and submissions made by the Company with the SEC under the Exchange Act, or any other documents and agreements used in connection with the Exchange has been made or given to the Investor by or on behalf of the Company.</w:t>
      </w:r>
    </w:p>
    <w:p>
      <w:pPr>
        <w:spacing w:after="0" w:line="181" w:lineRule="exact"/>
        <w:rPr>
          <w:rFonts w:ascii="Times New Roman" w:cs="Times New Roman" w:eastAsia="Times New Roman" w:hAnsi="Times New Roman"/>
          <w:sz w:val="20"/>
          <w:szCs w:val="20"/>
          <w:color w:val="auto"/>
        </w:rPr>
      </w:pPr>
    </w:p>
    <w:p>
      <w:pPr>
        <w:ind w:left="1940" w:hanging="717"/>
        <w:spacing w:after="0"/>
        <w:tabs>
          <w:tab w:leader="none" w:pos="19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(as defined in the Indenture) has occurred that is continuing as of the date hereof.</w:t>
      </w:r>
    </w:p>
    <w:p>
      <w:pPr>
        <w:spacing w:after="0" w:line="215" w:lineRule="exact"/>
        <w:rPr>
          <w:rFonts w:ascii="Times New Roman" w:cs="Times New Roman" w:eastAsia="Times New Roman" w:hAnsi="Times New Roman"/>
          <w:sz w:val="20"/>
          <w:szCs w:val="20"/>
          <w:color w:val="auto"/>
        </w:rPr>
      </w:pPr>
    </w:p>
    <w:p>
      <w:pPr>
        <w:jc w:val="both"/>
        <w:ind w:left="580" w:firstLine="643"/>
        <w:spacing w:after="0" w:line="253" w:lineRule="auto"/>
        <w:tabs>
          <w:tab w:leader="none" w:pos="195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understands that the Investor and each Exchanging Investor will rely upon the truth and accuracy of the foregoing representations, warranties and SEC Documents and covenants and agrees that if any of the representations and warranties deemed to have been made by it are no longer accurate, the Company shall promptly notify the Investor in writing prior to the Closing. The Company understands that, unless the Company notifies the Investor in writing to the contrary before the Closing, each of the Company’s representations and warranties contained in this Agreement will be deemed to have been reaffirmed and confirmed as of the Closing.</w:t>
      </w:r>
    </w:p>
    <w:p>
      <w:pPr>
        <w:spacing w:after="0" w:line="192" w:lineRule="exact"/>
        <w:rPr>
          <w:rFonts w:ascii="Times New Roman" w:cs="Times New Roman" w:eastAsia="Times New Roman" w:hAnsi="Times New Roman"/>
          <w:sz w:val="20"/>
          <w:szCs w:val="20"/>
          <w:color w:val="auto"/>
        </w:rPr>
      </w:pPr>
    </w:p>
    <w:p>
      <w:pPr>
        <w:ind w:left="580" w:firstLine="643"/>
        <w:spacing w:after="0" w:line="269" w:lineRule="auto"/>
        <w:tabs>
          <w:tab w:leader="none" w:pos="19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that it shall, upon request, execute and deliver any additional documents deemed by the Investor to be reasonably necessary to complete the Exchange.</w:t>
      </w:r>
    </w:p>
    <w:p>
      <w:pPr>
        <w:spacing w:after="0" w:line="172" w:lineRule="exact"/>
        <w:rPr>
          <w:rFonts w:ascii="Times New Roman" w:cs="Times New Roman" w:eastAsia="Times New Roman" w:hAnsi="Times New Roman"/>
          <w:sz w:val="20"/>
          <w:szCs w:val="20"/>
          <w:color w:val="auto"/>
        </w:rPr>
      </w:pPr>
    </w:p>
    <w:p>
      <w:pPr>
        <w:jc w:val="both"/>
        <w:ind w:left="580" w:right="20" w:firstLine="643"/>
        <w:spacing w:after="0" w:line="261" w:lineRule="auto"/>
        <w:tabs>
          <w:tab w:leader="none" w:pos="195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and, after giving effect to the Exchange contemplated by this Agreement, will not be required to register as an “investment company” within the meaning of the Investment Company Act of 1940, as amended, and the rules and regulations of the SEC thereunder.</w:t>
      </w:r>
    </w:p>
    <w:p>
      <w:pPr>
        <w:spacing w:after="0" w:line="181" w:lineRule="exact"/>
        <w:rPr>
          <w:rFonts w:ascii="Times New Roman" w:cs="Times New Roman" w:eastAsia="Times New Roman" w:hAnsi="Times New Roman"/>
          <w:sz w:val="20"/>
          <w:szCs w:val="20"/>
          <w:color w:val="auto"/>
        </w:rPr>
      </w:pPr>
    </w:p>
    <w:p>
      <w:pPr>
        <w:ind w:left="580" w:firstLine="643"/>
        <w:spacing w:after="0" w:line="269" w:lineRule="auto"/>
        <w:tabs>
          <w:tab w:leader="none" w:pos="1946"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and has not been a “United States real property holding corporation” within the meaning of Section 897(c) of the Code within the 5-year period ending on the Closing Date.</w:t>
      </w:r>
    </w:p>
    <w:p>
      <w:pPr>
        <w:spacing w:after="0" w:line="172" w:lineRule="exact"/>
        <w:rPr>
          <w:rFonts w:ascii="Times New Roman" w:cs="Times New Roman" w:eastAsia="Times New Roman" w:hAnsi="Times New Roman"/>
          <w:sz w:val="20"/>
          <w:szCs w:val="20"/>
          <w:color w:val="auto"/>
        </w:rPr>
      </w:pPr>
    </w:p>
    <w:p>
      <w:pPr>
        <w:jc w:val="both"/>
        <w:ind w:right="20" w:firstLine="8"/>
        <w:spacing w:after="0" w:line="261"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and Covenants of the Investor</w:t>
      </w:r>
      <w:r>
        <w:rPr>
          <w:rFonts w:ascii="Times New Roman" w:cs="Times New Roman" w:eastAsia="Times New Roman" w:hAnsi="Times New Roman"/>
          <w:sz w:val="20"/>
          <w:szCs w:val="20"/>
          <w:color w:val="auto"/>
        </w:rPr>
        <w:t>. As of the date hereof and the Closing Date (except as otherwise set forth below), the Investor hereby, for itself and on behalf of the Exchanging Investors, represents and warrants to, and covenants with, the Company that:</w:t>
      </w:r>
    </w:p>
    <w:p>
      <w:pPr>
        <w:spacing w:after="0" w:line="181" w:lineRule="exact"/>
        <w:rPr>
          <w:rFonts w:ascii="Times New Roman" w:cs="Times New Roman" w:eastAsia="Times New Roman" w:hAnsi="Times New Roman"/>
          <w:sz w:val="20"/>
          <w:szCs w:val="20"/>
          <w:color w:val="auto"/>
        </w:rPr>
      </w:pPr>
    </w:p>
    <w:p>
      <w:pPr>
        <w:ind w:left="580" w:firstLine="643"/>
        <w:spacing w:after="0" w:line="269" w:lineRule="auto"/>
        <w:tabs>
          <w:tab w:leader="none" w:pos="1947"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is a corporation, limited partnership, limited liability company or other entity, as the case may be, duly formed, validly existing and in good standing under the laws of the jurisdiction of its formation.</w:t>
      </w:r>
    </w:p>
    <w:p>
      <w:pPr>
        <w:spacing w:after="0" w:line="172" w:lineRule="exact"/>
        <w:rPr>
          <w:rFonts w:ascii="Times New Roman" w:cs="Times New Roman" w:eastAsia="Times New Roman" w:hAnsi="Times New Roman"/>
          <w:sz w:val="20"/>
          <w:szCs w:val="20"/>
          <w:color w:val="auto"/>
        </w:rPr>
      </w:pPr>
    </w:p>
    <w:p>
      <w:pPr>
        <w:jc w:val="both"/>
        <w:ind w:left="580" w:firstLine="643"/>
        <w:spacing w:after="0" w:line="251" w:lineRule="auto"/>
        <w:tabs>
          <w:tab w:leader="none" w:pos="1945"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has all requisite corporate (or other applicable entity) power and authority to execute and deliver this Agreement for itself and on behalf of the Exchanging Investors and to carry out and perform its obligations under the terms hereof and the transactions contemplated hereby. This Agreement has been duly authorized, executed and delivered by the Investor and constitutes the valid and binding obligation of the Investor and each Exchanging Investor, enforceable in accordance with its terms, subject to laws of general application relating to bankruptcy, insolvency and the relief of debtors, and rules of law governing specific performance, injunctive relief or other equitable remedies. If the Investor is executing this Agreement on behalf of an Account, (i) the Investor has all requisite discretionary and contractual authority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27" w:right="339" w:bottom="1440" w:gutter="0" w:footer="0" w:header="0"/>
        </w:sectPr>
      </w:pPr>
    </w:p>
    <w:bookmarkStart w:id="86" w:name="page87"/>
    <w:bookmarkEnd w:id="86"/>
    <w:p>
      <w:pPr>
        <w:spacing w:after="0" w:line="310" w:lineRule="auto"/>
        <w:rPr>
          <w:sz w:val="20"/>
          <w:szCs w:val="20"/>
          <w:color w:val="auto"/>
        </w:rPr>
      </w:pPr>
      <w:r>
        <w:rPr>
          <w:rFonts w:ascii="Times New Roman" w:cs="Times New Roman" w:eastAsia="Times New Roman" w:hAnsi="Times New Roman"/>
          <w:sz w:val="19"/>
          <w:szCs w:val="19"/>
          <w:color w:val="auto"/>
        </w:rPr>
        <w:t xml:space="preserve">this Agreement on behalf of, and, bind, each Account, and (ii)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to the Exchange Agreement contains a true, correct and complete list of (A) the name of each Account and (B) the principal amount of each Account’s Exchanged Notes, as applicable.</w:t>
      </w:r>
    </w:p>
    <w:p>
      <w:pPr>
        <w:spacing w:after="0" w:line="124" w:lineRule="exact"/>
        <w:rPr>
          <w:sz w:val="20"/>
          <w:szCs w:val="20"/>
          <w:color w:val="auto"/>
        </w:rPr>
      </w:pPr>
    </w:p>
    <w:p>
      <w:pPr>
        <w:jc w:val="both"/>
        <w:ind w:firstLine="643"/>
        <w:spacing w:after="0" w:line="251" w:lineRule="auto"/>
        <w:tabs>
          <w:tab w:leader="none" w:pos="136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Exchanging Investor has been the beneficial owner of the Exchanged Notes continuously since at least the business day immediately preceding February 27, 2024. As of the date hereof and as of the Closing, each of the Exchanging Investors is the current sole legal and beneficial owner of the Exchanged Notes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to this Agreement. When the Exchanged Notes are exchanged, the Company will acquire good, marketable and unencumbered title thereto, free and clear of all liens, mortgages, pledges, security interests, restrictions, charges, encumbrances or adverse claims, rights or proxies of any kind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created by the Investor or such Exchanging Investor. None of the Exchanging Investors has, nor prior to the Closing, will have, in whole or in part, other than pledges or security interests that an Exchanging Investor may have created in favor of a prime broker under and in accordance with its prime brokerage agreement with such broker, (x) assigned, transferred, hypothecated, pledged, exchanged, submitted for conversion pursuant to the Indenture or otherwise disposed of any of its Exchanged Notes (other than to the Company pursuant hereto), or (y) given any person or entity any transfer order, power of attorney or other authority of any nature whatsoever with respect to its Exchanged Notes (other than to the Investor if the Investor is executing this Agreement on behalf of an Account).</w:t>
      </w:r>
    </w:p>
    <w:p>
      <w:pPr>
        <w:spacing w:after="0" w:line="178" w:lineRule="exact"/>
        <w:rPr>
          <w:rFonts w:ascii="Times New Roman" w:cs="Times New Roman" w:eastAsia="Times New Roman" w:hAnsi="Times New Roman"/>
          <w:sz w:val="20"/>
          <w:szCs w:val="20"/>
          <w:color w:val="auto"/>
        </w:rPr>
      </w:pPr>
    </w:p>
    <w:p>
      <w:pPr>
        <w:jc w:val="both"/>
        <w:ind w:firstLine="643"/>
        <w:spacing w:after="0" w:line="251" w:lineRule="auto"/>
        <w:tabs>
          <w:tab w:leader="none" w:pos="136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by the Investor and compliance by each Exchanging Investor with all provisions hereof and the consummation of the transactions contemplated hereby, will not (i) require any consent, approval, authorization or other order of, or qualification with, any court or governmental body or agency (except as may be required under the securities or Blue Sky laws of the various states), (ii) constitute a breach or violation of any of the terms or provisions of, or result in a default under, (x) the organizational documents of any of the Investor or any Exchanging Investor or (y) any material indenture, loan agreement, mortgage, lease or other agreement or instrument to which the Investor or any of the Exchanging Investors is a party or by which such Investor or Exchanging Investor is bound, or (iii) violate or conflict with any applicable law or any rule, regulation, judgment, decision, order or decree of any court or any governmental body or agency having jurisdiction over the Investor or any of the Exchanging Investors, except in the case of clauses (i), (ii)(y) or (iii), where such consents, approvals, authorizations, other orders, qualifications, breaches violations, defaults or conflicts would not, individually or in the aggregate, materially impair the ability of the Investor or any Exchanging Investor to perform its obligations under this Agreement or to consummate the transactions contemplated by this Agreement.</w:t>
      </w:r>
    </w:p>
    <w:p>
      <w:pPr>
        <w:spacing w:after="0" w:line="178" w:lineRule="exact"/>
        <w:rPr>
          <w:rFonts w:ascii="Times New Roman" w:cs="Times New Roman" w:eastAsia="Times New Roman" w:hAnsi="Times New Roman"/>
          <w:sz w:val="20"/>
          <w:szCs w:val="20"/>
          <w:color w:val="auto"/>
        </w:rPr>
      </w:pPr>
    </w:p>
    <w:p>
      <w:pPr>
        <w:jc w:val="both"/>
        <w:ind w:firstLine="643"/>
        <w:spacing w:after="0" w:line="253" w:lineRule="auto"/>
        <w:tabs>
          <w:tab w:leader="none" w:pos="136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will comply with all applicable laws and regulations in effect necessary for each Exchanging Investor to consummate the transactions contemplated hereby and obtain any consent, approval or permission required for the transactions contemplated hereby and the laws and regulations of any jurisdiction to which the Investor and each such Exchanging Investor is subject, and the Company shall have no responsibility therefor, except for such violations, consents, approvals or permissions that would, individually or in the aggregate, materially impair the ability of the Investor or any Exchanging Investor to perform its obligations under this Agreement or to consummate the transactions contemplated by this Agreement.</w:t>
      </w:r>
    </w:p>
    <w:p>
      <w:pPr>
        <w:spacing w:after="0" w:line="192" w:lineRule="exact"/>
        <w:rPr>
          <w:rFonts w:ascii="Times New Roman" w:cs="Times New Roman" w:eastAsia="Times New Roman" w:hAnsi="Times New Roman"/>
          <w:sz w:val="20"/>
          <w:szCs w:val="20"/>
          <w:color w:val="auto"/>
        </w:rPr>
      </w:pPr>
    </w:p>
    <w:p>
      <w:pPr>
        <w:jc w:val="both"/>
        <w:ind w:firstLine="643"/>
        <w:spacing w:after="0" w:line="258" w:lineRule="auto"/>
        <w:tabs>
          <w:tab w:leader="none" w:pos="137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that no person has been authorized to give any information or to make any representation or warranty concerning the Company or the Exchange other than the information set forth herein in connection with the Investor’s and each Exchanging Investor’s examination of the Company and the terms of the Exchange and the Shares, and the Company does not take, and J. Wood Capital Advisors LLC (“</w:t>
      </w:r>
      <w:r>
        <w:rPr>
          <w:rFonts w:ascii="Times New Roman" w:cs="Times New Roman" w:eastAsia="Times New Roman" w:hAnsi="Times New Roman"/>
          <w:sz w:val="20"/>
          <w:szCs w:val="20"/>
          <w:b w:val="1"/>
          <w:bCs w:val="1"/>
          <w:color w:val="auto"/>
        </w:rPr>
        <w:t>Placement Agent</w:t>
      </w:r>
      <w:r>
        <w:rPr>
          <w:rFonts w:ascii="Times New Roman" w:cs="Times New Roman" w:eastAsia="Times New Roman" w:hAnsi="Times New Roman"/>
          <w:sz w:val="20"/>
          <w:szCs w:val="20"/>
          <w:color w:val="auto"/>
        </w:rPr>
        <w:t>”) does not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60"/>
          </w:cols>
          <w:pgMar w:left="900" w:top="927" w:right="339" w:bottom="1440" w:gutter="0" w:footer="0" w:header="0"/>
        </w:sectPr>
      </w:pPr>
    </w:p>
    <w:bookmarkStart w:id="87" w:name="page88"/>
    <w:bookmarkEnd w:id="87"/>
    <w:p>
      <w:pPr>
        <w:spacing w:after="0" w:line="283" w:lineRule="auto"/>
        <w:rPr>
          <w:sz w:val="20"/>
          <w:szCs w:val="20"/>
          <w:color w:val="auto"/>
        </w:rPr>
      </w:pPr>
      <w:r>
        <w:rPr>
          <w:rFonts w:ascii="Times New Roman" w:cs="Times New Roman" w:eastAsia="Times New Roman" w:hAnsi="Times New Roman"/>
          <w:sz w:val="20"/>
          <w:szCs w:val="20"/>
          <w:color w:val="auto"/>
        </w:rPr>
        <w:t>any responsibility for, and neither the Company nor the Placement Agent can provide any assurance as to the reliability of, any other information that others may provide to the Investor or any Exchanging Investor.</w:t>
      </w:r>
    </w:p>
    <w:p>
      <w:pPr>
        <w:spacing w:after="0" w:line="146" w:lineRule="exact"/>
        <w:rPr>
          <w:sz w:val="20"/>
          <w:szCs w:val="20"/>
          <w:color w:val="auto"/>
        </w:rPr>
      </w:pPr>
    </w:p>
    <w:p>
      <w:pPr>
        <w:jc w:val="both"/>
        <w:ind w:firstLine="643"/>
        <w:spacing w:after="0" w:line="251" w:lineRule="auto"/>
        <w:tabs>
          <w:tab w:leader="none" w:pos="136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has such knowledge, skill and experience in business, financial and investment matters so that it is capable of evaluating the merits and risks with respect to the Exchange and an investment in the Shares. With the assistance of each Exchanging Investor’s own professional advisors, to the extent that the Exchanging Investor has deemed appropriate, such Exchanging Investor has made its own legal, tax, accounting and financial evaluation of the merits and risks of an investment in the Shares and the consequences of the Exchange and this Agreement and the Exchanging Investor has made its own independent decision that the investment in the Shares is suitable and appropriate for the Exchanging Investor. Each Exchanging Investor has considered the suitability of the Shares as an investment in light of such Exchanging Investor’s circumstances and financial condition and is able to bear the risks associated with an investment in the Shares.</w:t>
      </w:r>
    </w:p>
    <w:p>
      <w:pPr>
        <w:spacing w:after="0" w:line="195" w:lineRule="exact"/>
        <w:rPr>
          <w:rFonts w:ascii="Times New Roman" w:cs="Times New Roman" w:eastAsia="Times New Roman" w:hAnsi="Times New Roman"/>
          <w:sz w:val="20"/>
          <w:szCs w:val="20"/>
          <w:color w:val="auto"/>
        </w:rPr>
      </w:pPr>
    </w:p>
    <w:p>
      <w:pPr>
        <w:jc w:val="both"/>
        <w:ind w:firstLine="643"/>
        <w:spacing w:after="0" w:line="253" w:lineRule="auto"/>
        <w:tabs>
          <w:tab w:leader="none" w:pos="136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confirms that it and each Exchanging Investor are not relying on any communication (written or oral) of the Company, the Placement Agent or any of their respective affiliates or representatives as investment advice or as a recommendation to acquire the Shares or the Cash Consideration in the Exchange. It is understood that information provided by the Company, the Placement Agent or any of their respective affiliates and representatives shall not be considered investment advice or a recommendation to participate in the Exchange, and that none of the Company, the Placement Agent or any of their respective affiliates or representatives is acting or has acted as an advisor to the Investor or any Exchanging Investor in deciding to participate in the Exchange.</w:t>
      </w:r>
    </w:p>
    <w:p>
      <w:pPr>
        <w:spacing w:after="0" w:line="179" w:lineRule="exact"/>
        <w:rPr>
          <w:rFonts w:ascii="Times New Roman" w:cs="Times New Roman" w:eastAsia="Times New Roman" w:hAnsi="Times New Roman"/>
          <w:sz w:val="20"/>
          <w:szCs w:val="20"/>
          <w:color w:val="auto"/>
        </w:rPr>
      </w:pPr>
    </w:p>
    <w:p>
      <w:pPr>
        <w:jc w:val="both"/>
        <w:ind w:firstLine="643"/>
        <w:spacing w:after="0" w:line="253" w:lineRule="auto"/>
        <w:tabs>
          <w:tab w:leader="none" w:pos="137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confirms that neither the Company nor the Placement Agent has (i) given any guarantee, representation or warranty as to the potential success, return, effect or benefit (either legal, regulatory, tax, financial, accounting or otherwise) of an investment in the Shares or (ii) made any representation or warranty to the Investor or any Exchanging Investor regarding the legality of an investment in the Shares under applicable legal investment or similar laws or regulations. In deciding to participate in the Exchange, the Investor is not relying on the advice or recommendations of the Company or the Placement Agent and the Investor has made its own independent decision that the investment in the Shares is suitable and appropriate for the Investor.</w:t>
      </w:r>
    </w:p>
    <w:p>
      <w:pPr>
        <w:spacing w:after="0" w:line="192" w:lineRule="exact"/>
        <w:rPr>
          <w:rFonts w:ascii="Times New Roman" w:cs="Times New Roman" w:eastAsia="Times New Roman" w:hAnsi="Times New Roman"/>
          <w:sz w:val="20"/>
          <w:szCs w:val="20"/>
          <w:color w:val="auto"/>
        </w:rPr>
      </w:pPr>
    </w:p>
    <w:p>
      <w:pPr>
        <w:jc w:val="both"/>
        <w:ind w:firstLine="643"/>
        <w:spacing w:after="0" w:line="251" w:lineRule="auto"/>
        <w:tabs>
          <w:tab w:leader="none" w:pos="137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is familiar with the business and financial condition and operations of the Company and the Investor and each Exchanging Investor has had the opportunity to conduct its own investigation of the Company and the Shares. The Investor and each Exchanging Investor has had access to the SEC filings of the Company and such other information concerning the Company and the Shares as it deems necessary to enable it to make an informed investment decision concerning the Exchange. The Investor and each Exchanging Investor has been offered the opportunity to ask such questions of the Company and its representatives and received answers thereto, as it deems necessary to enable it to make an informed investment decision concerning the Exchange.</w:t>
      </w:r>
    </w:p>
    <w:p>
      <w:pPr>
        <w:spacing w:after="0" w:line="192" w:lineRule="exact"/>
        <w:rPr>
          <w:rFonts w:ascii="Times New Roman" w:cs="Times New Roman" w:eastAsia="Times New Roman" w:hAnsi="Times New Roman"/>
          <w:sz w:val="20"/>
          <w:szCs w:val="20"/>
          <w:color w:val="auto"/>
        </w:rPr>
      </w:pPr>
    </w:p>
    <w:p>
      <w:pPr>
        <w:jc w:val="both"/>
        <w:ind w:firstLine="643"/>
        <w:spacing w:after="0" w:line="258" w:lineRule="auto"/>
        <w:tabs>
          <w:tab w:leader="none" w:pos="136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Exchanging Investor is an institutional “accredited investor” as defined in Rule 501(a)(1), (2), (3) or (7) under the Securities Act and it and any account (including for purposes of this </w:t>
      </w:r>
      <w:r>
        <w:rPr>
          <w:rFonts w:ascii="Times New Roman" w:cs="Times New Roman" w:eastAsia="Times New Roman" w:hAnsi="Times New Roman"/>
          <w:sz w:val="20"/>
          <w:szCs w:val="20"/>
          <w:b w:val="1"/>
          <w:bCs w:val="1"/>
          <w:color w:val="auto"/>
        </w:rPr>
        <w:t>Section 2(k)</w:t>
      </w:r>
      <w:r>
        <w:rPr>
          <w:rFonts w:ascii="Times New Roman" w:cs="Times New Roman" w:eastAsia="Times New Roman" w:hAnsi="Times New Roman"/>
          <w:sz w:val="20"/>
          <w:szCs w:val="20"/>
          <w:color w:val="auto"/>
        </w:rPr>
        <w:t>, the Accounts) for which it is acting (for which it has sole investment discretion) is a “qualified institutional buyer” as defined in Rule 144A under the Securities Act. The Investor agrees to furnish any additional information reasonably requested by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60"/>
          </w:cols>
          <w:pgMar w:left="900" w:top="9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affiliates to assure compliance with applicable U.S. federal and state securities laws in connection with the Exchange.</w:t>
      </w:r>
    </w:p>
    <w:p>
      <w:pPr>
        <w:spacing w:after="0" w:line="229" w:lineRule="exact"/>
        <w:rPr>
          <w:sz w:val="20"/>
          <w:szCs w:val="20"/>
          <w:color w:val="auto"/>
        </w:rPr>
      </w:pPr>
    </w:p>
    <w:p>
      <w:pPr>
        <w:jc w:val="both"/>
        <w:ind w:firstLine="643"/>
        <w:spacing w:after="0" w:line="261" w:lineRule="auto"/>
        <w:tabs>
          <w:tab w:leader="none" w:pos="137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to the Investor’s knowledge, each Exchanging Investor are not, and have not been during the consecutive three month period preceding the date hereof and as of the Closing, will not be, a director, officer or “affiliate” within the meaning of Rule 144 promulgated under the Securities Act (an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the Company.</w:t>
      </w:r>
    </w:p>
    <w:p>
      <w:pPr>
        <w:spacing w:after="0" w:line="167" w:lineRule="exact"/>
        <w:rPr>
          <w:rFonts w:ascii="Times New Roman" w:cs="Times New Roman" w:eastAsia="Times New Roman" w:hAnsi="Times New Roman"/>
          <w:sz w:val="20"/>
          <w:szCs w:val="20"/>
          <w:color w:val="auto"/>
        </w:rPr>
      </w:pPr>
    </w:p>
    <w:p>
      <w:pPr>
        <w:ind w:firstLine="643"/>
        <w:spacing w:after="0" w:line="283" w:lineRule="auto"/>
        <w:tabs>
          <w:tab w:leader="none" w:pos="136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Investor nor any Exchanging Investor is directly, or indirectly through one or more intermediaries, controlling or controlled by, or under direct or indirect common control with, the Company.</w:t>
      </w:r>
    </w:p>
    <w:p>
      <w:pPr>
        <w:spacing w:after="0" w:line="159" w:lineRule="exact"/>
        <w:rPr>
          <w:rFonts w:ascii="Times New Roman" w:cs="Times New Roman" w:eastAsia="Times New Roman" w:hAnsi="Times New Roman"/>
          <w:sz w:val="20"/>
          <w:szCs w:val="20"/>
          <w:color w:val="auto"/>
        </w:rPr>
      </w:pPr>
    </w:p>
    <w:p>
      <w:pPr>
        <w:jc w:val="both"/>
        <w:ind w:firstLine="643"/>
        <w:spacing w:after="0" w:line="250" w:lineRule="auto"/>
        <w:tabs>
          <w:tab w:leader="none" w:pos="13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Exchanging Investor is acquiring the Shares solely for its own beneficial account (or for any account (including for purposes of this </w:t>
      </w:r>
      <w:r>
        <w:rPr>
          <w:rFonts w:ascii="Times New Roman" w:cs="Times New Roman" w:eastAsia="Times New Roman" w:hAnsi="Times New Roman"/>
          <w:sz w:val="20"/>
          <w:szCs w:val="20"/>
          <w:b w:val="1"/>
          <w:bCs w:val="1"/>
          <w:color w:val="auto"/>
        </w:rPr>
        <w:t>Section 2(n),</w:t>
      </w:r>
      <w:r>
        <w:rPr>
          <w:rFonts w:ascii="Times New Roman" w:cs="Times New Roman" w:eastAsia="Times New Roman" w:hAnsi="Times New Roman"/>
          <w:sz w:val="20"/>
          <w:szCs w:val="20"/>
          <w:color w:val="auto"/>
        </w:rPr>
        <w:t xml:space="preserve"> the Accounts) for which it has sole investment discretion), for investment purposes, and not with a view to, or for resale in connection with, any distribution of the Shares in violation of applicable securities laws. The Investor and each Exchanging Investor understand that the offer and sale of the Shares have not been registered under the Securities Act or any state securities laws and are being issued without registration under the Securities Act by reason of specific exemption(s) under the provisions thereof which depend in part upon the investment intent of the Exchanging Investors and the accuracy of the other representations and warranties made by the Investor in this Agreement. The Investor and the Exchanging Investors understand that the Company is relying upon the representations, warranties and agreements contained in this Agreement (and any supplemental information provided to the Company by the Investor or the Exchanging Investors) for the purpose of determining whether this transaction meets the requirements for such exemption(s) and to issue the Shares without legends as set forth herein.</w:t>
      </w:r>
    </w:p>
    <w:p>
      <w:pPr>
        <w:spacing w:after="0" w:line="196" w:lineRule="exact"/>
        <w:rPr>
          <w:rFonts w:ascii="Times New Roman" w:cs="Times New Roman" w:eastAsia="Times New Roman" w:hAnsi="Times New Roman"/>
          <w:sz w:val="20"/>
          <w:szCs w:val="20"/>
          <w:color w:val="auto"/>
        </w:rPr>
      </w:pPr>
    </w:p>
    <w:p>
      <w:pPr>
        <w:ind w:firstLine="643"/>
        <w:spacing w:after="0" w:line="269" w:lineRule="auto"/>
        <w:tabs>
          <w:tab w:leader="none" w:pos="13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that the terms of the Exchange have been mutually negotiated between the Investor and the Company. The Investor was given a meaningful opportunity to negotiate the terms of the Exchange.</w:t>
      </w:r>
    </w:p>
    <w:p>
      <w:pPr>
        <w:spacing w:after="0" w:line="172" w:lineRule="exact"/>
        <w:rPr>
          <w:rFonts w:ascii="Times New Roman" w:cs="Times New Roman" w:eastAsia="Times New Roman" w:hAnsi="Times New Roman"/>
          <w:sz w:val="20"/>
          <w:szCs w:val="20"/>
          <w:color w:val="auto"/>
        </w:rPr>
      </w:pPr>
    </w:p>
    <w:p>
      <w:pPr>
        <w:jc w:val="both"/>
        <w:ind w:firstLine="643"/>
        <w:spacing w:after="0" w:line="253" w:lineRule="auto"/>
        <w:tabs>
          <w:tab w:leader="none" w:pos="13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that it and each Exchanging Investor had a sufficient amount of time to consider whether to participate in the Exchange and that neither the Company nor the Placement Agent has placed any pressure on the Investor or any Exchanging Investor to respond to the opportunity to participate in the Exchange. To the Investor’s knowledge, the Investor acknowledges that neither it nor any Exchanging Investor became aware of the Exchange through any form of general solicitation or advertising within the meaning of Rule 502 under the Securities Act or otherwise through a “public offering” under Section 4(a)(2) of the Securities Act.</w:t>
      </w:r>
    </w:p>
    <w:p>
      <w:pPr>
        <w:spacing w:after="0" w:line="178" w:lineRule="exact"/>
        <w:rPr>
          <w:rFonts w:ascii="Times New Roman" w:cs="Times New Roman" w:eastAsia="Times New Roman" w:hAnsi="Times New Roman"/>
          <w:sz w:val="20"/>
          <w:szCs w:val="20"/>
          <w:color w:val="auto"/>
        </w:rPr>
      </w:pPr>
    </w:p>
    <w:p>
      <w:pPr>
        <w:ind w:right="20" w:firstLine="643"/>
        <w:spacing w:after="0" w:line="283" w:lineRule="auto"/>
        <w:tabs>
          <w:tab w:leader="none" w:pos="13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it and each Exchanging Investor understand that the Company intends to pay the Placement Agent a fee in respect of the Exchange.</w:t>
      </w:r>
    </w:p>
    <w:p>
      <w:pPr>
        <w:spacing w:after="0" w:line="146" w:lineRule="exact"/>
        <w:rPr>
          <w:rFonts w:ascii="Times New Roman" w:cs="Times New Roman" w:eastAsia="Times New Roman" w:hAnsi="Times New Roman"/>
          <w:sz w:val="20"/>
          <w:szCs w:val="20"/>
          <w:color w:val="auto"/>
        </w:rPr>
      </w:pPr>
    </w:p>
    <w:p>
      <w:pPr>
        <w:jc w:val="both"/>
        <w:ind w:firstLine="643"/>
        <w:spacing w:after="0" w:line="268" w:lineRule="auto"/>
        <w:tabs>
          <w:tab w:leader="none" w:pos="13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will, upon request, execute and deliver, for itself and on behalf of any Exchanging Investor, any additional documents deemed by the Company and the Trustee or the transfer agent to be reasonably necessary to complete the transactions contemplated by this Agreement.</w:t>
      </w:r>
    </w:p>
    <w:p>
      <w:pPr>
        <w:spacing w:after="0" w:line="161" w:lineRule="exact"/>
        <w:rPr>
          <w:rFonts w:ascii="Times New Roman" w:cs="Times New Roman" w:eastAsia="Times New Roman" w:hAnsi="Times New Roman"/>
          <w:sz w:val="20"/>
          <w:szCs w:val="20"/>
          <w:color w:val="auto"/>
        </w:rPr>
      </w:pPr>
    </w:p>
    <w:p>
      <w:pPr>
        <w:ind w:firstLine="643"/>
        <w:spacing w:after="0" w:line="283" w:lineRule="auto"/>
        <w:tabs>
          <w:tab w:leader="none" w:pos="137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one (1) business day after the date hereof, the Investor agrees to deliver to the Company settlement instructions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to the Exchange Agreement for each of the Exchanging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660"/>
          </w:cols>
          <w:pgMar w:left="900" w:top="927" w:right="339" w:bottom="1440" w:gutter="0" w:footer="0" w:header="0"/>
        </w:sectPr>
      </w:pPr>
    </w:p>
    <w:bookmarkStart w:id="89" w:name="page90"/>
    <w:bookmarkEnd w:id="89"/>
    <w:p>
      <w:pPr>
        <w:jc w:val="both"/>
        <w:ind w:left="-540" w:firstLine="643"/>
        <w:spacing w:after="0" w:line="261" w:lineRule="auto"/>
        <w:tabs>
          <w:tab w:leader="none" w:pos="83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Investor acknowledges that the Company may issue appropriate stop-transfer instructions to its transfer agent, if any, and may make appropriate notations to the same effect in its books and records to ensure compliance with the provisions of this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540" w:firstLine="643"/>
        <w:spacing w:after="0" w:line="265" w:lineRule="auto"/>
        <w:tabs>
          <w:tab w:leader="none" w:pos="82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Investor understands that the Company, the Placement Agent and others will rely upon the truth and accuracy of the foregoing representations, warranties and covenants and agrees that if any of the representations and warranties deemed to have been made by it or the Exchanging Investors by their participation in the transactions contemplated by this Agreement and acquisition of the Shares are no longer accurate, the Investor shall promptly notify the Company and the Placement Agent. The Investor understands that, unless the Investor notifies the Company in writing to the contrary before the Closing, each of the Investor’s and Exchanging Investors’ representations and warranties contained in this Agreement will be deemed to have been reaffirmed and confirmed as of the Closing. If the Investor is exchanging any Exchanged Notes and acquiring the Shares as a fiduciary or agent for one or more accounts (including for purposes of this </w:t>
      </w:r>
      <w:r>
        <w:rPr>
          <w:rFonts w:ascii="Times New Roman" w:cs="Times New Roman" w:eastAsia="Times New Roman" w:hAnsi="Times New Roman"/>
          <w:sz w:val="19"/>
          <w:szCs w:val="19"/>
          <w:b w:val="1"/>
          <w:bCs w:val="1"/>
          <w:color w:val="auto"/>
        </w:rPr>
        <w:t>Section 2(u)</w:t>
      </w:r>
      <w:r>
        <w:rPr>
          <w:rFonts w:ascii="Times New Roman" w:cs="Times New Roman" w:eastAsia="Times New Roman" w:hAnsi="Times New Roman"/>
          <w:sz w:val="19"/>
          <w:szCs w:val="19"/>
          <w:color w:val="auto"/>
        </w:rPr>
        <w:t>, the Accounts which are Exchanging Investors), it represents that (i) it has sole investment discretion with respect to each such account, (ii) it has full power to make the foregoing representations, warranties and covenants on behalf of such account and (iii) it has contractual authority with respect to each such account.</w:t>
      </w:r>
    </w:p>
    <w:p>
      <w:pPr>
        <w:spacing w:after="0" w:line="179" w:lineRule="exact"/>
        <w:rPr>
          <w:rFonts w:ascii="Times New Roman" w:cs="Times New Roman" w:eastAsia="Times New Roman" w:hAnsi="Times New Roman"/>
          <w:sz w:val="19"/>
          <w:szCs w:val="19"/>
          <w:color w:val="auto"/>
        </w:rPr>
      </w:pPr>
    </w:p>
    <w:p>
      <w:pPr>
        <w:jc w:val="both"/>
        <w:ind w:left="-540" w:firstLine="643"/>
        <w:spacing w:after="0" w:line="250" w:lineRule="auto"/>
        <w:tabs>
          <w:tab w:leader="none" w:pos="8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and agrees that the Placement Agent has not acted as a financial advisor or fiduciary to the Investor or any Exchanging Investor and that the Placement Agent and its directors, officers, employees, representatives and controlling persons have no responsibility for making, and have not made, any independent investigation of the information contained herein or in the Company’s SEC filings and make no representation or warranty to the Investor or any Exchanging Investor, express or implied, with respect to the Company, the Exchanged Notes or the Shares or the accuracy, completeness or adequacy of the information provided to the Investor or any Exchanging Investor or any other publicly available information, nor shall any of the foregoing persons be liable for any loss or damages of any kind resulting from the use of the information contained therein or otherwise supplied to the Investor or any Exchanging Investor. Notwithstanding the foregoing, the Investor and the Exchanging Investors are relying on the Company’s representations and warranties set forth herein and in the Company’s SEC filings, including, without limitation, the SEC Documents.</w:t>
      </w:r>
    </w:p>
    <w:p>
      <w:pPr>
        <w:spacing w:after="0" w:line="196" w:lineRule="exact"/>
        <w:rPr>
          <w:rFonts w:ascii="Times New Roman" w:cs="Times New Roman" w:eastAsia="Times New Roman" w:hAnsi="Times New Roman"/>
          <w:sz w:val="20"/>
          <w:szCs w:val="20"/>
          <w:color w:val="auto"/>
        </w:rPr>
      </w:pPr>
    </w:p>
    <w:p>
      <w:pPr>
        <w:jc w:val="both"/>
        <w:ind w:left="-540" w:firstLine="643"/>
        <w:spacing w:after="0" w:line="253" w:lineRule="auto"/>
        <w:tabs>
          <w:tab w:leader="none" w:pos="82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agents shall be entitled to deduct and withhold from any consideration payable pursuant to this Agreement such amounts as may be required to be deducted or withheld under applicable law, and shall be provided with a Form W-9 or the appropriate series of Form W-8, in order to establish whether any Exchanging Investor is entitled to an exemption from (or reduction in the rate of) withholding. To the extent any such amounts are withheld and remitted to the appropriate taxing authority, such amounts shall be treated for all purposes as having been paid to the Exchanging Investor to whom such amounts otherwise would have been paid.</w:t>
      </w:r>
    </w:p>
    <w:p>
      <w:pPr>
        <w:spacing w:after="0" w:line="178" w:lineRule="exact"/>
        <w:rPr>
          <w:rFonts w:ascii="Times New Roman" w:cs="Times New Roman" w:eastAsia="Times New Roman" w:hAnsi="Times New Roman"/>
          <w:sz w:val="20"/>
          <w:szCs w:val="20"/>
          <w:color w:val="auto"/>
        </w:rPr>
      </w:pPr>
    </w:p>
    <w:p>
      <w:pPr>
        <w:jc w:val="both"/>
        <w:ind w:left="-540" w:firstLine="643"/>
        <w:spacing w:after="0" w:line="251" w:lineRule="auto"/>
        <w:tabs>
          <w:tab w:leader="none" w:pos="8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acknowledges and understands that at the time of the Closing, the Company may be in possession of material non-public information not known to the Investor or any Exchanging Investor that may impact the value of the Notes, including the Exchanged Notes, and the Shares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that the Company has not disclosed to the Investor or any Exchanging Investor. The Investor and each Exchanging Investor acknowledges that they have not relied upon the non-disclosure of any such Information for purposes of making their decision to participate in the Exchange. The Investor and each Exchanging Investor understands, based on its experience, the disadvantage to which the Investor and each Exchanging Investor is subject due to the disparity of information between the Company, on the one hand, and the Investor and each Exchanging Investor, on the other hand. Notwithstanding this, the Investor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927" w:right="339" w:bottom="1440" w:gutter="0" w:footer="0" w:header="0"/>
        </w:sectPr>
      </w:pPr>
    </w:p>
    <w:bookmarkStart w:id="90" w:name="page91"/>
    <w:bookmarkEnd w:id="90"/>
    <w:p>
      <w:pPr>
        <w:jc w:val="both"/>
        <w:ind w:left="580"/>
        <w:spacing w:after="0" w:line="253" w:lineRule="auto"/>
        <w:rPr>
          <w:sz w:val="20"/>
          <w:szCs w:val="20"/>
          <w:color w:val="auto"/>
        </w:rPr>
      </w:pPr>
      <w:r>
        <w:rPr>
          <w:rFonts w:ascii="Times New Roman" w:cs="Times New Roman" w:eastAsia="Times New Roman" w:hAnsi="Times New Roman"/>
          <w:sz w:val="20"/>
          <w:szCs w:val="20"/>
          <w:color w:val="auto"/>
        </w:rPr>
        <w:t>Exchanging Investor has deemed it appropriate to participate in the Exchange. The Investor agrees that the Company and its directors, officers, employees, agents, stockholders and affiliates shall have no liability to the Investor or any Exchanging Investor or their respective beneficiaries whatsoever due to or in connection with the Company’s use or non-disclosure of the Information or otherwise as a result of the Exchange, and the Investor hereby irrevocably waives any claim that it or any Exchanging Investor might have based on the failure of the Company to disclose the Information.</w:t>
      </w:r>
    </w:p>
    <w:p>
      <w:pPr>
        <w:spacing w:after="0" w:line="192" w:lineRule="exact"/>
        <w:rPr>
          <w:sz w:val="20"/>
          <w:szCs w:val="20"/>
          <w:color w:val="auto"/>
        </w:rPr>
      </w:pPr>
    </w:p>
    <w:p>
      <w:pPr>
        <w:jc w:val="both"/>
        <w:ind w:left="580" w:firstLine="643"/>
        <w:spacing w:after="0" w:line="261" w:lineRule="auto"/>
        <w:tabs>
          <w:tab w:leader="none" w:pos="194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and each Exchanging Investor understand that no federal, state, local or foreign agency has passed upon the merits or risks of an investment in the Shares or made any finding or determination concerning the fairness or advisability of this investment.</w:t>
      </w:r>
    </w:p>
    <w:p>
      <w:pPr>
        <w:spacing w:after="0" w:line="181" w:lineRule="exact"/>
        <w:rPr>
          <w:rFonts w:ascii="Times New Roman" w:cs="Times New Roman" w:eastAsia="Times New Roman" w:hAnsi="Times New Roman"/>
          <w:sz w:val="20"/>
          <w:szCs w:val="20"/>
          <w:color w:val="auto"/>
        </w:rPr>
      </w:pPr>
    </w:p>
    <w:p>
      <w:pPr>
        <w:jc w:val="both"/>
        <w:ind w:left="580" w:firstLine="643"/>
        <w:spacing w:after="0" w:line="251" w:lineRule="auto"/>
        <w:tabs>
          <w:tab w:leader="none" w:pos="194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operations of the Investor and each Exchanging Investor have been conducted in material compliance with the applicable rules and regulations administered or conducted by the U.S. Department of Treasury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the applicable rules and regulations of the Foreign Corrupt Practices Act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and the applicable Anti-Money Laundering (“</w:t>
      </w:r>
      <w:r>
        <w:rPr>
          <w:rFonts w:ascii="Times New Roman" w:cs="Times New Roman" w:eastAsia="Times New Roman" w:hAnsi="Times New Roman"/>
          <w:sz w:val="20"/>
          <w:szCs w:val="20"/>
          <w:b w:val="1"/>
          <w:bCs w:val="1"/>
          <w:color w:val="auto"/>
        </w:rPr>
        <w:t>AML</w:t>
      </w:r>
      <w:r>
        <w:rPr>
          <w:rFonts w:ascii="Times New Roman" w:cs="Times New Roman" w:eastAsia="Times New Roman" w:hAnsi="Times New Roman"/>
          <w:sz w:val="20"/>
          <w:szCs w:val="20"/>
          <w:color w:val="auto"/>
        </w:rPr>
        <w:t>”) rules in the Bank Secrecy Act. The Investor has performed due diligence necessary to reasonably determine that the Exchanging Investors are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are not otherwise the subject of Sanctions and have not been found to be in violation or under suspicion of violating OFAC, FCPA or AML rules and regulations.</w:t>
      </w:r>
    </w:p>
    <w:p>
      <w:pPr>
        <w:spacing w:after="0" w:line="195" w:lineRule="exact"/>
        <w:rPr>
          <w:sz w:val="20"/>
          <w:szCs w:val="20"/>
          <w:color w:val="auto"/>
        </w:rPr>
      </w:pPr>
    </w:p>
    <w:p>
      <w:pPr>
        <w:jc w:val="both"/>
        <w:ind w:left="580" w:firstLine="643"/>
        <w:spacing w:after="0" w:line="251" w:lineRule="auto"/>
        <w:tabs>
          <w:tab w:leader="none" w:pos="195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Investor acknowledges and agrees that it and each Exchanging Holder have not disclosed, and will not disclose, to any third party any information regarding the Company or the Exchange, and that it and each Exchanging Holder have not transacted, and will not transact, in any securities of the Company, including, but not limited to, any hedging transactions, from the time the Holder was first contacted by the Company or the Placement Agent with respect to the Transactions until after the confidential information (as described in the confirmatory email received by the Holder from the Placement Agent (the “</w:t>
      </w:r>
      <w:r>
        <w:rPr>
          <w:rFonts w:ascii="Times New Roman" w:cs="Times New Roman" w:eastAsia="Times New Roman" w:hAnsi="Times New Roman"/>
          <w:sz w:val="20"/>
          <w:szCs w:val="20"/>
          <w:b w:val="1"/>
          <w:bCs w:val="1"/>
          <w:u w:val="single" w:color="auto"/>
          <w:color w:val="auto"/>
        </w:rPr>
        <w:t>Wall Cross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Email</w:t>
      </w:r>
      <w:r>
        <w:rPr>
          <w:rFonts w:ascii="Times New Roman" w:cs="Times New Roman" w:eastAsia="Times New Roman" w:hAnsi="Times New Roman"/>
          <w:sz w:val="20"/>
          <w:szCs w:val="20"/>
          <w:color w:val="auto"/>
        </w:rPr>
        <w:t>”)) is made public.</w:t>
      </w:r>
    </w:p>
    <w:p>
      <w:pPr>
        <w:spacing w:after="0" w:line="190"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Obligations of the Investor and the Company</w:t>
      </w:r>
      <w:r>
        <w:rPr>
          <w:rFonts w:ascii="Times New Roman" w:cs="Times New Roman" w:eastAsia="Times New Roman" w:hAnsi="Times New Roman"/>
          <w:sz w:val="20"/>
          <w:szCs w:val="20"/>
          <w:color w:val="auto"/>
        </w:rPr>
        <w:t xml:space="preserve">. The obligations of the Investor and of the Company under this Agreement are subject to the satisfaction at or prior to the Closing of the following conditions precedent: (a) the representations and warranties of the Company contained in </w:t>
      </w: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 xml:space="preserve"> hereof and of the Investor contained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hereof shall be true and correct as of the Closing in all respects with the same effect as though such representations and warranties had been made as of the Closing and (b) no provision of any applicable law or any judgment, ruling, order, writ, injunction, award or decree of any governmental authority shall be in effect prohibiting or making illegal the consummation of the transactions contemplated by this Agreement.</w:t>
      </w:r>
    </w:p>
    <w:p>
      <w:pPr>
        <w:spacing w:after="0" w:line="192" w:lineRule="exact"/>
        <w:rPr>
          <w:rFonts w:ascii="Times New Roman" w:cs="Times New Roman" w:eastAsia="Times New Roman" w:hAnsi="Times New Roman"/>
          <w:sz w:val="20"/>
          <w:szCs w:val="20"/>
          <w:color w:val="auto"/>
        </w:rPr>
      </w:pPr>
    </w:p>
    <w:p>
      <w:pPr>
        <w:ind w:firstLine="8"/>
        <w:spacing w:after="0" w:line="269"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Amendment</w:t>
      </w:r>
      <w:r>
        <w:rPr>
          <w:rFonts w:ascii="Times New Roman" w:cs="Times New Roman" w:eastAsia="Times New Roman" w:hAnsi="Times New Roman"/>
          <w:sz w:val="20"/>
          <w:szCs w:val="20"/>
          <w:color w:val="auto"/>
        </w:rPr>
        <w:t>. Neither this Agreement nor any provisions hereof or thereof shall be modified, changed or discharged, except by an instrument in writing, signed by the Company and the Investor.</w:t>
      </w:r>
    </w:p>
    <w:p>
      <w:pPr>
        <w:spacing w:after="0" w:line="172" w:lineRule="exact"/>
        <w:rPr>
          <w:rFonts w:ascii="Times New Roman" w:cs="Times New Roman" w:eastAsia="Times New Roman" w:hAnsi="Times New Roman"/>
          <w:sz w:val="20"/>
          <w:szCs w:val="20"/>
          <w:color w:val="auto"/>
        </w:rPr>
      </w:pPr>
    </w:p>
    <w:p>
      <w:pPr>
        <w:ind w:firstLine="8"/>
        <w:spacing w:after="0" w:line="269"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Assignability</w:t>
      </w:r>
      <w:r>
        <w:rPr>
          <w:rFonts w:ascii="Times New Roman" w:cs="Times New Roman" w:eastAsia="Times New Roman" w:hAnsi="Times New Roman"/>
          <w:sz w:val="20"/>
          <w:szCs w:val="20"/>
          <w:color w:val="auto"/>
        </w:rPr>
        <w:t>. Neither this Agreement nor any right, remedy, obligation or liability arising hereunder or by reason hereof shall be assignable by either the Company or the Investor without the prior written consent of the other.</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COMPANY AND THE INVESTOR HEREBY IRREVOCABLY WAIVES ANY AND ALL RIGHT TO TRIAL BY JURY WITH RESPECT TO ANY LEGAL PROCEEDING ARISING OUT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927" w:right="339" w:bottom="1440" w:gutter="0" w:footer="0" w:header="0"/>
        </w:sectPr>
      </w:pPr>
    </w:p>
    <w:bookmarkStart w:id="91" w:name="page92"/>
    <w:bookmarkEnd w:id="91"/>
    <w:p>
      <w:pPr>
        <w:ind w:left="-8" w:firstLine="8"/>
        <w:spacing w:after="0" w:line="283" w:lineRule="auto"/>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New York, without giving effect to such state’s rules concerning conflicts of laws that might provide for any other choice of law.</w:t>
      </w:r>
    </w:p>
    <w:p>
      <w:pPr>
        <w:spacing w:after="0" w:line="146" w:lineRule="exact"/>
        <w:rPr>
          <w:rFonts w:ascii="Times New Roman" w:cs="Times New Roman" w:eastAsia="Times New Roman" w:hAnsi="Times New Roman"/>
          <w:sz w:val="20"/>
          <w:szCs w:val="20"/>
          <w:color w:val="auto"/>
        </w:rPr>
      </w:pPr>
    </w:p>
    <w:p>
      <w:pPr>
        <w:jc w:val="both"/>
        <w:ind w:left="-8" w:firstLine="8"/>
        <w:spacing w:after="0" w:line="253" w:lineRule="auto"/>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Company and the Investor: (a) agrees that any legal suit, action or proceeding arising out of or relating to this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and the Investor agrees that a final judgment in any such action or proceeding shall be conclusive and may be enforced in other jurisdictions by suit on the judgment or in any other manner provided by law.</w:t>
      </w:r>
    </w:p>
    <w:p>
      <w:pPr>
        <w:spacing w:after="0" w:line="179" w:lineRule="exact"/>
        <w:rPr>
          <w:rFonts w:ascii="Times New Roman" w:cs="Times New Roman" w:eastAsia="Times New Roman" w:hAnsi="Times New Roman"/>
          <w:sz w:val="20"/>
          <w:szCs w:val="20"/>
          <w:color w:val="auto"/>
        </w:rPr>
      </w:pPr>
    </w:p>
    <w:p>
      <w:pPr>
        <w:jc w:val="both"/>
        <w:ind w:left="-8" w:firstLine="8"/>
        <w:spacing w:after="0" w:line="258" w:lineRule="auto"/>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xml:space="preserve">. Each of the Company and the Investor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Each of the Company and the Investor irrevocably waives, to the fullest extent permitted by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8" w:firstLine="8"/>
        <w:spacing w:after="0" w:line="261" w:lineRule="auto"/>
        <w:tabs>
          <w:tab w:leader="none" w:pos="63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of the Company and the Investor irrevocably consents to service of process in the manner provided for notices in </w:t>
      </w: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Nothing in this Agreement will affect the right of the Company or the Investor to serve process in any other manner permitted by law.</w:t>
      </w:r>
    </w:p>
    <w:p>
      <w:pPr>
        <w:spacing w:after="0" w:line="181" w:lineRule="exact"/>
        <w:rPr>
          <w:rFonts w:ascii="Times New Roman" w:cs="Times New Roman" w:eastAsia="Times New Roman" w:hAnsi="Times New Roman"/>
          <w:sz w:val="20"/>
          <w:szCs w:val="20"/>
          <w:color w:val="auto"/>
        </w:rPr>
      </w:pPr>
    </w:p>
    <w:p>
      <w:pPr>
        <w:jc w:val="both"/>
        <w:ind w:left="-8" w:firstLine="8"/>
        <w:spacing w:after="0" w:line="251" w:lineRule="auto"/>
        <w:tabs>
          <w:tab w:leader="none" w:pos="62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to the Company provided for herein shall be in writing and shall be deemed to have been duly given if delivered personally, sent by prepaid overnight courier (providing written proof of delivery) or sent by confirmed facsimile transmission or electronic mail and will be deemed given on the date so delivered (or, if such day is not a business day, on the first subsequent business day) to the following addresses, or in the case of the Investor or an Exchanging Investor, the address provided on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attached to the Exchange Agreement (or such other address as the Company or the Investor shall have specified by notice in writing to the other):</w:t>
      </w:r>
    </w:p>
    <w:p>
      <w:pPr>
        <w:spacing w:after="0" w:line="24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0" w:lineRule="exact"/>
        <w:rPr>
          <w:sz w:val="20"/>
          <w:szCs w:val="20"/>
          <w:color w:val="auto"/>
        </w:rPr>
      </w:pPr>
    </w:p>
    <w:p>
      <w:pPr>
        <w:spacing w:after="0" w:line="353"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2202 North West Shore Boulevard, Suite 500</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Tampa, FL 33607</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Email: [***]</w:t>
      </w:r>
    </w:p>
    <w:p>
      <w:pPr>
        <w:spacing w:after="0" w:line="32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00" w:lineRule="exact"/>
        <w:rPr>
          <w:sz w:val="20"/>
          <w:szCs w:val="20"/>
          <w:color w:val="auto"/>
        </w:rPr>
      </w:pPr>
    </w:p>
    <w:p>
      <w:pPr>
        <w:spacing w:after="0" w:line="353"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Baker &amp; Hostetler LLP</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127 Public Square, Suite 2000</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Cleveland, Ohio 44114-1214</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Attention: Janet Spreen and John Harrington</w:t>
      </w:r>
    </w:p>
    <w:p>
      <w:pPr>
        <w:spacing w:after="0" w:line="6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0"/>
          <w:szCs w:val="20"/>
          <w:color w:val="auto"/>
        </w:rPr>
        <w:t>Email: [***]</w:t>
      </w:r>
    </w:p>
    <w:p>
      <w:pPr>
        <w:spacing w:after="0" w:line="378" w:lineRule="exact"/>
        <w:rPr>
          <w:sz w:val="20"/>
          <w:szCs w:val="20"/>
          <w:color w:val="auto"/>
        </w:rPr>
      </w:pPr>
    </w:p>
    <w:p>
      <w:pPr>
        <w:ind w:left="-8" w:right="20" w:firstLine="8"/>
        <w:spacing w:after="0" w:line="269" w:lineRule="auto"/>
        <w:tabs>
          <w:tab w:leader="none" w:pos="63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The provisions of this Agreement shall be binding upon and accrue to the benefit of the Company and the Investor and their respective heirs, legal representatives, successors and assigns.</w:t>
      </w:r>
    </w:p>
    <w:p>
      <w:pPr>
        <w:sectPr>
          <w:pgSz w:w="11900" w:h="16838" w:orient="portrait"/>
          <w:cols w:equalWidth="0" w:num="1">
            <w:col w:w="11232"/>
          </w:cols>
          <w:pgMar w:left="328"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32"/>
          </w:cols>
          <w:pgMar w:left="328" w:top="927" w:right="339" w:bottom="1440" w:gutter="0" w:footer="0" w:header="0"/>
          <w:type w:val="continuous"/>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20"/>
          <w:szCs w:val="20"/>
          <w:color w:val="auto"/>
        </w:rPr>
        <w:t>This Agreement constitutes the entire agreement between the Company and the Investor with respect to the subject matters hereof. This Agreement may be executed by one or more of the parties hereto in any number of separate counterparts (including by facsimile, electronic mail (including any electronic signature covered by the U.S. federal ESIGN Act of 2000, Uniform Electronic Transactions Act, the Electronic Signatures and Records Act or other applicable law, e.g., www.docusign.com) or other electronic means, including telecopy, email or otherwise), and all of said counterparts taken together shall be deemed to constitute one and the same instrument. Delivery of an executed signature page of this Agreement by facsimile or other transmission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“pdf” or “tif” format) shall be effective as delivery of a manually executed counterpart hereof.</w:t>
      </w:r>
    </w:p>
    <w:p>
      <w:pPr>
        <w:spacing w:after="0" w:line="206" w:lineRule="exact"/>
        <w:rPr>
          <w:sz w:val="20"/>
          <w:szCs w:val="20"/>
          <w:color w:val="auto"/>
        </w:rPr>
      </w:pPr>
    </w:p>
    <w:p>
      <w:pPr>
        <w:jc w:val="both"/>
        <w:ind w:firstLine="8"/>
        <w:spacing w:after="0" w:line="281" w:lineRule="auto"/>
        <w:tabs>
          <w:tab w:leader="none" w:pos="63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Notification of Changes</w:t>
      </w:r>
      <w:r>
        <w:rPr>
          <w:rFonts w:ascii="Times New Roman" w:cs="Times New Roman" w:eastAsia="Times New Roman" w:hAnsi="Times New Roman"/>
          <w:sz w:val="19"/>
          <w:szCs w:val="19"/>
          <w:color w:val="auto"/>
        </w:rPr>
        <w:t>. After the date of this Agreement, each of the Company and the Investor hereby covenants and agrees to notify the other upon the occurrence of any event prior to the Closing of the Exchange pursuant to this Agreement that would cause any representation, warranty or covenant of the Company or the Investor, as the case may be, contained in this Agreement to be false or incorrect.</w:t>
      </w:r>
    </w:p>
    <w:p>
      <w:pPr>
        <w:spacing w:after="0" w:line="164" w:lineRule="exact"/>
        <w:rPr>
          <w:rFonts w:ascii="Times New Roman" w:cs="Times New Roman" w:eastAsia="Times New Roman" w:hAnsi="Times New Roman"/>
          <w:sz w:val="19"/>
          <w:szCs w:val="19"/>
          <w:color w:val="auto"/>
        </w:rPr>
      </w:pPr>
    </w:p>
    <w:p>
      <w:pPr>
        <w:jc w:val="both"/>
        <w:ind w:firstLine="8"/>
        <w:spacing w:after="0" w:line="261" w:lineRule="auto"/>
        <w:tabs>
          <w:tab w:leader="none" w:pos="6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Placement Agent</w:t>
      </w:r>
      <w:r>
        <w:rPr>
          <w:rFonts w:ascii="Times New Roman" w:cs="Times New Roman" w:eastAsia="Times New Roman" w:hAnsi="Times New Roman"/>
          <w:sz w:val="20"/>
          <w:szCs w:val="20"/>
          <w:color w:val="auto"/>
        </w:rPr>
        <w:t>. Placement Agent may rely on each representation and warranty of the Company and the Investor made herein or pursuant to the terms hereof with the same force and effect as if such representation or warranty were made directly to such Placement Agent. Placement Agent shall be a third-party beneficiary of this Agreement to the extent provided in this Section 14.</w:t>
      </w:r>
    </w:p>
    <w:p>
      <w:pPr>
        <w:spacing w:after="0" w:line="181" w:lineRule="exact"/>
        <w:rPr>
          <w:rFonts w:ascii="Times New Roman" w:cs="Times New Roman" w:eastAsia="Times New Roman" w:hAnsi="Times New Roman"/>
          <w:sz w:val="20"/>
          <w:szCs w:val="20"/>
          <w:color w:val="auto"/>
        </w:rPr>
      </w:pPr>
    </w:p>
    <w:p>
      <w:pPr>
        <w:jc w:val="both"/>
        <w:ind w:firstLine="8"/>
        <w:spacing w:after="0" w:line="261" w:lineRule="auto"/>
        <w:tabs>
          <w:tab w:leader="none" w:pos="6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(in whole or in part)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81" w:lineRule="exact"/>
        <w:rPr>
          <w:rFonts w:ascii="Times New Roman" w:cs="Times New Roman" w:eastAsia="Times New Roman" w:hAnsi="Times New Roman"/>
          <w:sz w:val="20"/>
          <w:szCs w:val="20"/>
          <w:color w:val="auto"/>
        </w:rPr>
      </w:pPr>
    </w:p>
    <w:p>
      <w:pPr>
        <w:ind w:firstLine="8"/>
        <w:spacing w:after="0" w:line="269" w:lineRule="auto"/>
        <w:tabs>
          <w:tab w:leader="none" w:pos="6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representations and warranties of the Company and the Investor contained in this Agreement or made by or on behalf of the Exchanging Investors pursuant to this Agreement shall survive the consummation of the transactions contemplated hereby.</w:t>
      </w:r>
    </w:p>
    <w:p>
      <w:pPr>
        <w:spacing w:after="0" w:line="172" w:lineRule="exact"/>
        <w:rPr>
          <w:rFonts w:ascii="Times New Roman" w:cs="Times New Roman" w:eastAsia="Times New Roman" w:hAnsi="Times New Roman"/>
          <w:sz w:val="20"/>
          <w:szCs w:val="20"/>
          <w:color w:val="auto"/>
        </w:rPr>
      </w:pPr>
    </w:p>
    <w:p>
      <w:pPr>
        <w:jc w:val="both"/>
        <w:ind w:firstLine="8"/>
        <w:spacing w:after="0" w:line="251" w:lineRule="auto"/>
        <w:tabs>
          <w:tab w:leader="none" w:pos="6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may be terminated and the transactions contemplated hereby abandoned (a) by mutual agreement of the Company and the Investor in writing or (b) by either the Company or the Investor if the conditions to such party’s obligations set forth herein have not been satisfied (unless waived by the party entitled to the benefit thereof), and the Closing has not occurred on or before March 19, 2024 without liability of either the Company or the Investor or the Exchanging Investors, as the case may be; provided that neither the Company nor the Investor shall be released from liability hereunder if the Agreement is terminated and the transactions abandoned by reason of the failure of the Company or the Investor or the Exchanging Investors, as the case may be to have performed its obligations hereunder. Except as provided above, if this Agreement is terminated and the transactions contemplated hereby are not concluded as described above, the Agreement will become void and of no further force and effect.</w:t>
      </w:r>
    </w:p>
    <w:p>
      <w:pPr>
        <w:spacing w:after="0" w:line="181" w:lineRule="exact"/>
        <w:rPr>
          <w:rFonts w:ascii="Times New Roman" w:cs="Times New Roman" w:eastAsia="Times New Roman" w:hAnsi="Times New Roman"/>
          <w:sz w:val="20"/>
          <w:szCs w:val="20"/>
          <w:color w:val="auto"/>
        </w:rPr>
      </w:pPr>
    </w:p>
    <w:p>
      <w:pPr>
        <w:jc w:val="both"/>
        <w:ind w:firstLine="8"/>
        <w:spacing w:after="0" w:line="252" w:lineRule="auto"/>
        <w:tabs>
          <w:tab w:leader="none" w:pos="6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Taxation</w:t>
      </w:r>
      <w:r>
        <w:rPr>
          <w:rFonts w:ascii="Times New Roman" w:cs="Times New Roman" w:eastAsia="Times New Roman" w:hAnsi="Times New Roman"/>
          <w:sz w:val="20"/>
          <w:szCs w:val="20"/>
          <w:color w:val="auto"/>
        </w:rPr>
        <w:t>. The Investor acknowledges that, if an Exchanging Investor is a United States person for U.S. federal income tax purposes, either (i) the Company must be provided with a correct taxpayer identification number (“TIN,” generally a person’s social security or federal employer identification number) and certain other information on a properly completed and executed Internal Revenue Service (“IRS”) Form W-9 stating that the Exchanging Investor is not subject to backup withholding and that the Exchanging Investor is a United States person, or (ii) another basis for exemption from backup withholding must be established. The Investor further acknowledges that, if an Exchanging Investor is not a United States person for U.S. federal income tax purposes, the Company must be provided with a properly completed and executed IRS Form W-8BEN, IRS Form W-8BEN-E, IRS Form W-8IMY (and all required attachments) or other applicable IRS Form W-8, attesting to that non-U.S. Exchanging Investor’s foreign status and certain other information, including information establishing an exemption from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927"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under Sections 1471 through 1474 of the Internal Revenue Code of 1986, as amended (the “Code”). The Investor further acknowledges that any Exchanging Investor may be subject to 30% U.S. federal withholding or 24% U.S. federal backup withholding on certain payments made to such Exchanging Investor unless such Exchanging Investor properly establishes an exemption from, or a reduced rate of, such withholding or backup withholding. The Company and its agents shall be entitled to deduct and withhold from any consideration payable pursuant to this Agreement such amounts as are required to be deducted or withheld under applicable law. To the extent any such amounts are withheld and remitted to the appropriate taxing authority, such amounts shall be treated for all purposes as having been paid to the Exchanging Investor to whom such amounts otherwise would have been paid.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927" w:right="339" w:bottom="1440" w:gutter="0" w:footer="0" w:header="0"/>
        </w:sectPr>
      </w:pPr>
    </w:p>
    <w:bookmarkStart w:id="94" w:name="page95"/>
    <w:bookmarkEnd w:id="94"/>
    <w:p>
      <w:pPr>
        <w:ind w:left="33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BLOOMIN’ BRANDS, INC.</w:t>
      </w:r>
    </w:p>
    <w:p>
      <w:pPr>
        <w:spacing w:after="0" w:line="28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40005</wp:posOffset>
            </wp:positionV>
            <wp:extent cx="3574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4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019"/>
          </w:cols>
          <w:pgMar w:left="1440" w:top="981" w:right="1440" w:bottom="1440" w:gutter="0" w:footer="0" w:header="0"/>
        </w:sectPr>
      </w:pPr>
    </w:p>
    <w:bookmarkStart w:id="95" w:name="page96"/>
    <w:bookmarkEnd w:id="95"/>
    <w:p>
      <w:pPr>
        <w:spacing w:after="0" w:line="283" w:lineRule="auto"/>
        <w:rPr>
          <w:sz w:val="20"/>
          <w:szCs w:val="20"/>
          <w:color w:val="auto"/>
        </w:rPr>
      </w:pPr>
      <w:r>
        <w:rPr>
          <w:rFonts w:ascii="Times New Roman" w:cs="Times New Roman" w:eastAsia="Times New Roman" w:hAnsi="Times New Roman"/>
          <w:sz w:val="20"/>
          <w:szCs w:val="20"/>
          <w:color w:val="auto"/>
        </w:rPr>
        <w:t>Please confirm that the foregoing correctly sets forth the agreement between the Company and the Investor by signing in the space provided below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AGREED AND ACCEPTED:</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6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17780</wp:posOffset>
            </wp:positionV>
            <wp:extent cx="22885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 its capacity as described in the first</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paragraph hereof</w:t>
      </w:r>
    </w:p>
    <w:p>
      <w:pPr>
        <w:spacing w:after="0" w:line="1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40005</wp:posOffset>
            </wp:positionV>
            <wp:extent cx="2031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6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w:t>
      </w:r>
    </w:p>
    <w:p>
      <w:pPr>
        <w:spacing w:after="0" w:line="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4864-6552-5927.3</w:t>
      </w:r>
    </w:p>
    <w:p>
      <w:pPr>
        <w:sectPr>
          <w:pgSz w:w="11900" w:h="16838" w:orient="portrait"/>
          <w:cols w:equalWidth="0" w:num="1">
            <w:col w:w="11240"/>
          </w:cols>
          <w:pgMar w:left="320" w:top="1413" w:right="339" w:bottom="1440" w:gutter="0" w:footer="0" w:header="0"/>
        </w:sectPr>
      </w:pPr>
    </w:p>
    <w:bookmarkStart w:id="96" w:name="page97"/>
    <w:bookmarkEnd w:id="96"/>
    <w:p>
      <w:pPr>
        <w:ind w:left="10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Exchanging Investor Information</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0" w:type="dxa"/>
            <w:vAlign w:val="bottom"/>
            <w:tcBorders>
              <w:top w:val="single" w:sz="8" w:color="auto"/>
              <w:left w:val="single" w:sz="8" w:color="auto"/>
              <w:bottom w:val="single" w:sz="8" w:color="8EAADB"/>
            </w:tcBorders>
            <w:shd w:val="clear" w:color="auto" w:fill="8EAADB"/>
          </w:tcPr>
          <w:p>
            <w:pPr>
              <w:spacing w:after="0"/>
              <w:rPr>
                <w:sz w:val="18"/>
                <w:szCs w:val="18"/>
                <w:color w:val="auto"/>
              </w:rPr>
            </w:pPr>
          </w:p>
        </w:tc>
        <w:tc>
          <w:tcPr>
            <w:tcW w:w="2240" w:type="dxa"/>
            <w:vAlign w:val="bottom"/>
            <w:tcBorders>
              <w:top w:val="single" w:sz="8" w:color="auto"/>
              <w:bottom w:val="single" w:sz="8" w:color="auto"/>
              <w:right w:val="single" w:sz="8" w:color="auto"/>
            </w:tcBorders>
            <w:gridSpan w:val="2"/>
            <w:vMerge w:val="restart"/>
            <w:shd w:val="clear" w:color="auto" w:fill="8EAADB"/>
          </w:tcPr>
          <w:p>
            <w:pPr>
              <w:spacing w:after="0"/>
              <w:rPr>
                <w:sz w:val="20"/>
                <w:szCs w:val="20"/>
                <w:color w:val="auto"/>
              </w:rPr>
            </w:pPr>
            <w:r>
              <w:rPr>
                <w:rFonts w:ascii="Times New Roman" w:cs="Times New Roman" w:eastAsia="Times New Roman" w:hAnsi="Times New Roman"/>
                <w:sz w:val="20"/>
                <w:szCs w:val="20"/>
                <w:color w:val="auto"/>
              </w:rPr>
              <w:t>Exchanging Investor</w:t>
            </w:r>
          </w:p>
        </w:tc>
        <w:tc>
          <w:tcPr>
            <w:tcW w:w="140" w:type="dxa"/>
            <w:vAlign w:val="bottom"/>
            <w:tcBorders>
              <w:top w:val="single" w:sz="8" w:color="auto"/>
              <w:bottom w:val="single" w:sz="8" w:color="8EAADB"/>
            </w:tcBorders>
            <w:shd w:val="clear" w:color="auto" w:fill="8EAADB"/>
          </w:tcPr>
          <w:p>
            <w:pPr>
              <w:spacing w:after="0"/>
              <w:rPr>
                <w:sz w:val="18"/>
                <w:szCs w:val="18"/>
                <w:color w:val="auto"/>
              </w:rPr>
            </w:pPr>
          </w:p>
        </w:tc>
        <w:tc>
          <w:tcPr>
            <w:tcW w:w="2500" w:type="dxa"/>
            <w:vAlign w:val="bottom"/>
            <w:tcBorders>
              <w:top w:val="single" w:sz="8" w:color="auto"/>
              <w:bottom w:val="single" w:sz="8" w:color="auto"/>
            </w:tcBorders>
            <w:gridSpan w:val="3"/>
            <w:shd w:val="clear" w:color="auto" w:fill="8EAADB"/>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Aggregate Principal Amount of</w:t>
            </w:r>
          </w:p>
        </w:tc>
        <w:tc>
          <w:tcPr>
            <w:tcW w:w="160" w:type="dxa"/>
            <w:vAlign w:val="bottom"/>
            <w:tcBorders>
              <w:top w:val="single" w:sz="8" w:color="auto"/>
              <w:bottom w:val="single" w:sz="8" w:color="8EAADB"/>
              <w:right w:val="single" w:sz="8" w:color="auto"/>
            </w:tcBorders>
            <w:shd w:val="clear" w:color="auto" w:fill="8EAADB"/>
          </w:tcPr>
          <w:p>
            <w:pPr>
              <w:spacing w:after="0"/>
              <w:rPr>
                <w:sz w:val="18"/>
                <w:szCs w:val="18"/>
                <w:color w:val="auto"/>
              </w:rPr>
            </w:pPr>
          </w:p>
        </w:tc>
        <w:tc>
          <w:tcPr>
            <w:tcW w:w="2820" w:type="dxa"/>
            <w:vAlign w:val="bottom"/>
            <w:tcBorders>
              <w:top w:val="single" w:sz="8" w:color="auto"/>
              <w:bottom w:val="single" w:sz="8" w:color="auto"/>
              <w:right w:val="single" w:sz="8" w:color="auto"/>
            </w:tcBorders>
            <w:gridSpan w:val="3"/>
            <w:vMerge w:val="restart"/>
            <w:shd w:val="clear" w:color="auto" w:fill="8EAADB"/>
          </w:tcPr>
          <w:p>
            <w:pPr>
              <w:ind w:left="620"/>
              <w:spacing w:after="0"/>
              <w:rPr>
                <w:sz w:val="20"/>
                <w:szCs w:val="20"/>
                <w:color w:val="auto"/>
              </w:rPr>
            </w:pPr>
            <w:r>
              <w:rPr>
                <w:rFonts w:ascii="Times New Roman" w:cs="Times New Roman" w:eastAsia="Times New Roman" w:hAnsi="Times New Roman"/>
                <w:sz w:val="20"/>
                <w:szCs w:val="20"/>
                <w:color w:val="auto"/>
              </w:rPr>
              <w:t>Cash Consideration</w:t>
            </w:r>
          </w:p>
        </w:tc>
        <w:tc>
          <w:tcPr>
            <w:tcW w:w="2800" w:type="dxa"/>
            <w:vAlign w:val="bottom"/>
            <w:tcBorders>
              <w:top w:val="single" w:sz="8" w:color="auto"/>
              <w:bottom w:val="single" w:sz="8" w:color="auto"/>
              <w:right w:val="single" w:sz="8" w:color="auto"/>
            </w:tcBorders>
            <w:gridSpan w:val="3"/>
            <w:vMerge w:val="restart"/>
            <w:shd w:val="clear" w:color="auto" w:fill="8EAADB"/>
          </w:tcPr>
          <w:p>
            <w:pPr>
              <w:ind w:left="1120"/>
              <w:spacing w:after="0"/>
              <w:rPr>
                <w:sz w:val="20"/>
                <w:szCs w:val="20"/>
                <w:color w:val="auto"/>
              </w:rPr>
            </w:pPr>
            <w:r>
              <w:rPr>
                <w:rFonts w:ascii="Times New Roman" w:cs="Times New Roman" w:eastAsia="Times New Roman" w:hAnsi="Times New Roman"/>
                <w:sz w:val="20"/>
                <w:szCs w:val="20"/>
                <w:color w:val="auto"/>
              </w:rPr>
              <w:t>Shares</w:t>
            </w:r>
          </w:p>
        </w:tc>
        <w:tc>
          <w:tcPr>
            <w:tcW w:w="0" w:type="dxa"/>
            <w:vAlign w:val="bottom"/>
          </w:tcPr>
          <w:p>
            <w:pPr>
              <w:spacing w:after="0"/>
              <w:rPr>
                <w:sz w:val="1"/>
                <w:szCs w:val="1"/>
                <w:color w:val="auto"/>
              </w:rPr>
            </w:pPr>
          </w:p>
        </w:tc>
      </w:tr>
      <w:tr>
        <w:trPr>
          <w:trHeight w:val="75"/>
        </w:trPr>
        <w:tc>
          <w:tcPr>
            <w:tcW w:w="600" w:type="dxa"/>
            <w:vAlign w:val="bottom"/>
            <w:tcBorders>
              <w:left w:val="single" w:sz="8" w:color="auto"/>
            </w:tcBorders>
            <w:shd w:val="clear" w:color="auto" w:fill="8EAADB"/>
          </w:tcPr>
          <w:p>
            <w:pPr>
              <w:spacing w:after="0"/>
              <w:rPr>
                <w:sz w:val="6"/>
                <w:szCs w:val="6"/>
                <w:color w:val="auto"/>
              </w:rPr>
            </w:pPr>
          </w:p>
        </w:tc>
        <w:tc>
          <w:tcPr>
            <w:tcW w:w="2240" w:type="dxa"/>
            <w:vAlign w:val="bottom"/>
            <w:tcBorders>
              <w:right w:val="single" w:sz="8" w:color="auto"/>
            </w:tcBorders>
            <w:gridSpan w:val="2"/>
            <w:vMerge w:val="continue"/>
            <w:shd w:val="clear" w:color="auto" w:fill="8EAADB"/>
          </w:tcPr>
          <w:p>
            <w:pPr>
              <w:spacing w:after="0"/>
              <w:rPr>
                <w:sz w:val="6"/>
                <w:szCs w:val="6"/>
                <w:color w:val="auto"/>
              </w:rPr>
            </w:pPr>
          </w:p>
        </w:tc>
        <w:tc>
          <w:tcPr>
            <w:tcW w:w="140" w:type="dxa"/>
            <w:vAlign w:val="bottom"/>
            <w:shd w:val="clear" w:color="auto" w:fill="8EAADB"/>
          </w:tcPr>
          <w:p>
            <w:pPr>
              <w:spacing w:after="0"/>
              <w:rPr>
                <w:sz w:val="6"/>
                <w:szCs w:val="6"/>
                <w:color w:val="auto"/>
              </w:rPr>
            </w:pPr>
          </w:p>
        </w:tc>
        <w:tc>
          <w:tcPr>
            <w:tcW w:w="560" w:type="dxa"/>
            <w:vAlign w:val="bottom"/>
            <w:shd w:val="clear" w:color="auto" w:fill="8EAADB"/>
          </w:tcPr>
          <w:p>
            <w:pPr>
              <w:spacing w:after="0"/>
              <w:rPr>
                <w:sz w:val="6"/>
                <w:szCs w:val="6"/>
                <w:color w:val="auto"/>
              </w:rPr>
            </w:pPr>
          </w:p>
        </w:tc>
        <w:tc>
          <w:tcPr>
            <w:tcW w:w="2100" w:type="dxa"/>
            <w:vAlign w:val="bottom"/>
            <w:tcBorders>
              <w:right w:val="single" w:sz="8" w:color="auto"/>
            </w:tcBorders>
            <w:gridSpan w:val="3"/>
            <w:vMerge w:val="restart"/>
            <w:shd w:val="clear" w:color="auto" w:fill="8EAADB"/>
          </w:tcPr>
          <w:p>
            <w:pPr>
              <w:jc w:val="center"/>
              <w:ind w:right="720"/>
              <w:spacing w:after="0" w:line="169" w:lineRule="exact"/>
              <w:rPr>
                <w:sz w:val="20"/>
                <w:szCs w:val="20"/>
                <w:color w:val="auto"/>
              </w:rPr>
            </w:pPr>
            <w:r>
              <w:rPr>
                <w:rFonts w:ascii="Times New Roman" w:cs="Times New Roman" w:eastAsia="Times New Roman" w:hAnsi="Times New Roman"/>
                <w:sz w:val="19"/>
                <w:szCs w:val="19"/>
                <w:color w:val="auto"/>
              </w:rPr>
              <w:t>Exchanged Notes</w:t>
            </w:r>
          </w:p>
        </w:tc>
        <w:tc>
          <w:tcPr>
            <w:tcW w:w="2820" w:type="dxa"/>
            <w:vAlign w:val="bottom"/>
            <w:tcBorders>
              <w:right w:val="single" w:sz="8" w:color="auto"/>
            </w:tcBorders>
            <w:gridSpan w:val="3"/>
            <w:vMerge w:val="continue"/>
            <w:shd w:val="clear" w:color="auto" w:fill="8EAADB"/>
          </w:tcPr>
          <w:p>
            <w:pPr>
              <w:spacing w:after="0"/>
              <w:rPr>
                <w:sz w:val="6"/>
                <w:szCs w:val="6"/>
                <w:color w:val="auto"/>
              </w:rPr>
            </w:pPr>
          </w:p>
        </w:tc>
        <w:tc>
          <w:tcPr>
            <w:tcW w:w="2800" w:type="dxa"/>
            <w:vAlign w:val="bottom"/>
            <w:tcBorders>
              <w:right w:val="single" w:sz="8" w:color="auto"/>
            </w:tcBorders>
            <w:gridSpan w:val="3"/>
            <w:vMerge w:val="continue"/>
            <w:shd w:val="clear" w:color="auto" w:fill="8EAADB"/>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600" w:type="dxa"/>
            <w:vAlign w:val="bottom"/>
            <w:tcBorders>
              <w:top w:val="single" w:sz="8" w:color="8EAADB"/>
              <w:left w:val="single" w:sz="8" w:color="auto"/>
              <w:bottom w:val="single" w:sz="8" w:color="auto"/>
            </w:tcBorders>
            <w:shd w:val="clear" w:color="auto" w:fill="8EAADB"/>
          </w:tcPr>
          <w:p>
            <w:pPr>
              <w:spacing w:after="0"/>
              <w:rPr>
                <w:sz w:val="11"/>
                <w:szCs w:val="11"/>
                <w:color w:val="auto"/>
              </w:rPr>
            </w:pPr>
          </w:p>
        </w:tc>
        <w:tc>
          <w:tcPr>
            <w:tcW w:w="1640" w:type="dxa"/>
            <w:vAlign w:val="bottom"/>
            <w:tcBorders>
              <w:top w:val="single" w:sz="8" w:color="auto"/>
              <w:bottom w:val="single" w:sz="8" w:color="auto"/>
            </w:tcBorders>
            <w:shd w:val="clear" w:color="auto" w:fill="8EAADB"/>
          </w:tcPr>
          <w:p>
            <w:pPr>
              <w:spacing w:after="0"/>
              <w:rPr>
                <w:sz w:val="11"/>
                <w:szCs w:val="11"/>
                <w:color w:val="auto"/>
              </w:rPr>
            </w:pPr>
          </w:p>
        </w:tc>
        <w:tc>
          <w:tcPr>
            <w:tcW w:w="600" w:type="dxa"/>
            <w:vAlign w:val="bottom"/>
            <w:tcBorders>
              <w:top w:val="single" w:sz="8" w:color="8EAADB"/>
              <w:bottom w:val="single" w:sz="8" w:color="auto"/>
              <w:right w:val="single" w:sz="8" w:color="auto"/>
            </w:tcBorders>
            <w:shd w:val="clear" w:color="auto" w:fill="8EAADB"/>
          </w:tcPr>
          <w:p>
            <w:pPr>
              <w:spacing w:after="0"/>
              <w:rPr>
                <w:sz w:val="11"/>
                <w:szCs w:val="11"/>
                <w:color w:val="auto"/>
              </w:rPr>
            </w:pPr>
          </w:p>
        </w:tc>
        <w:tc>
          <w:tcPr>
            <w:tcW w:w="140" w:type="dxa"/>
            <w:vAlign w:val="bottom"/>
            <w:tcBorders>
              <w:top w:val="single" w:sz="8" w:color="8EAADB"/>
              <w:bottom w:val="single" w:sz="8" w:color="auto"/>
            </w:tcBorders>
            <w:shd w:val="clear" w:color="auto" w:fill="8EAADB"/>
          </w:tcPr>
          <w:p>
            <w:pPr>
              <w:spacing w:after="0"/>
              <w:rPr>
                <w:sz w:val="11"/>
                <w:szCs w:val="11"/>
                <w:color w:val="auto"/>
              </w:rPr>
            </w:pPr>
          </w:p>
        </w:tc>
        <w:tc>
          <w:tcPr>
            <w:tcW w:w="560" w:type="dxa"/>
            <w:vAlign w:val="bottom"/>
            <w:tcBorders>
              <w:top w:val="single" w:sz="8" w:color="8EAADB"/>
              <w:bottom w:val="single" w:sz="8" w:color="auto"/>
            </w:tcBorders>
            <w:shd w:val="clear" w:color="auto" w:fill="8EAADB"/>
          </w:tcPr>
          <w:p>
            <w:pPr>
              <w:spacing w:after="0"/>
              <w:rPr>
                <w:sz w:val="11"/>
                <w:szCs w:val="11"/>
                <w:color w:val="auto"/>
              </w:rPr>
            </w:pPr>
          </w:p>
        </w:tc>
        <w:tc>
          <w:tcPr>
            <w:tcW w:w="2100" w:type="dxa"/>
            <w:vAlign w:val="bottom"/>
            <w:tcBorders>
              <w:top w:val="single" w:sz="8" w:color="8EAADB"/>
              <w:bottom w:val="single" w:sz="8" w:color="auto"/>
              <w:right w:val="single" w:sz="8" w:color="auto"/>
            </w:tcBorders>
            <w:gridSpan w:val="3"/>
            <w:vMerge w:val="continue"/>
            <w:shd w:val="clear" w:color="auto" w:fill="8EAADB"/>
          </w:tcPr>
          <w:p>
            <w:pPr>
              <w:spacing w:after="0"/>
              <w:rPr>
                <w:sz w:val="11"/>
                <w:szCs w:val="11"/>
                <w:color w:val="auto"/>
              </w:rPr>
            </w:pPr>
          </w:p>
        </w:tc>
        <w:tc>
          <w:tcPr>
            <w:tcW w:w="620" w:type="dxa"/>
            <w:vAlign w:val="bottom"/>
            <w:tcBorders>
              <w:top w:val="single" w:sz="8" w:color="8EAADB"/>
              <w:bottom w:val="single" w:sz="8" w:color="auto"/>
            </w:tcBorders>
            <w:shd w:val="clear" w:color="auto" w:fill="8EAADB"/>
          </w:tcPr>
          <w:p>
            <w:pPr>
              <w:spacing w:after="0"/>
              <w:rPr>
                <w:sz w:val="11"/>
                <w:szCs w:val="11"/>
                <w:color w:val="auto"/>
              </w:rPr>
            </w:pPr>
          </w:p>
        </w:tc>
        <w:tc>
          <w:tcPr>
            <w:tcW w:w="1560" w:type="dxa"/>
            <w:vAlign w:val="bottom"/>
            <w:tcBorders>
              <w:top w:val="single" w:sz="8" w:color="auto"/>
              <w:bottom w:val="single" w:sz="8" w:color="auto"/>
            </w:tcBorders>
            <w:shd w:val="clear" w:color="auto" w:fill="8EAADB"/>
          </w:tcPr>
          <w:p>
            <w:pPr>
              <w:spacing w:after="0"/>
              <w:rPr>
                <w:sz w:val="11"/>
                <w:szCs w:val="11"/>
                <w:color w:val="auto"/>
              </w:rPr>
            </w:pPr>
          </w:p>
        </w:tc>
        <w:tc>
          <w:tcPr>
            <w:tcW w:w="640" w:type="dxa"/>
            <w:vAlign w:val="bottom"/>
            <w:tcBorders>
              <w:top w:val="single" w:sz="8" w:color="8EAADB"/>
              <w:bottom w:val="single" w:sz="8" w:color="auto"/>
              <w:right w:val="single" w:sz="8" w:color="auto"/>
            </w:tcBorders>
            <w:shd w:val="clear" w:color="auto" w:fill="8EAADB"/>
          </w:tcPr>
          <w:p>
            <w:pPr>
              <w:spacing w:after="0"/>
              <w:rPr>
                <w:sz w:val="11"/>
                <w:szCs w:val="11"/>
                <w:color w:val="auto"/>
              </w:rPr>
            </w:pPr>
          </w:p>
        </w:tc>
        <w:tc>
          <w:tcPr>
            <w:tcW w:w="1120" w:type="dxa"/>
            <w:vAlign w:val="bottom"/>
            <w:tcBorders>
              <w:top w:val="single" w:sz="8" w:color="8EAADB"/>
              <w:bottom w:val="single" w:sz="8" w:color="auto"/>
            </w:tcBorders>
            <w:shd w:val="clear" w:color="auto" w:fill="8EAADB"/>
          </w:tcPr>
          <w:p>
            <w:pPr>
              <w:spacing w:after="0"/>
              <w:rPr>
                <w:sz w:val="11"/>
                <w:szCs w:val="11"/>
                <w:color w:val="auto"/>
              </w:rPr>
            </w:pPr>
          </w:p>
        </w:tc>
        <w:tc>
          <w:tcPr>
            <w:tcW w:w="520" w:type="dxa"/>
            <w:vAlign w:val="bottom"/>
            <w:tcBorders>
              <w:top w:val="single" w:sz="8" w:color="auto"/>
              <w:bottom w:val="single" w:sz="8" w:color="auto"/>
            </w:tcBorders>
            <w:shd w:val="clear" w:color="auto" w:fill="8EAADB"/>
          </w:tcPr>
          <w:p>
            <w:pPr>
              <w:spacing w:after="0"/>
              <w:rPr>
                <w:sz w:val="11"/>
                <w:szCs w:val="11"/>
                <w:color w:val="auto"/>
              </w:rPr>
            </w:pPr>
          </w:p>
        </w:tc>
        <w:tc>
          <w:tcPr>
            <w:tcW w:w="1160" w:type="dxa"/>
            <w:vAlign w:val="bottom"/>
            <w:tcBorders>
              <w:top w:val="single" w:sz="8" w:color="8EAADB"/>
              <w:bottom w:val="single" w:sz="8" w:color="auto"/>
              <w:right w:val="single" w:sz="8" w:color="auto"/>
            </w:tcBorders>
            <w:shd w:val="clear" w:color="auto" w:fill="8EAADB"/>
          </w:tcPr>
          <w:p>
            <w:pPr>
              <w:spacing w:after="0"/>
              <w:rPr>
                <w:sz w:val="11"/>
                <w:szCs w:val="11"/>
                <w:color w:val="auto"/>
              </w:rPr>
            </w:pPr>
          </w:p>
        </w:tc>
        <w:tc>
          <w:tcPr>
            <w:tcW w:w="0" w:type="dxa"/>
            <w:vAlign w:val="bottom"/>
          </w:tcPr>
          <w:p>
            <w:pPr>
              <w:spacing w:after="0"/>
              <w:rPr>
                <w:sz w:val="1"/>
                <w:szCs w:val="1"/>
                <w:color w:val="auto"/>
              </w:rPr>
            </w:pPr>
          </w:p>
        </w:tc>
      </w:tr>
      <w:tr>
        <w:trPr>
          <w:trHeight w:val="1114"/>
        </w:trPr>
        <w:tc>
          <w:tcPr>
            <w:tcW w:w="60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2"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Exchanging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37890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789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37890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3789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37890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22860</wp:posOffset>
            </wp:positionV>
            <wp:extent cx="29317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38061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38061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Account for Shares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40005</wp:posOffset>
            </wp:positionV>
            <wp:extent cx="28886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40005</wp:posOffset>
            </wp:positionV>
            <wp:extent cx="31203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40005</wp:posOffset>
            </wp:positionV>
            <wp:extent cx="25114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40005</wp:posOffset>
            </wp:positionV>
            <wp:extent cx="3566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40005</wp:posOffset>
            </wp:positionV>
            <wp:extent cx="25114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3643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177165</wp:posOffset>
            </wp:positionV>
            <wp:extent cx="2914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Account for Notes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40005</wp:posOffset>
            </wp:positionV>
            <wp:extent cx="2888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40005</wp:posOffset>
            </wp:positionV>
            <wp:extent cx="31203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40005</wp:posOffset>
            </wp:positionV>
            <wp:extent cx="25114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40005</wp:posOffset>
            </wp:positionV>
            <wp:extent cx="356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DTC Participant Contact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40005</wp:posOffset>
            </wp:positionV>
            <wp:extent cx="25114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3643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177165</wp:posOffset>
            </wp:positionV>
            <wp:extent cx="29146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Wire instructions for Cash Consideration</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40005</wp:posOffset>
            </wp:positionV>
            <wp:extent cx="38747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40005</wp:posOffset>
            </wp:positionV>
            <wp:extent cx="3711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ABA Routing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40005</wp:posOffset>
            </wp:positionV>
            <wp:extent cx="3608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40005</wp:posOffset>
            </wp:positionV>
            <wp:extent cx="3600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40005</wp:posOffset>
            </wp:positionV>
            <wp:extent cx="3505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40005</wp:posOffset>
            </wp:positionV>
            <wp:extent cx="3300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177165</wp:posOffset>
            </wp:positionV>
            <wp:extent cx="3686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184150</wp:posOffset>
            </wp:positionV>
            <wp:extent cx="3703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0119"/>
          </w:cols>
          <w:pgMar w:left="340" w:top="171" w:right="1440"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20"/>
          <w:szCs w:val="20"/>
          <w:color w:val="auto"/>
        </w:rPr>
        <w:t>Exchanging 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37890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37890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37890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22860</wp:posOffset>
            </wp:positionV>
            <wp:extent cx="2922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37973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3797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4864-6552-5927.3</w:t>
      </w:r>
    </w:p>
    <w:p>
      <w:pPr>
        <w:sectPr>
          <w:pgSz w:w="11900" w:h="16838" w:orient="portrait"/>
          <w:cols w:equalWidth="0" w:num="1">
            <w:col w:w="10139"/>
          </w:cols>
          <w:pgMar w:left="320" w:top="1386" w:right="1440" w:bottom="1440" w:gutter="0" w:footer="0" w:header="0"/>
        </w:sectPr>
      </w:pPr>
    </w:p>
    <w:bookmarkStart w:id="100" w:name="page101"/>
    <w:bookmarkEnd w:id="100"/>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Exchange Procedures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TO INVESTOR</w:t>
      </w:r>
    </w:p>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are the Investor Exchange Procedures for the settlement of the exchange of 5.00% Convertible Senior Notes due 2025, CUSIP 094235 AB4 (the “</w:t>
      </w:r>
      <w:r>
        <w:rPr>
          <w:rFonts w:ascii="Times New Roman" w:cs="Times New Roman" w:eastAsia="Times New Roman" w:hAnsi="Times New Roman"/>
          <w:sz w:val="20"/>
          <w:szCs w:val="20"/>
          <w:b w:val="1"/>
          <w:bCs w:val="1"/>
          <w:color w:val="auto"/>
        </w:rPr>
        <w:t>Exchanged Notes</w:t>
      </w:r>
      <w:r>
        <w:rPr>
          <w:rFonts w:ascii="Times New Roman" w:cs="Times New Roman" w:eastAsia="Times New Roman" w:hAnsi="Times New Roman"/>
          <w:sz w:val="20"/>
          <w:szCs w:val="20"/>
          <w:color w:val="auto"/>
        </w:rPr>
        <w:t>”) of Bloomin’ Brands,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 the Cash Consideration and the Shares (as defined in and pursuant to the Agreement between you and the Company), which is expected to occur on or about March 5, 2024. To ensure timely settlement for the Shares, please follow the instructions as set forth on the following page.</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These instructions supersede any prior instructions you received. Your failure to comply with these instructions may delay your receipt of the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please contact __________ of J. Wood Capital Advisors LLC at 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To deliver Exchanged Notes:</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You must post, </w:t>
      </w:r>
      <w:r>
        <w:rPr>
          <w:rFonts w:ascii="Times New Roman" w:cs="Times New Roman" w:eastAsia="Times New Roman" w:hAnsi="Times New Roman"/>
          <w:sz w:val="20"/>
          <w:szCs w:val="20"/>
          <w:b w:val="1"/>
          <w:bCs w:val="1"/>
          <w:color w:val="auto"/>
        </w:rPr>
        <w:t>no later than 9:00 a.m., New York City time</w:t>
      </w:r>
      <w:r>
        <w:rPr>
          <w:rFonts w:ascii="Times New Roman" w:cs="Times New Roman" w:eastAsia="Times New Roman" w:hAnsi="Times New Roman"/>
          <w:sz w:val="20"/>
          <w:szCs w:val="20"/>
          <w:color w:val="auto"/>
        </w:rPr>
        <w:t xml:space="preserve">, a withdrawal request for the Exchange Notes through the DTC via DWAC. </w:t>
      </w:r>
      <w:r>
        <w:rPr>
          <w:rFonts w:ascii="Times New Roman" w:cs="Times New Roman" w:eastAsia="Times New Roman" w:hAnsi="Times New Roman"/>
          <w:sz w:val="20"/>
          <w:szCs w:val="20"/>
          <w:b w:val="1"/>
          <w:bCs w:val="1"/>
          <w:color w:val="auto"/>
        </w:rPr>
        <w:t>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is important that this instruction be submitted and the DWAC posted on March 5, 2024</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To receive Exchange Consideration:</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To Receive Shares</w:t>
      </w:r>
      <w:r>
        <w:rPr>
          <w:rFonts w:ascii="Times New Roman" w:cs="Times New Roman" w:eastAsia="Times New Roman" w:hAnsi="Times New Roman"/>
          <w:sz w:val="20"/>
          <w:szCs w:val="20"/>
          <w:color w:val="auto"/>
        </w:rPr>
        <w:t>: You must direct your eligible DTC participant through which you wish to hold a beneficial interest in the Shares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issued upon exchange to post </w:t>
      </w:r>
      <w:r>
        <w:rPr>
          <w:rFonts w:ascii="Times New Roman" w:cs="Times New Roman" w:eastAsia="Times New Roman" w:hAnsi="Times New Roman"/>
          <w:sz w:val="20"/>
          <w:szCs w:val="20"/>
          <w:b w:val="1"/>
          <w:bCs w:val="1"/>
          <w:color w:val="auto"/>
        </w:rPr>
        <w:t>on March 5, 2024 no later than 9:00 a.m., New York City time</w:t>
      </w:r>
      <w:r>
        <w:rPr>
          <w:rFonts w:ascii="Times New Roman" w:cs="Times New Roman" w:eastAsia="Times New Roman" w:hAnsi="Times New Roman"/>
          <w:sz w:val="20"/>
          <w:szCs w:val="20"/>
          <w:color w:val="auto"/>
        </w:rPr>
        <w:t xml:space="preserve">, a one-sided deposit instruction through DTC via DWAC for the Shares deliverable in respect of the Exchanged Notes. </w:t>
      </w:r>
      <w:r>
        <w:rPr>
          <w:rFonts w:ascii="Times New Roman" w:cs="Times New Roman" w:eastAsia="Times New Roman" w:hAnsi="Times New Roman"/>
          <w:sz w:val="20"/>
          <w:szCs w:val="20"/>
          <w:b w:val="1"/>
          <w:bCs w:val="1"/>
          <w:color w:val="auto"/>
        </w:rPr>
        <w:t>It is important that this instruction be submitted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DWAC posted on March 5, 2024</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DTC Participant number of Computershare Trust Company, N.A., the Transfer Agent and Registrar for the Common Stock, is: 50150</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To Receive Cash Consideration: </w:t>
      </w:r>
      <w:r>
        <w:rPr>
          <w:rFonts w:ascii="Times New Roman" w:cs="Times New Roman" w:eastAsia="Times New Roman" w:hAnsi="Times New Roman"/>
          <w:sz w:val="20"/>
          <w:szCs w:val="20"/>
          <w:color w:val="auto"/>
        </w:rPr>
        <w:t>You must provide valid wire instructions to the Company. You will then receive the Cash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the Company on the Closing Date.</w:t>
      </w:r>
    </w:p>
    <w:p>
      <w:pPr>
        <w:spacing w:after="0" w:line="1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must comply with both procedures described above in order to complete the Exchange and to receive the Cash Consideration and the Shares in respect of the Exchanged Notes.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March 5, 2024, after the Company receives your delivery instructions as set forth above and a withdrawal request in respect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Exchanged Notes has been posted as specified above, and subject to the satisfaction of the conditions to Closing as set forth in your Agreement, the Company will deliver the Exchange Consideration in respect of the Exchanged Notes in accordance with the delivery instructions above.</w:t>
      </w:r>
    </w:p>
    <w:p>
      <w:pPr>
        <w:sectPr>
          <w:pgSz w:w="11900" w:h="16838" w:orient="portrait"/>
          <w:cols w:equalWidth="0" w:num="1">
            <w:col w:w="11240"/>
          </w:cols>
          <w:pgMar w:left="320" w:top="144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548640" cy="874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486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Healy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Email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Michael,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by Bloomin’ Brands, Inc. (the “Company”) to serve as EVP, Chief Financial Officer reporting to David Deno, Chief Executive Officer. Your effective date of appointment will be April 1, 2024. The terms of your employment will be:</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your annual base salary will be $550,000 payable in equal bi-weekly installments.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will remain eligible to participate in the Company’s annual bonus program, and your target bonus shall remain 85% of your base salary based on both Company performance against objectives as set forth in the Company bonus program and your individual performance. You must remain employed by the Employer through the payout date to receive the payout. For 2024 (paid in 2025), your annual bonus will be prorated based on changes to your base salary during the 2024 plan year.</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an annual bonus, you remain eligible for an annual long-term incentive (“LTI”) grant. You shall be eligible for a target LTI grant with a value of $750,000, which will be subject to Company and individual performance. The annual LTI grant, in the form of performance restricted stock units and restricted stock units, will be made during the Company’s standard annual award cycle in February of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Benefits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will remain eligible to participate in the following benefits as applicable and in accordance with the terms of Company policy and subject to plan documents if any:</w:t>
      </w:r>
    </w:p>
    <w:p>
      <w:pPr>
        <w:spacing w:after="0" w:line="1" w:lineRule="exact"/>
        <w:rPr>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 Support Center (RSC) Paid Time Off (PTO)</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ectPr>
          <w:pgSz w:w="11900" w:h="16838" w:orient="portrait"/>
          <w:cols w:equalWidth="0" w:num="1">
            <w:col w:w="11240"/>
          </w:cols>
          <w:pgMar w:left="320" w:top="117" w:right="339" w:bottom="1440" w:gutter="0" w:footer="0" w:header="0"/>
        </w:sectPr>
      </w:pPr>
    </w:p>
    <w:bookmarkStart w:id="102" w:name="page103"/>
    <w:bookmarkEnd w:id="102"/>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Non-Competition</w:t>
      </w:r>
    </w:p>
    <w:p>
      <w:pPr>
        <w:spacing w:after="0" w:line="24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38"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energy,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written consent of the Employer, which consent shall not be unreasonably withheld.</w:t>
      </w:r>
    </w:p>
    <w:p>
      <w:pPr>
        <w:spacing w:after="0" w:line="222"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Termination.</w:t>
      </w:r>
      <w:r>
        <w:rPr>
          <w:rFonts w:ascii="Times New Roman" w:cs="Times New Roman" w:eastAsia="Times New Roman" w:hAnsi="Times New Roman"/>
          <w:sz w:val="20"/>
          <w:szCs w:val="20"/>
          <w:color w:val="auto"/>
        </w:rPr>
        <w:t xml:space="preserve"> Commencing on the termination of your employment with the Employer, and for one year (1) thereafter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if the duties you will perform will be substantially similar to those performed for the Company or the Employer.</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 where Employee’s involvement was direct or indirect or where the Employee otherwise had knowledge of the proposed restaurant.</w:t>
      </w:r>
    </w:p>
    <w:p>
      <w:pPr>
        <w:spacing w:after="0" w:line="220" w:lineRule="exact"/>
        <w:rPr>
          <w:sz w:val="20"/>
          <w:szCs w:val="20"/>
          <w:color w:val="auto"/>
        </w:rPr>
      </w:pPr>
    </w:p>
    <w:p>
      <w:pPr>
        <w:jc w:val="both"/>
        <w:ind w:firstLine="656"/>
        <w:spacing w:after="0" w:line="261" w:lineRule="auto"/>
        <w:tabs>
          <w:tab w:leader="none" w:pos="102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23"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Non-Disclosure; Non-Solicitation; Non-Piracy</w:t>
      </w:r>
    </w:p>
    <w:p>
      <w:pPr>
        <w:spacing w:after="0" w:line="16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regulation or valid subpoena, or (ii) to the extent that such information or material becomes publicly known or available through no fault of your own.</w:t>
      </w:r>
    </w:p>
    <w:p>
      <w:pPr>
        <w:spacing w:after="0" w:line="119" w:lineRule="exact"/>
        <w:rPr>
          <w:sz w:val="20"/>
          <w:szCs w:val="20"/>
          <w:color w:val="auto"/>
        </w:rPr>
      </w:pPr>
    </w:p>
    <w:p>
      <w:pPr>
        <w:jc w:val="both"/>
        <w:ind w:firstLine="656"/>
        <w:spacing w:after="0" w:line="251" w:lineRule="auto"/>
        <w:tabs>
          <w:tab w:leader="none" w:pos="114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204" w:lineRule="exact"/>
        <w:rPr>
          <w:rFonts w:ascii="Times New Roman" w:cs="Times New Roman" w:eastAsia="Times New Roman" w:hAnsi="Times New Roman"/>
          <w:sz w:val="20"/>
          <w:szCs w:val="20"/>
          <w:color w:val="auto"/>
        </w:rPr>
      </w:pPr>
    </w:p>
    <w:p>
      <w:pPr>
        <w:jc w:val="both"/>
        <w:ind w:firstLine="8"/>
        <w:spacing w:after="0" w:line="254" w:lineRule="auto"/>
        <w:tabs>
          <w:tab w:leader="none" w:pos="41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 including but not limited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9" w:lineRule="exact"/>
        <w:rPr>
          <w:rFonts w:ascii="Times New Roman" w:cs="Times New Roman" w:eastAsia="Times New Roman" w:hAnsi="Times New Roman"/>
          <w:sz w:val="20"/>
          <w:szCs w:val="20"/>
          <w:color w:val="auto"/>
        </w:rPr>
      </w:pPr>
    </w:p>
    <w:p>
      <w:pPr>
        <w:jc w:val="both"/>
        <w:ind w:firstLine="8"/>
        <w:spacing w:after="0" w:line="264" w:lineRule="auto"/>
        <w:tabs>
          <w:tab w:leader="none" w:pos="44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Inventions, Ideas, Processes, and Designs.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inventions, ideas, recipes, processes, programs, software and designs (including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169" w:lineRule="exact"/>
        <w:rPr>
          <w:sz w:val="20"/>
          <w:szCs w:val="20"/>
          <w:color w:val="auto"/>
        </w:rPr>
      </w:pPr>
    </w:p>
    <w:p>
      <w:pPr>
        <w:jc w:val="both"/>
        <w:ind w:firstLine="8"/>
        <w:spacing w:after="0" w:line="252" w:lineRule="auto"/>
        <w:tabs>
          <w:tab w:leader="none" w:pos="4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Defense of Trade Secrets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this Agreement, or otherwise, Employee understands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the Company has 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OR YOUR EMPLOYMENT WITH EMPLOYER WILL INVOLVE COMPLICATED AND DIFFICULT FACTUAL AND LEGAL ISSUES.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PARTIES HEREBY IRREVOCABLY WAIVE ANY RIGHT TO TRIAL BY JURY IN ANY PROCEEDING ARISING OUT OF OR RELATING TO YOUR EMPLOYMENT WITH EMPLOYER,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YOUR EMPLOYMENT WITH EMPLOYER, THIS AGREEMENT OR ANY OF THE CONTEMPLATED TRANSACTIONS SHALL INSTEAD BE TRIED IN A COURT OF COMPETENT JURISDICTION BY A JUDGE SITTING WITHOUT A JURY.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188"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 Congratulations!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David Deno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 Michael Healy</w:t>
            </w:r>
          </w:p>
        </w:tc>
        <w:tc>
          <w:tcPr>
            <w:tcW w:w="41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4/3/24</w:t>
            </w:r>
          </w:p>
        </w:tc>
      </w:tr>
      <w:tr>
        <w:trPr>
          <w:trHeight w:val="256"/>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Michael Healy</w:t>
            </w:r>
          </w:p>
        </w:tc>
        <w:tc>
          <w:tcPr>
            <w:tcW w:w="1040" w:type="dxa"/>
            <w:vAlign w:val="bottom"/>
          </w:tcPr>
          <w:p>
            <w:pPr>
              <w:spacing w:after="0"/>
              <w:rPr>
                <w:sz w:val="22"/>
                <w:szCs w:val="22"/>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858"/>
        </w:trPr>
        <w:tc>
          <w:tcPr>
            <w:tcW w:w="514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31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May 8, 2024</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David J. Deno</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Chief Executive Officer</w:t>
      </w:r>
    </w:p>
    <w:p>
      <w:pPr>
        <w:ind w:left="50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5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 Michael Healy, certify that:</w:t>
      </w:r>
    </w:p>
    <w:p>
      <w:pPr>
        <w:spacing w:after="0" w:line="243" w:lineRule="exact"/>
        <w:rPr>
          <w:sz w:val="20"/>
          <w:szCs w:val="20"/>
          <w:color w:val="auto"/>
        </w:rPr>
      </w:pPr>
    </w:p>
    <w:p>
      <w:pPr>
        <w:ind w:left="580" w:hanging="572"/>
        <w:spacing w:after="0"/>
        <w:tabs>
          <w:tab w:leader="none" w:pos="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May 8, 2024</w:t>
      </w:r>
      <w:r>
        <w:rPr>
          <w:sz w:val="20"/>
          <w:szCs w:val="20"/>
          <w:color w:val="auto"/>
        </w:rPr>
        <w:tab/>
      </w:r>
      <w:r>
        <w:rPr>
          <w:rFonts w:ascii="Times New Roman" w:cs="Times New Roman" w:eastAsia="Times New Roman" w:hAnsi="Times New Roman"/>
          <w:sz w:val="19"/>
          <w:szCs w:val="19"/>
          <w:color w:val="auto"/>
        </w:rPr>
        <w:t>/s/ W. Michael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W. Michael Healy</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35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March 31, 2024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May 8, 2024</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David J. Deno</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Chief Executive Officer</w:t>
      </w: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5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March 31, 2024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May 8, 2024</w:t>
      </w:r>
      <w:r>
        <w:rPr>
          <w:sz w:val="20"/>
          <w:szCs w:val="20"/>
          <w:color w:val="auto"/>
        </w:rPr>
        <w:tab/>
      </w:r>
      <w:r>
        <w:rPr>
          <w:rFonts w:ascii="Times New Roman" w:cs="Times New Roman" w:eastAsia="Times New Roman" w:hAnsi="Times New Roman"/>
          <w:sz w:val="19"/>
          <w:szCs w:val="19"/>
          <w:color w:val="auto"/>
        </w:rPr>
        <w:t>/s/ W. Michael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 Michael Healy</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492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decimal"/>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decimal"/>
      <w:start w:val="7"/>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lowerRoman"/>
      <w:start w:val="1"/>
    </w:lvl>
  </w:abstractNum>
  <w:abstractNum w:abstractNumId="18">
    <w:nsid w:val="2F305DEF"/>
    <w:multiLevelType w:val="hybridMultilevel"/>
    <w:lvl w:ilvl="0">
      <w:lvlJc w:val="left"/>
      <w:lvlText w:val="(%1)"/>
      <w:numFmt w:val="lowerRoman"/>
      <w:start w:val="7"/>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1)"/>
      <w:numFmt w:val="lowerRoman"/>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1)"/>
      <w:numFmt w:val="decimal"/>
      <w:start w:val="1"/>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lowerRoman"/>
      <w:start w:val="1"/>
    </w:lvl>
  </w:abstractNum>
  <w:abstractNum w:abstractNumId="42">
    <w:nsid w:val="11447B73"/>
    <w:multiLevelType w:val="hybridMultilevel"/>
    <w:lvl w:ilvl="0">
      <w:lvlJc w:val="left"/>
      <w:lvlText w:val="(%1)"/>
      <w:numFmt w:val="lowerRoman"/>
      <w:start w:val="6"/>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lowerRoman"/>
      <w:start w:val="10"/>
    </w:lvl>
  </w:abstractNum>
  <w:abstractNum w:abstractNumId="45">
    <w:nsid w:val="8F2B15E"/>
    <w:multiLevelType w:val="hybridMultilevel"/>
    <w:lvl w:ilvl="0">
      <w:lvlJc w:val="left"/>
      <w:lvlText w:val="%1."/>
      <w:numFmt w:val="decimal"/>
      <w:start w:val="2"/>
    </w:lvl>
    <w:lvl w:ilvl="1">
      <w:lvlJc w:val="left"/>
      <w:lvlText w:val="(%2)"/>
      <w:numFmt w:val="lowerLetter"/>
      <w:start w:val="1"/>
    </w:lvl>
  </w:abstractNum>
  <w:abstractNum w:abstractNumId="46">
    <w:nsid w:val="1A32234B"/>
    <w:multiLevelType w:val="hybridMultilevel"/>
    <w:lvl w:ilvl="0">
      <w:lvlJc w:val="left"/>
      <w:lvlText w:val="%1"/>
      <w:numFmt w:val="decimal"/>
      <w:start w:val="1"/>
    </w:lvl>
    <w:lvl w:ilvl="1">
      <w:lvlJc w:val="left"/>
      <w:lvlText w:val="(%2)"/>
      <w:numFmt w:val="lowerLetter"/>
      <w:start w:val="2"/>
    </w:lvl>
  </w:abstractNum>
  <w:abstractNum w:abstractNumId="47">
    <w:nsid w:val="3B0FD379"/>
    <w:multiLevelType w:val="hybridMultilevel"/>
    <w:lvl w:ilvl="0">
      <w:lvlJc w:val="left"/>
      <w:lvlText w:val="%1."/>
      <w:numFmt w:val="decimal"/>
      <w:start w:val="4"/>
    </w:lvl>
    <w:lvl w:ilvl="1">
      <w:lvlJc w:val="left"/>
      <w:lvlText w:val="(%2)"/>
      <w:numFmt w:val="lowerLetter"/>
      <w:start w:val="1"/>
    </w:lvl>
  </w:abstractNum>
  <w:abstractNum w:abstractNumId="48">
    <w:nsid w:val="68EB2F63"/>
    <w:multiLevelType w:val="hybridMultilevel"/>
    <w:lvl w:ilvl="0">
      <w:lvlJc w:val="left"/>
      <w:lvlText w:val="(%1)"/>
      <w:numFmt w:val="lowerRoman"/>
      <w:start w:val="1"/>
    </w:lvl>
  </w:abstractNum>
  <w:abstractNum w:abstractNumId="49">
    <w:nsid w:val="4962813B"/>
    <w:multiLevelType w:val="hybridMultilevel"/>
    <w:lvl w:ilvl="0">
      <w:lvlJc w:val="left"/>
      <w:lvlText w:val="%1"/>
      <w:numFmt w:val="lowerLetter"/>
      <w:start w:val="1"/>
    </w:lvl>
    <w:lvl w:ilvl="1">
      <w:lvlJc w:val="left"/>
      <w:lvlText w:val="(%2)"/>
      <w:numFmt w:val="lowerLetter"/>
      <w:start w:val="35"/>
    </w:lvl>
  </w:abstractNum>
  <w:abstractNum w:abstractNumId="50">
    <w:nsid w:val="60B6DF70"/>
    <w:multiLevelType w:val="hybridMultilevel"/>
    <w:lvl w:ilvl="0">
      <w:lvlJc w:val="left"/>
      <w:lvlText w:val="(%1)"/>
      <w:numFmt w:val="lowerLetter"/>
      <w:start w:val="2"/>
    </w:lvl>
    <w:lvl w:ilvl="1">
      <w:lvlJc w:val="left"/>
      <w:lvlText w:val="(%2)"/>
      <w:numFmt w:val="lowerLetter"/>
      <w:start w:val="9"/>
    </w:lvl>
  </w:abstractNum>
  <w:abstractNum w:abstractNumId="51">
    <w:nsid w:val="6A5EE64"/>
    <w:multiLevelType w:val="hybridMultilevel"/>
    <w:lvl w:ilvl="0">
      <w:lvlJc w:val="left"/>
      <w:lvlText w:val="(%1)"/>
      <w:numFmt w:val="lowerRoman"/>
      <w:start w:val="2"/>
    </w:lvl>
  </w:abstractNum>
  <w:abstractNum w:abstractNumId="52">
    <w:nsid w:val="14330624"/>
    <w:multiLevelType w:val="hybridMultilevel"/>
    <w:lvl w:ilvl="0">
      <w:lvlJc w:val="left"/>
      <w:lvlText w:val="%1"/>
      <w:numFmt w:val="lowerLetter"/>
      <w:start w:val="1"/>
    </w:lvl>
    <w:lvl w:ilvl="1">
      <w:lvlJc w:val="left"/>
      <w:lvlText w:val="(%2)"/>
      <w:numFmt w:val="lowerRoman"/>
      <w:start w:val="8"/>
    </w:lvl>
  </w:abstractNum>
  <w:abstractNum w:abstractNumId="53">
    <w:nsid w:val="7FFFCA11"/>
    <w:multiLevelType w:val="hybridMultilevel"/>
    <w:lvl w:ilvl="0">
      <w:lvlJc w:val="left"/>
      <w:lvlText w:val="(%1)"/>
      <w:numFmt w:val="lowerLetter"/>
      <w:start w:val="3"/>
    </w:lvl>
    <w:lvl w:ilvl="1">
      <w:lvlJc w:val="left"/>
      <w:lvlText w:val="(%2)"/>
      <w:numFmt w:val="lowerRoman"/>
      <w:start w:val="1"/>
    </w:lvl>
  </w:abstractNum>
  <w:abstractNum w:abstractNumId="54">
    <w:nsid w:val="1A27709E"/>
    <w:multiLevelType w:val="hybridMultilevel"/>
    <w:lvl w:ilvl="0">
      <w:lvlJc w:val="left"/>
      <w:lvlText w:val="%1"/>
      <w:numFmt w:val="decimal"/>
      <w:start w:val="1"/>
    </w:lvl>
    <w:lvl w:ilvl="1">
      <w:lvlJc w:val="left"/>
      <w:lvlText w:val="(%2)"/>
      <w:numFmt w:val="lowerRoman"/>
      <w:start w:val="2"/>
    </w:lvl>
  </w:abstractNum>
  <w:abstractNum w:abstractNumId="55">
    <w:nsid w:val="71EA1109"/>
    <w:multiLevelType w:val="hybridMultilevel"/>
    <w:lvl w:ilvl="0">
      <w:lvlJc w:val="left"/>
      <w:lvlText w:val="%1."/>
      <w:numFmt w:val="decimal"/>
      <w:start w:val="7"/>
    </w:lvl>
    <w:lvl w:ilvl="1">
      <w:lvlJc w:val="left"/>
      <w:lvlText w:val="%2"/>
      <w:numFmt w:val="lowerRoman"/>
      <w:start w:val="1"/>
    </w:lvl>
  </w:abstractNum>
  <w:abstractNum w:abstractNumId="56">
    <w:nsid w:val="100F59DC"/>
    <w:multiLevelType w:val="hybridMultilevel"/>
    <w:lvl w:ilvl="0">
      <w:lvlJc w:val="left"/>
      <w:lvlText w:val="%1."/>
      <w:numFmt w:val="decimal"/>
      <w:start w:val="8"/>
    </w:lvl>
    <w:lvl w:ilvl="1">
      <w:lvlJc w:val="left"/>
      <w:lvlText w:val="(%2)"/>
      <w:numFmt w:val="lowerLetter"/>
      <w:start w:val="1"/>
    </w:lvl>
  </w:abstractNum>
  <w:abstractNum w:abstractNumId="57">
    <w:nsid w:val="7FB7E0A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8">
    <w:nsid w:val="6EB5BD4"/>
    <w:multiLevelType w:val="hybridMultilevel"/>
    <w:lvl w:ilvl="0">
      <w:lvlJc w:val="left"/>
      <w:lvlText w:val="(%1)"/>
      <w:numFmt w:val="lowerLetter"/>
      <w:start w:val="2"/>
    </w:lvl>
  </w:abstractNum>
  <w:abstractNum w:abstractNumId="59">
    <w:nsid w:val="6F6DD9AC"/>
    <w:multiLevelType w:val="hybridMultilevel"/>
    <w:lvl w:ilvl="0">
      <w:lvlJc w:val="left"/>
      <w:lvlText w:val="(%1)"/>
      <w:numFmt w:val="lowerRoman"/>
      <w:start w:val="4"/>
    </w:lvl>
  </w:abstractNum>
  <w:abstractNum w:abstractNumId="60">
    <w:nsid w:val="94211F2"/>
    <w:multiLevelType w:val="hybridMultilevel"/>
    <w:lvl w:ilvl="0">
      <w:lvlJc w:val="left"/>
      <w:lvlText w:val="%1."/>
      <w:numFmt w:val="decimal"/>
      <w:start w:val="11"/>
    </w:lvl>
    <w:lvl w:ilvl="1">
      <w:lvlJc w:val="left"/>
      <w:lvlText w:val="(%2)"/>
      <w:numFmt w:val="lowerLetter"/>
      <w:start w:val="1"/>
    </w:lvl>
  </w:abstractNum>
  <w:abstractNum w:abstractNumId="61">
    <w:nsid w:val="885E1B"/>
    <w:multiLevelType w:val="hybridMultilevel"/>
    <w:lvl w:ilvl="0">
      <w:lvlJc w:val="left"/>
      <w:lvlText w:val="(%1)"/>
      <w:numFmt w:val="lowerLetter"/>
      <w:start w:val="3"/>
    </w:lvl>
  </w:abstractNum>
  <w:abstractNum w:abstractNumId="62">
    <w:nsid w:val="76272110"/>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3">
    <w:nsid w:val="4C04A8AF"/>
    <w:multiLevelType w:val="hybridMultilevel"/>
    <w:lvl w:ilvl="0">
      <w:lvlJc w:val="left"/>
      <w:lvlText w:val="%1"/>
      <w:numFmt w:val="decimal"/>
      <w:start w:val="1"/>
    </w:lvl>
    <w:lvl w:ilvl="1">
      <w:lvlJc w:val="left"/>
      <w:lvlText w:val="(%2)"/>
      <w:numFmt w:val="lowerRoman"/>
      <w:start w:val="5"/>
    </w:lvl>
  </w:abstractNum>
  <w:abstractNum w:abstractNumId="64">
    <w:nsid w:val="1716703B"/>
    <w:multiLevelType w:val="hybridMultilevel"/>
    <w:lvl w:ilvl="0">
      <w:lvlJc w:val="left"/>
      <w:lvlText w:val="%1."/>
      <w:numFmt w:val="decimal"/>
      <w:start w:val="13"/>
    </w:lvl>
    <w:lvl w:ilvl="1">
      <w:lvlJc w:val="left"/>
      <w:lvlText w:val="%2"/>
      <w:numFmt w:val="lowerRoman"/>
      <w:start w:val="1"/>
    </w:lvl>
  </w:abstractNum>
  <w:abstractNum w:abstractNumId="65">
    <w:nsid w:val="14E17E33"/>
    <w:multiLevelType w:val="hybridMultilevel"/>
    <w:lvl w:ilvl="0">
      <w:lvlJc w:val="left"/>
      <w:lvlText w:val="%1"/>
      <w:numFmt w:val="decimal"/>
      <w:start w:val="1"/>
    </w:lvl>
    <w:lvl w:ilvl="1">
      <w:lvlJc w:val="left"/>
      <w:lvlText w:val="(%2)"/>
      <w:numFmt w:val="lowerLetter"/>
      <w:start w:val="24"/>
    </w:lvl>
  </w:abstractNum>
  <w:abstractNum w:abstractNumId="66">
    <w:nsid w:val="3222E7CD"/>
    <w:multiLevelType w:val="hybridMultilevel"/>
    <w:lvl w:ilvl="0">
      <w:lvlJc w:val="left"/>
      <w:lvlText w:val="%1."/>
      <w:numFmt w:val="decimal"/>
      <w:start w:val="16"/>
    </w:lvl>
    <w:lvl w:ilvl="1">
      <w:lvlJc w:val="left"/>
      <w:lvlText w:val="(%2)"/>
      <w:numFmt w:val="lowerLetter"/>
      <w:start w:val="1"/>
    </w:lvl>
  </w:abstractNum>
  <w:abstractNum w:abstractNumId="67">
    <w:nsid w:val="74DE0EE3"/>
    <w:multiLevelType w:val="hybridMultilevel"/>
    <w:lvl w:ilvl="0">
      <w:lvlJc w:val="left"/>
      <w:lvlText w:val="%1"/>
      <w:numFmt w:val="decimal"/>
      <w:start w:val="1"/>
    </w:lvl>
    <w:lvl w:ilvl="1">
      <w:lvlJc w:val="left"/>
      <w:lvlText w:val="(%2)"/>
      <w:numFmt w:val="lowerLetter"/>
      <w:start w:val="3"/>
    </w:lvl>
  </w:abstractNum>
  <w:abstractNum w:abstractNumId="68">
    <w:nsid w:val="68EBC550"/>
    <w:multiLevelType w:val="hybridMultilevel"/>
    <w:lvl w:ilvl="0">
      <w:lvlJc w:val="left"/>
      <w:lvlText w:val="%1."/>
      <w:numFmt w:val="decimal"/>
      <w:start w:val="20"/>
    </w:lvl>
    <w:lvl w:ilvl="1">
      <w:lvlJc w:val="left"/>
      <w:lvlText w:val="%2"/>
      <w:numFmt w:val="lowerLetter"/>
      <w:start w:val="1"/>
    </w:lvl>
  </w:abstractNum>
  <w:abstractNum w:abstractNumId="69">
    <w:nsid w:val="2DF6D648"/>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70">
    <w:nsid w:val="46B7D447"/>
    <w:multiLevelType w:val="hybridMultilevel"/>
    <w:lvl w:ilvl="0">
      <w:lvlJc w:val="left"/>
      <w:lvlText w:val="%1"/>
      <w:numFmt w:val="decimal"/>
      <w:start w:val="1"/>
    </w:lvl>
    <w:lvl w:ilvl="1">
      <w:lvlJc w:val="left"/>
      <w:lvlText w:val="(%2)"/>
      <w:numFmt w:val="lowerLetter"/>
      <w:start w:val="7"/>
    </w:lvl>
  </w:abstractNum>
  <w:abstractNum w:abstractNumId="71">
    <w:nsid w:val="4A2AC315"/>
    <w:multiLevelType w:val="hybridMultilevel"/>
    <w:lvl w:ilvl="0">
      <w:lvlJc w:val="left"/>
      <w:lvlText w:val="%1."/>
      <w:numFmt w:val="decimal"/>
      <w:start w:val="24"/>
    </w:lvl>
    <w:lvl w:ilvl="1">
      <w:lvlJc w:val="left"/>
      <w:lvlText w:val="%2"/>
      <w:numFmt w:val="lowerLetter"/>
      <w:start w:val="1"/>
    </w:lvl>
  </w:abstractNum>
  <w:abstractNum w:abstractNumId="72">
    <w:nsid w:val="39EE015C"/>
    <w:multiLevelType w:val="hybridMultilevel"/>
    <w:lvl w:ilvl="0">
      <w:lvlJc w:val="left"/>
      <w:lvlText w:val="%1."/>
      <w:numFmt w:val="decimal"/>
      <w:start w:val="29"/>
    </w:lvl>
  </w:abstractNum>
  <w:abstractNum w:abstractNumId="73">
    <w:nsid w:val="57FC4FBB"/>
    <w:multiLevelType w:val="hybridMultilevel"/>
    <w:lvl w:ilvl="0">
      <w:lvlJc w:val="left"/>
      <w:lvlText w:val="%1."/>
      <w:numFmt w:val="decimal"/>
      <w:start w:val="32"/>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decimal"/>
      <w:start w:val="3"/>
    </w:lvl>
  </w:abstractNum>
  <w:abstractNum w:abstractNumId="76">
    <w:nsid w:val="60EF0119"/>
    <w:multiLevelType w:val="hybridMultilevel"/>
    <w:lvl w:ilvl="0">
      <w:lvlJc w:val="left"/>
      <w:lvlText w:val="(%1)"/>
      <w:numFmt w:val="decimal"/>
      <w:start w:val="4"/>
    </w:lvl>
  </w:abstractNum>
  <w:abstractNum w:abstractNumId="77">
    <w:nsid w:val="26F324BA"/>
    <w:multiLevelType w:val="hybridMultilevel"/>
    <w:lvl w:ilvl="0">
      <w:lvlJc w:val="left"/>
      <w:lvlText w:val="%1"/>
      <w:numFmt w:val="decimal"/>
      <w:start w:val="1"/>
    </w:lvl>
    <w:lvl w:ilvl="1">
      <w:lvlJc w:val="left"/>
      <w:lvlText w:val="%2."/>
      <w:numFmt w:val="decimal"/>
      <w:start w:val="2"/>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3"/>
    </w:lvl>
  </w:abstractNum>
  <w:abstractNum w:abstractNumId="81">
    <w:nsid w:val="5FB8370B"/>
    <w:multiLevelType w:val="hybridMultilevel"/>
    <w:lvl w:ilvl="0">
      <w:lvlJc w:val="left"/>
      <w:lvlText w:val="%1."/>
      <w:numFmt w:val="decimal"/>
      <w:start w:val="5"/>
    </w:lvl>
  </w:abstractNum>
  <w:abstractNum w:abstractNumId="82">
    <w:nsid w:val="50801EE1"/>
    <w:multiLevelType w:val="hybridMultilevel"/>
    <w:lvl w:ilvl="0">
      <w:lvlJc w:val="left"/>
      <w:lvlText w:val="%1."/>
      <w:numFmt w:val="decimal"/>
      <w:start w:val="7"/>
    </w:lvl>
  </w:abstractNum>
  <w:abstractNum w:abstractNumId="83">
    <w:nsid w:val="488AC1A"/>
    <w:multiLevelType w:val="hybridMultilevel"/>
    <w:lvl w:ilvl="0">
      <w:lvlJc w:val="left"/>
      <w:lvlText w:val="%1."/>
      <w:numFmt w:val="upperLetter"/>
      <w:start w:val="9"/>
    </w:lvl>
  </w:abstractNum>
  <w:abstractNum w:abstractNumId="84">
    <w:nsid w:val="5FB8011C"/>
    <w:multiLevelType w:val="hybridMultilevel"/>
    <w:lvl w:ilvl="0">
      <w:lvlJc w:val="left"/>
      <w:lvlText w:val="%1."/>
      <w:numFmt w:val="upperLetter"/>
      <w:start w:val="35"/>
    </w:lvl>
  </w:abstractNum>
  <w:abstractNum w:abstractNumId="85">
    <w:nsid w:val="6AA78F7F"/>
    <w:multiLevelType w:val="hybridMultilevel"/>
    <w:lvl w:ilvl="0">
      <w:lvlJc w:val="left"/>
      <w:lvlText w:val="%1."/>
      <w:numFmt w:val="upperLetter"/>
      <w:start w:val="61"/>
    </w:lvl>
  </w:abstractNum>
  <w:abstractNum w:abstractNumId="86">
    <w:nsid w:val="7672BD23"/>
    <w:multiLevelType w:val="hybridMultilevel"/>
    <w:lvl w:ilvl="0">
      <w:lvlJc w:val="left"/>
      <w:lvlText w:val="%1."/>
      <w:numFmt w:val="decimal"/>
      <w:start w:val="1"/>
    </w:lvl>
    <w:lvl w:ilvl="1">
      <w:lvlJc w:val="left"/>
      <w:lvlText w:val="(%2)"/>
      <w:numFmt w:val="lowerLetter"/>
      <w:start w:val="1"/>
    </w:lvl>
  </w:abstractNum>
  <w:abstractNum w:abstractNumId="87">
    <w:nsid w:val="6FC75AF8"/>
    <w:multiLevelType w:val="hybridMultilevel"/>
    <w:lvl w:ilvl="0">
      <w:lvlJc w:val="left"/>
      <w:lvlText w:val="(%1)"/>
      <w:numFmt w:val="lowerLetter"/>
      <w:start w:val="3"/>
    </w:lvl>
  </w:abstractNum>
  <w:abstractNum w:abstractNumId="88">
    <w:nsid w:val="6A5F7029"/>
    <w:multiLevelType w:val="hybridMultilevel"/>
    <w:lvl w:ilvl="0">
      <w:lvlJc w:val="left"/>
      <w:lvlText w:val="%1"/>
      <w:numFmt w:val="decimal"/>
      <w:start w:val="1"/>
    </w:lvl>
    <w:lvl w:ilvl="1">
      <w:lvlJc w:val="left"/>
      <w:lvlText w:val="(%2)"/>
      <w:numFmt w:val="lowerLetter"/>
      <w:start w:val="7"/>
    </w:lvl>
  </w:abstractNum>
  <w:abstractNum w:abstractNumId="89">
    <w:nsid w:val="7D5E18F8"/>
    <w:multiLevelType w:val="hybridMultilevel"/>
    <w:lvl w:ilvl="0">
      <w:lvlJc w:val="left"/>
      <w:lvlText w:val="%1."/>
      <w:numFmt w:val="decimal"/>
      <w:start w:val="2"/>
    </w:lvl>
    <w:lvl w:ilvl="1">
      <w:lvlJc w:val="left"/>
      <w:lvlText w:val="(%2)"/>
      <w:numFmt w:val="lowerLetter"/>
      <w:start w:val="1"/>
    </w:lvl>
  </w:abstractNum>
  <w:abstractNum w:abstractNumId="90">
    <w:nsid w:val="5F3534A4"/>
    <w:multiLevelType w:val="hybridMultilevel"/>
    <w:lvl w:ilvl="0">
      <w:lvlJc w:val="left"/>
      <w:lvlText w:val="(%1)"/>
      <w:numFmt w:val="lowerLetter"/>
      <w:start w:val="3"/>
    </w:lvl>
  </w:abstractNum>
  <w:abstractNum w:abstractNumId="91">
    <w:nsid w:val="73A1821B"/>
    <w:multiLevelType w:val="hybridMultilevel"/>
    <w:lvl w:ilvl="0">
      <w:lvlJc w:val="left"/>
      <w:lvlText w:val="(%1)"/>
      <w:numFmt w:val="lowerLetter"/>
      <w:start w:val="7"/>
    </w:lvl>
  </w:abstractNum>
  <w:abstractNum w:abstractNumId="92">
    <w:nsid w:val="7DE67713"/>
    <w:multiLevelType w:val="hybridMultilevel"/>
    <w:lvl w:ilvl="0">
      <w:lvlJc w:val="left"/>
      <w:lvlText w:val="(%1)"/>
      <w:numFmt w:val="lowerLetter"/>
      <w:start w:val="12"/>
    </w:lvl>
  </w:abstractNum>
  <w:abstractNum w:abstractNumId="93">
    <w:nsid w:val="555C55B5"/>
    <w:multiLevelType w:val="hybridMultilevel"/>
    <w:lvl w:ilvl="0">
      <w:lvlJc w:val="left"/>
      <w:lvlText w:val="(%1)"/>
      <w:numFmt w:val="lowerLetter"/>
      <w:start w:val="20"/>
    </w:lvl>
  </w:abstractNum>
  <w:abstractNum w:abstractNumId="94">
    <w:nsid w:val="3FA62ACA"/>
    <w:multiLevelType w:val="hybridMultilevel"/>
    <w:lvl w:ilvl="0">
      <w:lvlJc w:val="left"/>
      <w:lvlText w:val="(%1)"/>
      <w:numFmt w:val="lowerLetter"/>
      <w:start w:val="25"/>
    </w:lvl>
  </w:abstractNum>
  <w:abstractNum w:abstractNumId="95">
    <w:nsid w:val="14FCE74E"/>
    <w:multiLevelType w:val="hybridMultilevel"/>
    <w:lvl w:ilvl="0">
      <w:lvlJc w:val="left"/>
      <w:lvlText w:val="%1"/>
      <w:numFmt w:val="decimal"/>
      <w:start w:val="1"/>
    </w:lvl>
    <w:lvl w:ilvl="1">
      <w:lvlJc w:val="left"/>
      <w:lvlText w:val="(%2)"/>
      <w:numFmt w:val="lowerLetter"/>
      <w:start w:val="27"/>
    </w:lvl>
  </w:abstractNum>
  <w:abstractNum w:abstractNumId="96">
    <w:nsid w:val="6A3DD3E8"/>
    <w:multiLevelType w:val="hybridMultilevel"/>
    <w:lvl w:ilvl="0">
      <w:lvlJc w:val="left"/>
      <w:lvlText w:val="%1."/>
      <w:numFmt w:val="decimal"/>
      <w:start w:val="3"/>
    </w:lvl>
    <w:lvl w:ilvl="1">
      <w:lvlJc w:val="left"/>
      <w:lvlText w:val="%2"/>
      <w:numFmt w:val="lowerLetter"/>
      <w:start w:val="1"/>
    </w:lvl>
  </w:abstractNum>
  <w:abstractNum w:abstractNumId="97">
    <w:nsid w:val="71C91298"/>
    <w:multiLevelType w:val="hybridMultilevel"/>
    <w:lvl w:ilvl="0">
      <w:lvlJc w:val="left"/>
      <w:lvlText w:val="%1."/>
      <w:numFmt w:val="decimal"/>
      <w:start w:val="7"/>
    </w:lvl>
  </w:abstractNum>
  <w:abstractNum w:abstractNumId="98">
    <w:nsid w:val="9DAF632"/>
    <w:multiLevelType w:val="hybridMultilevel"/>
    <w:lvl w:ilvl="0">
      <w:lvlJc w:val="left"/>
      <w:lvlText w:val="%1."/>
      <w:numFmt w:val="decimal"/>
      <w:start w:val="12"/>
    </w:lvl>
  </w:abstractNum>
  <w:abstractNum w:abstractNumId="99">
    <w:nsid w:val="53299938"/>
    <w:multiLevelType w:val="hybridMultilevel"/>
    <w:lvl w:ilvl="0">
      <w:lvlJc w:val="left"/>
      <w:lvlText w:val="%1."/>
      <w:numFmt w:val="decimal"/>
      <w:start w:val="13"/>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1."/>
      <w:numFmt w:val="decimal"/>
      <w:start w:val="1"/>
    </w:lvl>
    <w:lvl w:ilvl="1">
      <w:lvlJc w:val="left"/>
      <w:lvlText w:val="%2."/>
      <w:numFmt w:val="upperLetter"/>
      <w:start w:val="1"/>
    </w:lvl>
  </w:abstractNum>
  <w:abstractNum w:abstractNumId="102">
    <w:nsid w:val="1D545C4D"/>
    <w:multiLevelType w:val="hybridMultilevel"/>
    <w:lvl w:ilvl="0">
      <w:lvlJc w:val="left"/>
      <w:lvlText w:val="%1"/>
      <w:numFmt w:val="decimal"/>
      <w:start w:val="1"/>
    </w:lvl>
    <w:lvl w:ilvl="1">
      <w:lvlJc w:val="left"/>
      <w:lvlText w:val="%2."/>
      <w:numFmt w:val="upperLetter"/>
      <w:start w:val="3"/>
    </w:lvl>
  </w:abstractNum>
  <w:abstractNum w:abstractNumId="103">
    <w:nsid w:val="59ADEA3D"/>
    <w:multiLevelType w:val="hybridMultilevel"/>
    <w:lvl w:ilvl="0">
      <w:lvlJc w:val="left"/>
      <w:lvlText w:val="%1."/>
      <w:numFmt w:val="decimal"/>
      <w:start w:val="2"/>
    </w:lvl>
    <w:lvl w:ilvl="1">
      <w:lvlJc w:val="left"/>
      <w:lvlText w:val="%2."/>
      <w:numFmt w:val="upperLetter"/>
      <w:start w:val="1"/>
    </w:lvl>
  </w:abstractNum>
  <w:abstractNum w:abstractNumId="104">
    <w:nsid w:val="288F1A34"/>
    <w:multiLevelType w:val="hybridMultilevel"/>
    <w:lvl w:ilvl="0">
      <w:lvlJc w:val="left"/>
      <w:lvlText w:val="%1"/>
      <w:numFmt w:val="decimal"/>
      <w:start w:val="1"/>
    </w:lvl>
    <w:lvl w:ilvl="1">
      <w:lvlJc w:val="left"/>
      <w:lvlText w:val="%2."/>
      <w:numFmt w:val="upperLetter"/>
      <w:start w:val="2"/>
    </w:lvl>
  </w:abstractNum>
  <w:abstractNum w:abstractNumId="105">
    <w:nsid w:val="2A155DBC"/>
    <w:multiLevelType w:val="hybridMultilevel"/>
    <w:lvl w:ilvl="0">
      <w:lvlJc w:val="left"/>
      <w:lvlText w:val="%1."/>
      <w:numFmt w:val="decimal"/>
      <w:start w:val="3"/>
    </w:lvl>
    <w:lvl w:ilvl="1">
      <w:lvlJc w:val="left"/>
      <w:lvlText w:val="%2"/>
      <w:numFmt w:val="upperLetter"/>
      <w:start w:val="1"/>
    </w:lvl>
  </w:abstractNum>
  <w:abstractNum w:abstractNumId="106">
    <w:nsid w:val="1D9F6E5F"/>
    <w:multiLevelType w:val="hybridMultilevel"/>
    <w:lvl w:ilvl="0">
      <w:lvlJc w:val="left"/>
      <w:lvlText w:val="%1."/>
      <w:numFmt w:val="decimal"/>
      <w:start w:val="5"/>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64" Type="http://schemas.openxmlformats.org/officeDocument/2006/relationships/hyperlink" Target="https://www.sec.gov/Archives/edgar/data/1546417/000154641724000002/ex101-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2024-05-08T15:28:31Z</dcterms:created>
  <dcterms:modified xsi:type="dcterms:W3CDTF">2024-05-08T15:28:31Z</dcterms:modified>
</cp:coreProperties>
</file>