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quarterly period ended March 29,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the transition period from ______ to ______</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BLOOMIN’ BRANDS,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2202 North West Shore Boulevard, Suite 500, Tampa, FL 33607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(813) 282-1225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rPr>
        <w:t xml:space="preserve">☒ </w:t>
      </w:r>
      <w:r>
        <w:rPr>
          <w:rFonts w:ascii="Times New Roman;serif" w:hAnsi="Times New Roman;serif"/>
          <w:b w:val="false"/>
          <w:color w:val="000000"/>
          <w:sz w:val="20"/>
        </w:rPr>
        <w:t>Accelerated filer</w:t>
      </w:r>
      <w:r>
        <w:rPr>
          <w:color w:val="000000"/>
        </w:rPr>
        <w:t xml:space="preserve"> ☐ </w:t>
      </w:r>
      <w:r>
        <w:rPr>
          <w:rFonts w:ascii="Times New Roman;serif" w:hAnsi="Times New Roman;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May 4, 2026, 85,614,287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INDEX TO QUARTERLY REPORT ON FORM 10-Q</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For the Quarterly Period Ended March 29, 2026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13">
              <w:r>
                <w:rPr>
                  <w:rStyle w:val="InternetLink"/>
                  <w:rFonts w:ascii="Times New Roman;serif" w:hAnsi="Times New Roman;serif"/>
                  <w:b w:val="false"/>
                  <w:color w:val="0000FF"/>
                  <w:sz w:val="22"/>
                  <w:u w:val="single"/>
                </w:rPr>
                <w:t>PART I — FINANCIAL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Page No.</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16">
              <w:r>
                <w:rPr>
                  <w:rStyle w:val="InternetLink"/>
                  <w:rFonts w:ascii="Times New Roman;serif" w:hAnsi="Times New Roman;serif"/>
                  <w:b w:val="false"/>
                  <w:color w:val="0000FF"/>
                  <w:sz w:val="22"/>
                  <w:u w:val="single"/>
                </w:rPr>
                <w:t>Financial Statements (Unaudited)</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16">
              <w:r>
                <w:rPr>
                  <w:rStyle w:val="InternetLink"/>
                  <w:rFonts w:ascii="Times New Roman;serif" w:hAnsi="Times New Roman;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16">
              <w:r>
                <w:rPr>
                  <w:rStyle w:val="InternetLink"/>
                  <w:rFonts w:ascii="Times New Roman;serif" w:hAnsi="Times New Roman;serif"/>
                  <w:b w:val="false"/>
                  <w:color w:val="0000FF"/>
                  <w:sz w:val="22"/>
                  <w:u w:val="single"/>
                </w:rPr>
                <w:t>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19">
              <w:r>
                <w:rPr>
                  <w:rStyle w:val="InternetLink"/>
                  <w:rFonts w:ascii="Times New Roman;serif" w:hAnsi="Times New Roman;serif"/>
                  <w:b w:val="false"/>
                  <w:color w:val="000080"/>
                  <w:sz w:val="22"/>
                  <w:u w:val="single"/>
                </w:rPr>
                <w:t>Consolidated Balance Sheets —</w:t>
              </w:r>
            </w:hyperlink>
            <w:hyperlink w:anchor="i1f318b19aa83496a9896823004974e70_19">
              <w:r>
                <w:rPr>
                  <w:rStyle w:val="InternetLink"/>
                  <w:rFonts w:ascii="Times New Roman;serif" w:hAnsi="Times New Roman;serif"/>
                  <w:b w:val="false"/>
                  <w:color w:val="000080"/>
                  <w:sz w:val="22"/>
                  <w:u w:val="single"/>
                </w:rPr>
                <w:t xml:space="preserve"> March 29, 2026 and December 28, 20</w:t>
              </w:r>
            </w:hyperlink>
            <w:hyperlink w:anchor="i1f318b19aa83496a9896823004974e70_19">
              <w:r>
                <w:rPr>
                  <w:rStyle w:val="InternetLink"/>
                  <w:rFonts w:ascii="Times New Roman;serif" w:hAnsi="Times New Roman;serif"/>
                  <w:b w:val="false"/>
                  <w:color w:val="000080"/>
                  <w:sz w:val="22"/>
                  <w:u w:val="single"/>
                </w:rPr>
                <w:t>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19">
              <w:r>
                <w:rPr>
                  <w:rStyle w:val="InternetLink"/>
                  <w:rFonts w:ascii="Times New Roman;serif" w:hAnsi="Times New Roman;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22">
              <w:r>
                <w:rPr>
                  <w:rStyle w:val="InternetLink"/>
                  <w:rFonts w:ascii="Times New Roman;serif" w:hAnsi="Times New Roman;serif"/>
                  <w:b w:val="false"/>
                  <w:color w:val="000080"/>
                  <w:sz w:val="22"/>
                  <w:u w:val="single"/>
                </w:rPr>
                <w:t>Consolidated Statements of Operations and Comprehensive</w:t>
              </w:r>
            </w:hyperlink>
            <w:hyperlink w:anchor="i1f318b19aa83496a9896823004974e70_22">
              <w:r>
                <w:rPr>
                  <w:rStyle w:val="InternetLink"/>
                  <w:rFonts w:ascii="Times New Roman;serif" w:hAnsi="Times New Roman;serif"/>
                  <w:b w:val="false"/>
                  <w:color w:val="000080"/>
                  <w:sz w:val="22"/>
                  <w:u w:val="single"/>
                </w:rPr>
                <w:t xml:space="preserve"> Income </w:t>
              </w:r>
            </w:hyperlink>
            <w:hyperlink w:anchor="i1f318b19aa83496a9896823004974e70_22">
              <w:r>
                <w:rPr>
                  <w:rStyle w:val="InternetLink"/>
                  <w:rFonts w:ascii="Times New Roman;serif" w:hAnsi="Times New Roman;serif"/>
                  <w:b w:val="false"/>
                  <w:color w:val="000080"/>
                  <w:sz w:val="22"/>
                  <w:u w:val="single"/>
                </w:rPr>
                <w:t>—</w:t>
              </w:r>
            </w:hyperlink>
          </w:p>
          <w:p>
            <w:pPr>
              <w:pStyle w:val="TableContents"/>
              <w:bidi w:val="0"/>
              <w:spacing w:lineRule="auto" w:line="240" w:before="0" w:after="0"/>
              <w:jc w:val="left"/>
              <w:rPr/>
            </w:pPr>
            <w:hyperlink w:anchor="i1f318b19aa83496a9896823004974e70_22">
              <w:r>
                <w:rPr>
                  <w:rStyle w:val="InternetLink"/>
                  <w:rFonts w:ascii="Times New Roman;serif" w:hAnsi="Times New Roman;serif"/>
                  <w:b w:val="false"/>
                  <w:color w:val="000080"/>
                  <w:sz w:val="22"/>
                  <w:u w:val="single"/>
                </w:rPr>
                <w:t xml:space="preserve">For the Thirteen </w:t>
              </w:r>
            </w:hyperlink>
            <w:hyperlink w:anchor="i1f318b19aa83496a9896823004974e70_22">
              <w:r>
                <w:rPr>
                  <w:rStyle w:val="InternetLink"/>
                  <w:rFonts w:ascii="Times New Roman;serif" w:hAnsi="Times New Roman;serif"/>
                  <w:b w:val="false"/>
                  <w:color w:val="000080"/>
                  <w:sz w:val="22"/>
                  <w:u w:val="single"/>
                </w:rPr>
                <w:t xml:space="preserve">Weeks Ended </w:t>
              </w:r>
            </w:hyperlink>
            <w:hyperlink w:anchor="i1f318b19aa83496a9896823004974e70_22">
              <w:r>
                <w:rPr>
                  <w:rStyle w:val="InternetLink"/>
                  <w:rFonts w:ascii="Times New Roman;serif" w:hAnsi="Times New Roman;serif"/>
                  <w:b w:val="false"/>
                  <w:color w:val="000080"/>
                  <w:sz w:val="22"/>
                  <w:u w:val="single"/>
                </w:rPr>
                <w:t>March 2</w:t>
              </w:r>
            </w:hyperlink>
            <w:hyperlink w:anchor="i1f318b19aa83496a9896823004974e70_22">
              <w:r>
                <w:rPr>
                  <w:rStyle w:val="InternetLink"/>
                  <w:rFonts w:ascii="Times New Roman;serif" w:hAnsi="Times New Roman;serif"/>
                  <w:b w:val="false"/>
                  <w:color w:val="000080"/>
                  <w:sz w:val="22"/>
                  <w:u w:val="single"/>
                </w:rPr>
                <w:t>9</w:t>
              </w:r>
            </w:hyperlink>
            <w:hyperlink w:anchor="i1f318b19aa83496a9896823004974e70_22">
              <w:r>
                <w:rPr>
                  <w:rStyle w:val="InternetLink"/>
                  <w:rFonts w:ascii="Times New Roman;serif" w:hAnsi="Times New Roman;serif"/>
                  <w:b w:val="false"/>
                  <w:color w:val="000080"/>
                  <w:sz w:val="22"/>
                  <w:u w:val="single"/>
                </w:rPr>
                <w:t>, 2026 and March</w:t>
              </w:r>
            </w:hyperlink>
            <w:hyperlink w:anchor="i1f318b19aa83496a9896823004974e70_22">
              <w:r>
                <w:rPr>
                  <w:rStyle w:val="InternetLink"/>
                  <w:rFonts w:ascii="Times New Roman;serif" w:hAnsi="Times New Roman;serif"/>
                  <w:b w:val="false"/>
                  <w:color w:val="000080"/>
                  <w:sz w:val="22"/>
                  <w:u w:val="single"/>
                </w:rPr>
                <w:t xml:space="preserve"> 30, 2025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22">
              <w:r>
                <w:rPr>
                  <w:rStyle w:val="InternetLink"/>
                  <w:rFonts w:ascii="Times New Roman;serif" w:hAnsi="Times New Roman;serif"/>
                  <w:b w:val="false"/>
                  <w:color w:val="0000FF"/>
                  <w:sz w:val="22"/>
                  <w:u w:val="single"/>
                </w:rPr>
                <w:t>4</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25">
              <w:r>
                <w:rPr>
                  <w:rStyle w:val="InternetLink"/>
                  <w:rFonts w:ascii="Times New Roman;serif" w:hAnsi="Times New Roman;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1f318b19aa83496a9896823004974e70_25">
              <w:r>
                <w:rPr>
                  <w:rStyle w:val="InternetLink"/>
                  <w:rFonts w:ascii="Times New Roman;serif" w:hAnsi="Times New Roman;serif"/>
                  <w:b w:val="false"/>
                  <w:color w:val="000080"/>
                  <w:sz w:val="22"/>
                  <w:u w:val="single"/>
                </w:rPr>
                <w:t xml:space="preserve">For the Thirteen </w:t>
              </w:r>
            </w:hyperlink>
            <w:hyperlink w:anchor="i1f318b19aa83496a9896823004974e70_25">
              <w:r>
                <w:rPr>
                  <w:rStyle w:val="InternetLink"/>
                  <w:rFonts w:ascii="Times New Roman;serif" w:hAnsi="Times New Roman;serif"/>
                  <w:b w:val="false"/>
                  <w:color w:val="000080"/>
                  <w:sz w:val="22"/>
                  <w:u w:val="single"/>
                </w:rPr>
                <w:t xml:space="preserve">Weeks Ended </w:t>
              </w:r>
            </w:hyperlink>
            <w:hyperlink w:anchor="i1f318b19aa83496a9896823004974e70_25">
              <w:r>
                <w:rPr>
                  <w:rStyle w:val="InternetLink"/>
                  <w:rFonts w:ascii="Times New Roman;serif" w:hAnsi="Times New Roman;serif"/>
                  <w:b w:val="false"/>
                  <w:color w:val="000080"/>
                  <w:sz w:val="22"/>
                  <w:u w:val="single"/>
                </w:rPr>
                <w:t>March 2</w:t>
              </w:r>
            </w:hyperlink>
            <w:hyperlink w:anchor="i1f318b19aa83496a9896823004974e70_25">
              <w:r>
                <w:rPr>
                  <w:rStyle w:val="InternetLink"/>
                  <w:rFonts w:ascii="Times New Roman;serif" w:hAnsi="Times New Roman;serif"/>
                  <w:b w:val="false"/>
                  <w:color w:val="000080"/>
                  <w:sz w:val="22"/>
                  <w:u w:val="single"/>
                </w:rPr>
                <w:t>9</w:t>
              </w:r>
            </w:hyperlink>
            <w:hyperlink w:anchor="i1f318b19aa83496a9896823004974e70_25">
              <w:r>
                <w:rPr>
                  <w:rStyle w:val="InternetLink"/>
                  <w:rFonts w:ascii="Times New Roman;serif" w:hAnsi="Times New Roman;serif"/>
                  <w:b w:val="false"/>
                  <w:color w:val="000080"/>
                  <w:sz w:val="22"/>
                  <w:u w:val="single"/>
                </w:rPr>
                <w:t>, 2026 and March 30,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25">
              <w:r>
                <w:rPr>
                  <w:rStyle w:val="InternetLink"/>
                  <w:rFonts w:ascii="Times New Roman;serif" w:hAnsi="Times New Roman;serif"/>
                  <w:b w:val="false"/>
                  <w:color w:val="0000FF"/>
                  <w:sz w:val="22"/>
                  <w:u w:val="single"/>
                </w:rPr>
                <w:t>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28">
              <w:r>
                <w:rPr>
                  <w:rStyle w:val="InternetLink"/>
                  <w:rFonts w:ascii="Times New Roman;serif" w:hAnsi="Times New Roman;serif"/>
                  <w:b w:val="false"/>
                  <w:color w:val="0000FF"/>
                  <w:sz w:val="22"/>
                  <w:u w:val="single"/>
                </w:rPr>
                <w:t>Condensed Consolidated Statements of Cash Flows —</w:t>
              </w:r>
            </w:hyperlink>
          </w:p>
          <w:p>
            <w:pPr>
              <w:pStyle w:val="TableContents"/>
              <w:bidi w:val="0"/>
              <w:spacing w:lineRule="auto" w:line="240" w:before="0" w:after="0"/>
              <w:jc w:val="left"/>
              <w:rPr/>
            </w:pPr>
            <w:hyperlink w:anchor="i1f318b19aa83496a9896823004974e70_28">
              <w:r>
                <w:rPr>
                  <w:rStyle w:val="InternetLink"/>
                  <w:rFonts w:ascii="Times New Roman;serif" w:hAnsi="Times New Roman;serif"/>
                  <w:b w:val="false"/>
                  <w:color w:val="000080"/>
                  <w:sz w:val="22"/>
                  <w:u w:val="single"/>
                </w:rPr>
                <w:t>For the Thirt</w:t>
              </w:r>
            </w:hyperlink>
            <w:hyperlink w:anchor="i1f318b19aa83496a9896823004974e70_28">
              <w:r>
                <w:rPr>
                  <w:rStyle w:val="InternetLink"/>
                  <w:rFonts w:ascii="Times New Roman;serif" w:hAnsi="Times New Roman;serif"/>
                  <w:b w:val="false"/>
                  <w:color w:val="000080"/>
                  <w:sz w:val="22"/>
                  <w:u w:val="single"/>
                </w:rPr>
                <w:t xml:space="preserve">een </w:t>
              </w:r>
            </w:hyperlink>
            <w:hyperlink w:anchor="i1f318b19aa83496a9896823004974e70_28">
              <w:r>
                <w:rPr>
                  <w:rStyle w:val="InternetLink"/>
                  <w:rFonts w:ascii="Times New Roman;serif" w:hAnsi="Times New Roman;serif"/>
                  <w:b w:val="false"/>
                  <w:color w:val="000080"/>
                  <w:sz w:val="22"/>
                  <w:u w:val="single"/>
                </w:rPr>
                <w:t>Weeks Ended</w:t>
              </w:r>
            </w:hyperlink>
            <w:hyperlink w:anchor="i1f318b19aa83496a9896823004974e70_28">
              <w:r>
                <w:rPr>
                  <w:rStyle w:val="InternetLink"/>
                  <w:rFonts w:ascii="Times New Roman;serif" w:hAnsi="Times New Roman;serif"/>
                  <w:b w:val="false"/>
                  <w:color w:val="000080"/>
                  <w:sz w:val="22"/>
                  <w:u w:val="single"/>
                </w:rPr>
                <w:t xml:space="preserve"> March 2</w:t>
              </w:r>
            </w:hyperlink>
            <w:hyperlink w:anchor="i1f318b19aa83496a9896823004974e70_28">
              <w:r>
                <w:rPr>
                  <w:rStyle w:val="InternetLink"/>
                  <w:rFonts w:ascii="Times New Roman;serif" w:hAnsi="Times New Roman;serif"/>
                  <w:b w:val="false"/>
                  <w:color w:val="000080"/>
                  <w:sz w:val="22"/>
                  <w:u w:val="single"/>
                </w:rPr>
                <w:t>9</w:t>
              </w:r>
            </w:hyperlink>
            <w:hyperlink w:anchor="i1f318b19aa83496a9896823004974e70_28">
              <w:r>
                <w:rPr>
                  <w:rStyle w:val="InternetLink"/>
                  <w:rFonts w:ascii="Times New Roman;serif" w:hAnsi="Times New Roman;serif"/>
                  <w:b w:val="false"/>
                  <w:color w:val="000080"/>
                  <w:sz w:val="22"/>
                  <w:u w:val="single"/>
                </w:rPr>
                <w:t>, 2026 and March 30, 2025</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28">
              <w:r>
                <w:rPr>
                  <w:rStyle w:val="InternetLink"/>
                  <w:rFonts w:ascii="Times New Roman;serif" w:hAnsi="Times New Roman;serif"/>
                  <w:b w:val="false"/>
                  <w:color w:val="0000FF"/>
                  <w:sz w:val="22"/>
                  <w:u w:val="single"/>
                </w:rPr>
                <w:t>6</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34">
              <w:r>
                <w:rPr>
                  <w:rStyle w:val="InternetLink"/>
                  <w:rFonts w:ascii="Times New Roman;serif" w:hAnsi="Times New Roman;serif"/>
                  <w:b w:val="false"/>
                  <w:color w:val="0000FF"/>
                  <w:sz w:val="22"/>
                  <w:u w:val="single"/>
                </w:rPr>
                <w:t>Notes to 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34">
              <w:r>
                <w:rPr>
                  <w:rStyle w:val="InternetLink"/>
                  <w:rFonts w:ascii="Times New Roman;serif" w:hAnsi="Times New Roman;serif"/>
                  <w:b w:val="false"/>
                  <w:color w:val="0000FF"/>
                  <w:sz w:val="22"/>
                  <w:u w:val="single"/>
                </w:rPr>
                <w:t>7</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f318b19aa83496a9896823004974e70_214">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214">
              <w:r>
                <w:rPr>
                  <w:rStyle w:val="InternetLink"/>
                  <w:rFonts w:ascii="Times New Roman;serif" w:hAnsi="Times New Roman;serif"/>
                  <w:b w:val="false"/>
                  <w:color w:val="0000FF"/>
                  <w:sz w:val="22"/>
                  <w:u w:val="single"/>
                </w:rPr>
                <w:t>21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3.</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03">
              <w:r>
                <w:rPr>
                  <w:rStyle w:val="InternetLink"/>
                  <w:rFonts w:ascii="Times New Roman;serif" w:hAnsi="Times New Roman;serif"/>
                  <w:b w:val="false"/>
                  <w:color w:val="0000FF"/>
                  <w:sz w:val="22"/>
                  <w:u w:val="single"/>
                </w:rPr>
                <w:t>Quantitative and Qualitative Disclosures About Market Risk</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03">
              <w:r>
                <w:rPr>
                  <w:rStyle w:val="InternetLink"/>
                  <w:rFonts w:ascii="Times New Roman;serif" w:hAnsi="Times New Roman;serif"/>
                  <w:b w:val="false"/>
                  <w:color w:val="0000FF"/>
                  <w:sz w:val="22"/>
                  <w:u w:val="single"/>
                </w:rPr>
                <w:t>35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4.</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06">
              <w:r>
                <w:rPr>
                  <w:rStyle w:val="InternetLink"/>
                  <w:rFonts w:ascii="Times New Roman;serif" w:hAnsi="Times New Roman;serif"/>
                  <w:b w:val="false"/>
                  <w:color w:val="0000FF"/>
                  <w:sz w:val="22"/>
                  <w:u w:val="single"/>
                </w:rPr>
                <w:t>Controls and Procedures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06">
              <w:r>
                <w:rPr>
                  <w:rStyle w:val="InternetLink"/>
                  <w:rFonts w:ascii="Times New Roman;serif" w:hAnsi="Times New Roman;serif"/>
                  <w:b w:val="false"/>
                  <w:color w:val="0000FF"/>
                  <w:sz w:val="22"/>
                  <w:u w:val="single"/>
                </w:rPr>
                <w:t>35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09">
              <w:r>
                <w:rPr>
                  <w:rStyle w:val="InternetLink"/>
                  <w:rFonts w:ascii="Times New Roman;serif" w:hAnsi="Times New Roman;serif"/>
                  <w:b w:val="false"/>
                  <w:color w:val="0000FF"/>
                  <w:sz w:val="22"/>
                  <w:u w:val="single"/>
                </w:rPr>
                <w:t>PART II — OTHER INFORMATION</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12">
              <w:r>
                <w:rPr>
                  <w:rStyle w:val="InternetLink"/>
                  <w:rFonts w:ascii="Times New Roman;serif" w:hAnsi="Times New Roman;serif"/>
                  <w:b w:val="false"/>
                  <w:color w:val="0000FF"/>
                  <w:sz w:val="22"/>
                  <w:u w:val="single"/>
                </w:rPr>
                <w:t>Legal Proceedings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12">
              <w:r>
                <w:rPr>
                  <w:rStyle w:val="InternetLink"/>
                  <w:rFonts w:ascii="Times New Roman;serif" w:hAnsi="Times New Roman;serif"/>
                  <w:b w:val="false"/>
                  <w:color w:val="0000FF"/>
                  <w:sz w:val="22"/>
                  <w:u w:val="single"/>
                </w:rPr>
                <w:t>36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1A.</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15">
              <w:r>
                <w:rPr>
                  <w:rStyle w:val="InternetLink"/>
                  <w:rFonts w:ascii="Times New Roman;serif" w:hAnsi="Times New Roman;serif"/>
                  <w:b w:val="false"/>
                  <w:color w:val="0000FF"/>
                  <w:sz w:val="22"/>
                  <w:u w:val="single"/>
                </w:rPr>
                <w:t>Risk Factors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15">
              <w:r>
                <w:rPr>
                  <w:rStyle w:val="InternetLink"/>
                  <w:rFonts w:ascii="Times New Roman;serif" w:hAnsi="Times New Roman;serif"/>
                  <w:b w:val="false"/>
                  <w:color w:val="0000FF"/>
                  <w:sz w:val="22"/>
                  <w:u w:val="single"/>
                </w:rPr>
                <w:t>36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18">
              <w:r>
                <w:rPr>
                  <w:rStyle w:val="InternetLink"/>
                  <w:rFonts w:ascii="Times New Roman;serif" w:hAnsi="Times New Roman;serif"/>
                  <w:b w:val="false"/>
                  <w:color w:val="0000FF"/>
                  <w:sz w:val="22"/>
                  <w:u w:val="single"/>
                </w:rPr>
                <w:t>Unregistered Sales of Equity Securities and Use of Proceeds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18">
              <w:r>
                <w:rPr>
                  <w:rStyle w:val="InternetLink"/>
                  <w:rFonts w:ascii="Times New Roman;serif" w:hAnsi="Times New Roman;serif"/>
                  <w:b w:val="false"/>
                  <w:color w:val="0000FF"/>
                  <w:sz w:val="22"/>
                  <w:u w:val="single"/>
                </w:rPr>
                <w:t>36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5.</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24">
              <w:r>
                <w:rPr>
                  <w:rStyle w:val="InternetLink"/>
                  <w:rFonts w:ascii="Times New Roman;serif" w:hAnsi="Times New Roman;serif"/>
                  <w:b w:val="false"/>
                  <w:color w:val="0000FF"/>
                  <w:sz w:val="22"/>
                  <w:u w:val="single"/>
                </w:rPr>
                <w:t>Other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24">
              <w:r>
                <w:rPr>
                  <w:rStyle w:val="InternetLink"/>
                  <w:rFonts w:ascii="Times New Roman;serif" w:hAnsi="Times New Roman;serif"/>
                  <w:b w:val="false"/>
                  <w:color w:val="0000FF"/>
                  <w:sz w:val="22"/>
                  <w:u w:val="single"/>
                </w:rPr>
                <w:t>36</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6.</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36">
              <w:r>
                <w:rPr>
                  <w:rStyle w:val="InternetLink"/>
                  <w:rFonts w:ascii="Times New Roman;serif" w:hAnsi="Times New Roman;serif"/>
                  <w:b w:val="false"/>
                  <w:color w:val="0000FF"/>
                  <w:sz w:val="22"/>
                  <w:u w:val="single"/>
                </w:rPr>
                <w:t>Exhibits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36">
              <w:r>
                <w:rPr>
                  <w:rStyle w:val="InternetLink"/>
                  <w:rFonts w:ascii="Times New Roman;serif" w:hAnsi="Times New Roman;serif"/>
                  <w:b w:val="false"/>
                  <w:color w:val="0000FF"/>
                  <w:sz w:val="22"/>
                  <w:u w:val="single"/>
                </w:rPr>
                <w:t>37</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318b19aa83496a9896823004974e70_439">
              <w:r>
                <w:rPr>
                  <w:rStyle w:val="InternetLink"/>
                  <w:rFonts w:ascii="Times New Roman;serif" w:hAnsi="Times New Roman;serif"/>
                  <w:b w:val="false"/>
                  <w:color w:val="0000FF"/>
                  <w:sz w:val="22"/>
                  <w:u w:val="single"/>
                </w:rPr>
                <w:t>Signature</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18b19aa83496a9896823004974e70_439">
              <w:r>
                <w:rPr>
                  <w:rStyle w:val="InternetLink"/>
                  <w:rFonts w:ascii="Times New Roman;serif" w:hAnsi="Times New Roman;serif"/>
                  <w:b w:val="false"/>
                  <w:color w:val="0000FF"/>
                  <w:sz w:val="22"/>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bookmarkStart w:id="1" w:name="i8e7b9882ccc64fafbaa9558ccfc673b5_82"/>
      <w:bookmarkEnd w:id="1"/>
      <w:r>
        <w:rPr>
          <w:rFonts w:ascii="Times New Roman;serif" w:hAnsi="Times New Roman;serif"/>
          <w:b/>
          <w:color w:val="000000"/>
          <w:sz w:val="22"/>
        </w:rPr>
        <w:t>CONSOLIDATED BALANCE SHEETS</w:t>
      </w:r>
    </w:p>
    <w:p>
      <w:pPr>
        <w:pStyle w:val="TextBody"/>
        <w:bidi w:val="0"/>
        <w:spacing w:lineRule="auto" w:line="288" w:before="0" w:after="0"/>
        <w:jc w:val="center"/>
        <w:rPr/>
      </w:pPr>
      <w:r>
        <w:rPr>
          <w:rFonts w:ascii="Times New Roman;serif" w:hAnsi="Times New Roman;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792"/>
        <w:gridCol w:w="2182"/>
        <w:gridCol w:w="2132"/>
        <w:gridCol w:w="215"/>
        <w:gridCol w:w="959"/>
        <w:gridCol w:w="119"/>
        <w:gridCol w:w="109"/>
        <w:gridCol w:w="109"/>
        <w:gridCol w:w="109"/>
        <w:gridCol w:w="236"/>
        <w:gridCol w:w="1052"/>
        <w:gridCol w:w="191"/>
      </w:tblGrid>
      <w:tr>
        <w:trPr/>
        <w:tc>
          <w:tcPr>
            <w:tcW w:w="2792"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208,804 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269,638 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3,114,432 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806" w:type="dxa"/>
            <w:gridSpan w:val="6"/>
            <w:tcBorders/>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2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799,879 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878,646 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1,043,034 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1,046,380 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752,605 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2,715,665 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2,834,742 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2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Bloomin’ Brands stockholders’ equity</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25,000,000 shares authorized; no shares issued and outstanding as of March 29, 2026 and December 28, 2025</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475,000,000 shares authorized; 85,408,968 and 85,221,767 shares issued and outstanding as of March 29, 2026 and December 28, 2025, respectively</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Bloomin’ Brands stockholders’ equity</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395,527 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333,602 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398,767 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337,165 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3,114,432 </w:t>
            </w:r>
          </w:p>
        </w:tc>
        <w:tc>
          <w:tcPr>
            <w:tcW w:w="1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1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47"/>
        <w:gridCol w:w="1931"/>
        <w:gridCol w:w="1942"/>
        <w:gridCol w:w="109"/>
        <w:gridCol w:w="109"/>
        <w:gridCol w:w="164"/>
        <w:gridCol w:w="164"/>
        <w:gridCol w:w="295"/>
        <w:gridCol w:w="1314"/>
        <w:gridCol w:w="164"/>
        <w:gridCol w:w="109"/>
        <w:gridCol w:w="109"/>
        <w:gridCol w:w="109"/>
        <w:gridCol w:w="230"/>
        <w:gridCol w:w="1024"/>
        <w:gridCol w:w="185"/>
      </w:tblGrid>
      <w:tr>
        <w:trPr/>
        <w:tc>
          <w:tcPr>
            <w:tcW w:w="2247"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66" w:type="dxa"/>
            <w:gridSpan w:val="6"/>
            <w:tcBorders/>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1,041,826 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1,059,673 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1,049,594 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320,209 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258,135 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1,000,570 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992,363 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59,103 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57,231 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46,691 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46,044 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56,804 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43,850 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57,236 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43,596 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55,654 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42,152 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61,454 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258,614 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59,872 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257,170 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85,278 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85,751 </w:t>
            </w:r>
          </w:p>
        </w:tc>
        <w:tc>
          <w:tcPr>
            <w:tcW w:w="1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85,130 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w:t>
      </w:r>
      <w:bookmarkStart w:id="2" w:name="i8cbd949dc266477c81d7ff6641f1c4ce_141"/>
      <w:bookmarkEnd w:id="2"/>
      <w:r>
        <w:rPr>
          <w:rFonts w:ascii="Times New Roman;serif" w:hAnsi="Times New Roman;serif"/>
          <w:b w:val="false"/>
          <w:color w:val="000000"/>
          <w:sz w:val="22"/>
        </w:rPr>
        <w:t>e accompanying notes are an integral part of these unaudited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324"/>
        <w:gridCol w:w="1070"/>
        <w:gridCol w:w="182"/>
        <w:gridCol w:w="109"/>
        <w:gridCol w:w="109"/>
        <w:gridCol w:w="109"/>
        <w:gridCol w:w="409"/>
        <w:gridCol w:w="1163"/>
        <w:gridCol w:w="229"/>
        <w:gridCol w:w="109"/>
        <w:gridCol w:w="109"/>
        <w:gridCol w:w="10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28, 2025</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85,222 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(917,597)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337,165 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March 29, 2026</w:t>
            </w:r>
          </w:p>
        </w:tc>
        <w:tc>
          <w:tcPr>
            <w:tcW w:w="64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85,409 </w:t>
            </w:r>
          </w:p>
        </w:tc>
        <w:tc>
          <w:tcPr>
            <w:tcW w:w="2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1,243,290 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(861,943)</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22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398,767 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bl>
    <w:tbl>
      <w:tblPr>
        <w:tblW w:w="11601" w:type="dxa"/>
        <w:jc w:val="left"/>
        <w:tblInd w:w="0" w:type="dxa"/>
        <w:tblLayout w:type="fixed"/>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29,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84,855 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(925,834)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$0.15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March 30, 2025</w:t>
            </w:r>
          </w:p>
        </w:tc>
        <w:tc>
          <w:tcPr>
            <w:tcW w:w="64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84,987 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1,261,204 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(883,682)</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384,850 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18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(1)Net of shares withheld for employee taxes.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6"/>
        <w:gridCol w:w="2249"/>
        <w:gridCol w:w="2268"/>
        <w:gridCol w:w="249"/>
        <w:gridCol w:w="936"/>
        <w:gridCol w:w="138"/>
        <w:gridCol w:w="109"/>
        <w:gridCol w:w="109"/>
        <w:gridCol w:w="109"/>
        <w:gridCol w:w="246"/>
        <w:gridCol w:w="928"/>
        <w:gridCol w:w="198"/>
      </w:tblGrid>
      <w:tr>
        <w:trPr/>
        <w:tc>
          <w:tcPr>
            <w:tcW w:w="266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7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3" w:name="i5fdefb80566144de9c37b2a8d614cddd_3-0-1-"/>
            <w:bookmarkEnd w:id="3"/>
            <w:r>
              <w:rPr>
                <w:rFonts w:ascii="Times New Roman;serif" w:hAnsi="Times New Roman;serif"/>
                <w:b w:val="false"/>
                <w:color w:val="000000"/>
                <w:sz w:val="18"/>
              </w:rPr>
              <w:t>Cash flows provided by operating activities:</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43,596 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56,804 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43,850 </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from continuing operations to cash provided by operating activities of continuing operations:</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gift card sales commissions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on installment receivable from sale of business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continuing operations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75,409 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70,840 </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 of discontinued operations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75,299 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73,465 </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provided by investing activities:</w:t>
            </w:r>
          </w:p>
        </w:tc>
        <w:tc>
          <w:tcPr>
            <w:tcW w:w="13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foreign currency forward contracts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sale, net of tax withheld and cash left in business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95,863 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 of continuing operations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(25,182)</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41,356 </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discontinued operations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(25,182)</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39,733 </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699" w:type="dxa"/>
            <w:gridSpan w:val="6"/>
            <w:tcBorders/>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financing activities:</w:t>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finance lease obligations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taxes from share-based compensation,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of continuing operations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(38,243)</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(125,175)</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of discontinued operations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(38,243)</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(125,240)</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8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118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11,839 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(12,365)</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beginning of the period</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end of the period</w:t>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71,300 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57,691 </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32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activities:</w:t>
            </w:r>
          </w:p>
        </w:tc>
        <w:tc>
          <w:tcPr>
            <w:tcW w:w="1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current liabilities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2"/>
        </w:rPr>
      </w:pPr>
      <w:bookmarkStart w:id="4" w:name="ide16e77682e14e33bead79dfb1b2968d_105"/>
      <w:bookmarkEnd w:id="4"/>
      <w:r>
        <w:rPr>
          <w:rFonts w:ascii="Times New Roman;serif" w:hAnsi="Times New Roman;serif"/>
          <w:b w:val="false"/>
          <w:color w:val="000000"/>
          <w:sz w:val="22"/>
        </w:rPr>
        <w:t>The accompanying notes are an integral part of these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color w:val="000000"/>
          <w:sz w:val="22"/>
        </w:rPr>
      </w:pPr>
      <w:bookmarkStart w:id="5" w:name="i9bc4416bcd4144fcb93116d2a50c5a85_2201"/>
      <w:bookmarkEnd w:id="5"/>
      <w:r>
        <w:rPr>
          <w:rFonts w:ascii="Times New Roman;serif" w:hAnsi="Times New Roman;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Description of the Business - </w:t>
      </w:r>
      <w:r>
        <w:rPr>
          <w:rFonts w:ascii="Times New Roman;serif" w:hAnsi="Times New Roman;serif"/>
          <w:b w:val="false"/>
          <w:color w:val="000000"/>
          <w:sz w:val="22"/>
        </w:rPr>
        <w:t>Bloomin’ Brands, Inc. (“Bloomin’ Brands” or the “Company”), a holding company that conducts its operations through its subsidiaries, is one of the largest casual dining restaurant companies in the world, with a portfolio of leading, differentiated restaurant concepts. OSI Restaurant Partners, LLC (“OSI”) is the Company’s primary operating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owns and operates casual, polished casual and fine dining restaurants. The Company’s restaurant portfolio includes Outback Steakhouse, Carrabba’s Italian Grill, Bonefish Grill and Fleming’s Prime Steakhouse &amp; Wine Bar. Additional Outback Steakhouse, Carrabba’s Italian Grill and Bonefish Grill restaurants are operated under franchise agreements.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Basis of Presentation - </w:t>
      </w:r>
      <w:r>
        <w:rPr>
          <w:rFonts w:ascii="Times New Roman;serif" w:hAnsi="Times New Roman;serif"/>
          <w:b w:val="false"/>
          <w:color w:val="000000"/>
          <w:sz w:val="22"/>
        </w:rPr>
        <w:t xml:space="preserve">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The Company utilizes a </w:t>
      </w:r>
      <w:bookmarkStart w:id="6" w:name="i9bc4416bcd4144fcb93116d2a50c5a85_2234"/>
      <w:bookmarkEnd w:id="6"/>
      <w:r>
        <w:rPr>
          <w:rFonts w:ascii="Times New Roman;serif" w:hAnsi="Times New Roman;serif"/>
          <w:b w:val="false"/>
          <w:color w:val="000000"/>
          <w:sz w:val="22"/>
        </w:rPr>
        <w:t xml:space="preserve">52-53-week year ending on the last Sunday in December and its fiscal year ending December 27, 2026 will contain 52 weeks. In the opinion of the Company, all adjustments necessary for fair statement of results for the periods presented have been included and are of a normal, recurring nature. The results of operations for interim periods are not necessarily indicative of the results to be expected for the full year. Unless otherwise noted, disclosures within these Notes to Consolidated Financial Statements relate solely to the Company’s continuing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financial statements should be read in conjunction with the audited financial statements and notes thereto included in the Company’s Annual Report on Form 10-K for the year ended December 28, 2025. 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Reclassifications</w:t>
      </w:r>
      <w:r>
        <w:rPr>
          <w:color w:val="000000"/>
        </w:rPr>
        <w:t xml:space="preserve"> </w:t>
      </w:r>
      <w:r>
        <w:rPr>
          <w:rFonts w:ascii="Times New Roman;serif" w:hAnsi="Times New Roman;serif"/>
          <w:b w:val="false"/>
          <w:color w:val="000000"/>
          <w:sz w:val="22"/>
        </w:rPr>
        <w:t>- The Company reclassified certain immaterial amounts in prior period financial statements to conform to the current period’s presentation. These reclassifications had no effect on previously reported Net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rPr>
        <w:t>Recently Issued Financial Accounting Standards Not Yet Adopted</w:t>
      </w:r>
      <w:r>
        <w:rPr>
          <w:color w:val="000000"/>
        </w:rPr>
        <w:t xml:space="preserve"> </w:t>
      </w:r>
      <w:r>
        <w:rPr>
          <w:rFonts w:ascii="Times New Roman;serif" w:hAnsi="Times New Roman;serif"/>
          <w:b w:val="false"/>
          <w:color w:val="000000"/>
          <w:sz w:val="22"/>
        </w:rPr>
        <w:t>- 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fiscal years beginning after December 15, 2026 and interim periods within fiscal years beginning after December 15, 2027, with early adoption permitted. ASU No. 2024-03 may be applied either prospectively for reporting periods after the effective date or retrospectively to prior periods presented. The Company is currently evaluating the impact ASU No. 2024-03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Recent accounting guidance not discussed herein is not applicable, did not have or is not expected to have a material </w:t>
      </w:r>
      <w:bookmarkStart w:id="7" w:name="i76c8cf2c64744045976204e6949262f1_1755"/>
      <w:bookmarkEnd w:id="7"/>
      <w:r>
        <w:rPr>
          <w:rFonts w:ascii="Times New Roman;serif" w:hAnsi="Times New Roman;serif"/>
          <w:b w:val="false"/>
          <w:color w:val="000000"/>
          <w:sz w:val="22"/>
        </w:rPr>
        <w:t>impact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2.    </w:t>
      </w:r>
      <w:bookmarkStart w:id="8" w:name="idcc1ed44ac3f4457bf462dec6380f4cc_635"/>
      <w:bookmarkEnd w:id="8"/>
      <w:r>
        <w:rPr>
          <w:rFonts w:ascii="Times New Roman;serif" w:hAnsi="Times New Roman;serif"/>
          <w:b w:val="false"/>
          <w:color w:val="000000"/>
          <w:sz w:val="22"/>
        </w:rPr>
        <w:t>Equity Method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December 30, 2024, an indirect wholly owned subsidiary of the Company completed the sale of 67% of the ownership interest in its business in Brazil to a fund managed by an affiliate of Vinci Partners Investments Ltd.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Brazil Sale Transaction”). Following the closing, the Brazil restaurants began operating as unconsolidated franchisees and the Company retained a 33% interest, which is accounted for using the equity method of accounting. To ensure timely reporting, the Company records the results of the equity method investment in Brazil on a calendar basis one-month lag.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rollforward of the Company’s equity method investment for the periods indicated:</w:t>
      </w:r>
    </w:p>
    <w:p>
      <w:pPr>
        <w:pStyle w:val="TextBody"/>
        <w:bidi w:val="0"/>
        <w:spacing w:before="100" w:after="283"/>
        <w:jc w:val="both"/>
        <w:rPr/>
      </w:pPr>
      <w:r>
        <w:rPr/>
      </w:r>
    </w:p>
    <w:tbl>
      <w:tblPr>
        <w:tblW w:w="7775" w:type="dxa"/>
        <w:jc w:val="left"/>
        <w:tblInd w:w="0" w:type="dxa"/>
        <w:tblLayout w:type="fixed"/>
        <w:tblCellMar>
          <w:top w:w="28" w:type="dxa"/>
          <w:left w:w="28" w:type="dxa"/>
          <w:bottom w:w="28" w:type="dxa"/>
          <w:right w:w="28" w:type="dxa"/>
        </w:tblCellMar>
      </w:tblPr>
      <w:tblGrid>
        <w:gridCol w:w="1280"/>
        <w:gridCol w:w="1128"/>
        <w:gridCol w:w="1132"/>
        <w:gridCol w:w="109"/>
        <w:gridCol w:w="109"/>
        <w:gridCol w:w="207"/>
        <w:gridCol w:w="207"/>
        <w:gridCol w:w="372"/>
        <w:gridCol w:w="1227"/>
        <w:gridCol w:w="207"/>
        <w:gridCol w:w="109"/>
        <w:gridCol w:w="109"/>
        <w:gridCol w:w="109"/>
        <w:gridCol w:w="289"/>
        <w:gridCol w:w="954"/>
        <w:gridCol w:w="227"/>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63,967 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retained interest at sale closing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59,863 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66,404 </w:t>
            </w:r>
          </w:p>
        </w:tc>
        <w:tc>
          <w:tcPr>
            <w:tcW w:w="2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61,776 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3.    </w:t>
      </w:r>
      <w:bookmarkStart w:id="9" w:name="ibb9ad7c82acb44008202de176641f476_775"/>
      <w:bookmarkEnd w:id="9"/>
      <w:r>
        <w:rPr>
          <w:rFonts w:ascii="Times New Roman;serif" w:hAnsi="Times New Roman;serif"/>
          <w:b w:val="false"/>
          <w:color w:val="000000"/>
          <w:sz w:val="22"/>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the disaggregation of Restaurant sales and franchise revenues by restaurant concept and segment for the periods indicated:</w:t>
      </w:r>
    </w:p>
    <w:tbl>
      <w:tblPr>
        <w:tblW w:w="10205" w:type="dxa"/>
        <w:jc w:val="left"/>
        <w:tblInd w:w="0" w:type="dxa"/>
        <w:tblLayout w:type="fixed"/>
        <w:tblCellMar>
          <w:top w:w="28" w:type="dxa"/>
          <w:left w:w="28" w:type="dxa"/>
          <w:bottom w:w="28" w:type="dxa"/>
          <w:right w:w="28" w:type="dxa"/>
        </w:tblCellMar>
      </w:tblPr>
      <w:tblGrid>
        <w:gridCol w:w="919"/>
        <w:gridCol w:w="768"/>
        <w:gridCol w:w="771"/>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5"/>
        <w:gridCol w:w="282"/>
      </w:tblGrid>
      <w:tr>
        <w:trPr/>
        <w:tc>
          <w:tcPr>
            <w:tcW w:w="91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6125" w:type="dxa"/>
            <w:gridSpan w:val="18"/>
            <w:tcBorders/>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4062" w:type="dxa"/>
            <w:gridSpan w:val="12"/>
            <w:tcBorders/>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2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597,481 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1,032,191 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8,665 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1,020,130 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8,935 </w:t>
            </w:r>
          </w:p>
        </w:tc>
        <w:tc>
          <w:tcPr>
            <w:tcW w:w="28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(1)</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1,041,826 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16,251 </w:t>
            </w:r>
          </w:p>
        </w:tc>
        <w:tc>
          <w:tcPr>
            <w:tcW w:w="2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1,029,517 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18,240 </w:t>
            </w:r>
          </w:p>
        </w:tc>
        <w:tc>
          <w:tcPr>
            <w:tcW w:w="2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thirteen weeks ended March 30, 2025 includes one additional month of pre-Brazil Sale Transaction intercompany royalties.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Restaurant sales for Company-owned restaurants in Hong Kong.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pPr>
      <w:r>
        <w:rPr>
          <w:rFonts w:ascii="Times New Roman;serif" w:hAnsi="Times New Roman;serif"/>
          <w:b w:val="false"/>
          <w:i/>
          <w:color w:val="000000"/>
          <w:sz w:val="22"/>
        </w:rPr>
        <w:t>Franchise Revenue</w:t>
      </w:r>
      <w:r>
        <w:rPr>
          <w:color w:val="000000"/>
        </w:rPr>
        <w:t xml:space="preserve"> </w:t>
      </w:r>
      <w:r>
        <w:rPr>
          <w:rFonts w:ascii="Times New Roman;serif" w:hAnsi="Times New Roman;serif"/>
          <w:b w:val="false"/>
          <w:color w:val="000000"/>
          <w:sz w:val="22"/>
        </w:rPr>
        <w:t xml:space="preserve">- Effective December 31, 2023, the Company entered into an Amended &amp; Restated Holistic Resolution Agreement (the “2023 Resolution Agreement”) with Cerca Trova Southwest Restaurant Group, LLC (d/b/a Out West Restaurant Group) and certain of its affiliates (collectively, “Out West”), who currently operate 72 franchised Outback Steakhouse restaurants in the western United States. The 2023 Resolution Agreement provided for forbearance regarding prior defaults and established operating covenants to maintain such forbearance. Subsequent to the thirteen weeks ended March 29, 2026, the Company received notice from the agent for Out West’s senior lender that Out West was in default of its separate Credit and Guaranty Agreement, dated as of April 25, 2017 (as amended or otherwise modified from time to time, the "Credit Agreement”) and Forbearance Agreement and Fourth Amendment to Credit and Guaranty Agreement (the “Forbearance Agreement”) with such agent and senior lenders as Out West was no longer in compliance with one or more covenants of such agreements. The senior agent and lenders have not yet elected to take any specific actions with respect to the default notice and have not yet elected to terminate the Forbearance Agreement, Credit Agreement, or other credit documents. Out West continues to operate its restaurants in the ordinary course and was current in its obligations to the Company as of March 29, 2026, including payment of royalties and other fees. If the senior lenders exercise their rights under their forbearance agreement with respect to this default, or the forbearance agreement expires or is terminated, the lenders have a priority right to payment of amounts due and may exercise creditor remedies against Out West, subject to applicable law and loan documents, including foreclosure on Out West’s assets. At this time, the Company is unable to predict the outcome of this process, possible actions by Out West’s lenders or any alternatives the Company may consider. The Company is working with Out West and other parties to mitigate potential disruptions and actively evaluating operational, contractual and strategic alternatives to address Out West’s near-term liquidity constraints and longer-term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assets and liabilities from contracts with customers included on the Company’s Consolidated Balance Sheets as of the periods indicated:</w:t>
      </w:r>
    </w:p>
    <w:tbl>
      <w:tblPr>
        <w:tblW w:w="6906" w:type="dxa"/>
        <w:jc w:val="center"/>
        <w:tblInd w:w="0" w:type="dxa"/>
        <w:tblLayout w:type="fixed"/>
        <w:tblCellMar>
          <w:top w:w="28" w:type="dxa"/>
          <w:left w:w="28" w:type="dxa"/>
          <w:bottom w:w="28" w:type="dxa"/>
          <w:right w:w="28" w:type="dxa"/>
        </w:tblCellMar>
      </w:tblPr>
      <w:tblGrid>
        <w:gridCol w:w="992"/>
        <w:gridCol w:w="875"/>
        <w:gridCol w:w="878"/>
        <w:gridCol w:w="268"/>
        <w:gridCol w:w="1008"/>
        <w:gridCol w:w="149"/>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370,439 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loyalty revenue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current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Unearned revenue</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321,388 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377,933 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non-current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deferred gift card sales commissions for the periods indicated:</w:t>
      </w:r>
    </w:p>
    <w:tbl>
      <w:tblPr>
        <w:tblW w:w="7939" w:type="dxa"/>
        <w:jc w:val="center"/>
        <w:tblInd w:w="0" w:type="dxa"/>
        <w:tblLayout w:type="fixed"/>
        <w:tblCellMar>
          <w:top w:w="28" w:type="dxa"/>
          <w:left w:w="28" w:type="dxa"/>
          <w:bottom w:w="28" w:type="dxa"/>
          <w:right w:w="28" w:type="dxa"/>
        </w:tblCellMar>
      </w:tblPr>
      <w:tblGrid>
        <w:gridCol w:w="1339"/>
        <w:gridCol w:w="1180"/>
        <w:gridCol w:w="1185"/>
        <w:gridCol w:w="109"/>
        <w:gridCol w:w="109"/>
        <w:gridCol w:w="207"/>
        <w:gridCol w:w="207"/>
        <w:gridCol w:w="372"/>
        <w:gridCol w:w="1227"/>
        <w:gridCol w:w="207"/>
        <w:gridCol w:w="109"/>
        <w:gridCol w:w="109"/>
        <w:gridCol w:w="109"/>
        <w:gridCol w:w="289"/>
        <w:gridCol w:w="954"/>
        <w:gridCol w:w="227"/>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capitalization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2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13,127 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unearned gift card revenue for the periods indicated:</w:t>
      </w:r>
    </w:p>
    <w:tbl>
      <w:tblPr>
        <w:tblW w:w="6647" w:type="dxa"/>
        <w:jc w:val="center"/>
        <w:tblInd w:w="0" w:type="dxa"/>
        <w:tblLayout w:type="fixed"/>
        <w:tblCellMar>
          <w:top w:w="28" w:type="dxa"/>
          <w:left w:w="28" w:type="dxa"/>
          <w:bottom w:w="28" w:type="dxa"/>
          <w:right w:w="28" w:type="dxa"/>
        </w:tblCellMar>
      </w:tblPr>
      <w:tblGrid>
        <w:gridCol w:w="873"/>
        <w:gridCol w:w="769"/>
        <w:gridCol w:w="772"/>
        <w:gridCol w:w="109"/>
        <w:gridCol w:w="109"/>
        <w:gridCol w:w="192"/>
        <w:gridCol w:w="192"/>
        <w:gridCol w:w="345"/>
        <w:gridCol w:w="1298"/>
        <w:gridCol w:w="192"/>
        <w:gridCol w:w="109"/>
        <w:gridCol w:w="109"/>
        <w:gridCol w:w="109"/>
        <w:gridCol w:w="265"/>
        <w:gridCol w:w="996"/>
        <w:gridCol w:w="208"/>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6"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370,439 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366,059 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redemptions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breakage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313,425 </w:t>
            </w:r>
          </w:p>
        </w:tc>
        <w:tc>
          <w:tcPr>
            <w:tcW w:w="1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10" w:name="ib5b02f53b1b14ec1af04d760016d6d17_6-7-1-"/>
            <w:bookmarkEnd w:id="10"/>
            <w:r>
              <w:rPr>
                <w:rFonts w:ascii="Times New Roman;serif" w:hAnsi="Times New Roman;serif"/>
                <w:b w:val="false"/>
                <w:color w:val="000000"/>
                <w:sz w:val="18"/>
              </w:rPr>
              <w:t>308,738 </w:t>
            </w:r>
          </w:p>
        </w:tc>
        <w:tc>
          <w:tcPr>
            <w:tcW w:w="2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4.    Earnings Per Share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computation of basic and diluted earnings per share for the periods indicated:</w:t>
      </w:r>
    </w:p>
    <w:tbl>
      <w:tblPr>
        <w:tblW w:w="9409" w:type="dxa"/>
        <w:jc w:val="left"/>
        <w:tblInd w:w="0" w:type="dxa"/>
        <w:tblLayout w:type="fixed"/>
        <w:tblCellMar>
          <w:top w:w="28" w:type="dxa"/>
          <w:left w:w="28" w:type="dxa"/>
          <w:bottom w:w="28" w:type="dxa"/>
          <w:right w:w="28" w:type="dxa"/>
        </w:tblCellMar>
      </w:tblPr>
      <w:tblGrid>
        <w:gridCol w:w="1875"/>
        <w:gridCol w:w="1646"/>
        <w:gridCol w:w="1653"/>
        <w:gridCol w:w="109"/>
        <w:gridCol w:w="109"/>
        <w:gridCol w:w="207"/>
        <w:gridCol w:w="207"/>
        <w:gridCol w:w="372"/>
        <w:gridCol w:w="1227"/>
        <w:gridCol w:w="207"/>
        <w:gridCol w:w="109"/>
        <w:gridCol w:w="109"/>
        <w:gridCol w:w="109"/>
        <w:gridCol w:w="289"/>
        <w:gridCol w:w="954"/>
        <w:gridCol w:w="227"/>
      </w:tblGrid>
      <w:tr>
        <w:trPr/>
        <w:tc>
          <w:tcPr>
            <w:tcW w:w="187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55,654 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42,152 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55,222 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42,406 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85,278 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85,751 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85,130 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convertible senior notes and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5.    </w:t>
      </w:r>
      <w:bookmarkStart w:id="11" w:name="iac461f2664c8406482ca9719b2f8e0ab_41"/>
      <w:bookmarkEnd w:id="11"/>
      <w:r>
        <w:rPr>
          <w:rFonts w:ascii="Times New Roman;serif" w:hAnsi="Times New Roman;serif"/>
          <w:b w:val="false"/>
          <w:color w:val="000000"/>
          <w:sz w:val="22"/>
        </w:rPr>
        <w:t>Stock-based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2" w:name="i8c3821c8a5d94e1bbe7f00a34f7badf3_949"/>
      <w:bookmarkEnd w:id="12"/>
      <w:r>
        <w:rPr>
          <w:rFonts w:ascii="Times New Roman;serif" w:hAnsi="Times New Roman;serif"/>
          <w:b w:val="false"/>
          <w:color w:val="000000"/>
          <w:sz w:val="22"/>
        </w:rPr>
        <w:t>The following table presents a summary of the Company’s performance-based share units (“PSUs”) and restricted stock units (“RSUs”) activity:</w:t>
      </w:r>
    </w:p>
    <w:tbl>
      <w:tblPr>
        <w:tblW w:w="10205" w:type="dxa"/>
        <w:jc w:val="left"/>
        <w:tblInd w:w="0" w:type="dxa"/>
        <w:tblLayout w:type="fixed"/>
        <w:tblCellMar>
          <w:top w:w="28" w:type="dxa"/>
          <w:left w:w="28" w:type="dxa"/>
          <w:bottom w:w="28" w:type="dxa"/>
          <w:right w:w="28" w:type="dxa"/>
        </w:tblCellMar>
      </w:tblPr>
      <w:tblGrid>
        <w:gridCol w:w="749"/>
        <w:gridCol w:w="591"/>
        <w:gridCol w:w="593"/>
        <w:gridCol w:w="277"/>
        <w:gridCol w:w="279"/>
        <w:gridCol w:w="161"/>
        <w:gridCol w:w="109"/>
        <w:gridCol w:w="109"/>
        <w:gridCol w:w="109"/>
        <w:gridCol w:w="278"/>
        <w:gridCol w:w="278"/>
        <w:gridCol w:w="166"/>
        <w:gridCol w:w="109"/>
        <w:gridCol w:w="109"/>
        <w:gridCol w:w="109"/>
        <w:gridCol w:w="316"/>
        <w:gridCol w:w="898"/>
        <w:gridCol w:w="176"/>
        <w:gridCol w:w="176"/>
        <w:gridCol w:w="176"/>
        <w:gridCol w:w="176"/>
        <w:gridCol w:w="316"/>
        <w:gridCol w:w="898"/>
        <w:gridCol w:w="176"/>
        <w:gridCol w:w="109"/>
        <w:gridCol w:w="109"/>
        <w:gridCol w:w="109"/>
        <w:gridCol w:w="227"/>
        <w:gridCol w:w="646"/>
        <w:gridCol w:w="126"/>
        <w:gridCol w:w="126"/>
        <w:gridCol w:w="126"/>
        <w:gridCol w:w="126"/>
        <w:gridCol w:w="227"/>
        <w:gridCol w:w="751"/>
        <w:gridCol w:w="189"/>
      </w:tblGrid>
      <w:tr>
        <w:trPr/>
        <w:tc>
          <w:tcPr>
            <w:tcW w:w="74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(1)</w:t>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unit data)</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5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28, 2025</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9,920 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(2)</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adjustment (3)</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March 29, 2026</w:t>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March 29, 2026 (4)</w:t>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(1)Based on the $6.79 and $5.26 share price of the Company’s common stock on the last trading day of the year ended December 28, 2025 and the thirteen weeks ended March 29, 2026, respectively.</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(2)For PSUs, a new performance structure was used for certain grants beginning in 2025. The new structure contains separate performance goals that are set at the beginning of each of the three annual performance periods and units earned based on performance will cliff vest after three years.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(3)Represents adjustment to 0% payout for PSUs granted during 2023 and adjustment to 67% payout for the first annual performance period for PSUs granted during 2025.</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(4)For PSUs, the estimated number of units to be issued upon the vesting of outstanding PSUs is based on Company performance projections of performance criteria set forth in the 2024, 2025 and 2026 PSU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3" w:name="i142bc118c8e54d5fb981ed871ad5af5b_141"/>
      <w:bookmarkEnd w:id="13"/>
      <w:r>
        <w:rPr>
          <w:rFonts w:ascii="Times New Roman;serif" w:hAnsi="Times New Roman;serif"/>
          <w:b w:val="false"/>
          <w:color w:val="000000"/>
          <w:sz w:val="22"/>
        </w:rPr>
        <w:t>The following represents unrecognized stock-based compensation expense and the remaining weighted average recognition period as of March 29, 2026:</w:t>
      </w:r>
    </w:p>
    <w:tbl>
      <w:tblPr>
        <w:tblW w:w="10205" w:type="dxa"/>
        <w:jc w:val="left"/>
        <w:tblInd w:w="0" w:type="dxa"/>
        <w:tblLayout w:type="fixed"/>
        <w:tblCellMar>
          <w:top w:w="28" w:type="dxa"/>
          <w:left w:w="28" w:type="dxa"/>
          <w:bottom w:w="28" w:type="dxa"/>
          <w:right w:w="28" w:type="dxa"/>
        </w:tblCellMar>
      </w:tblPr>
      <w:tblGrid>
        <w:gridCol w:w="760"/>
        <w:gridCol w:w="668"/>
        <w:gridCol w:w="670"/>
        <w:gridCol w:w="647"/>
        <w:gridCol w:w="2135"/>
        <w:gridCol w:w="361"/>
        <w:gridCol w:w="109"/>
        <w:gridCol w:w="109"/>
        <w:gridCol w:w="109"/>
        <w:gridCol w:w="1356"/>
        <w:gridCol w:w="1356"/>
        <w:gridCol w:w="192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 AVERAGE RECOGNITION PERIOD (in years)</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Performance-based share units</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8,149 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14" w:name="if3e6b31f06454e3690107eb8a927adce_47"/>
      <w:bookmarkEnd w:id="14"/>
      <w:r>
        <w:rPr>
          <w:rFonts w:ascii="Times New Roman;serif" w:hAnsi="Times New Roman;serif"/>
          <w:b w:val="false"/>
          <w:color w:val="000000"/>
          <w:sz w:val="22"/>
        </w:rPr>
        <w:t>6.    Supplemental Balance Sheet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5" w:name="i613893aeee8441febe0c033365df09c7_321"/>
      <w:bookmarkEnd w:id="15"/>
      <w:r>
        <w:rPr>
          <w:rFonts w:ascii="Times New Roman;serif" w:hAnsi="Times New Roman;serif"/>
          <w:b w:val="false"/>
          <w:i/>
          <w:color w:val="000000"/>
          <w:sz w:val="22"/>
        </w:rPr>
        <w:t>Other current assets, net</w:t>
      </w:r>
      <w:r>
        <w:rPr>
          <w:rFonts w:ascii="Times New Roman;serif" w:hAnsi="Times New Roman;serif"/>
          <w:b w:val="false"/>
          <w:color w:val="000000"/>
          <w:sz w:val="22"/>
        </w:rPr>
        <w:t>, consisted of the following as of the periods indicated:</w:t>
      </w:r>
    </w:p>
    <w:tbl>
      <w:tblPr>
        <w:tblW w:w="6514" w:type="dxa"/>
        <w:jc w:val="left"/>
        <w:tblInd w:w="0" w:type="dxa"/>
        <w:tblLayout w:type="fixed"/>
        <w:tblCellMar>
          <w:top w:w="28" w:type="dxa"/>
          <w:left w:w="28" w:type="dxa"/>
          <w:bottom w:w="28" w:type="dxa"/>
          <w:right w:w="28" w:type="dxa"/>
        </w:tblCellMar>
      </w:tblPr>
      <w:tblGrid>
        <w:gridCol w:w="1009"/>
        <w:gridCol w:w="889"/>
        <w:gridCol w:w="892"/>
        <w:gridCol w:w="293"/>
        <w:gridCol w:w="968"/>
        <w:gridCol w:w="163"/>
        <w:gridCol w:w="109"/>
        <w:gridCol w:w="109"/>
        <w:gridCol w:w="109"/>
        <w:gridCol w:w="322"/>
        <w:gridCol w:w="1209"/>
        <w:gridCol w:w="17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28,132 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24,018 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gift cards, net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vendors,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franchisees, net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other,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84,305 </w:t>
            </w:r>
          </w:p>
        </w:tc>
        <w:tc>
          <w:tcPr>
            <w:tcW w:w="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148,691 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left"/>
        <w:rPr/>
      </w:pPr>
      <w:r>
        <w:rPr>
          <w:rFonts w:ascii="Times New Roman;serif" w:hAnsi="Times New Roman;serif"/>
          <w:b w:val="false"/>
          <w:i/>
          <w:color w:val="000000"/>
          <w:sz w:val="22"/>
        </w:rPr>
        <w:t>Accrued and other current liabilities</w:t>
      </w:r>
      <w:r>
        <w:rPr>
          <w:color w:val="000000"/>
        </w:rPr>
        <w:t xml:space="preserve"> </w:t>
      </w:r>
      <w:r>
        <w:rPr>
          <w:rFonts w:ascii="Times New Roman;serif" w:hAnsi="Times New Roman;serif"/>
          <w:b w:val="false"/>
          <w:color w:val="000000"/>
          <w:sz w:val="22"/>
        </w:rPr>
        <w:t>consisted of the following as of the periods indicated:</w:t>
      </w:r>
    </w:p>
    <w:tbl>
      <w:tblPr>
        <w:tblW w:w="6492" w:type="dxa"/>
        <w:jc w:val="left"/>
        <w:tblInd w:w="0" w:type="dxa"/>
        <w:tblLayout w:type="fixed"/>
        <w:tblCellMar>
          <w:top w:w="28" w:type="dxa"/>
          <w:left w:w="28" w:type="dxa"/>
          <w:bottom w:w="28" w:type="dxa"/>
          <w:right w:w="28" w:type="dxa"/>
        </w:tblCellMar>
      </w:tblPr>
      <w:tblGrid>
        <w:gridCol w:w="1079"/>
        <w:gridCol w:w="951"/>
        <w:gridCol w:w="955"/>
        <w:gridCol w:w="268"/>
        <w:gridCol w:w="1008"/>
        <w:gridCol w:w="149"/>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other compensation</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43,223 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79,436 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156,929 </w:t>
            </w:r>
          </w:p>
        </w:tc>
        <w:tc>
          <w:tcPr>
            <w:tcW w:w="1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186,256 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6" w:name="i6e74b4f6ec164dfe9025c8347d23d3f2_310"/>
      <w:bookmarkEnd w:id="16"/>
      <w:r>
        <w:rPr>
          <w:rFonts w:ascii="Times New Roman;serif" w:hAnsi="Times New Roman;serif"/>
          <w:b w:val="false"/>
          <w:i/>
          <w:color w:val="000000"/>
          <w:sz w:val="22"/>
        </w:rPr>
        <w:t>Long-term debt, net</w:t>
      </w:r>
      <w:r>
        <w:rPr>
          <w:rFonts w:ascii="Times New Roman;serif" w:hAnsi="Times New Roman;serif"/>
          <w:b w:val="false"/>
          <w:color w:val="000000"/>
          <w:sz w:val="22"/>
        </w:rPr>
        <w:t>, consisted of the following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49"/>
        <w:gridCol w:w="1317"/>
        <w:gridCol w:w="196"/>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6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752,605 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787,425 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a maximum capacity of $1.2 billion and matures on September 19, 2029. Interest rate represents the weighted average interest rate as of the respective periods.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60"/>
        <w:jc w:val="both"/>
        <w:rPr/>
      </w:pPr>
      <w:r>
        <w:rPr>
          <w:rFonts w:ascii="Times New Roman;serif" w:hAnsi="Times New Roman;serif"/>
          <w:b w:val="false"/>
          <w:i/>
          <w:color w:val="000000"/>
          <w:sz w:val="22"/>
        </w:rPr>
        <w:t xml:space="preserve">Debt Covenants - </w:t>
      </w:r>
      <w:r>
        <w:rPr>
          <w:rFonts w:ascii="Times New Roman;serif" w:hAnsi="Times New Roman;serif"/>
          <w:b w:val="false"/>
          <w:color w:val="000000"/>
          <w:sz w:val="22"/>
        </w:rPr>
        <w:t>As of March 29, 2026 and December 28, 2025, the Company was in compliance with its debt c</w:t>
      </w:r>
      <w:bookmarkStart w:id="17" w:name="i3dff95e0e89d4cbcbb596335bba1d68f_94"/>
      <w:bookmarkEnd w:id="17"/>
      <w:r>
        <w:rPr>
          <w:rFonts w:ascii="Times New Roman;serif" w:hAnsi="Times New Roman;serif"/>
          <w:b w:val="false"/>
          <w:color w:val="000000"/>
          <w:sz w:val="22"/>
        </w:rPr>
        <w:t>ovenants.</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7.    </w:t>
      </w:r>
      <w:bookmarkStart w:id="18" w:name="i3108abd45acc4726bb5ee8e0e2ddd106_33"/>
      <w:bookmarkEnd w:id="18"/>
      <w:r>
        <w:rPr>
          <w:rFonts w:ascii="Times New Roman;serif" w:hAnsi="Times New Roman;serif"/>
          <w:b w:val="false"/>
          <w:color w:val="000000"/>
          <w:sz w:val="22"/>
        </w:rPr>
        <w:t xml:space="preserve">Stockholders’ Equity </w:t>
      </w:r>
    </w:p>
    <w:p>
      <w:pPr>
        <w:pStyle w:val="TextBody"/>
        <w:bidi w:val="0"/>
        <w:spacing w:before="0" w:after="0"/>
        <w:ind w:left="0" w:right="0" w:hanging="9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19" w:name="i3b2d01c9ca2c40cc8774cd2c4cac98f1_289"/>
      <w:bookmarkEnd w:id="19"/>
      <w:r>
        <w:rPr>
          <w:rFonts w:ascii="Times New Roman;serif" w:hAnsi="Times New Roman;serif"/>
          <w:b w:val="false"/>
          <w:i/>
          <w:color w:val="000000"/>
          <w:sz w:val="22"/>
        </w:rPr>
        <w:t xml:space="preserve">Accumulated Other Comprehensive Income (“AOCI”) </w:t>
      </w:r>
      <w:r>
        <w:rPr>
          <w:rFonts w:ascii="Times New Roman;serif" w:hAnsi="Times New Roman;serif"/>
          <w:b w:val="false"/>
          <w:color w:val="000000"/>
          <w:sz w:val="22"/>
        </w:rPr>
        <w:t>- The following table is a rollforward of the components of AOCI for the periods indicated:</w:t>
      </w:r>
    </w:p>
    <w:tbl>
      <w:tblPr>
        <w:tblW w:w="10205" w:type="dxa"/>
        <w:jc w:val="center"/>
        <w:tblInd w:w="0" w:type="dxa"/>
        <w:tblLayout w:type="fixed"/>
        <w:tblCellMar>
          <w:top w:w="28" w:type="dxa"/>
          <w:left w:w="28" w:type="dxa"/>
          <w:bottom w:w="28" w:type="dxa"/>
          <w:right w:w="28" w:type="dxa"/>
        </w:tblCellMar>
      </w:tblPr>
      <w:tblGrid>
        <w:gridCol w:w="2262"/>
        <w:gridCol w:w="1944"/>
        <w:gridCol w:w="1951"/>
        <w:gridCol w:w="109"/>
        <w:gridCol w:w="109"/>
        <w:gridCol w:w="193"/>
        <w:gridCol w:w="193"/>
        <w:gridCol w:w="348"/>
        <w:gridCol w:w="1149"/>
        <w:gridCol w:w="193"/>
        <w:gridCol w:w="109"/>
        <w:gridCol w:w="109"/>
        <w:gridCol w:w="109"/>
        <w:gridCol w:w="241"/>
        <w:gridCol w:w="990"/>
        <w:gridCol w:w="196"/>
      </w:tblGrid>
      <w:tr>
        <w:trPr/>
        <w:tc>
          <w:tcPr>
            <w:tcW w:w="2262"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54" w:type="dxa"/>
            <w:gridSpan w:val="6"/>
            <w:tcBorders/>
          </w:tcPr>
          <w:p>
            <w:pPr>
              <w:pStyle w:val="TableContents"/>
              <w:bidi w:val="0"/>
              <w:spacing w:before="0" w:after="283"/>
              <w:jc w:val="left"/>
              <w:rPr>
                <w:sz w:val="4"/>
                <w:szCs w:val="4"/>
              </w:rPr>
            </w:pPr>
            <w:r>
              <w:rPr>
                <w:sz w:val="4"/>
                <w:szCs w:val="4"/>
              </w:rPr>
            </w:r>
          </w:p>
        </w:tc>
      </w:tr>
      <w:tr>
        <w:trPr/>
        <w:tc>
          <w:tcPr>
            <w:tcW w:w="6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11,832 </w:t>
            </w:r>
          </w:p>
        </w:tc>
        <w:tc>
          <w:tcPr>
            <w:tcW w:w="19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on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realized in Net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19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9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4,218 </w:t>
            </w:r>
          </w:p>
        </w:tc>
        <w:tc>
          <w:tcPr>
            <w:tcW w:w="19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20" w:name="icdd99be20dd6444791a27419826b292c_15-7-1"/>
            <w:bookmarkEnd w:id="20"/>
            <w:r>
              <w:rPr>
                <w:rFonts w:ascii="Times New Roman;serif" w:hAnsi="Times New Roman;serif"/>
                <w:b w:val="false"/>
                <w:color w:val="000000"/>
                <w:sz w:val="18"/>
              </w:rPr>
              <w:t>215,018 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13,326 </w:t>
            </w:r>
          </w:p>
        </w:tc>
        <w:tc>
          <w:tcPr>
            <w:tcW w:w="1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8.    Derivative </w:t>
      </w:r>
      <w:bookmarkStart w:id="21" w:name="i7a904f4db4604b39b7418727094e54ca_2481"/>
      <w:bookmarkEnd w:id="21"/>
      <w:r>
        <w:rPr>
          <w:rFonts w:ascii="Times New Roman;serif" w:hAnsi="Times New Roman;serif"/>
          <w:b w:val="false"/>
          <w:color w:val="000000"/>
          <w:sz w:val="22"/>
        </w:rPr>
        <w:t xml:space="preserve">Instruments and Hedging Activities </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i/>
          <w:color w:val="000000"/>
          <w:sz w:val="22"/>
        </w:rPr>
        <w:t>Interest Rate Risk</w:t>
      </w:r>
      <w:r>
        <w:rPr>
          <w:color w:val="000000"/>
        </w:rPr>
        <w:t xml:space="preserve"> </w:t>
      </w:r>
      <w:r>
        <w:rPr>
          <w:rFonts w:ascii="Times New Roman;serif" w:hAnsi="Times New Roman;serif"/>
          <w:b w:val="false"/>
          <w:color w:val="000000"/>
          <w:sz w:val="22"/>
        </w:rPr>
        <w:t>- The Company manages economic risks, including interest rate variability, primarily by managing the amount, sources and duration of its debt funding and through the use of derivative financial instruments. The Company’s objective in using interest rate derivatives is to manage its exposure to interest rate movements. To accomplish this objective, the Company uses interest rate swaps.</w:t>
      </w:r>
    </w:p>
    <w:p>
      <w:pPr>
        <w:pStyle w:val="TextBody"/>
        <w:bidi w:val="0"/>
        <w:spacing w:lineRule="auto" w:line="288" w:before="0" w:after="200"/>
        <w:jc w:val="both"/>
        <w:rPr>
          <w:rFonts w:ascii="Times New Roman;serif" w:hAnsi="Times New Roman;serif"/>
          <w:b/>
          <w:color w:val="000000"/>
          <w:sz w:val="22"/>
        </w:rPr>
      </w:pPr>
      <w:r>
        <w:rPr>
          <w:rFonts w:ascii="Times New Roman;serif" w:hAnsi="Times New Roman;serif"/>
          <w:b/>
          <w:color w:val="000000"/>
          <w:sz w:val="22"/>
        </w:rPr>
        <w:t>Designated Hedges</w:t>
      </w:r>
    </w:p>
    <w:p>
      <w:pPr>
        <w:pStyle w:val="TextBody"/>
        <w:bidi w:val="0"/>
        <w:spacing w:lineRule="auto" w:line="288" w:before="0" w:after="0"/>
        <w:jc w:val="both"/>
        <w:rPr/>
      </w:pPr>
      <w:r>
        <w:rPr>
          <w:rFonts w:ascii="Times New Roman;serif" w:hAnsi="Times New Roman;serif"/>
          <w:b w:val="false"/>
          <w:i/>
          <w:color w:val="000000"/>
          <w:sz w:val="22"/>
        </w:rPr>
        <w:t xml:space="preserve">Cash Flow Hedges of Interest Rate Risk - </w:t>
      </w:r>
      <w:r>
        <w:rPr>
          <w:rFonts w:ascii="Times New Roman;serif" w:hAnsi="Times New Roman;serif"/>
          <w:b w:val="false"/>
          <w:color w:val="000000"/>
          <w:sz w:val="22"/>
        </w:rPr>
        <w:t>To manage its exposure to fluctuations in variable interest rates, in March 2024 and December 2023, OSI entered into 11 interest rate swap agreements with ten counterparties with an aggregate notional amount of $375.0 million and one and two-year tenors (the “2023 and 2024 Swap Agreements”). The Company had $100.0 million of interest rate swap agreements that matured on December 31, 2024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October 2025, OSI entered into an additional eight interest rate swap agreements with eight counterparties with an aggregate notional amount of $300.0 million and 12- and 21-month tenors (the “2025 Swap Transactions”, together with the 2023 and 2024 Swap Agreements, the “Swap Transactions”). The following are the terms of the remaining Swap Transactions: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r>
      <w:tr>
        <w:trPr/>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2026</w:t>
            </w:r>
          </w:p>
        </w:tc>
      </w:tr>
      <w:tr>
        <w:trPr/>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Swap Transactions, the Company effectively converted its outstanding indebtedness based on the notional amount from a variable rate of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Swap Transactions have been designated and qualify as cash flow hedges, are recognized on the Company’s Consolidated Balance Sheets at fair value and are classified based on the instruments’</w:t>
      </w:r>
      <w:r>
        <w:rPr>
          <w:color w:val="000000"/>
        </w:rPr>
        <w:t xml:space="preserve"> </w:t>
      </w:r>
      <w:r>
        <w:rPr>
          <w:rFonts w:ascii="Times New Roman;serif" w:hAnsi="Times New Roman;serif"/>
          <w:b w:val="false"/>
          <w:color w:val="000000"/>
          <w:sz w:val="22"/>
        </w:rPr>
        <w:t>maturity dates. The Company estimates $1.3 million of interest income will be reclassified from Accumulated Other Comprehensive Income to Interest expense, net over the next 12 months related to the remaining Swap Transactions.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fair value and classification of the Company’s Swap Transactions as of the periods indicated:</w:t>
      </w:r>
    </w:p>
    <w:tbl>
      <w:tblPr>
        <w:tblW w:w="10205" w:type="dxa"/>
        <w:jc w:val="center"/>
        <w:tblInd w:w="0" w:type="dxa"/>
        <w:tblLayout w:type="fixed"/>
        <w:tblCellMar>
          <w:top w:w="28" w:type="dxa"/>
          <w:left w:w="28" w:type="dxa"/>
          <w:bottom w:w="28" w:type="dxa"/>
          <w:right w:w="28" w:type="dxa"/>
        </w:tblCellMar>
      </w:tblPr>
      <w:tblGrid>
        <w:gridCol w:w="1154"/>
        <w:gridCol w:w="991"/>
        <w:gridCol w:w="995"/>
        <w:gridCol w:w="1193"/>
        <w:gridCol w:w="1193"/>
        <w:gridCol w:w="1196"/>
        <w:gridCol w:w="109"/>
        <w:gridCol w:w="109"/>
        <w:gridCol w:w="109"/>
        <w:gridCol w:w="287"/>
        <w:gridCol w:w="816"/>
        <w:gridCol w:w="159"/>
        <w:gridCol w:w="109"/>
        <w:gridCol w:w="109"/>
        <w:gridCol w:w="109"/>
        <w:gridCol w:w="396"/>
        <w:gridCol w:w="852"/>
        <w:gridCol w:w="319"/>
      </w:tblGrid>
      <w:tr>
        <w:trPr/>
        <w:tc>
          <w:tcPr>
            <w:tcW w:w="115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asset</w:t>
            </w:r>
          </w:p>
        </w:tc>
        <w:tc>
          <w:tcPr>
            <w:tcW w:w="358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asset</w:t>
            </w:r>
          </w:p>
        </w:tc>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derivative instruments - assets (1)</w:t>
            </w:r>
          </w:p>
        </w:tc>
        <w:tc>
          <w:tcPr>
            <w:tcW w:w="3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3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derivative instruments - liabilities (1)</w:t>
            </w:r>
          </w:p>
        </w:tc>
        <w:tc>
          <w:tcPr>
            <w:tcW w:w="3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31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Note 7 - </w:t>
      </w:r>
      <w:r>
        <w:rPr>
          <w:rFonts w:ascii="Times New Roman;serif" w:hAnsi="Times New Roman;serif"/>
          <w:b w:val="false"/>
          <w:i/>
          <w:color w:val="000000"/>
          <w:sz w:val="18"/>
        </w:rPr>
        <w:t>Stockholders’ Equity</w:t>
      </w:r>
      <w:r>
        <w:rPr>
          <w:color w:val="000000"/>
        </w:rPr>
        <w:t xml:space="preserve"> </w:t>
      </w:r>
      <w:r>
        <w:rPr>
          <w:rFonts w:ascii="Times New Roman;serif" w:hAnsi="Times New Roman;serif"/>
          <w:b w:val="false"/>
          <w:color w:val="000000"/>
          <w:sz w:val="18"/>
        </w:rPr>
        <w:t xml:space="preserve">for interest rate swaps impact on AOCI and Note 10 - </w:t>
      </w:r>
      <w:r>
        <w:rPr>
          <w:rFonts w:ascii="Times New Roman;serif" w:hAnsi="Times New Roman;serif"/>
          <w:b w:val="false"/>
          <w:i/>
          <w:color w:val="000000"/>
          <w:sz w:val="18"/>
        </w:rPr>
        <w:t>Fair Value Measurements</w:t>
      </w:r>
      <w:r>
        <w:rPr>
          <w:color w:val="000000"/>
        </w:rPr>
        <w:t xml:space="preserve"> </w:t>
      </w:r>
      <w:r>
        <w:rPr>
          <w:rFonts w:ascii="Times New Roman;serif" w:hAnsi="Times New Roman;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March 29, 2026,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 As of March 29, 2026 and December 28, 2025, the Company has not posted any collateral related to the Swap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Swap Transactions are subject to master netting arrangements. As of March 29, 2026, the Company elected not to offset derivative positions in its Consolidated Balance Sheet with the same counterparty under the same agreement.</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Non-Designated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entered into foreign currency forward contracts to partially offset the foreign currency exchange gains and losses generated by the Brazilian Reais rate risk associated with the purchase price installment payments from the Brazil Sale Transaction. During the thirteen weeks ended December 28, 2025, the Company received the final installment payment related to the Brazil Sale Transaction and the foreign currency forward contracts matured.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22" w:name="i051e14fb2a634efbb1be941d05ab174f_707"/>
      <w:bookmarkEnd w:id="22"/>
      <w:r>
        <w:rPr>
          <w:rFonts w:ascii="Times New Roman;serif" w:hAnsi="Times New Roman;serif"/>
          <w:b w:val="false"/>
          <w:color w:val="000000"/>
          <w:sz w:val="22"/>
        </w:rPr>
        <w:t>The followin</w:t>
      </w:r>
      <w:bookmarkStart w:id="23" w:name="i051e14fb2a634efbb1be941d05ab174f_708"/>
      <w:bookmarkEnd w:id="23"/>
      <w:r>
        <w:rPr>
          <w:rFonts w:ascii="Times New Roman;serif" w:hAnsi="Times New Roman;serif"/>
          <w:b w:val="false"/>
          <w:color w:val="000000"/>
          <w:sz w:val="22"/>
        </w:rPr>
        <w:t>g table summarizes the effects of the Company’s foreign exchange forward contracts on the Consolidated Statements of Operations and Comprehensive Income for the period indicated:</w:t>
      </w:r>
    </w:p>
    <w:tbl>
      <w:tblPr>
        <w:tblW w:w="10205" w:type="dxa"/>
        <w:jc w:val="center"/>
        <w:tblInd w:w="0" w:type="dxa"/>
        <w:tblLayout w:type="fixed"/>
        <w:tblCellMar>
          <w:top w:w="28" w:type="dxa"/>
          <w:left w:w="28" w:type="dxa"/>
          <w:bottom w:w="28" w:type="dxa"/>
          <w:right w:w="28" w:type="dxa"/>
        </w:tblCellMar>
      </w:tblPr>
      <w:tblGrid>
        <w:gridCol w:w="849"/>
        <w:gridCol w:w="748"/>
        <w:gridCol w:w="751"/>
        <w:gridCol w:w="1785"/>
        <w:gridCol w:w="1785"/>
        <w:gridCol w:w="1788"/>
        <w:gridCol w:w="109"/>
        <w:gridCol w:w="109"/>
        <w:gridCol w:w="109"/>
        <w:gridCol w:w="109"/>
        <w:gridCol w:w="109"/>
        <w:gridCol w:w="347"/>
        <w:gridCol w:w="1146"/>
        <w:gridCol w:w="194"/>
        <w:gridCol w:w="109"/>
        <w:gridCol w:w="158"/>
      </w:tblGrid>
      <w:tr>
        <w:trPr/>
        <w:tc>
          <w:tcPr>
            <w:tcW w:w="84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53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 (1)</w:t>
            </w:r>
          </w:p>
        </w:tc>
        <w:tc>
          <w:tcPr>
            <w:tcW w:w="535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loss on foreign currency forward contracts, which includes costs in connection with the forward contracts, is partially offset within General and administrative expense by foreign currency exchange gains of $7.9 million related to the installment receivable from the Brazil Sale Transaction.</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    Leases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917"/>
        <w:gridCol w:w="790"/>
        <w:gridCol w:w="793"/>
        <w:gridCol w:w="1327"/>
        <w:gridCol w:w="1327"/>
        <w:gridCol w:w="1330"/>
        <w:gridCol w:w="109"/>
        <w:gridCol w:w="109"/>
        <w:gridCol w:w="109"/>
        <w:gridCol w:w="230"/>
        <w:gridCol w:w="1028"/>
        <w:gridCol w:w="128"/>
        <w:gridCol w:w="109"/>
        <w:gridCol w:w="109"/>
        <w:gridCol w:w="109"/>
        <w:gridCol w:w="268"/>
        <w:gridCol w:w="1196"/>
        <w:gridCol w:w="217"/>
      </w:tblGrid>
      <w:tr>
        <w:trPr/>
        <w:tc>
          <w:tcPr>
            <w:tcW w:w="9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98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977,103 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979,270 </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(1)</w:t>
            </w:r>
          </w:p>
        </w:tc>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 net</w:t>
            </w:r>
          </w:p>
        </w:tc>
        <w:tc>
          <w:tcPr>
            <w:tcW w:w="3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985,705 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988,566 </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176,268 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1,043,034 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1,046,380 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liabilities</w:t>
            </w:r>
          </w:p>
        </w:tc>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1,230,638 </w:t>
            </w:r>
          </w:p>
        </w:tc>
        <w:tc>
          <w:tcPr>
            <w:tcW w:w="1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1,233,927 </w:t>
            </w:r>
          </w:p>
        </w:tc>
        <w:tc>
          <w:tcPr>
            <w:tcW w:w="2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(1)Net of accumulated amortization of $6.1 million and $5.4 million as of March 29, 2026 and December 28, 2025, respectively.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expenses and income related to leases recognized in the Company’s Consolidated Statements of Operations and Comprehensive Income for the periods indicated:</w:t>
      </w:r>
    </w:p>
    <w:tbl>
      <w:tblPr>
        <w:tblW w:w="10205" w:type="dxa"/>
        <w:jc w:val="center"/>
        <w:tblInd w:w="0" w:type="dxa"/>
        <w:tblLayout w:type="fixed"/>
        <w:tblCellMar>
          <w:top w:w="28" w:type="dxa"/>
          <w:left w:w="28" w:type="dxa"/>
          <w:bottom w:w="28" w:type="dxa"/>
          <w:right w:w="28" w:type="dxa"/>
        </w:tblCellMar>
      </w:tblPr>
      <w:tblGrid>
        <w:gridCol w:w="651"/>
        <w:gridCol w:w="479"/>
        <w:gridCol w:w="482"/>
        <w:gridCol w:w="1599"/>
        <w:gridCol w:w="1599"/>
        <w:gridCol w:w="1602"/>
        <w:gridCol w:w="109"/>
        <w:gridCol w:w="109"/>
        <w:gridCol w:w="109"/>
        <w:gridCol w:w="109"/>
        <w:gridCol w:w="109"/>
        <w:gridCol w:w="157"/>
        <w:gridCol w:w="157"/>
        <w:gridCol w:w="282"/>
        <w:gridCol w:w="932"/>
        <w:gridCol w:w="157"/>
        <w:gridCol w:w="109"/>
        <w:gridCol w:w="109"/>
        <w:gridCol w:w="109"/>
        <w:gridCol w:w="241"/>
        <w:gridCol w:w="797"/>
        <w:gridCol w:w="198"/>
      </w:tblGrid>
      <w:tr>
        <w:trPr/>
        <w:tc>
          <w:tcPr>
            <w:tcW w:w="6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563" w:type="dxa"/>
            <w:gridSpan w:val="6"/>
            <w:tcBorders/>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4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 (1)</w:t>
            </w:r>
          </w:p>
        </w:tc>
        <w:tc>
          <w:tcPr>
            <w:tcW w:w="480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42,451 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42,305 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revenue</w:t>
            </w:r>
          </w:p>
        </w:tc>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costs, net</w:t>
            </w:r>
          </w:p>
        </w:tc>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43,038 </w:t>
            </w:r>
          </w:p>
        </w:tc>
        <w:tc>
          <w:tcPr>
            <w:tcW w:w="1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42,724 </w:t>
            </w:r>
          </w:p>
        </w:tc>
        <w:tc>
          <w:tcPr>
            <w:tcW w:w="1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(1)Excludes rent expense for office facilities and closed or subleased properties of $3.2 million and $3.6 million for the thirteen weeks ended March 29, 2026 and March 30, 2025, respectively,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supplemental information related to leases for the periods indicated:</w:t>
      </w:r>
    </w:p>
    <w:tbl>
      <w:tblPr>
        <w:tblW w:w="8966" w:type="dxa"/>
        <w:jc w:val="center"/>
        <w:tblInd w:w="0" w:type="dxa"/>
        <w:tblLayout w:type="fixed"/>
        <w:tblCellMar>
          <w:top w:w="28" w:type="dxa"/>
          <w:left w:w="28" w:type="dxa"/>
          <w:bottom w:w="28" w:type="dxa"/>
          <w:right w:w="28" w:type="dxa"/>
        </w:tblCellMar>
      </w:tblPr>
      <w:tblGrid>
        <w:gridCol w:w="2077"/>
        <w:gridCol w:w="1831"/>
        <w:gridCol w:w="1837"/>
        <w:gridCol w:w="293"/>
        <w:gridCol w:w="968"/>
        <w:gridCol w:w="163"/>
        <w:gridCol w:w="109"/>
        <w:gridCol w:w="109"/>
        <w:gridCol w:w="109"/>
        <w:gridCol w:w="289"/>
        <w:gridCol w:w="954"/>
        <w:gridCol w:w="227"/>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47,242 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bookmarkStart w:id="24" w:name="icf16f377801349e481e79bcd766f298c_362"/>
      <w:bookmarkEnd w:id="24"/>
      <w:r>
        <w:rPr>
          <w:rFonts w:ascii="Times New Roman;serif" w:hAnsi="Times New Roman;serif"/>
          <w:b w:val="false"/>
          <w:color w:val="000000"/>
          <w:sz w:val="22"/>
        </w:rPr>
        <w:t xml:space="preserve">10.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Fair Value Measurements on a Recurring Basis - </w:t>
      </w:r>
      <w:r>
        <w:rPr>
          <w:rFonts w:ascii="Times New Roman;serif" w:hAnsi="Times New Roman;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506"/>
        <w:gridCol w:w="380"/>
        <w:gridCol w:w="381"/>
        <w:gridCol w:w="871"/>
        <w:gridCol w:w="871"/>
        <w:gridCol w:w="873"/>
        <w:gridCol w:w="109"/>
        <w:gridCol w:w="109"/>
        <w:gridCol w:w="109"/>
        <w:gridCol w:w="538"/>
        <w:gridCol w:w="538"/>
        <w:gridCol w:w="540"/>
        <w:gridCol w:w="109"/>
        <w:gridCol w:w="109"/>
        <w:gridCol w:w="109"/>
        <w:gridCol w:w="244"/>
        <w:gridCol w:w="694"/>
        <w:gridCol w:w="136"/>
        <w:gridCol w:w="109"/>
        <w:gridCol w:w="109"/>
        <w:gridCol w:w="109"/>
        <w:gridCol w:w="109"/>
        <w:gridCol w:w="109"/>
        <w:gridCol w:w="109"/>
        <w:gridCol w:w="109"/>
        <w:gridCol w:w="109"/>
        <w:gridCol w:w="109"/>
        <w:gridCol w:w="293"/>
        <w:gridCol w:w="834"/>
        <w:gridCol w:w="164"/>
        <w:gridCol w:w="109"/>
        <w:gridCol w:w="109"/>
        <w:gridCol w:w="109"/>
        <w:gridCol w:w="109"/>
        <w:gridCol w:w="109"/>
        <w:gridCol w:w="162"/>
      </w:tblGrid>
      <w:tr>
        <w:trPr/>
        <w:tc>
          <w:tcPr>
            <w:tcW w:w="50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gridSpan w:val="12"/>
            <w:tcBorders/>
          </w:tcPr>
          <w:p>
            <w:pPr>
              <w:pStyle w:val="TableContents"/>
              <w:bidi w:val="0"/>
              <w:spacing w:before="0" w:after="283"/>
              <w:jc w:val="left"/>
              <w:rPr>
                <w:sz w:val="4"/>
                <w:szCs w:val="4"/>
              </w:rPr>
            </w:pPr>
            <w:r>
              <w:rPr>
                <w:sz w:val="4"/>
                <w:szCs w:val="4"/>
              </w:rPr>
            </w:r>
          </w:p>
        </w:tc>
      </w:tr>
      <w:tr>
        <w:trPr/>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6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6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vAlign w:val="center"/>
          </w:tcPr>
          <w:p>
            <w:pPr>
              <w:pStyle w:val="TableContents"/>
              <w:bidi w:val="0"/>
              <w:spacing w:before="0" w:after="283"/>
              <w:jc w:val="left"/>
              <w:rPr>
                <w:sz w:val="4"/>
                <w:szCs w:val="4"/>
              </w:rPr>
            </w:pPr>
            <w:r>
              <w:rPr>
                <w:sz w:val="4"/>
                <w:szCs w:val="4"/>
              </w:rPr>
            </w:r>
          </w:p>
        </w:tc>
        <w:tc>
          <w:tcPr>
            <w:tcW w:w="2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498"/>
        <w:gridCol w:w="438"/>
        <w:gridCol w:w="440"/>
        <w:gridCol w:w="109"/>
        <w:gridCol w:w="109"/>
        <w:gridCol w:w="109"/>
        <w:gridCol w:w="2487"/>
        <w:gridCol w:w="2487"/>
        <w:gridCol w:w="3528"/>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METHODS AND ASSUMPTIONS</w:t>
            </w:r>
          </w:p>
        </w:tc>
      </w:tr>
      <w:tr>
        <w:trPr/>
        <w:tc>
          <w:tcPr>
            <w:tcW w:w="13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Carrying value approximates fair value because maturities are less than three months.</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Fair value measurements are based on the contractual terms of the derivatives and observable market-based inputs. The interest rate swaps are valued using a discounted cash flow analysis on the expected cash flows of each derivative using observable inputs including interest rate curves and credit spreads. The Company also considers its own nonperformance risk and the respective counterparty’s nonperformance risk in the fair value measurements. As of March 29, 2026 and December 28, 2025, the Company determined that the credit valuation adjustments were not significant to the overall valuation of its derivatives.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Interim Disclosures about Fair Value of Financial Instruments - </w:t>
      </w:r>
      <w:r>
        <w:rPr>
          <w:rFonts w:ascii="Times New Roman;serif" w:hAnsi="Times New Roman;serif"/>
          <w:b w:val="false"/>
          <w:color w:val="000000"/>
          <w:sz w:val="22"/>
        </w:rPr>
        <w:t>The Company’s non-derivative financial instruments consist of cash equivalents, accounts receivable, accounts payable and long-term debt. The fair values of cash equivalents, accounts receivable, and accounts payable approximate their carrying amounts reported on the Company’s Consolidated Balance Sheets due to their short duration.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bookmarkStart w:id="25" w:name="i06ca0cce5a914bf6b4df9d71ff4dc424_2044"/>
      <w:bookmarkEnd w:id="25"/>
      <w:r>
        <w:rPr>
          <w:rFonts w:ascii="Times New Roman;serif" w:hAnsi="Times New Roman;serif"/>
          <w:b w:val="false"/>
          <w:color w:val="000000"/>
          <w:sz w:val="22"/>
        </w:rPr>
        <w:t xml:space="preserve">11.    Income Taxes </w:t>
      </w:r>
    </w:p>
    <w:tbl>
      <w:tblPr>
        <w:tblW w:w="7954" w:type="dxa"/>
        <w:jc w:val="left"/>
        <w:tblInd w:w="0" w:type="dxa"/>
        <w:tblLayout w:type="fixed"/>
        <w:tblCellMar>
          <w:top w:w="28" w:type="dxa"/>
          <w:left w:w="28" w:type="dxa"/>
          <w:bottom w:w="28" w:type="dxa"/>
          <w:right w:w="28" w:type="dxa"/>
        </w:tblCellMar>
      </w:tblPr>
      <w:tblGrid>
        <w:gridCol w:w="1345"/>
        <w:gridCol w:w="1185"/>
        <w:gridCol w:w="1190"/>
        <w:gridCol w:w="109"/>
        <w:gridCol w:w="109"/>
        <w:gridCol w:w="174"/>
        <w:gridCol w:w="174"/>
        <w:gridCol w:w="312"/>
        <w:gridCol w:w="1151"/>
        <w:gridCol w:w="408"/>
        <w:gridCol w:w="109"/>
        <w:gridCol w:w="109"/>
        <w:gridCol w:w="109"/>
        <w:gridCol w:w="252"/>
        <w:gridCol w:w="831"/>
        <w:gridCol w:w="38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46,691 </w:t>
            </w:r>
          </w:p>
        </w:tc>
        <w:tc>
          <w:tcPr>
            <w:tcW w:w="4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46,044 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before (benefit) 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For the thirteen weeks ended March 29, 2026 and March 30, 2025, the (benefit) provision for income taxes includes the benefit of FICA tax credits on certain tipped wages relative to forecasted full year Income before (benefit) provision for income taxes. A higher forecasted full year Income before (benefit) provision for income taxes for 2025 when compared to forecasted full year Income before (benefit) provision for income taxes for 2026, resulted in provision for income taxes for the thirteen weeks ended March 30, 2025 as compared to benefit for income taxes for the thirteen weeks ended March 29,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effective income tax rate for the thirteen weeks ended March 29, 2026 and March 30, 2025 was lower than the Company’s blended federal and state statutory rate of approximately 26% primarily due to the benefit of FICA tax credits on certain tipped wages.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cash paid for income taxes for the periods indicated:</w:t>
      </w:r>
    </w:p>
    <w:tbl>
      <w:tblPr>
        <w:tblW w:w="6607" w:type="dxa"/>
        <w:jc w:val="left"/>
        <w:tblInd w:w="0" w:type="dxa"/>
        <w:tblLayout w:type="fixed"/>
        <w:tblCellMar>
          <w:top w:w="28" w:type="dxa"/>
          <w:left w:w="28" w:type="dxa"/>
          <w:bottom w:w="28" w:type="dxa"/>
          <w:right w:w="28" w:type="dxa"/>
        </w:tblCellMar>
      </w:tblPr>
      <w:tblGrid>
        <w:gridCol w:w="1220"/>
        <w:gridCol w:w="1075"/>
        <w:gridCol w:w="1079"/>
        <w:gridCol w:w="324"/>
        <w:gridCol w:w="920"/>
        <w:gridCol w:w="180"/>
        <w:gridCol w:w="113"/>
        <w:gridCol w:w="113"/>
        <w:gridCol w:w="113"/>
        <w:gridCol w:w="289"/>
        <w:gridCol w:w="955"/>
        <w:gridCol w:w="226"/>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(1)</w:t>
            </w:r>
          </w:p>
        </w:tc>
        <w:tc>
          <w:tcPr>
            <w:tcW w:w="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15,802 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thirteen weeks ended March 30, 2025 includes approximately $13.3 million of withholding taxes related to the first installment of the Brazil Sale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12.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Litigation and Other Matters</w:t>
      </w:r>
      <w:r>
        <w:rPr>
          <w:color w:val="000000"/>
        </w:rPr>
        <w:t xml:space="preserve"> </w:t>
      </w:r>
      <w:r>
        <w:rPr>
          <w:rFonts w:ascii="Times New Roman;serif" w:hAnsi="Times New Roman;serif"/>
          <w:b w:val="false"/>
          <w:color w:val="000000"/>
          <w:sz w:val="22"/>
        </w:rPr>
        <w:t>- The Company recorded reserves of $4.9 million for certain of its outstanding legal proceedings as of March 29, 2026 and December 28, 2025,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Lease Guarantees</w:t>
      </w:r>
      <w:r>
        <w:rPr>
          <w:color w:val="000000"/>
        </w:rPr>
        <w:t xml:space="preserve"> </w:t>
      </w:r>
      <w:r>
        <w:rPr>
          <w:rFonts w:ascii="Times New Roman;serif" w:hAnsi="Times New Roman;serif"/>
          <w:b w:val="false"/>
          <w:color w:val="000000"/>
          <w:sz w:val="22"/>
        </w:rPr>
        <w:t>- The Company assigned its interest, and is contingently liable, under certain real estate leases, the latest of which expires in 2032. As of March 29, 2026, the undiscounted payments that the Company could be required to make in the event of non-payment by the primary lessees were $10.4 million. The present value of these potential payments discounted at the Company’s incremental borrowing rate as of March 29, 2026 was $8.7 million. As of March 29, 2026 and December 28, 2025, the Company’s recorded contingent lease liability was $1.6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left"/>
        <w:rPr>
          <w:rFonts w:ascii="Times New Roman;serif" w:hAnsi="Times New Roman;serif"/>
          <w:b w:val="false"/>
          <w:color w:val="000000"/>
          <w:sz w:val="22"/>
        </w:rPr>
      </w:pPr>
      <w:bookmarkStart w:id="26" w:name="i1158f98df4f44ac6802464dffb5d0e31_955"/>
      <w:bookmarkEnd w:id="26"/>
      <w:r>
        <w:rPr>
          <w:rFonts w:ascii="Times New Roman;serif" w:hAnsi="Times New Roman;serif"/>
          <w:b w:val="false"/>
          <w:color w:val="000000"/>
          <w:sz w:val="22"/>
        </w:rPr>
        <w:t>13.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is a summary of reportable segments:</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12 Franchise Markets</w:t>
            </w:r>
          </w:p>
        </w:tc>
      </w:tr>
      <w:tr>
        <w:trPr/>
        <w:tc>
          <w:tcPr>
            <w:tcW w:w="210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Segment accounting policies are the same as those described in Note 1 - </w:t>
      </w:r>
      <w:r>
        <w:rPr>
          <w:rFonts w:ascii="Times New Roman;serif" w:hAnsi="Times New Roman;serif"/>
          <w:b w:val="false"/>
          <w:i/>
          <w:color w:val="000000"/>
          <w:sz w:val="22"/>
        </w:rPr>
        <w:t xml:space="preserve">Summary of Significant Accounting Policies </w:t>
      </w:r>
      <w:r>
        <w:rPr>
          <w:rFonts w:ascii="Times New Roman;serif" w:hAnsi="Times New Roman;serif"/>
          <w:b w:val="false"/>
          <w:color w:val="000000"/>
          <w:sz w:val="22"/>
        </w:rPr>
        <w:t>in the Company’s Annual Report on Form 10-K for the year ended December 28, 2025. Revenues for all segments include transactions with customers and royalties from franchisees. There were no material transactions among reportable segments. Excluded from Income from operations for U.S. are certain legal and corporate costs not directly related to the performance of the segment, most stock-based compensation expenses, a portion of insurance expenses and certain bonus expenses. In the tables below, “other” primarily includes amounts related to the Company’s Hong Kong subsidiary and its equity method investment in Brazil.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Operating income is utilized by the Company’s Chief Operating Decision Maker (“CODM”) as the primary segment profit or loss measure to allocate resources in the planning and forecasting process and also to review operating performance by monitoring actual results versus prior year and forecasts.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revenues by segment for the periods indicated:</w:t>
      </w:r>
    </w:p>
    <w:tbl>
      <w:tblPr>
        <w:tblW w:w="6236" w:type="dxa"/>
        <w:jc w:val="left"/>
        <w:tblInd w:w="0" w:type="dxa"/>
        <w:tblLayout w:type="fixed"/>
        <w:tblCellMar>
          <w:top w:w="28" w:type="dxa"/>
          <w:left w:w="28" w:type="dxa"/>
          <w:bottom w:w="28" w:type="dxa"/>
          <w:right w:w="28" w:type="dxa"/>
        </w:tblCellMar>
      </w:tblPr>
      <w:tblGrid>
        <w:gridCol w:w="646"/>
        <w:gridCol w:w="568"/>
        <w:gridCol w:w="571"/>
        <w:gridCol w:w="109"/>
        <w:gridCol w:w="109"/>
        <w:gridCol w:w="173"/>
        <w:gridCol w:w="173"/>
        <w:gridCol w:w="312"/>
        <w:gridCol w:w="1387"/>
        <w:gridCol w:w="173"/>
        <w:gridCol w:w="109"/>
        <w:gridCol w:w="109"/>
        <w:gridCol w:w="109"/>
        <w:gridCol w:w="237"/>
        <w:gridCol w:w="1056"/>
        <w:gridCol w:w="132"/>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1,050,023 </w:t>
            </w:r>
          </w:p>
        </w:tc>
        <w:tc>
          <w:tcPr>
            <w:tcW w:w="17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1,040,186 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1,059,673 </w:t>
            </w:r>
          </w:p>
        </w:tc>
        <w:tc>
          <w:tcPr>
            <w:tcW w:w="17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1,049,594 </w:t>
            </w:r>
          </w:p>
        </w:tc>
        <w:tc>
          <w:tcPr>
            <w:tcW w:w="1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segment operating income and significant segment expense information for the periods indicated:</w:t>
      </w:r>
    </w:p>
    <w:tbl>
      <w:tblPr>
        <w:tblW w:w="7285" w:type="dxa"/>
        <w:jc w:val="left"/>
        <w:tblInd w:w="0" w:type="dxa"/>
        <w:tblLayout w:type="fixed"/>
        <w:tblCellMar>
          <w:top w:w="28" w:type="dxa"/>
          <w:left w:w="28" w:type="dxa"/>
          <w:bottom w:w="28" w:type="dxa"/>
          <w:right w:w="28" w:type="dxa"/>
        </w:tblCellMar>
      </w:tblPr>
      <w:tblGrid>
        <w:gridCol w:w="1025"/>
        <w:gridCol w:w="903"/>
        <w:gridCol w:w="906"/>
        <w:gridCol w:w="109"/>
        <w:gridCol w:w="109"/>
        <w:gridCol w:w="173"/>
        <w:gridCol w:w="173"/>
        <w:gridCol w:w="312"/>
        <w:gridCol w:w="1387"/>
        <w:gridCol w:w="173"/>
        <w:gridCol w:w="109"/>
        <w:gridCol w:w="109"/>
        <w:gridCol w:w="109"/>
        <w:gridCol w:w="237"/>
        <w:gridCol w:w="1056"/>
        <w:gridCol w:w="132"/>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253,369 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954,437 </w:t>
            </w:r>
          </w:p>
        </w:tc>
        <w:tc>
          <w:tcPr>
            <w:tcW w:w="17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943,233 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88,016 </w:t>
            </w:r>
          </w:p>
        </w:tc>
        <w:tc>
          <w:tcPr>
            <w:tcW w:w="1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87,670 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International Franchise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revenues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7,336 </w:t>
            </w:r>
          </w:p>
        </w:tc>
        <w:tc>
          <w:tcPr>
            <w:tcW w:w="1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954,671 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95,352 </w:t>
            </w:r>
          </w:p>
        </w:tc>
        <w:tc>
          <w:tcPr>
            <w:tcW w:w="1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96,674 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depreciation and amortization and general and administrative expense. The U.S. segment also includes impairment expense.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thirteen weeks ended March 30, 2025 includes one additional month of pre-Brazil Sale Transaction intercompany royalties.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reconciliation of segment income from operations to Income before (benefit) provision for income taxes for the periods indicated:</w:t>
      </w:r>
    </w:p>
    <w:tbl>
      <w:tblPr>
        <w:tblW w:w="8172" w:type="dxa"/>
        <w:jc w:val="left"/>
        <w:tblInd w:w="0" w:type="dxa"/>
        <w:tblLayout w:type="fixed"/>
        <w:tblCellMar>
          <w:top w:w="28" w:type="dxa"/>
          <w:left w:w="28" w:type="dxa"/>
          <w:bottom w:w="28" w:type="dxa"/>
          <w:right w:w="28" w:type="dxa"/>
        </w:tblCellMar>
      </w:tblPr>
      <w:tblGrid>
        <w:gridCol w:w="1345"/>
        <w:gridCol w:w="1185"/>
        <w:gridCol w:w="1190"/>
        <w:gridCol w:w="109"/>
        <w:gridCol w:w="109"/>
        <w:gridCol w:w="207"/>
        <w:gridCol w:w="207"/>
        <w:gridCol w:w="372"/>
        <w:gridCol w:w="1227"/>
        <w:gridCol w:w="207"/>
        <w:gridCol w:w="109"/>
        <w:gridCol w:w="109"/>
        <w:gridCol w:w="109"/>
        <w:gridCol w:w="293"/>
        <w:gridCol w:w="968"/>
        <w:gridCol w:w="163"/>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95,352 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96,674 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59,103 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57,231 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46,691 </w:t>
            </w:r>
          </w:p>
        </w:tc>
        <w:tc>
          <w:tcPr>
            <w:tcW w:w="20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46,044 </w:t>
            </w:r>
          </w:p>
        </w:tc>
        <w:tc>
          <w:tcPr>
            <w:tcW w:w="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depreciation and amortization by segment for the periods indicated:</w:t>
      </w:r>
    </w:p>
    <w:tbl>
      <w:tblPr>
        <w:tblW w:w="6830" w:type="dxa"/>
        <w:jc w:val="left"/>
        <w:tblInd w:w="0" w:type="dxa"/>
        <w:tblLayout w:type="fixed"/>
        <w:tblCellMar>
          <w:top w:w="28" w:type="dxa"/>
          <w:left w:w="28" w:type="dxa"/>
          <w:bottom w:w="28" w:type="dxa"/>
          <w:right w:w="28" w:type="dxa"/>
        </w:tblCellMar>
      </w:tblPr>
      <w:tblGrid>
        <w:gridCol w:w="940"/>
        <w:gridCol w:w="825"/>
        <w:gridCol w:w="830"/>
        <w:gridCol w:w="109"/>
        <w:gridCol w:w="109"/>
        <w:gridCol w:w="207"/>
        <w:gridCol w:w="207"/>
        <w:gridCol w:w="372"/>
        <w:gridCol w:w="1227"/>
        <w:gridCol w:w="207"/>
        <w:gridCol w:w="109"/>
        <w:gridCol w:w="109"/>
        <w:gridCol w:w="109"/>
        <w:gridCol w:w="289"/>
        <w:gridCol w:w="954"/>
        <w:gridCol w:w="227"/>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46,296 </w:t>
            </w:r>
          </w:p>
        </w:tc>
        <w:tc>
          <w:tcPr>
            <w:tcW w:w="2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43,947 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capital expenditures by segment, for the periods indicated:</w:t>
      </w:r>
    </w:p>
    <w:tbl>
      <w:tblPr>
        <w:tblW w:w="5248" w:type="dxa"/>
        <w:jc w:val="left"/>
        <w:tblInd w:w="0" w:type="dxa"/>
        <w:tblLayout w:type="fixed"/>
        <w:tblCellMar>
          <w:top w:w="28" w:type="dxa"/>
          <w:left w:w="28" w:type="dxa"/>
          <w:bottom w:w="28" w:type="dxa"/>
          <w:right w:w="28" w:type="dxa"/>
        </w:tblCellMar>
      </w:tblPr>
      <w:tblGrid>
        <w:gridCol w:w="695"/>
        <w:gridCol w:w="610"/>
        <w:gridCol w:w="614"/>
        <w:gridCol w:w="293"/>
        <w:gridCol w:w="968"/>
        <w:gridCol w:w="163"/>
        <w:gridCol w:w="109"/>
        <w:gridCol w:w="109"/>
        <w:gridCol w:w="109"/>
        <w:gridCol w:w="293"/>
        <w:gridCol w:w="968"/>
        <w:gridCol w:w="163"/>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25,182 </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45,771 </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Total assets by segment as of the periods i</w:t>
      </w:r>
      <w:bookmarkStart w:id="27" w:name="idfc8f6e6e355403f831c92aa0076fbec_167"/>
      <w:bookmarkEnd w:id="27"/>
      <w:r>
        <w:rPr>
          <w:rFonts w:ascii="Times New Roman;serif" w:hAnsi="Times New Roman;serif"/>
          <w:b w:val="false"/>
          <w:color w:val="000000"/>
          <w:sz w:val="22"/>
        </w:rPr>
        <w:t>ndicated:</w:t>
      </w:r>
    </w:p>
    <w:tbl>
      <w:tblPr>
        <w:tblW w:w="5355" w:type="dxa"/>
        <w:jc w:val="center"/>
        <w:tblInd w:w="0" w:type="dxa"/>
        <w:tblLayout w:type="fixed"/>
        <w:tblCellMar>
          <w:top w:w="28" w:type="dxa"/>
          <w:left w:w="28" w:type="dxa"/>
          <w:bottom w:w="28" w:type="dxa"/>
          <w:right w:w="28" w:type="dxa"/>
        </w:tblCellMar>
      </w:tblPr>
      <w:tblGrid>
        <w:gridCol w:w="629"/>
        <w:gridCol w:w="554"/>
        <w:gridCol w:w="556"/>
        <w:gridCol w:w="237"/>
        <w:gridCol w:w="1056"/>
        <w:gridCol w:w="132"/>
        <w:gridCol w:w="109"/>
        <w:gridCol w:w="109"/>
        <w:gridCol w:w="109"/>
        <w:gridCol w:w="285"/>
        <w:gridCol w:w="1267"/>
        <w:gridCol w:w="158"/>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assets</w:t>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2,620,313 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2,704,079 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3,114,432 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3,171,907 </w:t>
            </w:r>
          </w:p>
        </w:tc>
        <w:tc>
          <w:tcPr>
            <w:tcW w:w="1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the Company’s equity method investment in Brazil.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terms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(i)Our ability to execute and achieve the expected benefits of our actions to focus on operational priorities, including our turnaround plans and cost-saving initiatives to fund such plans;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(v)Economic and geopolitical conditions, including tariff developments and international conflicts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(ix)Our ability to preserve and grow the reputation and value of our brands, particularly in light of our turnaround plans, changes in consumer engagement with social media platforms and limited control with respect to the operations of our franchisees or the business challenges they face;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(xi)The impacts of our operations in Brazil as a minority investor and franchisor following our sale transaction;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(xii)Our ability to comply with corporate citizenship and sustainability reporting requirements and investor expectations or our failure to achieve any goals, targets or objectives that we establish with respect to sustainability matters;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(xiii)Our ability to effectively respond to changes in patterns of consumer traffic, including by maintaining relationships with third-party delivery apps and services, consumer tastes and dietary habits;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(xv)Our ability to implement our remodeling, relocation and expansion plans, due to uncertainty in locating, acquiring and redesigning attractive sites on acceptable terms, obtaining required permits and approvals, recruiting and training necessary personnel, obtaining adequate financing and estimating the performance of newly opened, remodeled or relocated restaurants;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(xvi)Our cost savings plans to enable reinvestment in our business, due to uncertainty with respect to macroeconomic conditions and the efficiency that may be added by the actions we take, and the projected benefits of our reinvestments;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(xix)Any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(xx)Such other factors as discussed in Part I, Item IA. Risk Factors of our Annual Report on Form 10-K for the year ended December 28, 2025.</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28" w:name="i5b77314c647747f0be748484e723bf3e_412"/>
      <w:bookmarkStart w:id="29" w:name="i5b77314c647747f0be748484e723bf3e_411"/>
      <w:bookmarkEnd w:id="28"/>
      <w:bookmarkEnd w:id="29"/>
      <w:r>
        <w:rPr>
          <w:rFonts w:ascii="Times New Roman;serif" w:hAnsi="Times New Roman;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one of the largest casual dining restaurant companies in the world with a portfolio of leading, differentiated restaurant concepts. As of March 29, 2026, we owned and operated 962 restaurants and franchised 490 restaurants across 46 states, Guam and 12 countries. Our restaurant portfolio includes: Outback Steakhouse, Carrabba’s Italian Grill, Bonefish Grill and Fleming’s Prime Steakhouse &amp; Wine Bar.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Financial Overview - </w:t>
      </w:r>
      <w:r>
        <w:rPr>
          <w:rFonts w:ascii="Times New Roman;serif" w:hAnsi="Times New Roman;serif"/>
          <w:b w:val="false"/>
          <w:color w:val="000000"/>
          <w:sz w:val="22"/>
        </w:rPr>
        <w:t>Our financial overview for the thirteen weeks ended March 29, 2026 for continuing operations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U.S. combined and Outback Steakhouse comparable restaurant sales of 0.9% and (0.3)%,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Increase in Total revenues of 1.0% as compared to the first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income and restaurant-level operating margins of 5.6% and 14.0%, respectively, as compared to 5.5% and 13.9%, respectively, for the first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income of $59.1 million as compared to $57.2 million in the first quarter of 2025;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earnings per share of $0.64 as compared to $0.50 for the first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Our Turnaround Strategy - </w:t>
      </w:r>
      <w:r>
        <w:rPr>
          <w:rFonts w:ascii="Times New Roman;serif" w:hAnsi="Times New Roman;serif"/>
          <w:b w:val="false"/>
          <w:color w:val="000000"/>
          <w:sz w:val="22"/>
        </w:rPr>
        <w:t xml:space="preserve">In November 2025, we announced a comprehensive turnaround strategy, with a key focus on Outback Steakhouse, to drive long-term sustainable and profitable growth. This strategy is based on four key platforms, including: (i) deliver a remarkable dine-in experience, (ii) drive brand relevancy, (iii) reignite a culture of ownership and fun and (iv) invest in our restaurants. </w:t>
      </w:r>
      <w:bookmarkStart w:id="30" w:name="i99c2c81ebebd401aac027f5e69dd3b68_1372"/>
      <w:bookmarkEnd w:id="30"/>
      <w:r>
        <w:rPr>
          <w:rFonts w:ascii="Times New Roman;serif" w:hAnsi="Times New Roman;serif"/>
          <w:b w:val="false"/>
          <w:color w:val="000000"/>
          <w:sz w:val="22"/>
        </w:rPr>
        <w:t>These platforms will be supported by non-guest facing productivity savings, balanced capital allocation and a strong management team.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1" w:name="ia5d88b7a15aa4e73a77f92d0dad3620a_5122"/>
      <w:bookmarkEnd w:id="31"/>
      <w:r>
        <w:rPr>
          <w:rFonts w:ascii="Times New Roman;serif" w:hAnsi="Times New Roman;serif"/>
          <w:b w:val="false"/>
          <w:i/>
          <w:color w:val="000000"/>
          <w:sz w:val="22"/>
        </w:rPr>
        <w:t>Key Financial Performance Indicators</w:t>
      </w:r>
      <w:r>
        <w:rPr>
          <w:color w:val="000000"/>
        </w:rPr>
        <w:t xml:space="preserve"> </w:t>
      </w:r>
      <w:r>
        <w:rPr>
          <w:rFonts w:ascii="Times New Roman;serif" w:hAnsi="Times New Roman;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Average restaurant unit volumes</w:t>
      </w:r>
      <w:r>
        <w:rPr>
          <w:color w:val="000000"/>
        </w:rPr>
        <w:t>—</w:t>
      </w:r>
      <w:r>
        <w:rPr>
          <w:rFonts w:ascii="Times New Roman;serif" w:hAnsi="Times New Roman;serif"/>
          <w:b w:val="false"/>
          <w:color w:val="000000"/>
          <w:sz w:val="22"/>
        </w:rPr>
        <w:t>average sales (excluding gift card breakage)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Comparable restaurant sales</w:t>
      </w:r>
      <w:r>
        <w:rPr>
          <w:color w:val="000000"/>
        </w:rPr>
        <w:t>—</w:t>
      </w:r>
      <w:r>
        <w:rPr>
          <w:rFonts w:ascii="Times New Roman;serif" w:hAnsi="Times New Roman;serif"/>
          <w:b w:val="false"/>
          <w:color w:val="000000"/>
          <w:sz w:val="22"/>
        </w:rPr>
        <w:t>year-over-year comparison of the change in sales volumes (excluding gift card breakage)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System-wide sales</w:t>
      </w:r>
      <w:r>
        <w:rPr>
          <w:color w:val="000000"/>
        </w:rPr>
        <w:t>—</w:t>
      </w:r>
      <w:r>
        <w:rPr>
          <w:rFonts w:ascii="Times New Roman;serif" w:hAnsi="Times New Roman;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System-wide sales is a non-GAAP financial measure that includes sales of all restaurants operating under our brand names, whether we own them or not. Sales from restaurants we do not own are not included in our consolidated Restaurant sales.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Revenue Recognition </w:t>
      </w:r>
      <w:r>
        <w:rPr>
          <w:rFonts w:ascii="Times New Roman;serif" w:hAnsi="Times New Roman;serif"/>
          <w:b w:val="false"/>
          <w:color w:val="000000"/>
          <w:sz w:val="22"/>
        </w:rPr>
        <w:t xml:space="preserve">of the Notes to Consolidated Financial Statements. Franchise restaurant sales disclosed as system-wide sales do not represent our sales and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presented only as an indicator of changes in the restaurant system, which management believes is important information regarding the health of our restaurant concepts and in determining our royalties and/or service fees.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Restaurant-level operating margin, Income from operations, Net income and Diluted earnings per share</w:t>
      </w:r>
      <w:r>
        <w:rPr>
          <w:color w:val="000000"/>
        </w:rPr>
        <w:t>—</w:t>
      </w:r>
      <w:r>
        <w:rPr>
          <w:rFonts w:ascii="Times New Roman;serif" w:hAnsi="Times New Roman;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Income. The following categories of revenue and operating expenses are not included in restaurant-level operating income and the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(ii)Depreciation and amortization, which, although substantially all of which is related to restaurant-level assets, represent historical sunk costs rather than current cash outlays for the restaurants;</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Restaurant-level operating margin excludes various expenses, as discussed above, that are essential to supporting the operations of our restaurants and may materially impact our Consolidated Statements of Operations and Comprehensive Income. As a result, restaurant-level operating margin is not indicative of our consolidated results of operations and is presented exclusively as a supplement to, and not a substitute for, Net income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Adjusted restaurant-level operating margin, Adjusted income from operations, Adjusted net income and Adjusted diluted earnings per share</w:t>
      </w:r>
      <w:r>
        <w:rPr>
          <w:color w:val="000000"/>
        </w:rPr>
        <w:t>—</w:t>
      </w:r>
      <w:r>
        <w:rPr>
          <w:rFonts w:ascii="Times New Roman;serif" w:hAnsi="Times New Roman;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w:t>
      </w:r>
      <w:bookmarkStart w:id="32" w:name="ia5d88b7a15aa4e73a77f92d0dad3620a_5124"/>
      <w:bookmarkEnd w:id="32"/>
      <w:r>
        <w:rPr>
          <w:rFonts w:ascii="Times New Roman;serif" w:hAnsi="Times New Roman;serif"/>
          <w:b w:val="false"/>
          <w:color w:val="000000"/>
          <w:sz w:val="22"/>
        </w:rPr>
        <w:t xml:space="preser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Selected Operating Data - </w:t>
      </w:r>
      <w:r>
        <w:rPr>
          <w:rFonts w:ascii="Times New Roman;serif" w:hAnsi="Times New Roman;serif"/>
          <w:b w:val="false"/>
          <w:color w:val="000000"/>
          <w:sz w:val="22"/>
        </w:rPr>
        <w:t>The table below presents the number of our restaurants in operation as of the periods indicated:</w:t>
      </w:r>
    </w:p>
    <w:tbl>
      <w:tblPr>
        <w:tblW w:w="6835" w:type="dxa"/>
        <w:jc w:val="left"/>
        <w:tblInd w:w="0" w:type="dxa"/>
        <w:tblLayout w:type="fixed"/>
        <w:tblCellMar>
          <w:top w:w="28" w:type="dxa"/>
          <w:left w:w="28" w:type="dxa"/>
          <w:bottom w:w="28" w:type="dxa"/>
          <w:right w:w="28" w:type="dxa"/>
        </w:tblCellMar>
      </w:tblPr>
      <w:tblGrid>
        <w:gridCol w:w="1308"/>
        <w:gridCol w:w="1150"/>
        <w:gridCol w:w="1157"/>
        <w:gridCol w:w="474"/>
        <w:gridCol w:w="474"/>
        <w:gridCol w:w="476"/>
        <w:gridCol w:w="109"/>
        <w:gridCol w:w="109"/>
        <w:gridCol w:w="109"/>
        <w:gridCol w:w="430"/>
        <w:gridCol w:w="430"/>
        <w:gridCol w:w="609"/>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 of restaurants (at end of the period):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6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 Company-owned</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Hong Kong</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1,466 </w:t>
            </w:r>
          </w:p>
        </w:tc>
        <w:tc>
          <w:tcPr>
            <w:tcW w:w="6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Company-owned</w:t>
            </w:r>
          </w:p>
        </w:tc>
        <w:tc>
          <w:tcPr>
            <w:tcW w:w="9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4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33" w:name="id063252458b440afa837a1d740cdbaad_40-3-1"/>
            <w:bookmarkEnd w:id="33"/>
            <w:r>
              <w:rPr>
                <w:rFonts w:ascii="Times New Roman;serif" w:hAnsi="Times New Roman;serif"/>
                <w:b w:val="false"/>
                <w:color w:val="000000"/>
                <w:sz w:val="18"/>
              </w:rPr>
              <w:t>486 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left"/>
        <w:rPr>
          <w:rFonts w:ascii="Times New Roman;serif" w:hAnsi="Times New Roman;serif"/>
          <w:b/>
          <w:color w:val="000000"/>
          <w:sz w:val="22"/>
        </w:rPr>
      </w:pPr>
      <w:bookmarkStart w:id="34" w:name="i53a9c97ad4104396be1f5e19c7c86568_27"/>
      <w:bookmarkEnd w:id="34"/>
      <w:r>
        <w:rPr>
          <w:rFonts w:ascii="Times New Roman;serif" w:hAnsi="Times New Roman;serif"/>
          <w:b/>
          <w:color w:val="000000"/>
          <w:sz w:val="22"/>
        </w:rPr>
        <w:t>Results of Operations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Restaurant Sales - </w:t>
      </w:r>
      <w:r>
        <w:rPr>
          <w:rFonts w:ascii="Times New Roman;serif" w:hAnsi="Times New Roman;serif"/>
          <w:b w:val="false"/>
          <w:color w:val="000000"/>
          <w:sz w:val="22"/>
        </w:rPr>
        <w:t>Following is a summary of the change in Restaurant sales for the period indicated:</w:t>
      </w:r>
    </w:p>
    <w:tbl>
      <w:tblPr>
        <w:tblW w:w="5257" w:type="dxa"/>
        <w:jc w:val="left"/>
        <w:tblInd w:w="0" w:type="dxa"/>
        <w:tblLayout w:type="fixed"/>
        <w:tblCellMar>
          <w:top w:w="28" w:type="dxa"/>
          <w:left w:w="28" w:type="dxa"/>
          <w:bottom w:w="28" w:type="dxa"/>
          <w:right w:w="28" w:type="dxa"/>
        </w:tblCellMar>
      </w:tblPr>
      <w:tblGrid>
        <w:gridCol w:w="1005"/>
        <w:gridCol w:w="883"/>
        <w:gridCol w:w="886"/>
        <w:gridCol w:w="109"/>
        <w:gridCol w:w="109"/>
        <w:gridCol w:w="426"/>
        <w:gridCol w:w="1504"/>
        <w:gridCol w:w="335"/>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 ended March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1,029.5 </w:t>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openings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comparable restaurant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 ended March 29,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1,041.8 </w:t>
            </w:r>
          </w:p>
        </w:tc>
        <w:tc>
          <w:tcPr>
            <w:tcW w:w="33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restaurant sales from 25 new restaurants, not included in our comparable restaurant sales base.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restaurant sales from the closure of 38 restaurants since December 29, 2024.</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Average Restaurant Unit Volumes and Operating Weeks - </w:t>
      </w:r>
      <w:r>
        <w:rPr>
          <w:rFonts w:ascii="Times New Roman;serif" w:hAnsi="Times New Roman;serif"/>
          <w:b w:val="false"/>
          <w:color w:val="000000"/>
          <w:sz w:val="22"/>
        </w:rPr>
        <w:t>Following is a summary of the average restaurant unit volumes and operating weeks for the periods indicated:</w:t>
      </w:r>
    </w:p>
    <w:tbl>
      <w:tblPr>
        <w:tblW w:w="9046" w:type="dxa"/>
        <w:jc w:val="left"/>
        <w:tblInd w:w="0" w:type="dxa"/>
        <w:tblLayout w:type="fixed"/>
        <w:tblCellMar>
          <w:top w:w="28" w:type="dxa"/>
          <w:left w:w="28" w:type="dxa"/>
          <w:bottom w:w="28" w:type="dxa"/>
          <w:right w:w="28" w:type="dxa"/>
        </w:tblCellMar>
      </w:tblPr>
      <w:tblGrid>
        <w:gridCol w:w="1110"/>
        <w:gridCol w:w="973"/>
        <w:gridCol w:w="977"/>
        <w:gridCol w:w="109"/>
        <w:gridCol w:w="109"/>
        <w:gridCol w:w="739"/>
        <w:gridCol w:w="739"/>
        <w:gridCol w:w="741"/>
        <w:gridCol w:w="109"/>
        <w:gridCol w:w="268"/>
        <w:gridCol w:w="1008"/>
        <w:gridCol w:w="149"/>
        <w:gridCol w:w="109"/>
        <w:gridCol w:w="109"/>
        <w:gridCol w:w="109"/>
        <w:gridCol w:w="268"/>
        <w:gridCol w:w="1008"/>
        <w:gridCol w:w="149"/>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549" w:type="dxa"/>
            <w:gridSpan w:val="1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restaurant unit volumes: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69,647 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weeks: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Comparable Restaurant Sales, Traffic and Average Check Per Person - </w:t>
      </w:r>
      <w:r>
        <w:rPr>
          <w:rFonts w:ascii="Times New Roman;serif" w:hAnsi="Times New Roman;serif"/>
          <w:b w:val="false"/>
          <w:color w:val="000000"/>
          <w:sz w:val="22"/>
        </w:rPr>
        <w:t>Following is a summary of the year over year percentage change of comparable restaurant sales, traffic and average check per person for the periods indicated:</w:t>
      </w:r>
    </w:p>
    <w:tbl>
      <w:tblPr>
        <w:tblW w:w="9526" w:type="dxa"/>
        <w:jc w:val="left"/>
        <w:tblInd w:w="0" w:type="dxa"/>
        <w:tblLayout w:type="fixed"/>
        <w:tblCellMar>
          <w:top w:w="28" w:type="dxa"/>
          <w:left w:w="28" w:type="dxa"/>
          <w:bottom w:w="28" w:type="dxa"/>
          <w:right w:w="28" w:type="dxa"/>
        </w:tblCellMar>
      </w:tblPr>
      <w:tblGrid>
        <w:gridCol w:w="1757"/>
        <w:gridCol w:w="1545"/>
        <w:gridCol w:w="1557"/>
        <w:gridCol w:w="109"/>
        <w:gridCol w:w="109"/>
        <w:gridCol w:w="109"/>
        <w:gridCol w:w="109"/>
        <w:gridCol w:w="109"/>
        <w:gridCol w:w="109"/>
        <w:gridCol w:w="348"/>
        <w:gridCol w:w="348"/>
        <w:gridCol w:w="348"/>
        <w:gridCol w:w="348"/>
        <w:gridCol w:w="825"/>
        <w:gridCol w:w="109"/>
        <w:gridCol w:w="109"/>
        <w:gridCol w:w="109"/>
        <w:gridCol w:w="308"/>
        <w:gridCol w:w="308"/>
        <w:gridCol w:w="853"/>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6"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check per person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percentages of certain items in our Consolidated Statements of Operations in relation to Restaurant sales or Total revenues for the periods indicated:</w:t>
      </w:r>
    </w:p>
    <w:tbl>
      <w:tblPr>
        <w:tblW w:w="8686" w:type="dxa"/>
        <w:jc w:val="left"/>
        <w:tblInd w:w="0" w:type="dxa"/>
        <w:tblLayout w:type="fixed"/>
        <w:tblCellMar>
          <w:top w:w="28" w:type="dxa"/>
          <w:left w:w="28" w:type="dxa"/>
          <w:bottom w:w="28" w:type="dxa"/>
          <w:right w:w="28" w:type="dxa"/>
        </w:tblCellMar>
      </w:tblPr>
      <w:tblGrid>
        <w:gridCol w:w="1454"/>
        <w:gridCol w:w="1280"/>
        <w:gridCol w:w="1285"/>
        <w:gridCol w:w="109"/>
        <w:gridCol w:w="109"/>
        <w:gridCol w:w="348"/>
        <w:gridCol w:w="348"/>
        <w:gridCol w:w="348"/>
        <w:gridCol w:w="348"/>
        <w:gridCol w:w="825"/>
        <w:gridCol w:w="109"/>
        <w:gridCol w:w="109"/>
        <w:gridCol w:w="109"/>
        <w:gridCol w:w="326"/>
        <w:gridCol w:w="326"/>
        <w:gridCol w:w="772"/>
        <w:gridCol w:w="109"/>
        <w:gridCol w:w="109"/>
        <w:gridCol w:w="109"/>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(1)As a percentage of Restaurant sales.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1/10th of one percent of Total revenues.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Thirteen weeks ended March 29, 2026 as compared to thirteen weeks ended March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1.3% from commodity inflation. This impact was offset by 1.3% from an increase in average check per person, primarily due to menu pricing.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increased as a percentage of Restaurant sales primarily due to 0.6% from higher hourly and field management labor costs, mainly due to wage rate inflation and health insurance, partially offset by 0.5%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decreased as a percentage of Restaurant sales primarily due to: (i) 0.5% from cost-saving and productivity initiatives, (ii) 0.3% from lower advertising expense and (iii) 0.2% from an increase in average check per person. These impacts were partially offset by 0.8% from higher restaurant-level operating and supply expenses, mainly due to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Depreciation and amortization expense</w:t>
      </w:r>
      <w:r>
        <w:rPr>
          <w:color w:val="000000"/>
        </w:rPr>
        <w:t xml:space="preserve"> </w:t>
      </w:r>
      <w:r>
        <w:rPr>
          <w:rFonts w:ascii="Times New Roman;serif" w:hAnsi="Times New Roman;serif"/>
          <w:b w:val="false"/>
          <w:color w:val="000000"/>
          <w:sz w:val="22"/>
        </w:rPr>
        <w:t>increased primarily due to accelerated depreciation associated with equipment upgrades in connection with the turnaround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decreased primarily due to lapping severance and costs associated with our foreign currency forward contracts incurred during the thirteen weeks ended March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5" w:name="i287f9d7308c14e2ca77a74902958899b_130"/>
      <w:bookmarkEnd w:id="35"/>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increased primarily due to higher impairment and other costs related to restaurant closures and underperforming restaurants.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shd w:fill="FFFFFF" w:val="clear"/>
        </w:rPr>
        <w:t>(Benefit) provision for income taxes</w:t>
      </w:r>
      <w:r>
        <w:rPr>
          <w:color w:val="000000"/>
          <w:shd w:fill="FFFFFF" w:val="clear"/>
        </w:rPr>
        <w:t xml:space="preserve"> </w:t>
      </w:r>
      <w:r>
        <w:rPr>
          <w:rFonts w:ascii="Times New Roman;serif" w:hAnsi="Times New Roman;serif"/>
          <w:b w:val="false"/>
          <w:color w:val="000000"/>
          <w:sz w:val="22"/>
          <w:shd w:fill="FFFFFF" w:val="clear"/>
        </w:rPr>
        <w:t xml:space="preserve">for the thirteen weeks ended March 29, 2026 and </w:t>
      </w:r>
      <w:r>
        <w:rPr>
          <w:rFonts w:ascii="Times New Roman;serif" w:hAnsi="Times New Roman;serif"/>
          <w:b w:val="false"/>
          <w:color w:val="000000"/>
          <w:sz w:val="22"/>
        </w:rPr>
        <w:t>March 30, 2025</w:t>
      </w:r>
      <w:r>
        <w:rPr>
          <w:color w:val="000000"/>
          <w:shd w:fill="FFFFFF" w:val="clear"/>
        </w:rPr>
        <w:t xml:space="preserve"> </w:t>
      </w:r>
      <w:r>
        <w:rPr>
          <w:rFonts w:ascii="Times New Roman;serif" w:hAnsi="Times New Roman;serif"/>
          <w:b w:val="false"/>
          <w:color w:val="000000"/>
          <w:sz w:val="22"/>
          <w:shd w:fill="FFFFFF" w:val="clear"/>
        </w:rPr>
        <w:t xml:space="preserve">includes the </w:t>
      </w:r>
      <w:r>
        <w:rPr>
          <w:rFonts w:ascii="Times New Roman;serif" w:hAnsi="Times New Roman;serif"/>
          <w:b w:val="false"/>
          <w:color w:val="000000"/>
          <w:sz w:val="22"/>
        </w:rPr>
        <w:t>benefit of FICA tax credits on certain employees’ tips relative to forecasted full year Income before (benefit) provision for income taxes. A higher forecasted full year Income before (benefit) provision for income taxes for 2025 when compared to forecasted full year Income before (benefit) provision for income taxes for 2026, resulted in provision for income taxes for the thirteen weeks ended March 30, 2025 as compared to benefit for income taxes for the thirteen weeks ended March 29,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SEGMENT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Revenue for the U.S. reportable segment includes transactions with customers and revenues for both reportable segments include royalties from franchisees. There were no material transactions among reportable segments. Excluded from Income from operations for U.S. are certain legal and corporate costs not directly related to the performance of the segments, most stock-based compensation expenses, a portion of insurance expenses and certain bonus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Operating income is utilized by our CODM as the primary segment profit or loss measure to allocate resources in the planning and forecasting process and also to review operating performance by monitoring actual results versus prior year and forecasts.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Refer to Note 13</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Segment Reporting </w:t>
      </w:r>
      <w:r>
        <w:rPr>
          <w:rFonts w:ascii="Times New Roman;serif" w:hAnsi="Times New Roman;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Summary financial data</w:t>
      </w:r>
      <w:r>
        <w:rPr>
          <w:color w:val="000000"/>
        </w:rPr>
        <w:t xml:space="preserve"> </w:t>
      </w:r>
      <w:r>
        <w:rPr>
          <w:rFonts w:ascii="Times New Roman;serif" w:hAnsi="Times New Roman;serif"/>
          <w:b w:val="false"/>
          <w:color w:val="000000"/>
          <w:sz w:val="22"/>
        </w:rPr>
        <w:t>- Following is a summary of U.S. segment financial data for the periods indicated:</w:t>
      </w:r>
    </w:p>
    <w:tbl>
      <w:tblPr>
        <w:tblW w:w="6859" w:type="dxa"/>
        <w:jc w:val="left"/>
        <w:tblInd w:w="0" w:type="dxa"/>
        <w:tblLayout w:type="fixed"/>
        <w:tblCellMar>
          <w:top w:w="28" w:type="dxa"/>
          <w:left w:w="28" w:type="dxa"/>
          <w:bottom w:w="28" w:type="dxa"/>
          <w:right w:w="28" w:type="dxa"/>
        </w:tblCellMar>
      </w:tblPr>
      <w:tblGrid>
        <w:gridCol w:w="792"/>
        <w:gridCol w:w="698"/>
        <w:gridCol w:w="700"/>
        <w:gridCol w:w="109"/>
        <w:gridCol w:w="109"/>
        <w:gridCol w:w="157"/>
        <w:gridCol w:w="157"/>
        <w:gridCol w:w="282"/>
        <w:gridCol w:w="1255"/>
        <w:gridCol w:w="368"/>
        <w:gridCol w:w="109"/>
        <w:gridCol w:w="109"/>
        <w:gridCol w:w="109"/>
        <w:gridCol w:w="211"/>
        <w:gridCol w:w="938"/>
        <w:gridCol w:w="275"/>
        <w:gridCol w:w="109"/>
        <w:gridCol w:w="109"/>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5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1,032,191 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1,020,130 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10,262 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1,042,453 </w:t>
            </w:r>
          </w:p>
        </w:tc>
        <w:tc>
          <w:tcPr>
            <w:tcW w:w="36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1,030,903 </w:t>
            </w:r>
          </w:p>
        </w:tc>
        <w:tc>
          <w:tcPr>
            <w:tcW w:w="27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88,016 </w:t>
            </w:r>
          </w:p>
        </w:tc>
        <w:tc>
          <w:tcPr>
            <w:tcW w:w="36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87,670 </w:t>
            </w:r>
          </w:p>
        </w:tc>
        <w:tc>
          <w:tcPr>
            <w:tcW w:w="2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increase was due to the impact of restaurant openings and higher comparable restaurant sales partially offset by restaurant 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U.S. - </w:t>
      </w:r>
      <w:r>
        <w:rPr>
          <w:rFonts w:ascii="Times New Roman;serif" w:hAnsi="Times New Roman;serif"/>
          <w:b w:val="false"/>
          <w:color w:val="000000"/>
          <w:sz w:val="22"/>
        </w:rPr>
        <w:t>The increase in U.S. Income from operations generated during the thirteen weeks ended March 29, 2026 as compared to the thirteen weeks ended March 30, 2025 was primarily due to: (i) an increase in average check per person, primarily due to pricing, (ii) cost-saving and productivity initiatives and (iii) lower advertising expense. These increases were partially offset by higher commodity, operating and labor costs, mainly due to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Following is a summary of international franchise segment financial data for the periods indicated:</w:t>
      </w:r>
    </w:p>
    <w:tbl>
      <w:tblPr>
        <w:tblW w:w="6121" w:type="dxa"/>
        <w:jc w:val="left"/>
        <w:tblInd w:w="0" w:type="dxa"/>
        <w:tblLayout w:type="fixed"/>
        <w:tblCellMar>
          <w:top w:w="28" w:type="dxa"/>
          <w:left w:w="28" w:type="dxa"/>
          <w:bottom w:w="28" w:type="dxa"/>
          <w:right w:w="28" w:type="dxa"/>
        </w:tblCellMar>
      </w:tblPr>
      <w:tblGrid>
        <w:gridCol w:w="656"/>
        <w:gridCol w:w="578"/>
        <w:gridCol w:w="580"/>
        <w:gridCol w:w="109"/>
        <w:gridCol w:w="109"/>
        <w:gridCol w:w="190"/>
        <w:gridCol w:w="190"/>
        <w:gridCol w:w="419"/>
        <w:gridCol w:w="1189"/>
        <w:gridCol w:w="232"/>
        <w:gridCol w:w="133"/>
        <w:gridCol w:w="133"/>
        <w:gridCol w:w="133"/>
        <w:gridCol w:w="318"/>
        <w:gridCol w:w="903"/>
        <w:gridCol w:w="249"/>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FRANCHISE</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1869" w:type="dxa"/>
            <w:gridSpan w:val="6"/>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869" w:type="dxa"/>
            <w:gridSpan w:val="6"/>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revenues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7,570 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thirteen weeks ended March 30, 2025 includes one additional month of pre-Brazil Sale Transaction intercompany royalties from Brazil.</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36" w:name="ie663a3524ca3456ab1962f632df4e786_32"/>
      <w:bookmarkEnd w:id="36"/>
      <w:r>
        <w:rPr>
          <w:rFonts w:ascii="Times New Roman;serif" w:hAnsi="Times New Roman;serif"/>
          <w:b/>
          <w:color w:val="000000"/>
          <w:sz w:val="22"/>
        </w:rPr>
        <w:t>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Consolidated Restaurant-level Operating Income and Corresponding Margin Non-GAAP Reconciliations</w:t>
      </w:r>
      <w:r>
        <w:rPr>
          <w:color w:val="000000"/>
        </w:rPr>
        <w:t xml:space="preserve"> </w:t>
      </w:r>
      <w:r>
        <w:rPr>
          <w:rFonts w:ascii="Times New Roman;serif" w:hAnsi="Times New Roman;serif"/>
          <w:b w:val="false"/>
          <w:color w:val="000000"/>
          <w:sz w:val="22"/>
        </w:rPr>
        <w:t>- The following table reconciles consolidated Income from operations and the corresponding margin to restaurant-level operating income and the corresponding margin for the periods indicated:</w:t>
      </w:r>
    </w:p>
    <w:tbl>
      <w:tblPr>
        <w:tblW w:w="8088" w:type="dxa"/>
        <w:jc w:val="left"/>
        <w:tblInd w:w="0" w:type="dxa"/>
        <w:tblLayout w:type="fixed"/>
        <w:tblCellMar>
          <w:top w:w="28" w:type="dxa"/>
          <w:left w:w="28" w:type="dxa"/>
          <w:bottom w:w="28" w:type="dxa"/>
          <w:right w:w="28" w:type="dxa"/>
        </w:tblCellMar>
      </w:tblPr>
      <w:tblGrid>
        <w:gridCol w:w="1399"/>
        <w:gridCol w:w="1227"/>
        <w:gridCol w:w="1228"/>
        <w:gridCol w:w="109"/>
        <w:gridCol w:w="109"/>
        <w:gridCol w:w="172"/>
        <w:gridCol w:w="172"/>
        <w:gridCol w:w="309"/>
        <w:gridCol w:w="1162"/>
        <w:gridCol w:w="404"/>
        <w:gridCol w:w="109"/>
        <w:gridCol w:w="109"/>
        <w:gridCol w:w="109"/>
        <w:gridCol w:w="233"/>
        <w:gridCol w:w="878"/>
        <w:gridCol w:w="359"/>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59,103 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57,231 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43,947 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61,377 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Restaurant-level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145,390 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142,828 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Restaurant-level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40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3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Adjusted Income from Operations Non-GAAP Reconciliations</w:t>
      </w:r>
      <w:r>
        <w:rPr>
          <w:color w:val="000000"/>
        </w:rPr>
        <w:t xml:space="preserve"> </w:t>
      </w:r>
      <w:r>
        <w:rPr>
          <w:rFonts w:ascii="Times New Roman;serif" w:hAnsi="Times New Roman;serif"/>
          <w:b w:val="false"/>
          <w:color w:val="000000"/>
          <w:sz w:val="22"/>
        </w:rPr>
        <w:t>- The following table reconciles Income from operations and the corresponding margin to adjusted income from operations and the corresponding margin for the periods indicated:</w:t>
      </w:r>
    </w:p>
    <w:tbl>
      <w:tblPr>
        <w:tblW w:w="7892" w:type="dxa"/>
        <w:jc w:val="left"/>
        <w:tblInd w:w="0" w:type="dxa"/>
        <w:tblLayout w:type="fixed"/>
        <w:tblCellMar>
          <w:top w:w="28" w:type="dxa"/>
          <w:left w:w="28" w:type="dxa"/>
          <w:bottom w:w="28" w:type="dxa"/>
          <w:right w:w="28" w:type="dxa"/>
        </w:tblCellMar>
      </w:tblPr>
      <w:tblGrid>
        <w:gridCol w:w="1323"/>
        <w:gridCol w:w="1166"/>
        <w:gridCol w:w="1170"/>
        <w:gridCol w:w="109"/>
        <w:gridCol w:w="109"/>
        <w:gridCol w:w="183"/>
        <w:gridCol w:w="183"/>
        <w:gridCol w:w="330"/>
        <w:gridCol w:w="1090"/>
        <w:gridCol w:w="432"/>
        <w:gridCol w:w="109"/>
        <w:gridCol w:w="109"/>
        <w:gridCol w:w="109"/>
        <w:gridCol w:w="252"/>
        <w:gridCol w:w="831"/>
        <w:gridCol w:w="387"/>
      </w:tblGrid>
      <w:tr>
        <w:trPr/>
        <w:tc>
          <w:tcPr>
            <w:tcW w:w="13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59,103 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57,231 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transformational costs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 costs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closure-related charges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62,484 </w:t>
            </w:r>
          </w:p>
        </w:tc>
        <w:tc>
          <w:tcPr>
            <w:tcW w:w="4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63,688 </w:t>
            </w:r>
          </w:p>
        </w:tc>
        <w:tc>
          <w:tcPr>
            <w:tcW w:w="3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(1)Costs for the thirteen weeks ended March 29, 2026 relate to accelerated depreciation associated with equipment upgrades in connection with the turnaround strategy. Costs for the thirteen weeks ended March 30, 2025 include severance, professional fees and other costs incurred as a result of transformational and restructuring activities.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(2)Represents costs in connection with the foreign currency forward contracts that mostly offset foreign currency exchange risk associated with installment payments from the Brazil Sale Transaction.</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(3)Primarily includes gains from certain lease terminations for the thirteen weeks ended March 30,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Adjusted Net Income and Adjusted Diluted Earnings </w:t>
      </w:r>
      <w:bookmarkStart w:id="37" w:name="iabfd142ee82c453ea9c2b6ae62ca4b69_2481"/>
      <w:bookmarkEnd w:id="37"/>
      <w:r>
        <w:rPr>
          <w:rFonts w:ascii="Times New Roman;serif" w:hAnsi="Times New Roman;serif"/>
          <w:b w:val="false"/>
          <w:i/>
          <w:color w:val="000000"/>
          <w:sz w:val="22"/>
        </w:rPr>
        <w:t xml:space="preserve">Per Share Non-GAAP Reconciliations </w:t>
      </w:r>
      <w:r>
        <w:rPr>
          <w:rFonts w:ascii="Times New Roman;serif" w:hAnsi="Times New Roman;serif"/>
          <w:b w:val="false"/>
          <w:color w:val="000000"/>
          <w:sz w:val="22"/>
        </w:rPr>
        <w:t>- The following table reconciles Net income from continuing operations to adjusted net income from continuing operations for the periods indicated:</w:t>
      </w:r>
    </w:p>
    <w:tbl>
      <w:tblPr>
        <w:tblW w:w="9410" w:type="dxa"/>
        <w:jc w:val="left"/>
        <w:tblInd w:w="0" w:type="dxa"/>
        <w:tblLayout w:type="fixed"/>
        <w:tblCellMar>
          <w:top w:w="28" w:type="dxa"/>
          <w:left w:w="28" w:type="dxa"/>
          <w:bottom w:w="28" w:type="dxa"/>
          <w:right w:w="28" w:type="dxa"/>
        </w:tblCellMar>
      </w:tblPr>
      <w:tblGrid>
        <w:gridCol w:w="1876"/>
        <w:gridCol w:w="1647"/>
        <w:gridCol w:w="1652"/>
        <w:gridCol w:w="109"/>
        <w:gridCol w:w="109"/>
        <w:gridCol w:w="207"/>
        <w:gridCol w:w="207"/>
        <w:gridCol w:w="372"/>
        <w:gridCol w:w="1227"/>
        <w:gridCol w:w="207"/>
        <w:gridCol w:w="109"/>
        <w:gridCol w:w="109"/>
        <w:gridCol w:w="109"/>
        <w:gridCol w:w="289"/>
        <w:gridCol w:w="954"/>
        <w:gridCol w:w="227"/>
      </w:tblGrid>
      <w:tr>
        <w:trPr/>
        <w:tc>
          <w:tcPr>
            <w:tcW w:w="187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56,804 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43,850 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Bloomin’ Brands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55,222 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42,406 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adjustments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6,457 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adjustments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adjustments,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7,587 </w:t>
            </w:r>
          </w:p>
        </w:tc>
        <w:tc>
          <w:tcPr>
            <w:tcW w:w="22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57,357 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49,993 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 -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2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85,751 </w:t>
            </w:r>
          </w:p>
        </w:tc>
        <w:tc>
          <w:tcPr>
            <w:tcW w:w="2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85,130 </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the </w:t>
      </w:r>
      <w:r>
        <w:rPr>
          <w:rFonts w:ascii="Times New Roman;serif" w:hAnsi="Times New Roman;serif"/>
          <w:b w:val="false"/>
          <w:i/>
          <w:color w:val="000000"/>
          <w:sz w:val="18"/>
        </w:rPr>
        <w:t>Adjusted Income from Operations Non-GAAP Reconciliations</w:t>
      </w:r>
      <w:r>
        <w:rPr>
          <w:color w:val="000000"/>
        </w:rPr>
        <w:t xml:space="preserve"> </w:t>
      </w:r>
      <w:r>
        <w:rPr>
          <w:rFonts w:ascii="Times New Roman;serif" w:hAnsi="Times New Roman;serif"/>
          <w:b w:val="false"/>
          <w:color w:val="000000"/>
          <w:sz w:val="18"/>
        </w:rPr>
        <w:t>table above for details regarding income from operations adjustments.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tax effect of non-GAAP adjustments is determined by recomputing the (benefit) provision for income taxes on an adjusted basis. The difference between the recomputed (benefit) provision for income taxes and the GAAP (benefit) provision for income taxes represents the tax effect of non-GAAP adjustments. The thirteen weeks ended March 30, 2025 also includes an adjustment to (benefit) provision for income taxes related to foreign currency gains on the Brazil Sale Transaction installment receivable.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System-Wide Sales - </w:t>
      </w:r>
      <w:r>
        <w:rPr>
          <w:rFonts w:ascii="Times New Roman;serif" w:hAnsi="Times New Roman;serif"/>
          <w:b w:val="false"/>
          <w:color w:val="000000"/>
          <w:sz w:val="22"/>
        </w:rPr>
        <w:t>The following table provides a summary of sales of franchised restaurants by segment for the periods indicated:</w:t>
      </w:r>
    </w:p>
    <w:tbl>
      <w:tblPr>
        <w:tblW w:w="7075" w:type="dxa"/>
        <w:jc w:val="left"/>
        <w:tblInd w:w="0" w:type="dxa"/>
        <w:tblLayout w:type="fixed"/>
        <w:tblCellMar>
          <w:top w:w="28" w:type="dxa"/>
          <w:left w:w="28" w:type="dxa"/>
          <w:bottom w:w="28" w:type="dxa"/>
          <w:right w:w="28" w:type="dxa"/>
        </w:tblCellMar>
      </w:tblPr>
      <w:tblGrid>
        <w:gridCol w:w="952"/>
        <w:gridCol w:w="834"/>
        <w:gridCol w:w="838"/>
        <w:gridCol w:w="109"/>
        <w:gridCol w:w="109"/>
        <w:gridCol w:w="254"/>
        <w:gridCol w:w="254"/>
        <w:gridCol w:w="459"/>
        <w:gridCol w:w="989"/>
        <w:gridCol w:w="263"/>
        <w:gridCol w:w="109"/>
        <w:gridCol w:w="109"/>
        <w:gridCol w:w="109"/>
        <w:gridCol w:w="383"/>
        <w:gridCol w:w="825"/>
        <w:gridCol w:w="216"/>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38" w:name="i804d516d5bb041f98f18114dc7aed550_13-7-1"/>
            <w:bookmarkEnd w:id="38"/>
            <w:r>
              <w:rPr>
                <w:rFonts w:ascii="Times New Roman;serif" w:hAnsi="Times New Roman;serif"/>
                <w:b w:val="false"/>
                <w:color w:val="000000"/>
                <w:sz w:val="18"/>
              </w:rPr>
              <w:t>360 </w:t>
            </w:r>
          </w:p>
        </w:tc>
        <w:tc>
          <w:tcPr>
            <w:tcW w:w="2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Liquidity and </w:t>
      </w:r>
      <w:bookmarkStart w:id="39" w:name="i9bbf7cc15d19430cbd9bf1fe8024f298_38"/>
      <w:bookmarkEnd w:id="39"/>
      <w:r>
        <w:rPr>
          <w:rFonts w:ascii="Times New Roman;serif" w:hAnsi="Times New Roman;serif"/>
          <w:b/>
          <w:color w:val="000000"/>
          <w:sz w:val="22"/>
        </w:rPr>
        <w:t xml:space="preserve">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29, 2026, we had $71.3 million in cash and cash equivalents, of which $5.4 million was held by foreign affiliates, and did not have aggregate undistributed foreign earnings from our consolidated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Credit Facilities</w:t>
      </w:r>
      <w:r>
        <w:rPr>
          <w:color w:val="000000"/>
        </w:rPr>
        <w:t xml:space="preserve"> </w:t>
      </w:r>
      <w:r>
        <w:rPr>
          <w:rFonts w:ascii="Times New Roman;serif" w:hAnsi="Times New Roman;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821"/>
        <w:gridCol w:w="724"/>
        <w:gridCol w:w="727"/>
        <w:gridCol w:w="413"/>
        <w:gridCol w:w="1551"/>
        <w:gridCol w:w="539"/>
        <w:gridCol w:w="109"/>
        <w:gridCol w:w="109"/>
        <w:gridCol w:w="109"/>
        <w:gridCol w:w="109"/>
        <w:gridCol w:w="109"/>
        <w:gridCol w:w="109"/>
        <w:gridCol w:w="109"/>
        <w:gridCol w:w="109"/>
        <w:gridCol w:w="109"/>
        <w:gridCol w:w="109"/>
        <w:gridCol w:w="109"/>
        <w:gridCol w:w="109"/>
        <w:gridCol w:w="109"/>
        <w:gridCol w:w="326"/>
        <w:gridCol w:w="1228"/>
        <w:gridCol w:w="426"/>
        <w:gridCol w:w="313"/>
        <w:gridCol w:w="313"/>
        <w:gridCol w:w="315"/>
        <w:gridCol w:w="196"/>
        <w:gridCol w:w="736"/>
        <w:gridCol w:w="160"/>
      </w:tblGrid>
      <w:tr>
        <w:trPr/>
        <w:tc>
          <w:tcPr>
            <w:tcW w:w="8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FACILITIES</w:t>
            </w:r>
          </w:p>
        </w:tc>
        <w:tc>
          <w:tcPr>
            <w:tcW w:w="2033" w:type="dxa"/>
            <w:gridSpan w:val="6"/>
            <w:tcBorders/>
          </w:tcPr>
          <w:p>
            <w:pPr>
              <w:pStyle w:val="TableContents"/>
              <w:bidi w:val="0"/>
              <w:spacing w:before="0" w:after="283"/>
              <w:jc w:val="left"/>
              <w:rPr>
                <w:sz w:val="4"/>
                <w:szCs w:val="4"/>
              </w:rPr>
            </w:pPr>
            <w:r>
              <w:rPr>
                <w:sz w:val="4"/>
                <w:szCs w:val="4"/>
              </w:rPr>
            </w:r>
          </w:p>
        </w:tc>
      </w:tr>
      <w:tr>
        <w:trPr/>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50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gridSpan w:val="3"/>
            <w:vMerge w:val="continue"/>
            <w:tcBorders/>
            <w:tcMar>
              <w:top w:w="0" w:type="dxa"/>
              <w:left w:w="0" w:type="dxa"/>
              <w:bottom w:w="0" w:type="dxa"/>
              <w:right w:w="0" w:type="dxa"/>
            </w:tcMar>
            <w:vAlign w:val="center"/>
          </w:tcPr>
          <w:p>
            <w:pPr>
              <w:pStyle w:val="Normal"/>
              <w:bidi w:val="0"/>
              <w:jc w:val="left"/>
              <w:rPr/>
            </w:pPr>
            <w:r>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NOTES</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28, 2025</w:t>
            </w:r>
          </w:p>
        </w:tc>
        <w:tc>
          <w:tcPr>
            <w:tcW w:w="4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490,000 </w:t>
            </w:r>
          </w:p>
        </w:tc>
        <w:tc>
          <w:tcPr>
            <w:tcW w:w="5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4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790,000 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new debt</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payments</w:t>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(285,000)</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29, 2026</w:t>
            </w:r>
          </w:p>
        </w:tc>
        <w:tc>
          <w:tcPr>
            <w:tcW w:w="4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455,000 </w:t>
            </w:r>
          </w:p>
        </w:tc>
        <w:tc>
          <w:tcPr>
            <w:tcW w:w="53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4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755,000 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rates, as of March 29, 2026 (1)</w:t>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maturity date</w:t>
            </w:r>
          </w:p>
        </w:tc>
        <w:tc>
          <w:tcPr>
            <w:tcW w:w="2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2029</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(1)Interest rate for revolving credit facility represents the weighted average interest rate as of March 29, 2026.</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March 29, 2026, we had $728.7 million in available unused borrowing capacity under our revolving credit facility, net of letters of credit of $16.3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March 29, 2026 and December 28, 2025,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Cash flows generated from operating activities and availability under our revolving credit facility are our principal sources of liquidity, which we use for operating expenses, remodeling or relocating older restaurants, investments in technology and equipment and development of new restaurants.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Capital Expenditures </w:t>
      </w:r>
      <w:r>
        <w:rPr>
          <w:rFonts w:ascii="Times New Roman;serif" w:hAnsi="Times New Roman;serif"/>
          <w:b w:val="false"/>
          <w:color w:val="000000"/>
          <w:sz w:val="22"/>
        </w:rPr>
        <w:t>- We estimate that our capital expenditures will total approximately $185 million to $195 million in 2026. The amount of actual capital expenditures may be affected by general economic, financial, competitive, legislative and regulatory factors, among other things, including raw material constraints.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40" w:name="i53f80cc7798c49c69eee2e521dd27176_1393"/>
      <w:bookmarkEnd w:id="40"/>
      <w:r>
        <w:rPr>
          <w:rFonts w:ascii="Times New Roman;serif" w:hAnsi="Times New Roman;serif"/>
          <w:b w:val="false"/>
          <w:i/>
          <w:color w:val="000000"/>
          <w:sz w:val="22"/>
        </w:rPr>
        <w:t>Cash Flows</w:t>
      </w:r>
      <w:r>
        <w:rPr>
          <w:color w:val="000000"/>
        </w:rPr>
        <w:t xml:space="preserve"> </w:t>
      </w:r>
      <w:r>
        <w:rPr>
          <w:rFonts w:ascii="Times New Roman;serif" w:hAnsi="Times New Roman;serif"/>
          <w:b w:val="false"/>
          <w:color w:val="000000"/>
          <w:sz w:val="22"/>
        </w:rPr>
        <w:t>- The following chart presents a summary of our cash flows provided by (used in) operating, investing and financing activities from continuing operations for the periods indicated:</w:t>
      </w:r>
    </w:p>
    <w:p>
      <w:pPr>
        <w:pStyle w:val="TextBody"/>
        <w:bidi w:val="0"/>
        <w:spacing w:before="0" w:after="0"/>
        <w:jc w:val="center"/>
        <w:rPr/>
      </w:pPr>
      <w:r>
        <w:rPr/>
        <w:drawing>
          <wp:inline distT="0" distB="0" distL="0" distR="0">
            <wp:extent cx="6486525" cy="264795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6486525" cy="2647950"/>
                    </a:xfrm>
                    <a:prstGeom prst="rect">
                      <a:avLst/>
                    </a:prstGeom>
                  </pic:spPr>
                </pic:pic>
              </a:graphicData>
            </a:graphic>
          </wp:inline>
        </w:drawing>
      </w:r>
      <w:bookmarkStart w:id="41" w:name="i-2"/>
      <w:bookmarkEnd w:id="41"/>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Operating Activities</w:t>
      </w:r>
      <w:r>
        <w:rPr>
          <w:color w:val="000000"/>
        </w:rPr>
        <w:t xml:space="preserve"> </w:t>
      </w:r>
      <w:r>
        <w:rPr>
          <w:rFonts w:ascii="Times New Roman;serif" w:hAnsi="Times New Roman;serif"/>
          <w:b w:val="false"/>
          <w:color w:val="000000"/>
          <w:sz w:val="22"/>
        </w:rPr>
        <w:t>- The increase in net cash provided by operating activities during the thirteen weeks ended March 29, 2026 as compared to the thirteen weeks ended March 30, 2025 was primarily due to higher cash earnings partially offset by changes in working capital.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Investing Activities </w:t>
      </w:r>
      <w:r>
        <w:rPr>
          <w:rFonts w:ascii="Times New Roman;serif" w:hAnsi="Times New Roman;serif"/>
          <w:b w:val="false"/>
          <w:color w:val="000000"/>
          <w:sz w:val="22"/>
        </w:rPr>
        <w:t>- Net cash used in investing activities during the thirteen weeks ended March 29, 2026 was due to capital expenditures. Net cash provided by investing activities during the thirteen weeks ended March 30, 2025 was primarily due to proceeds from the Brazil Sale Transaction, net of taxes withheld, partially offset by capital expenditures and payments on foreign currency forward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Financing Activities - </w:t>
      </w:r>
      <w:r>
        <w:rPr>
          <w:rFonts w:ascii="Times New Roman;serif" w:hAnsi="Times New Roman;serif"/>
          <w:b w:val="false"/>
          <w:color w:val="000000"/>
          <w:sz w:val="22"/>
        </w:rPr>
        <w:t>Net cash used in financing activities during the thirteen weeks ended March 29, 2026 was primarily due to net payments on the revolving credit facility. Net cash used in financing activities during the thirteen weeks ended March 30, 2025 was primarily due to net payments on the revolving credit facility from the Brazil Sale Transaction proceeds.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Financial Condition</w:t>
      </w:r>
      <w:r>
        <w:rPr>
          <w:color w:val="000000"/>
        </w:rPr>
        <w:t xml:space="preserve"> </w:t>
      </w:r>
      <w:r>
        <w:rPr>
          <w:rFonts w:ascii="Times New Roman;serif" w:hAnsi="Times New Roman;serif"/>
          <w:b w:val="false"/>
          <w:color w:val="000000"/>
          <w:sz w:val="22"/>
        </w:rPr>
        <w:t>- Following is a summary of our current assets, current liabilities and working capital (deficit) as of the periods indicated:</w:t>
      </w:r>
    </w:p>
    <w:tbl>
      <w:tblPr>
        <w:tblW w:w="5351" w:type="dxa"/>
        <w:jc w:val="left"/>
        <w:tblInd w:w="0" w:type="dxa"/>
        <w:tblLayout w:type="fixed"/>
        <w:tblCellMar>
          <w:top w:w="28" w:type="dxa"/>
          <w:left w:w="28" w:type="dxa"/>
          <w:bottom w:w="28" w:type="dxa"/>
          <w:right w:w="28" w:type="dxa"/>
        </w:tblCellMar>
      </w:tblPr>
      <w:tblGrid>
        <w:gridCol w:w="667"/>
        <w:gridCol w:w="588"/>
        <w:gridCol w:w="590"/>
        <w:gridCol w:w="250"/>
        <w:gridCol w:w="1036"/>
        <w:gridCol w:w="139"/>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208,804 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269,638 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(deficit)</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(591,075)</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(609,008)</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Working capital (deficit) includes: (i) Unearned revenue primarily from unredeemed gift cards of $321.4 million and $377.9 million as of March 29, 2026 and December 28, 2025, respectively, and (ii) current operating lease liabilities of $177.0 million and $176.3 million as of March 29, 2026 and December 28, 2025,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w:t>
      </w:r>
      <w:bookmarkStart w:id="42" w:name="i7d5f140c38614f9cad41fbc4910ac8e9_1036"/>
      <w:bookmarkEnd w:id="42"/>
      <w:r>
        <w:rPr>
          <w:rFonts w:ascii="Times New Roman;serif" w:hAnsi="Times New Roman;serif"/>
          <w:b w:val="false"/>
          <w:color w:val="000000"/>
          <w:sz w:val="22"/>
        </w:rPr>
        <w:t>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bookmarkStart w:id="43" w:name="i5666c06f577e495dbd878dd9bf6fcb37_816"/>
      <w:bookmarkEnd w:id="43"/>
      <w:r>
        <w:rPr>
          <w:rFonts w:ascii="Times New Roman;serif" w:hAnsi="Times New Roman;serif"/>
          <w:b/>
          <w:color w:val="000000"/>
          <w:sz w:val="22"/>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prepare our condensed consolidated financial statements in conformity with U.S. GAAP. The preparation of these financial statements requires the use of estimates, judgments, and assumptions that affect the reported amount of assets, liabilities, revenues and expenses, and the disclosure of contingent liabilities. Actual results could differ from these estimates. Our critical accounting estimates have not changed materially from those previously reported in our Annual Report on Form 10-K for the fiscal year ended December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44" w:name="i0abb3b9fdb584e4fbc4fd65eac0ab1c7_199"/>
      <w:bookmarkEnd w:id="44"/>
      <w:r>
        <w:rPr>
          <w:rFonts w:ascii="Times New Roman;serif" w:hAnsi="Times New Roman;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See Note 1 - </w:t>
      </w:r>
      <w:r>
        <w:rPr>
          <w:rFonts w:ascii="Times New Roman;serif" w:hAnsi="Times New Roman;serif"/>
          <w:b w:val="false"/>
          <w:i/>
          <w:color w:val="000000"/>
          <w:sz w:val="22"/>
        </w:rPr>
        <w:t>Description of the Business and Basis of Presentation</w:t>
      </w:r>
      <w:r>
        <w:rPr>
          <w:color w:val="000000"/>
        </w:rPr>
        <w:t xml:space="preserve"> </w:t>
      </w:r>
      <w:r>
        <w:rPr>
          <w:rFonts w:ascii="Times New Roman;serif" w:hAnsi="Times New Roman;serif"/>
          <w:b w:val="false"/>
          <w:color w:val="000000"/>
          <w:sz w:val="22"/>
        </w:rPr>
        <w:t>of the Notes to Consolidated Financial Statements of this Quarterly Report on Form 10-Q for a summary of new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exposed to market risk from changes in commodity prices, labor inflation, foreign currency exchange rates and interest rates. We believe that there have been no material changes in our market risk since December 28, 2025. See Part II, Item 7A., “Quantitative and Qualitative Disclosures about Market Risk,” in our Annual Report on Form 10-K for the year ended December 28, 2025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March 29,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bookmarkStart w:id="45" w:name="i8154262a46fe4a6eb2b5d8ac91fee353_1461"/>
      <w:bookmarkEnd w:id="45"/>
      <w:r>
        <w:rPr>
          <w:rFonts w:ascii="Times New Roman;serif" w:hAnsi="Times New Roman;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changes in our internal control over financial reporting (as defined in Rule 13a-15(f) under the Exchange Act) during the thirteen weeks ended March 29,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For a description of our legal proceedings, see Note 12 - </w:t>
      </w:r>
      <w:r>
        <w:rPr>
          <w:rFonts w:ascii="Times New Roman;serif" w:hAnsi="Times New Roman;serif"/>
          <w:b w:val="false"/>
          <w:i/>
          <w:color w:val="000000"/>
          <w:sz w:val="22"/>
        </w:rPr>
        <w:t>Commitments and Contingencies</w:t>
      </w:r>
      <w:r>
        <w:rPr>
          <w:color w:val="000000"/>
        </w:rPr>
        <w:t xml:space="preserve"> </w:t>
      </w:r>
      <w:r>
        <w:rPr>
          <w:rFonts w:ascii="Times New Roman;serif" w:hAnsi="Times New Roman;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discussed in this report, please consider the factors described in Part I, Item 1A., “Risk Factors,” in our 2025 Form 10-K which could materially affect our business, financial condition or future results. There have not been any material changes to the risk factors described in our 2025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During the thirteen weeks ended March 29, 2026, there were no sales of equity securities that were not registered under the Securities Act and we did not repurchase any of our outstanding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Rule 10b5-1 Trading Plans - </w:t>
      </w:r>
      <w:r>
        <w:rPr>
          <w:rFonts w:ascii="Times New Roman;serif" w:hAnsi="Times New Roman;serif"/>
          <w:b w:val="false"/>
          <w:color w:val="000000"/>
          <w:sz w:val="22"/>
        </w:rPr>
        <w:t xml:space="preserve">During the thirteen weeks ended March 29, 2026, </w:t>
      </w:r>
      <w:bookmarkStart w:id="46" w:name="i3403fd1012e940c193a069bc42559a7e_258"/>
      <w:bookmarkEnd w:id="46"/>
      <w:r>
        <w:rPr>
          <w:rFonts w:ascii="Times New Roman;serif" w:hAnsi="Times New Roman;serif"/>
          <w:b w:val="false"/>
          <w:color w:val="000000"/>
          <w:sz w:val="22"/>
        </w:rPr>
        <w:t>none of the Company’s directors or executive officers adopted, modified or terminated a Rule 10b5-1 trading arrangement or any “non-Rule 10b5-1 trading arrangement”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60"/>
        <w:gridCol w:w="316"/>
        <w:gridCol w:w="318"/>
        <w:gridCol w:w="115"/>
        <w:gridCol w:w="115"/>
        <w:gridCol w:w="115"/>
        <w:gridCol w:w="2347"/>
        <w:gridCol w:w="1847"/>
        <w:gridCol w:w="1852"/>
        <w:gridCol w:w="115"/>
        <w:gridCol w:w="115"/>
        <w:gridCol w:w="115"/>
        <w:gridCol w:w="723"/>
        <w:gridCol w:w="723"/>
        <w:gridCol w:w="1029"/>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EXHIBITS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FILINGS REFERENCED FOR</w:t>
              <w:br/>
              <w:t xml:space="preserve">INCORPORATION BY REFERENCE </w:t>
            </w:r>
          </w:p>
        </w:tc>
      </w:tr>
      <w:tr>
        <w:trPr/>
        <w:tc>
          <w:tcPr>
            <w:tcW w:w="9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2"/>
                  <w:u w:val="single"/>
                </w:rPr>
                <w:t>Senior Officer Special Restricted Stock Unit Award Agreement Under the Bloomin’ Brands, Inc. 2025 Omnibus Incentive Compensation Plan</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28, 2025, Form 10-K, Exhibit 10.27</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2"/>
                  <w:u w:val="single"/>
                </w:rPr>
                <w:t>Senior Officer Special Performance Award Agreement Under the Bloomin’ Brands, Inc. 2025 Omnibus Incentive Compensation Plan</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28, 2025, Form 10-K, Exhibit 10.28</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2"/>
                  <w:u w:val="single"/>
                </w:rPr>
                <w:t>Form of Restricted Stock Unit Award Agreement for restricted stock granted to executive management with restrictive covenants under the Bloomin’ Brands, Inc. 2025 Omnibus Incentive Compensation Plan</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28, 2025, Form 10-K, Exhibit 10.29</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2"/>
                  <w:u w:val="single"/>
                </w:rPr>
                <w:t>Form of Performance Award Agreement for performance units granted to executive management with restrictive covenants under the Bloomin’ Brands, Inc. 2025 Omnibus Incentive Compensation Plan</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December 28, 2025, Form 10-K, Exhibit 10.30</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2"/>
                <w:u w:val="single"/>
                <w:b w:val="false"/>
                <w:rFonts w:ascii="Times New Roman;serif" w:hAnsi="Times New Roman;serif"/>
                <w:color w:val="000080"/>
              </w:rPr>
              <w:instrText xml:space="preserve"> HYPERLINK "https://www.sec.gov/ix?doc=/Archives/edgar/data/1546417/000154641726000015/blmn-20260302.htm" \l "i0e6f10cd1aca4eaa8365ea332d599b32_304"</w:instrText>
            </w:r>
            <w:r>
              <w:rPr>
                <w:rStyle w:val="InternetLink"/>
                <w:sz w:val="22"/>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2"/>
                <w:u w:val="single"/>
              </w:rPr>
              <w:t>Amended</w:t>
            </w:r>
            <w:r>
              <w:rPr>
                <w:rStyle w:val="InternetLink"/>
                <w:sz w:val="22"/>
                <w:u w:val="single"/>
                <w:b w:val="false"/>
                <w:rFonts w:ascii="Times New Roman;serif" w:hAnsi="Times New Roman;serif"/>
                <w:color w:val="000080"/>
              </w:rPr>
              <w:fldChar w:fldCharType="end"/>
            </w:r>
            <w:r>
              <w:fldChar w:fldCharType="begin"/>
            </w:r>
            <w:r>
              <w:rPr>
                <w:rStyle w:val="InternetLink"/>
                <w:sz w:val="22"/>
                <w:u w:val="single"/>
                <w:b w:val="false"/>
                <w:rFonts w:ascii="Times New Roman;serif" w:hAnsi="Times New Roman;serif"/>
                <w:color w:val="000080"/>
              </w:rPr>
              <w:instrText xml:space="preserve"> HYPERLINK "https://www.sec.gov/ix?doc=/Archives/edgar/data/1546417/000154641726000015/blmn-20260302.htm" \l "i0e6f10cd1aca4eaa8365ea332d599b32_304"</w:instrText>
            </w:r>
            <w:r>
              <w:rPr>
                <w:rStyle w:val="InternetLink"/>
                <w:sz w:val="22"/>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2"/>
                <w:u w:val="single"/>
              </w:rPr>
              <w:t xml:space="preserve"> &amp;</w:t>
            </w:r>
            <w:r>
              <w:rPr>
                <w:rStyle w:val="InternetLink"/>
                <w:sz w:val="22"/>
                <w:u w:val="single"/>
                <w:b w:val="false"/>
                <w:rFonts w:ascii="Times New Roman;serif" w:hAnsi="Times New Roman;serif"/>
                <w:color w:val="000080"/>
              </w:rPr>
              <w:fldChar w:fldCharType="end"/>
            </w:r>
            <w:r>
              <w:fldChar w:fldCharType="begin"/>
            </w:r>
            <w:r>
              <w:rPr>
                <w:rStyle w:val="InternetLink"/>
                <w:sz w:val="22"/>
                <w:u w:val="single"/>
                <w:b w:val="false"/>
                <w:rFonts w:ascii="Times New Roman;serif" w:hAnsi="Times New Roman;serif"/>
                <w:color w:val="000080"/>
              </w:rPr>
              <w:instrText xml:space="preserve"> HYPERLINK "https://www.sec.gov/ix?doc=/Archives/edgar/data/1546417/000154641726000015/blmn-20260302.htm" \l "i0e6f10cd1aca4eaa8365ea332d599b32_304"</w:instrText>
            </w:r>
            <w:r>
              <w:rPr>
                <w:rStyle w:val="InternetLink"/>
                <w:sz w:val="22"/>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2"/>
                <w:u w:val="single"/>
              </w:rPr>
              <w:t xml:space="preserve"> Restated Bloomin’ Brands, Inc. 2025 Omnibus Incentive Compensation Plan (incorporated herein by reference to the Definitive Proxy Statement filed by Bloomin’ Brands, Inc. </w:t>
            </w:r>
            <w:r>
              <w:rPr>
                <w:rStyle w:val="InternetLink"/>
                <w:sz w:val="22"/>
                <w:u w:val="single"/>
                <w:b w:val="false"/>
                <w:rFonts w:ascii="Times New Roman;serif" w:hAnsi="Times New Roman;serif"/>
                <w:color w:val="000080"/>
              </w:rPr>
              <w:fldChar w:fldCharType="end"/>
            </w:r>
            <w:r>
              <w:fldChar w:fldCharType="begin"/>
            </w:r>
            <w:r>
              <w:rPr>
                <w:rStyle w:val="InternetLink"/>
                <w:sz w:val="22"/>
                <w:u w:val="single"/>
                <w:b w:val="false"/>
                <w:rFonts w:ascii="Times New Roman;serif" w:hAnsi="Times New Roman;serif"/>
                <w:color w:val="000080"/>
              </w:rPr>
              <w:instrText xml:space="preserve"> HYPERLINK "https://www.sec.gov/ix?doc=/Archives/edgar/data/1546417/000154641726000015/blmn-20260302.htm" \l "i0e6f10cd1aca4eaa8365ea332d599b32_304"</w:instrText>
            </w:r>
            <w:r>
              <w:rPr>
                <w:rStyle w:val="InternetLink"/>
                <w:sz w:val="22"/>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2"/>
                <w:u w:val="single"/>
              </w:rPr>
              <w:t>o</w:t>
            </w:r>
            <w:r>
              <w:rPr>
                <w:rStyle w:val="InternetLink"/>
                <w:sz w:val="22"/>
                <w:u w:val="single"/>
                <w:b w:val="false"/>
                <w:rFonts w:ascii="Times New Roman;serif" w:hAnsi="Times New Roman;serif"/>
                <w:color w:val="000080"/>
              </w:rPr>
              <w:fldChar w:fldCharType="end"/>
            </w:r>
            <w:r>
              <w:fldChar w:fldCharType="begin"/>
            </w:r>
            <w:r>
              <w:rPr>
                <w:rStyle w:val="InternetLink"/>
                <w:sz w:val="22"/>
                <w:u w:val="single"/>
                <w:b w:val="false"/>
                <w:rFonts w:ascii="Times New Roman;serif" w:hAnsi="Times New Roman;serif"/>
                <w:color w:val="000080"/>
              </w:rPr>
              <w:instrText xml:space="preserve"> HYPERLINK "https://www.sec.gov/ix?doc=/Archives/edgar/data/1546417/000154641726000015/blmn-20260302.htm" \l "i0e6f10cd1aca4eaa8365ea332d599b32_304"</w:instrText>
            </w:r>
            <w:r>
              <w:rPr>
                <w:rStyle w:val="InternetLink"/>
                <w:sz w:val="22"/>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2"/>
                <w:u w:val="single"/>
              </w:rPr>
              <w:t>n March 3, 2026)</w:t>
            </w:r>
            <w:r>
              <w:rPr>
                <w:rStyle w:val="InternetLink"/>
                <w:sz w:val="22"/>
                <w:u w:val="single"/>
                <w:b w:val="false"/>
                <w:rFonts w:ascii="Times New Roman;serif" w:hAnsi="Times New Roman;serif"/>
                <w:color w:val="000080"/>
              </w:rPr>
              <w:fldChar w:fldCharType="end"/>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March 3, 2026, Definitive Proxy Statement</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2926_ex311.htm">
              <w:r>
                <w:rPr>
                  <w:rStyle w:val="InternetLink"/>
                  <w:rFonts w:ascii="Times New Roman;serif" w:hAnsi="Times New Roman;serif"/>
                  <w:b w:val="false"/>
                  <w:color w:val="0000FF"/>
                  <w:sz w:val="22"/>
                  <w:u w:val="single"/>
                </w:rPr>
                <w:t>Certification of Chief Executive Officer pursuant to Section 302 of the Sarbanes-Oxley Act of 2002</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2926_ex312.htm">
              <w:r>
                <w:rPr>
                  <w:rStyle w:val="InternetLink"/>
                  <w:rFonts w:ascii="Times New Roman;serif" w:hAnsi="Times New Roman;serif"/>
                  <w:b w:val="false"/>
                  <w:color w:val="0000FF"/>
                  <w:sz w:val="22"/>
                  <w:u w:val="single"/>
                </w:rPr>
                <w:t>Certification of Chief Financial Officer pursuant to Section 302 of the Sarbanes-Oxley Act of 2002</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2926_ex321.htm">
              <w:r>
                <w:rPr>
                  <w:rStyle w:val="InternetLink"/>
                  <w:rFonts w:ascii="Times New Roman;serif" w:hAnsi="Times New Roman;serif"/>
                  <w:b w:val="false"/>
                  <w:color w:val="0000FF"/>
                  <w:sz w:val="22"/>
                  <w:u w:val="single"/>
                </w:rPr>
                <w:t>Certification of Chief Executive Officer pursuant to 18 U.S.C. Section 1350, as adopted pursuant to Section 906 of the Sarbanes-Oxley Act of 2002 (1)</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2926_ex322.htm">
              <w:r>
                <w:rPr>
                  <w:rStyle w:val="InternetLink"/>
                  <w:rFonts w:ascii="Times New Roman;serif" w:hAnsi="Times New Roman;serif"/>
                  <w:b w:val="false"/>
                  <w:color w:val="0000FF"/>
                  <w:sz w:val="22"/>
                  <w:u w:val="single"/>
                </w:rPr>
                <w:t>Certification of Chief Financial Officer pursuant to 18 U.S.C. Section 1350, as adopted pursuant to Section 906 of the Sarbanes-Oxley Act of 2002 (1)</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101.INS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101.SCH</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101.CAL</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101.DEF</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101.LAB</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101.PRE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Management contract or compensatory plan or arrangement required to be filed as an exhibit.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9211" w:type="dxa"/>
            <w:gridSpan w:val="12"/>
            <w:tcBorders/>
          </w:tcPr>
          <w:p>
            <w:pPr>
              <w:pStyle w:val="TableContents"/>
              <w:bidi w:val="0"/>
              <w:spacing w:before="0" w:after="283"/>
              <w:jc w:val="left"/>
              <w:rPr>
                <w:sz w:val="4"/>
                <w:szCs w:val="4"/>
              </w:rPr>
            </w:pPr>
            <w:r>
              <w:rPr>
                <w:sz w:val="4"/>
                <w:szCs w:val="4"/>
              </w:rPr>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f318b19aa83496a9896823004974e70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304" w:type="dxa"/>
        <w:jc w:val="left"/>
        <w:tblInd w:w="0" w:type="dxa"/>
        <w:tblLayout w:type="fixed"/>
        <w:tblCellMar>
          <w:top w:w="28" w:type="dxa"/>
          <w:left w:w="28" w:type="dxa"/>
          <w:bottom w:w="28" w:type="dxa"/>
          <w:right w:w="28" w:type="dxa"/>
        </w:tblCellMar>
      </w:tblPr>
      <w:tblGrid>
        <w:gridCol w:w="222"/>
        <w:gridCol w:w="196"/>
        <w:gridCol w:w="197"/>
        <w:gridCol w:w="434"/>
        <w:gridCol w:w="434"/>
        <w:gridCol w:w="436"/>
        <w:gridCol w:w="208"/>
        <w:gridCol w:w="208"/>
        <w:gridCol w:w="210"/>
        <w:gridCol w:w="1683"/>
        <w:gridCol w:w="1683"/>
        <w:gridCol w:w="239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7, 2026</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57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Philip Pace</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Senior Vice President, Chief Accounting Officer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(Duly Authorized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Michael L. Spanos,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4754"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7,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Eric Christel,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7019"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1493"/>
        <w:gridCol w:w="1493"/>
        <w:gridCol w:w="211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7, 2026</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March 29, 2026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4754"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May 7, 2026</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March 29, 2026 as filed with the Securities and Exchange Commission on the date hereof (the “Report”), I, Eric Christel,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7019"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1493"/>
        <w:gridCol w:w="1493"/>
        <w:gridCol w:w="211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May 7, 2026</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46417/000154641726000009/blmn-122825_ex1027.htm" TargetMode="External"/><Relationship Id="rId5" Type="http://schemas.openxmlformats.org/officeDocument/2006/relationships/hyperlink" Target="https://www.sec.gov/Archives/edgar/data/1546417/000154641726000009/blmn-122825_ex1028.htm" TargetMode="External"/><Relationship Id="rId6" Type="http://schemas.openxmlformats.org/officeDocument/2006/relationships/hyperlink" Target="https://www.sec.gov/Archives/edgar/data/1546417/000154641726000009/blmn-122825_ex1029.htm" TargetMode="External"/><Relationship Id="rId7" Type="http://schemas.openxmlformats.org/officeDocument/2006/relationships/hyperlink" Target="https://www.sec.gov/Archives/edgar/data/1546417/000154641726000009/blmn-122825_ex1030.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14819</Words>
  <Characters>85058</Characters>
  <CharactersWithSpaces>98301</CharactersWithSpaces>
  <Paragraphs>2683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