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598170</wp:posOffset>
            </wp:positionH>
            <wp:positionV relativeFrom="page">
              <wp:posOffset>367030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318135</wp:posOffset>
            </wp:positionV>
            <wp:extent cx="6805930" cy="33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33020"/>
                    </a:xfrm>
                    <a:prstGeom prst="rect">
                      <a:avLst/>
                    </a:prstGeom>
                    <a:noFill/>
                  </pic:spPr>
                </pic:pic>
              </a:graphicData>
            </a:graphic>
          </wp:anchor>
        </w:drawing>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10-Q</w:t>
      </w:r>
    </w:p>
    <w:p>
      <w:pPr>
        <w:spacing w:after="0" w:line="163" w:lineRule="exact"/>
        <w:rPr>
          <w:sz w:val="24"/>
          <w:szCs w:val="24"/>
          <w:color w:val="auto"/>
        </w:rPr>
      </w:pPr>
    </w:p>
    <w:p>
      <w:pPr>
        <w:ind w:left="540"/>
        <w:spacing w:after="0"/>
        <w:rPr>
          <w:sz w:val="20"/>
          <w:szCs w:val="20"/>
          <w:color w:val="auto"/>
        </w:rPr>
      </w:pPr>
      <w:r>
        <w:rPr>
          <w:rFonts w:ascii="Arial" w:cs="Arial" w:eastAsia="Arial" w:hAnsi="Arial"/>
          <w:sz w:val="19"/>
          <w:szCs w:val="19"/>
          <w:b w:val="1"/>
          <w:bCs w:val="1"/>
          <w:color w:val="auto"/>
        </w:rPr>
        <w:t>(Mark One)</w:t>
      </w:r>
    </w:p>
    <w:p>
      <w:pPr>
        <w:spacing w:after="0" w:line="28" w:lineRule="exact"/>
        <w:rPr>
          <w:sz w:val="24"/>
          <w:szCs w:val="24"/>
          <w:color w:val="auto"/>
        </w:rPr>
      </w:pPr>
    </w:p>
    <w:p>
      <w:pPr>
        <w:ind w:left="1680" w:right="660" w:hanging="800"/>
        <w:spacing w:after="0" w:line="193" w:lineRule="auto"/>
        <w:tabs>
          <w:tab w:leader="none" w:pos="1680" w:val="left"/>
        </w:tabs>
        <w:numPr>
          <w:ilvl w:val="0"/>
          <w:numId w:val="1"/>
        </w:numPr>
        <w:rPr>
          <w:rFonts w:ascii="MS PGothic" w:cs="MS PGothic" w:eastAsia="MS PGothic" w:hAnsi="MS PGothic"/>
          <w:sz w:val="31"/>
          <w:szCs w:val="3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4" w:lineRule="exact"/>
        <w:rPr>
          <w:rFonts w:ascii="MS PGothic" w:cs="MS PGothic" w:eastAsia="MS PGothic" w:hAnsi="MS PGothic"/>
          <w:sz w:val="31"/>
          <w:szCs w:val="31"/>
          <w:color w:val="auto"/>
        </w:rPr>
      </w:pPr>
    </w:p>
    <w:p>
      <w:pPr>
        <w:ind w:left="1680"/>
        <w:spacing w:after="0"/>
        <w:rPr>
          <w:rFonts w:ascii="MS PGothic" w:cs="MS PGothic" w:eastAsia="MS PGothic" w:hAnsi="MS PGothic"/>
          <w:sz w:val="31"/>
          <w:szCs w:val="31"/>
          <w:color w:val="auto"/>
        </w:rPr>
      </w:pPr>
      <w:r>
        <w:rPr>
          <w:rFonts w:ascii="Arial" w:cs="Arial" w:eastAsia="Arial" w:hAnsi="Arial"/>
          <w:sz w:val="19"/>
          <w:szCs w:val="19"/>
          <w:color w:val="auto"/>
        </w:rPr>
        <w:t>For the quarterly period ended September 25, 2022</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or</w:t>
      </w:r>
    </w:p>
    <w:p>
      <w:pPr>
        <w:spacing w:after="0" w:line="22" w:lineRule="exact"/>
        <w:rPr>
          <w:sz w:val="24"/>
          <w:szCs w:val="24"/>
          <w:color w:val="auto"/>
        </w:rPr>
      </w:pPr>
    </w:p>
    <w:p>
      <w:pPr>
        <w:ind w:left="1680" w:right="640" w:hanging="800"/>
        <w:spacing w:after="0" w:line="193" w:lineRule="auto"/>
        <w:tabs>
          <w:tab w:leader="none" w:pos="1680" w:val="left"/>
        </w:tabs>
        <w:numPr>
          <w:ilvl w:val="0"/>
          <w:numId w:val="2"/>
        </w:numPr>
        <w:rPr>
          <w:rFonts w:ascii="MS PGothic" w:cs="MS PGothic" w:eastAsia="MS PGothic" w:hAnsi="MS PGothic"/>
          <w:sz w:val="31"/>
          <w:szCs w:val="3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4" w:lineRule="exact"/>
        <w:rPr>
          <w:rFonts w:ascii="MS PGothic" w:cs="MS PGothic" w:eastAsia="MS PGothic" w:hAnsi="MS PGothic"/>
          <w:sz w:val="31"/>
          <w:szCs w:val="31"/>
          <w:color w:val="auto"/>
        </w:rPr>
      </w:pPr>
    </w:p>
    <w:p>
      <w:pPr>
        <w:ind w:left="1680"/>
        <w:spacing w:after="0"/>
        <w:rPr>
          <w:rFonts w:ascii="MS PGothic" w:cs="MS PGothic" w:eastAsia="MS PGothic" w:hAnsi="MS PGothic"/>
          <w:sz w:val="31"/>
          <w:szCs w:val="31"/>
          <w:color w:val="auto"/>
        </w:rPr>
      </w:pPr>
      <w:r>
        <w:rPr>
          <w:rFonts w:ascii="Arial" w:cs="Arial" w:eastAsia="Arial" w:hAnsi="Arial"/>
          <w:sz w:val="19"/>
          <w:szCs w:val="19"/>
          <w:color w:val="auto"/>
        </w:rPr>
        <w:t>For the transition period from ______ to ______</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3161665</wp:posOffset>
            </wp:positionH>
            <wp:positionV relativeFrom="paragraph">
              <wp:posOffset>166370</wp:posOffset>
            </wp:positionV>
            <wp:extent cx="826770" cy="1318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6770" cy="1318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41"/>
          <w:szCs w:val="41"/>
          <w:b w:val="1"/>
          <w:bCs w:val="1"/>
          <w:color w:val="auto"/>
        </w:rPr>
        <w:t>BLOOMIN’ BRANDS, INC.</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200"/>
          </w:cols>
          <w:pgMar w:left="320" w:top="890" w:right="379" w:bottom="81" w:gutter="0" w:footer="0" w:header="0"/>
        </w:sectPr>
      </w:pPr>
    </w:p>
    <w:p>
      <w:pPr>
        <w:spacing w:after="0" w:line="119" w:lineRule="exact"/>
        <w:rPr>
          <w:sz w:val="24"/>
          <w:szCs w:val="24"/>
          <w:color w:val="auto"/>
        </w:rPr>
      </w:pPr>
    </w:p>
    <w:p>
      <w:pPr>
        <w:jc w:val="center"/>
        <w:ind w:right="940"/>
        <w:spacing w:after="0"/>
        <w:rPr>
          <w:sz w:val="20"/>
          <w:szCs w:val="20"/>
          <w:color w:val="auto"/>
        </w:rPr>
      </w:pPr>
      <w:r>
        <w:rPr>
          <w:rFonts w:ascii="Arial" w:cs="Arial" w:eastAsia="Arial" w:hAnsi="Arial"/>
          <w:sz w:val="15"/>
          <w:szCs w:val="15"/>
          <w:b w:val="1"/>
          <w:bCs w:val="1"/>
          <w:color w:val="auto"/>
        </w:rPr>
        <w:t>Delaware</w:t>
      </w:r>
    </w:p>
    <w:p>
      <w:pPr>
        <w:spacing w:after="0" w:line="40" w:lineRule="exact"/>
        <w:rPr>
          <w:sz w:val="24"/>
          <w:szCs w:val="24"/>
          <w:color w:val="auto"/>
        </w:rPr>
      </w:pPr>
    </w:p>
    <w:p>
      <w:pPr>
        <w:jc w:val="center"/>
        <w:ind w:right="9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jc w:val="center"/>
        <w:ind w:right="1740"/>
        <w:spacing w:after="0"/>
        <w:rPr>
          <w:sz w:val="20"/>
          <w:szCs w:val="20"/>
          <w:color w:val="auto"/>
        </w:rPr>
      </w:pPr>
      <w:r>
        <w:rPr>
          <w:rFonts w:ascii="Arial" w:cs="Arial" w:eastAsia="Arial" w:hAnsi="Arial"/>
          <w:sz w:val="15"/>
          <w:szCs w:val="15"/>
          <w:b w:val="1"/>
          <w:bCs w:val="1"/>
          <w:color w:val="auto"/>
        </w:rPr>
        <w:t>20-8023465</w:t>
      </w:r>
    </w:p>
    <w:p>
      <w:pPr>
        <w:spacing w:after="0" w:line="40" w:lineRule="exact"/>
        <w:rPr>
          <w:sz w:val="24"/>
          <w:szCs w:val="24"/>
          <w:color w:val="auto"/>
        </w:rPr>
      </w:pPr>
    </w:p>
    <w:p>
      <w:pPr>
        <w:jc w:val="center"/>
        <w:ind w:right="1740"/>
        <w:spacing w:after="0"/>
        <w:rPr>
          <w:sz w:val="20"/>
          <w:szCs w:val="20"/>
          <w:color w:val="auto"/>
        </w:rPr>
      </w:pPr>
      <w:r>
        <w:rPr>
          <w:rFonts w:ascii="Arial" w:cs="Arial" w:eastAsia="Arial" w:hAnsi="Arial"/>
          <w:sz w:val="14"/>
          <w:szCs w:val="14"/>
          <w:color w:val="auto"/>
        </w:rPr>
        <w:t>(IRS Employer Identification No.)</w:t>
      </w:r>
    </w:p>
    <w:p>
      <w:pPr>
        <w:spacing w:after="0" w:line="108" w:lineRule="exact"/>
        <w:rPr>
          <w:sz w:val="24"/>
          <w:szCs w:val="24"/>
          <w:color w:val="auto"/>
        </w:rPr>
      </w:pPr>
    </w:p>
    <w:p>
      <w:pPr>
        <w:sectPr>
          <w:pgSz w:w="11900" w:h="16838" w:orient="portrait"/>
          <w:cols w:equalWidth="0" w:num="2">
            <w:col w:w="6620" w:space="720"/>
            <w:col w:w="3860"/>
          </w:cols>
          <w:pgMar w:left="320" w:top="890" w:right="379" w:bottom="81" w:gutter="0" w:footer="0" w:header="0"/>
          <w:type w:val="continuous"/>
        </w:sectPr>
      </w:pPr>
    </w:p>
    <w:p>
      <w:pPr>
        <w:jc w:val="center"/>
        <w:ind w:right="-59"/>
        <w:spacing w:after="0"/>
        <w:rPr>
          <w:sz w:val="20"/>
          <w:szCs w:val="20"/>
          <w:color w:val="auto"/>
        </w:rPr>
      </w:pPr>
      <w:r>
        <w:rPr>
          <w:rFonts w:ascii="Arial" w:cs="Arial" w:eastAsia="Arial" w:hAnsi="Arial"/>
          <w:sz w:val="17"/>
          <w:szCs w:val="17"/>
          <w:b w:val="1"/>
          <w:bCs w:val="1"/>
          <w:color w:val="auto"/>
        </w:rPr>
        <w:t>2202 North West Shore Boulevard, Suite 500, Tampa, FL 33607</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(Address of principal executive offices) (Zip Code)</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(813) 282-1225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(Registrant’s telephone number, including area code)</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ectPr>
          <w:pgSz w:w="11900" w:h="16838" w:orient="portrait"/>
          <w:cols w:equalWidth="0" w:num="1">
            <w:col w:w="11200"/>
          </w:cols>
          <w:pgMar w:left="320" w:top="890" w:right="379" w:bottom="81" w:gutter="0" w:footer="0" w:header="0"/>
          <w:type w:val="continuous"/>
        </w:sectPr>
      </w:pPr>
    </w:p>
    <w:p>
      <w:pPr>
        <w:spacing w:after="0" w:line="200" w:lineRule="exact"/>
        <w:rPr>
          <w:sz w:val="24"/>
          <w:szCs w:val="24"/>
          <w:color w:val="auto"/>
        </w:rPr>
      </w:pPr>
    </w:p>
    <w:p>
      <w:pPr>
        <w:spacing w:after="0" w:line="362" w:lineRule="exact"/>
        <w:rPr>
          <w:sz w:val="24"/>
          <w:szCs w:val="24"/>
          <w:color w:val="auto"/>
        </w:rPr>
      </w:pPr>
    </w:p>
    <w:p>
      <w:pPr>
        <w:jc w:val="center"/>
        <w:ind w:left="1200"/>
        <w:spacing w:after="0"/>
        <w:rPr>
          <w:sz w:val="20"/>
          <w:szCs w:val="20"/>
          <w:color w:val="auto"/>
        </w:rPr>
      </w:pPr>
      <w:r>
        <w:rPr>
          <w:rFonts w:ascii="Arial" w:cs="Arial" w:eastAsia="Arial" w:hAnsi="Arial"/>
          <w:sz w:val="15"/>
          <w:szCs w:val="15"/>
          <w:color w:val="auto"/>
        </w:rPr>
        <w:t>Title of each class</w:t>
      </w:r>
    </w:p>
    <w:p>
      <w:pPr>
        <w:spacing w:after="0" w:line="28" w:lineRule="exact"/>
        <w:rPr>
          <w:sz w:val="24"/>
          <w:szCs w:val="24"/>
          <w:color w:val="auto"/>
        </w:rPr>
      </w:pPr>
    </w:p>
    <w:p>
      <w:pPr>
        <w:jc w:val="center"/>
        <w:ind w:left="1160"/>
        <w:spacing w:after="0"/>
        <w:rPr>
          <w:sz w:val="20"/>
          <w:szCs w:val="20"/>
          <w:color w:val="auto"/>
        </w:rPr>
      </w:pPr>
      <w:r>
        <w:rPr>
          <w:rFonts w:ascii="Arial" w:cs="Arial" w:eastAsia="Arial" w:hAnsi="Arial"/>
          <w:sz w:val="13"/>
          <w:szCs w:val="13"/>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48" w:lineRule="exact"/>
        <w:rPr>
          <w:sz w:val="24"/>
          <w:szCs w:val="24"/>
          <w:color w:val="auto"/>
        </w:rPr>
      </w:pPr>
    </w:p>
    <w:p>
      <w:pPr>
        <w:ind w:left="1340"/>
        <w:spacing w:after="0"/>
        <w:rPr>
          <w:sz w:val="20"/>
          <w:szCs w:val="20"/>
          <w:color w:val="auto"/>
        </w:rPr>
      </w:pPr>
      <w:r>
        <w:rPr>
          <w:rFonts w:ascii="Arial" w:cs="Arial" w:eastAsia="Arial" w:hAnsi="Arial"/>
          <w:sz w:val="15"/>
          <w:szCs w:val="15"/>
          <w:color w:val="auto"/>
        </w:rPr>
        <w:t>Trading Symbol(s)</w:t>
      </w:r>
    </w:p>
    <w:p>
      <w:pPr>
        <w:spacing w:after="0" w:line="28" w:lineRule="exact"/>
        <w:rPr>
          <w:sz w:val="24"/>
          <w:szCs w:val="24"/>
          <w:color w:val="auto"/>
        </w:rPr>
      </w:pPr>
    </w:p>
    <w:p>
      <w:pPr>
        <w:ind w:left="1700"/>
        <w:spacing w:after="0"/>
        <w:rPr>
          <w:sz w:val="20"/>
          <w:szCs w:val="20"/>
          <w:color w:val="auto"/>
        </w:rPr>
      </w:pPr>
      <w:r>
        <w:rPr>
          <w:rFonts w:ascii="Arial" w:cs="Arial" w:eastAsia="Arial" w:hAnsi="Arial"/>
          <w:sz w:val="15"/>
          <w:szCs w:val="15"/>
          <w:b w:val="1"/>
          <w:bCs w:val="1"/>
          <w:color w:val="auto"/>
        </w:rPr>
        <w:t>BLMN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2" w:lineRule="exact"/>
        <w:rPr>
          <w:sz w:val="24"/>
          <w:szCs w:val="24"/>
          <w:color w:val="auto"/>
        </w:rPr>
      </w:pPr>
    </w:p>
    <w:p>
      <w:pPr>
        <w:jc w:val="center"/>
        <w:ind w:right="640"/>
        <w:spacing w:after="0" w:line="267" w:lineRule="auto"/>
        <w:rPr>
          <w:sz w:val="20"/>
          <w:szCs w:val="20"/>
          <w:color w:val="auto"/>
        </w:rPr>
      </w:pPr>
      <w:r>
        <w:rPr>
          <w:rFonts w:ascii="Arial" w:cs="Arial" w:eastAsia="Arial" w:hAnsi="Arial"/>
          <w:sz w:val="15"/>
          <w:szCs w:val="15"/>
          <w:color w:val="auto"/>
        </w:rPr>
        <w:t xml:space="preserve">Name of each exchange on which registered </w:t>
      </w:r>
      <w:r>
        <w:rPr>
          <w:rFonts w:ascii="Arial" w:cs="Arial" w:eastAsia="Arial" w:hAnsi="Arial"/>
          <w:sz w:val="15"/>
          <w:szCs w:val="15"/>
          <w:b w:val="1"/>
          <w:bCs w:val="1"/>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3220" w:space="620"/>
            <w:col w:w="3560" w:space="420"/>
            <w:col w:w="3380"/>
          </w:cols>
          <w:pgMar w:left="320" w:top="890" w:right="379" w:bottom="81" w:gutter="0" w:footer="0" w:header="0"/>
          <w:type w:val="continuous"/>
        </w:sectPr>
      </w:pPr>
    </w:p>
    <w:p>
      <w:pPr>
        <w:spacing w:after="0" w:line="84" w:lineRule="exact"/>
        <w:rPr>
          <w:sz w:val="24"/>
          <w:szCs w:val="24"/>
          <w:color w:val="auto"/>
        </w:rPr>
      </w:pPr>
    </w:p>
    <w:p>
      <w:pPr>
        <w:spacing w:after="0" w:line="29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4"/>
          <w:szCs w:val="24"/>
          <w:color w:val="auto"/>
        </w:rPr>
      </w:pPr>
    </w:p>
    <w:p>
      <w:pPr>
        <w:spacing w:after="0" w:line="276" w:lineRule="exact"/>
        <w:rPr>
          <w:sz w:val="20"/>
          <w:szCs w:val="20"/>
          <w:color w:val="auto"/>
        </w:rPr>
      </w:pPr>
      <w:r>
        <w:rPr>
          <w:rFonts w:ascii="Arial" w:cs="Arial" w:eastAsia="Arial" w:hAnsi="Arial"/>
          <w:sz w:val="17"/>
          <w:szCs w:val="17"/>
          <w:color w:val="auto"/>
        </w:rPr>
        <w:t xml:space="preserve">past 90 days. Yes </w:t>
      </w:r>
      <w:r>
        <w:rPr>
          <w:rFonts w:ascii="MS PGothic" w:cs="MS PGothic" w:eastAsia="MS PGothic" w:hAnsi="MS PGothic"/>
          <w:sz w:val="24"/>
          <w:szCs w:val="24"/>
          <w:color w:val="auto"/>
        </w:rPr>
        <w:t>☒</w:t>
      </w:r>
      <w:r>
        <w:rPr>
          <w:rFonts w:ascii="Arial" w:cs="Arial" w:eastAsia="Arial" w:hAnsi="Arial"/>
          <w:sz w:val="17"/>
          <w:szCs w:val="17"/>
          <w:color w:val="auto"/>
        </w:rPr>
        <w:t xml:space="preserve"> No </w:t>
      </w:r>
      <w:r>
        <w:rPr>
          <w:rFonts w:ascii="MS PGothic" w:cs="MS PGothic" w:eastAsia="MS PGothic" w:hAnsi="MS PGothic"/>
          <w:sz w:val="24"/>
          <w:szCs w:val="24"/>
          <w:color w:val="auto"/>
        </w:rPr>
        <w:t>☐</w:t>
      </w:r>
    </w:p>
    <w:p>
      <w:pPr>
        <w:spacing w:after="0" w:line="244" w:lineRule="exact"/>
        <w:rPr>
          <w:sz w:val="24"/>
          <w:szCs w:val="24"/>
          <w:color w:val="auto"/>
        </w:rPr>
      </w:pPr>
    </w:p>
    <w:p>
      <w:pPr>
        <w:ind w:right="20"/>
        <w:spacing w:after="0" w:line="26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5"/>
          <w:szCs w:val="15"/>
          <w:color w:val="auto"/>
        </w:rPr>
        <w:t xml:space="preserve"> No </w:t>
      </w:r>
      <w:r>
        <w:rPr>
          <w:rFonts w:ascii="MS PGothic" w:cs="MS PGothic" w:eastAsia="MS PGothic" w:hAnsi="MS PGothic"/>
          <w:sz w:val="21"/>
          <w:szCs w:val="21"/>
          <w:color w:val="auto"/>
        </w:rPr>
        <w:t>☐</w:t>
      </w:r>
    </w:p>
    <w:p>
      <w:pPr>
        <w:spacing w:after="0" w:line="187" w:lineRule="exact"/>
        <w:rPr>
          <w:sz w:val="24"/>
          <w:szCs w:val="24"/>
          <w:color w:val="auto"/>
        </w:rPr>
      </w:pPr>
    </w:p>
    <w:p>
      <w:pPr>
        <w:jc w:val="both"/>
        <w:ind w:right="4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p>
      <w:pPr>
        <w:jc w:val="center"/>
        <w:ind w:right="-59"/>
        <w:spacing w:after="0" w:line="27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24"/>
          <w:szCs w:val="24"/>
          <w:color w:val="auto"/>
        </w:rPr>
        <w:t>☒</w:t>
      </w:r>
      <w:r>
        <w:rPr>
          <w:rFonts w:ascii="Arial" w:cs="Arial" w:eastAsia="Arial" w:hAnsi="Arial"/>
          <w:sz w:val="17"/>
          <w:szCs w:val="17"/>
          <w:color w:val="auto"/>
        </w:rPr>
        <w:t xml:space="preserve"> Accelerated filer </w:t>
      </w:r>
      <w:r>
        <w:rPr>
          <w:rFonts w:ascii="MS PGothic" w:cs="MS PGothic" w:eastAsia="MS PGothic" w:hAnsi="MS PGothic"/>
          <w:sz w:val="24"/>
          <w:szCs w:val="24"/>
          <w:color w:val="auto"/>
        </w:rPr>
        <w:t>☐</w:t>
      </w:r>
      <w:r>
        <w:rPr>
          <w:rFonts w:ascii="Arial" w:cs="Arial" w:eastAsia="Arial" w:hAnsi="Arial"/>
          <w:sz w:val="17"/>
          <w:szCs w:val="17"/>
          <w:color w:val="auto"/>
        </w:rPr>
        <w:t xml:space="preserve"> Non-accelerated filer </w:t>
      </w:r>
      <w:r>
        <w:rPr>
          <w:rFonts w:ascii="MS PGothic" w:cs="MS PGothic" w:eastAsia="MS PGothic" w:hAnsi="MS PGothic"/>
          <w:sz w:val="24"/>
          <w:szCs w:val="24"/>
          <w:color w:val="auto"/>
        </w:rPr>
        <w:t>☐</w:t>
      </w:r>
    </w:p>
    <w:p>
      <w:pPr>
        <w:spacing w:after="0" w:line="77" w:lineRule="exact"/>
        <w:rPr>
          <w:sz w:val="24"/>
          <w:szCs w:val="24"/>
          <w:color w:val="auto"/>
        </w:rPr>
      </w:pPr>
    </w:p>
    <w:p>
      <w:pPr>
        <w:jc w:val="center"/>
        <w:ind w:right="-59"/>
        <w:spacing w:after="0" w:line="27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24"/>
          <w:szCs w:val="24"/>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24"/>
          <w:szCs w:val="24"/>
          <w:color w:val="auto"/>
        </w:rPr>
        <w:t>☐</w:t>
      </w:r>
    </w:p>
    <w:p>
      <w:pPr>
        <w:spacing w:after="0" w:line="231" w:lineRule="exact"/>
        <w:rPr>
          <w:sz w:val="24"/>
          <w:szCs w:val="24"/>
          <w:color w:val="auto"/>
        </w:rPr>
      </w:pPr>
    </w:p>
    <w:p>
      <w:pPr>
        <w:ind w:right="440"/>
        <w:spacing w:after="0" w:line="26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4"/>
          <w:szCs w:val="24"/>
          <w:color w:val="auto"/>
        </w:rPr>
        <w:t>☐</w:t>
      </w:r>
    </w:p>
    <w:p>
      <w:pPr>
        <w:spacing w:after="0" w:line="140" w:lineRule="exact"/>
        <w:rPr>
          <w:sz w:val="24"/>
          <w:szCs w:val="24"/>
          <w:color w:val="auto"/>
        </w:rPr>
      </w:pPr>
    </w:p>
    <w:p>
      <w:pPr>
        <w:spacing w:after="0" w:line="27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4"/>
          <w:szCs w:val="24"/>
          <w:color w:val="auto"/>
        </w:rPr>
        <w:t>☐</w:t>
      </w:r>
      <w:r>
        <w:rPr>
          <w:rFonts w:ascii="Arial" w:cs="Arial" w:eastAsia="Arial" w:hAnsi="Arial"/>
          <w:sz w:val="17"/>
          <w:szCs w:val="17"/>
          <w:color w:val="auto"/>
        </w:rPr>
        <w:t xml:space="preserve"> No </w:t>
      </w:r>
      <w:r>
        <w:rPr>
          <w:rFonts w:ascii="MS PGothic" w:cs="MS PGothic" w:eastAsia="MS PGothic" w:hAnsi="MS PGothic"/>
          <w:sz w:val="24"/>
          <w:szCs w:val="24"/>
          <w:color w:val="auto"/>
        </w:rPr>
        <w:t>☒</w:t>
      </w:r>
    </w:p>
    <w:p>
      <w:pPr>
        <w:spacing w:after="0" w:line="300" w:lineRule="exact"/>
        <w:rPr>
          <w:sz w:val="24"/>
          <w:szCs w:val="24"/>
          <w:color w:val="auto"/>
        </w:rPr>
      </w:pPr>
    </w:p>
    <w:p>
      <w:pPr>
        <w:spacing w:after="0"/>
        <w:rPr>
          <w:sz w:val="20"/>
          <w:szCs w:val="20"/>
          <w:color w:val="auto"/>
        </w:rPr>
      </w:pPr>
      <w:r>
        <w:rPr>
          <w:rFonts w:ascii="Arial" w:cs="Arial" w:eastAsia="Arial" w:hAnsi="Arial"/>
          <w:sz w:val="17"/>
          <w:szCs w:val="17"/>
          <w:color w:val="auto"/>
        </w:rPr>
        <w:t>As of October 27, 2022, 87,793,644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239395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96520</wp:posOffset>
            </wp:positionV>
            <wp:extent cx="7138670"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80010</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890" w:right="379" w:bottom="81"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20" w:type="dxa"/>
            <w:vAlign w:val="bottom"/>
            <w:gridSpan w:val="12"/>
          </w:tcPr>
          <w:p>
            <w:pPr>
              <w:jc w:val="center"/>
              <w:ind w:right="2320"/>
              <w:spacing w:after="0"/>
              <w:rPr>
                <w:sz w:val="20"/>
                <w:szCs w:val="20"/>
                <w:color w:val="auto"/>
              </w:rPr>
            </w:pPr>
            <w:r>
              <w:rPr>
                <w:rFonts w:ascii="Arial" w:cs="Arial" w:eastAsia="Arial" w:hAnsi="Arial"/>
                <w:sz w:val="19"/>
                <w:szCs w:val="19"/>
                <w:b w:val="1"/>
                <w:bCs w:val="1"/>
                <w:color w:val="auto"/>
              </w:rPr>
              <w:t>BLOOMIN’ BRANDS, INC.</w:t>
            </w: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896"/>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60" w:type="dxa"/>
            <w:vAlign w:val="bottom"/>
            <w:gridSpan w:val="16"/>
          </w:tcPr>
          <w:p>
            <w:pPr>
              <w:jc w:val="center"/>
              <w:ind w:right="1360"/>
              <w:spacing w:after="0"/>
              <w:rPr>
                <w:sz w:val="20"/>
                <w:szCs w:val="20"/>
                <w:color w:val="auto"/>
              </w:rPr>
            </w:pPr>
            <w:r>
              <w:rPr>
                <w:rFonts w:ascii="Arial" w:cs="Arial" w:eastAsia="Arial" w:hAnsi="Arial"/>
                <w:sz w:val="19"/>
                <w:szCs w:val="19"/>
                <w:color w:val="auto"/>
                <w:w w:val="94"/>
              </w:rPr>
              <w:t>INDEX TO QUARTERLY REPORT ON FORM 10-Q</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9"/>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60" w:type="dxa"/>
            <w:vAlign w:val="bottom"/>
            <w:gridSpan w:val="16"/>
          </w:tcPr>
          <w:p>
            <w:pPr>
              <w:jc w:val="center"/>
              <w:ind w:right="1360"/>
              <w:spacing w:after="0"/>
              <w:rPr>
                <w:sz w:val="20"/>
                <w:szCs w:val="20"/>
                <w:color w:val="auto"/>
              </w:rPr>
            </w:pPr>
            <w:r>
              <w:rPr>
                <w:rFonts w:ascii="Arial" w:cs="Arial" w:eastAsia="Arial" w:hAnsi="Arial"/>
                <w:sz w:val="19"/>
                <w:szCs w:val="19"/>
                <w:color w:val="auto"/>
                <w:w w:val="89"/>
              </w:rPr>
              <w:t>For the Quarterly Period Ended September 25, 2022</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0"/>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gridSpan w:val="11"/>
          </w:tcPr>
          <w:p>
            <w:pPr>
              <w:jc w:val="center"/>
              <w:ind w:right="3140"/>
              <w:spacing w:after="0"/>
              <w:rPr>
                <w:sz w:val="20"/>
                <w:szCs w:val="20"/>
                <w:color w:val="auto"/>
              </w:rPr>
            </w:pPr>
            <w:r>
              <w:rPr>
                <w:rFonts w:ascii="Arial" w:cs="Arial" w:eastAsia="Arial" w:hAnsi="Arial"/>
                <w:sz w:val="19"/>
                <w:szCs w:val="19"/>
                <w:color w:val="auto"/>
                <w:w w:val="92"/>
              </w:rPr>
              <w:t>(Unaudited)</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64"/>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2"/>
          </w:tcPr>
          <w:p>
            <w:pPr>
              <w:jc w:val="center"/>
              <w:ind w:right="2320"/>
              <w:spacing w:after="0"/>
              <w:rPr>
                <w:sz w:val="20"/>
                <w:szCs w:val="20"/>
                <w:color w:val="auto"/>
              </w:rPr>
            </w:pPr>
            <w:r>
              <w:rPr>
                <w:rFonts w:ascii="Arial" w:cs="Arial" w:eastAsia="Arial" w:hAnsi="Arial"/>
                <w:sz w:val="19"/>
                <w:szCs w:val="19"/>
                <w:color w:val="auto"/>
                <w:w w:val="95"/>
              </w:rPr>
              <w:t>TABLE OF CONTENTS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7"/>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14"/>
          </w:tcPr>
          <w:p>
            <w:pPr>
              <w:jc w:val="center"/>
              <w:ind w:right="2660"/>
              <w:spacing w:after="0"/>
              <w:rPr>
                <w:sz w:val="20"/>
                <w:szCs w:val="20"/>
                <w:color w:val="auto"/>
              </w:rPr>
            </w:pPr>
            <w:r>
              <w:rPr>
                <w:rFonts w:ascii="Arial" w:cs="Arial" w:eastAsia="Arial" w:hAnsi="Arial"/>
                <w:sz w:val="19"/>
                <w:szCs w:val="19"/>
                <w:color w:val="0000FF"/>
                <w:w w:val="98"/>
              </w:rPr>
              <w:t>PART I — FINANCIAL INFORMATION</w:t>
            </w:r>
          </w:p>
        </w:tc>
        <w:tc>
          <w:tcPr>
            <w:tcW w:w="1600" w:type="dxa"/>
            <w:vAlign w:val="bottom"/>
            <w:gridSpan w:val="5"/>
          </w:tcPr>
          <w:p>
            <w:pPr>
              <w:ind w:left="460"/>
              <w:spacing w:after="0"/>
              <w:rPr>
                <w:sz w:val="20"/>
                <w:szCs w:val="20"/>
                <w:color w:val="auto"/>
              </w:rPr>
            </w:pPr>
            <w:r>
              <w:rPr>
                <w:rFonts w:ascii="Arial" w:cs="Arial" w:eastAsia="Arial" w:hAnsi="Arial"/>
                <w:sz w:val="19"/>
                <w:szCs w:val="19"/>
                <w:color w:val="auto"/>
              </w:rPr>
              <w:t>Page No.</w:t>
            </w:r>
          </w:p>
        </w:tc>
      </w:tr>
      <w:tr>
        <w:trPr>
          <w:trHeight w:val="37"/>
        </w:trPr>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32"/>
        </w:trPr>
        <w:tc>
          <w:tcPr>
            <w:tcW w:w="1120" w:type="dxa"/>
            <w:vAlign w:val="bottom"/>
          </w:tcPr>
          <w:p>
            <w:pPr>
              <w:ind w:left="20"/>
              <w:spacing w:after="0"/>
              <w:rPr>
                <w:sz w:val="20"/>
                <w:szCs w:val="20"/>
                <w:color w:val="auto"/>
              </w:rPr>
            </w:pPr>
            <w:r>
              <w:rPr>
                <w:rFonts w:ascii="Arial" w:cs="Arial" w:eastAsia="Arial" w:hAnsi="Arial"/>
                <w:sz w:val="19"/>
                <w:szCs w:val="19"/>
                <w:color w:val="auto"/>
              </w:rPr>
              <w:t>Item 1.</w:t>
            </w:r>
          </w:p>
        </w:tc>
        <w:tc>
          <w:tcPr>
            <w:tcW w:w="2540" w:type="dxa"/>
            <w:vAlign w:val="bottom"/>
            <w:gridSpan w:val="8"/>
          </w:tcPr>
          <w:p>
            <w:pPr>
              <w:spacing w:after="0"/>
              <w:rPr>
                <w:sz w:val="20"/>
                <w:szCs w:val="20"/>
                <w:color w:val="auto"/>
              </w:rPr>
            </w:pPr>
            <w:r>
              <w:rPr>
                <w:rFonts w:ascii="Arial" w:cs="Arial" w:eastAsia="Arial" w:hAnsi="Arial"/>
                <w:sz w:val="19"/>
                <w:szCs w:val="19"/>
                <w:color w:val="0000FF"/>
                <w:w w:val="89"/>
              </w:rPr>
              <w:t>Financial Statements (Unaudited)</w:t>
            </w:r>
          </w:p>
        </w:tc>
        <w:tc>
          <w:tcPr>
            <w:tcW w:w="5980" w:type="dxa"/>
            <w:vAlign w:val="bottom"/>
            <w:gridSpan w:val="15"/>
          </w:tcPr>
          <w:p>
            <w:pPr>
              <w:spacing w:after="0"/>
              <w:rPr>
                <w:sz w:val="20"/>
                <w:szCs w:val="20"/>
                <w:color w:val="auto"/>
              </w:rPr>
            </w:pPr>
          </w:p>
        </w:tc>
        <w:tc>
          <w:tcPr>
            <w:tcW w:w="900" w:type="dxa"/>
            <w:vAlign w:val="bottom"/>
            <w:gridSpan w:val="4"/>
          </w:tcPr>
          <w:p>
            <w:pPr>
              <w:jc w:val="center"/>
              <w:ind w:left="626"/>
              <w:spacing w:after="0"/>
              <w:rPr>
                <w:sz w:val="20"/>
                <w:szCs w:val="20"/>
                <w:color w:val="auto"/>
              </w:rPr>
            </w:pPr>
            <w:r>
              <w:rPr>
                <w:rFonts w:ascii="Arial" w:cs="Arial" w:eastAsia="Arial" w:hAnsi="Arial"/>
                <w:sz w:val="19"/>
                <w:szCs w:val="19"/>
                <w:color w:val="0000FF"/>
                <w:w w:val="94"/>
              </w:rPr>
              <w:t>3</w:t>
            </w:r>
          </w:p>
        </w:tc>
        <w:tc>
          <w:tcPr>
            <w:tcW w:w="70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3"/>
        </w:trPr>
        <w:tc>
          <w:tcPr>
            <w:tcW w:w="1120" w:type="dxa"/>
            <w:vAlign w:val="bottom"/>
          </w:tcPr>
          <w:p>
            <w:pPr>
              <w:spacing w:after="0"/>
              <w:rPr>
                <w:sz w:val="24"/>
                <w:szCs w:val="24"/>
                <w:color w:val="auto"/>
              </w:rPr>
            </w:pPr>
          </w:p>
        </w:tc>
        <w:tc>
          <w:tcPr>
            <w:tcW w:w="8520" w:type="dxa"/>
            <w:vAlign w:val="bottom"/>
            <w:gridSpan w:val="23"/>
          </w:tcPr>
          <w:p>
            <w:pPr>
              <w:ind w:left="120"/>
              <w:spacing w:after="0"/>
              <w:rPr>
                <w:sz w:val="20"/>
                <w:szCs w:val="20"/>
                <w:color w:val="auto"/>
              </w:rPr>
            </w:pPr>
            <w:r>
              <w:rPr>
                <w:rFonts w:ascii="Arial" w:cs="Arial" w:eastAsia="Arial" w:hAnsi="Arial"/>
                <w:sz w:val="19"/>
                <w:szCs w:val="19"/>
                <w:color w:val="0000FF"/>
              </w:rPr>
              <w:t>Consolidated Financial Statements: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3"/>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20" w:type="dxa"/>
            <w:vAlign w:val="bottom"/>
            <w:gridSpan w:val="18"/>
          </w:tcPr>
          <w:p>
            <w:pPr>
              <w:spacing w:after="0"/>
              <w:rPr>
                <w:sz w:val="20"/>
                <w:szCs w:val="20"/>
                <w:color w:val="auto"/>
              </w:rPr>
            </w:pPr>
            <w:r>
              <w:rPr>
                <w:rFonts w:ascii="Arial" w:cs="Arial" w:eastAsia="Arial" w:hAnsi="Arial"/>
                <w:sz w:val="19"/>
                <w:szCs w:val="19"/>
                <w:color w:val="0000FF"/>
                <w:w w:val="90"/>
              </w:rPr>
              <w:t>Consolidated Balance Sheets — September 25, 2022 and December 26, 2021</w:t>
            </w:r>
          </w:p>
        </w:tc>
        <w:tc>
          <w:tcPr>
            <w:tcW w:w="2200" w:type="dxa"/>
            <w:vAlign w:val="bottom"/>
            <w:gridSpan w:val="3"/>
          </w:tcPr>
          <w:p>
            <w:pPr>
              <w:spacing w:after="0"/>
              <w:rPr>
                <w:sz w:val="24"/>
                <w:szCs w:val="24"/>
                <w:color w:val="auto"/>
              </w:rPr>
            </w:pPr>
          </w:p>
        </w:tc>
        <w:tc>
          <w:tcPr>
            <w:tcW w:w="900" w:type="dxa"/>
            <w:vAlign w:val="bottom"/>
            <w:gridSpan w:val="4"/>
          </w:tcPr>
          <w:p>
            <w:pPr>
              <w:jc w:val="center"/>
              <w:ind w:left="626"/>
              <w:spacing w:after="0"/>
              <w:rPr>
                <w:sz w:val="20"/>
                <w:szCs w:val="20"/>
                <w:color w:val="auto"/>
              </w:rPr>
            </w:pPr>
            <w:r>
              <w:rPr>
                <w:rFonts w:ascii="Arial" w:cs="Arial" w:eastAsia="Arial" w:hAnsi="Arial"/>
                <w:sz w:val="19"/>
                <w:szCs w:val="19"/>
                <w:color w:val="0000FF"/>
                <w:w w:val="94"/>
              </w:rPr>
              <w:t>3</w:t>
            </w: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3"/>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20" w:type="dxa"/>
            <w:vAlign w:val="bottom"/>
            <w:gridSpan w:val="18"/>
          </w:tcPr>
          <w:p>
            <w:pPr>
              <w:spacing w:after="0"/>
              <w:rPr>
                <w:sz w:val="20"/>
                <w:szCs w:val="20"/>
                <w:color w:val="auto"/>
              </w:rPr>
            </w:pPr>
            <w:r>
              <w:rPr>
                <w:rFonts w:ascii="Arial" w:cs="Arial" w:eastAsia="Arial" w:hAnsi="Arial"/>
                <w:sz w:val="19"/>
                <w:szCs w:val="19"/>
                <w:color w:val="0000FF"/>
              </w:rPr>
              <w:t>Consolidated Statements of Operations and Comprehensive Income —</w:t>
            </w:r>
          </w:p>
        </w:tc>
        <w:tc>
          <w:tcPr>
            <w:tcW w:w="2200" w:type="dxa"/>
            <w:vAlign w:val="bottom"/>
            <w:gridSpan w:val="3"/>
          </w:tcPr>
          <w:p>
            <w:pPr>
              <w:spacing w:after="0"/>
              <w:rPr>
                <w:sz w:val="24"/>
                <w:szCs w:val="24"/>
                <w:color w:val="auto"/>
              </w:rPr>
            </w:pPr>
          </w:p>
        </w:tc>
        <w:tc>
          <w:tcPr>
            <w:tcW w:w="900" w:type="dxa"/>
            <w:vAlign w:val="bottom"/>
            <w:gridSpan w:val="4"/>
          </w:tcPr>
          <w:p>
            <w:pPr>
              <w:jc w:val="center"/>
              <w:ind w:left="626"/>
              <w:spacing w:after="0"/>
              <w:rPr>
                <w:sz w:val="20"/>
                <w:szCs w:val="20"/>
                <w:color w:val="auto"/>
              </w:rPr>
            </w:pPr>
            <w:r>
              <w:rPr>
                <w:rFonts w:ascii="Arial" w:cs="Arial" w:eastAsia="Arial" w:hAnsi="Arial"/>
                <w:sz w:val="19"/>
                <w:szCs w:val="19"/>
                <w:color w:val="0000FF"/>
                <w:w w:val="94"/>
              </w:rPr>
              <w:t>4</w:t>
            </w: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53"/>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20" w:type="dxa"/>
            <w:vAlign w:val="bottom"/>
            <w:gridSpan w:val="21"/>
          </w:tcPr>
          <w:p>
            <w:pPr>
              <w:spacing w:after="0" w:line="154" w:lineRule="exact"/>
              <w:rPr>
                <w:sz w:val="20"/>
                <w:szCs w:val="20"/>
                <w:color w:val="auto"/>
              </w:rPr>
            </w:pPr>
            <w:r>
              <w:rPr>
                <w:rFonts w:ascii="Arial" w:cs="Arial" w:eastAsia="Arial" w:hAnsi="Arial"/>
                <w:sz w:val="17"/>
                <w:szCs w:val="17"/>
                <w:color w:val="0000FF"/>
              </w:rPr>
              <w:t>For the Thirteen and Thirty-Nine Weeks Ended September 25, 2022 and September 26, 2021</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457"/>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Borders>
              <w:top w:val="single" w:sz="8" w:color="0000FF"/>
            </w:tcBorders>
            <w:gridSpan w:val="13"/>
          </w:tcPr>
          <w:p>
            <w:pPr>
              <w:spacing w:after="0"/>
              <w:rPr>
                <w:sz w:val="20"/>
                <w:szCs w:val="20"/>
                <w:color w:val="auto"/>
              </w:rPr>
            </w:pPr>
            <w:r>
              <w:rPr>
                <w:rFonts w:ascii="Arial" w:cs="Arial" w:eastAsia="Arial" w:hAnsi="Arial"/>
                <w:sz w:val="19"/>
                <w:szCs w:val="19"/>
                <w:color w:val="0000FF"/>
                <w:w w:val="90"/>
              </w:rPr>
              <w:t>Consolidated Statements of Changes in Stockholders’ Equity —</w:t>
            </w:r>
          </w:p>
        </w:tc>
        <w:tc>
          <w:tcPr>
            <w:tcW w:w="2160" w:type="dxa"/>
            <w:vAlign w:val="bottom"/>
            <w:tcBorders>
              <w:top w:val="single" w:sz="8" w:color="0000FF"/>
            </w:tcBorders>
            <w:gridSpan w:val="7"/>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gridSpan w:val="4"/>
          </w:tcPr>
          <w:p>
            <w:pPr>
              <w:jc w:val="center"/>
              <w:ind w:left="626"/>
              <w:spacing w:after="0"/>
              <w:rPr>
                <w:sz w:val="20"/>
                <w:szCs w:val="20"/>
                <w:color w:val="auto"/>
              </w:rPr>
            </w:pPr>
            <w:r>
              <w:rPr>
                <w:rFonts w:ascii="Arial" w:cs="Arial" w:eastAsia="Arial" w:hAnsi="Arial"/>
                <w:sz w:val="19"/>
                <w:szCs w:val="19"/>
                <w:color w:val="0000FF"/>
                <w:w w:val="94"/>
              </w:rPr>
              <w:t>5</w:t>
            </w: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53"/>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20" w:type="dxa"/>
            <w:vAlign w:val="bottom"/>
            <w:gridSpan w:val="21"/>
          </w:tcPr>
          <w:p>
            <w:pPr>
              <w:spacing w:after="0" w:line="154" w:lineRule="exact"/>
              <w:rPr>
                <w:sz w:val="20"/>
                <w:szCs w:val="20"/>
                <w:color w:val="auto"/>
              </w:rPr>
            </w:pPr>
            <w:r>
              <w:rPr>
                <w:rFonts w:ascii="Arial" w:cs="Arial" w:eastAsia="Arial" w:hAnsi="Arial"/>
                <w:sz w:val="17"/>
                <w:szCs w:val="17"/>
                <w:color w:val="0000FF"/>
              </w:rPr>
              <w:t>For the Thirteen and Thirty-Nine Weeks Ended September 25, 2022 and September 26, 2021</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470"/>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20" w:type="dxa"/>
            <w:vAlign w:val="bottom"/>
            <w:tcBorders>
              <w:top w:val="single" w:sz="8" w:color="0000FF"/>
            </w:tcBorders>
            <w:gridSpan w:val="20"/>
          </w:tcPr>
          <w:p>
            <w:pPr>
              <w:spacing w:after="0"/>
              <w:rPr>
                <w:sz w:val="20"/>
                <w:szCs w:val="20"/>
                <w:color w:val="auto"/>
              </w:rPr>
            </w:pPr>
            <w:r>
              <w:rPr>
                <w:rFonts w:ascii="Arial" w:cs="Arial" w:eastAsia="Arial" w:hAnsi="Arial"/>
                <w:sz w:val="19"/>
                <w:szCs w:val="19"/>
                <w:color w:val="0000FF"/>
              </w:rPr>
              <w:t>Condensed Consolidated Statements of Cash Flows —</w:t>
            </w:r>
          </w:p>
        </w:tc>
        <w:tc>
          <w:tcPr>
            <w:tcW w:w="1200" w:type="dxa"/>
            <w:vAlign w:val="bottom"/>
          </w:tcPr>
          <w:p>
            <w:pPr>
              <w:spacing w:after="0"/>
              <w:rPr>
                <w:sz w:val="24"/>
                <w:szCs w:val="24"/>
                <w:color w:val="auto"/>
              </w:rPr>
            </w:pPr>
          </w:p>
        </w:tc>
        <w:tc>
          <w:tcPr>
            <w:tcW w:w="900" w:type="dxa"/>
            <w:vAlign w:val="bottom"/>
            <w:gridSpan w:val="4"/>
          </w:tcPr>
          <w:p>
            <w:pPr>
              <w:jc w:val="center"/>
              <w:ind w:left="626"/>
              <w:spacing w:after="0"/>
              <w:rPr>
                <w:sz w:val="20"/>
                <w:szCs w:val="20"/>
                <w:color w:val="auto"/>
              </w:rPr>
            </w:pPr>
            <w:r>
              <w:rPr>
                <w:rFonts w:ascii="Arial" w:cs="Arial" w:eastAsia="Arial" w:hAnsi="Arial"/>
                <w:sz w:val="19"/>
                <w:szCs w:val="19"/>
                <w:color w:val="0000FF"/>
                <w:w w:val="94"/>
              </w:rPr>
              <w:t>7</w:t>
            </w:r>
          </w:p>
        </w:tc>
        <w:tc>
          <w:tcPr>
            <w:tcW w:w="700" w:type="dxa"/>
            <w:vAlign w:val="bottom"/>
          </w:tcPr>
          <w:p>
            <w:pPr>
              <w:spacing w:after="0"/>
              <w:rPr>
                <w:sz w:val="24"/>
                <w:szCs w:val="24"/>
                <w:color w:val="auto"/>
              </w:rPr>
            </w:pPr>
          </w:p>
        </w:tc>
      </w:tr>
      <w:tr>
        <w:trPr>
          <w:trHeight w:val="17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40" w:type="dxa"/>
            <w:vAlign w:val="bottom"/>
            <w:tcBorders>
              <w:top w:val="single" w:sz="8" w:color="0000FF"/>
              <w:bottom w:val="single" w:sz="8" w:color="0000FF"/>
            </w:tcBorders>
            <w:gridSpan w:val="11"/>
          </w:tcPr>
          <w:p>
            <w:pPr>
              <w:spacing w:after="0" w:line="173" w:lineRule="exact"/>
              <w:rPr>
                <w:sz w:val="20"/>
                <w:szCs w:val="20"/>
                <w:color w:val="auto"/>
              </w:rPr>
            </w:pPr>
            <w:r>
              <w:rPr>
                <w:rFonts w:ascii="Arial" w:cs="Arial" w:eastAsia="Arial" w:hAnsi="Arial"/>
                <w:sz w:val="19"/>
                <w:szCs w:val="19"/>
                <w:color w:val="0000FF"/>
                <w:w w:val="89"/>
              </w:rPr>
              <w:t>For the Thirty-Nine Weeks Ended September 25, 2022</w:t>
            </w:r>
          </w:p>
        </w:tc>
        <w:tc>
          <w:tcPr>
            <w:tcW w:w="1880" w:type="dxa"/>
            <w:vAlign w:val="bottom"/>
            <w:tcBorders>
              <w:bottom w:val="single" w:sz="8" w:color="0000FF"/>
            </w:tcBorders>
            <w:gridSpan w:val="7"/>
          </w:tcPr>
          <w:p>
            <w:pPr>
              <w:ind w:left="40"/>
              <w:spacing w:after="0" w:line="173" w:lineRule="exact"/>
              <w:rPr>
                <w:sz w:val="20"/>
                <w:szCs w:val="20"/>
                <w:color w:val="auto"/>
              </w:rPr>
            </w:pPr>
            <w:r>
              <w:rPr>
                <w:rFonts w:ascii="Arial" w:cs="Arial" w:eastAsia="Arial" w:hAnsi="Arial"/>
                <w:sz w:val="19"/>
                <w:szCs w:val="19"/>
                <w:color w:val="0000FF"/>
                <w:w w:val="87"/>
              </w:rPr>
              <w:t>and September 26, 2021</w:t>
            </w:r>
          </w:p>
        </w:tc>
        <w:tc>
          <w:tcPr>
            <w:tcW w:w="2200" w:type="dxa"/>
            <w:vAlign w:val="bottom"/>
            <w:gridSpan w:val="3"/>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457"/>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10"/>
          </w:tcPr>
          <w:p>
            <w:pPr>
              <w:spacing w:after="0"/>
              <w:rPr>
                <w:sz w:val="20"/>
                <w:szCs w:val="20"/>
                <w:color w:val="auto"/>
              </w:rPr>
            </w:pPr>
            <w:r>
              <w:rPr>
                <w:rFonts w:ascii="Arial" w:cs="Arial" w:eastAsia="Arial" w:hAnsi="Arial"/>
                <w:sz w:val="19"/>
                <w:szCs w:val="19"/>
                <w:color w:val="0000FF"/>
                <w:w w:val="89"/>
              </w:rPr>
              <w:t>Notes to Consolidated Financial Statements</w:t>
            </w:r>
          </w:p>
        </w:tc>
        <w:tc>
          <w:tcPr>
            <w:tcW w:w="4900" w:type="dxa"/>
            <w:vAlign w:val="bottom"/>
            <w:gridSpan w:val="11"/>
          </w:tcPr>
          <w:p>
            <w:pPr>
              <w:spacing w:after="0"/>
              <w:rPr>
                <w:sz w:val="24"/>
                <w:szCs w:val="24"/>
                <w:color w:val="auto"/>
              </w:rPr>
            </w:pPr>
          </w:p>
        </w:tc>
        <w:tc>
          <w:tcPr>
            <w:tcW w:w="900" w:type="dxa"/>
            <w:vAlign w:val="bottom"/>
            <w:gridSpan w:val="4"/>
          </w:tcPr>
          <w:p>
            <w:pPr>
              <w:jc w:val="center"/>
              <w:ind w:left="626"/>
              <w:spacing w:after="0"/>
              <w:rPr>
                <w:sz w:val="20"/>
                <w:szCs w:val="20"/>
                <w:color w:val="auto"/>
              </w:rPr>
            </w:pPr>
            <w:r>
              <w:rPr>
                <w:rFonts w:ascii="Arial" w:cs="Arial" w:eastAsia="Arial" w:hAnsi="Arial"/>
                <w:sz w:val="19"/>
                <w:szCs w:val="19"/>
                <w:color w:val="0000FF"/>
                <w:w w:val="94"/>
              </w:rPr>
              <w:t>9</w:t>
            </w: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3"/>
        </w:trPr>
        <w:tc>
          <w:tcPr>
            <w:tcW w:w="1120" w:type="dxa"/>
            <w:vAlign w:val="bottom"/>
          </w:tcPr>
          <w:p>
            <w:pPr>
              <w:ind w:left="20"/>
              <w:spacing w:after="0"/>
              <w:rPr>
                <w:sz w:val="20"/>
                <w:szCs w:val="20"/>
                <w:color w:val="auto"/>
              </w:rPr>
            </w:pPr>
            <w:r>
              <w:rPr>
                <w:rFonts w:ascii="Arial" w:cs="Arial" w:eastAsia="Arial" w:hAnsi="Arial"/>
                <w:sz w:val="19"/>
                <w:szCs w:val="19"/>
                <w:color w:val="auto"/>
              </w:rPr>
              <w:t>Item 2.</w:t>
            </w:r>
          </w:p>
        </w:tc>
        <w:tc>
          <w:tcPr>
            <w:tcW w:w="6780" w:type="dxa"/>
            <w:vAlign w:val="bottom"/>
            <w:gridSpan w:val="21"/>
          </w:tcPr>
          <w:p>
            <w:pPr>
              <w:spacing w:after="0"/>
              <w:rPr>
                <w:sz w:val="20"/>
                <w:szCs w:val="20"/>
                <w:color w:val="auto"/>
              </w:rPr>
            </w:pPr>
            <w:r>
              <w:rPr>
                <w:rFonts w:ascii="Arial" w:cs="Arial" w:eastAsia="Arial" w:hAnsi="Arial"/>
                <w:sz w:val="19"/>
                <w:szCs w:val="19"/>
                <w:color w:val="0000FF"/>
                <w:w w:val="90"/>
              </w:rPr>
              <w:t>Management’s Discussion and Analysis of Financial Condition and Results of Operations</w:t>
            </w:r>
          </w:p>
        </w:tc>
        <w:tc>
          <w:tcPr>
            <w:tcW w:w="1740" w:type="dxa"/>
            <w:vAlign w:val="bottom"/>
            <w:gridSpan w:val="2"/>
          </w:tcPr>
          <w:p>
            <w:pPr>
              <w:spacing w:after="0"/>
              <w:rPr>
                <w:sz w:val="24"/>
                <w:szCs w:val="24"/>
                <w:color w:val="auto"/>
              </w:rPr>
            </w:pPr>
          </w:p>
        </w:tc>
        <w:tc>
          <w:tcPr>
            <w:tcW w:w="900" w:type="dxa"/>
            <w:vAlign w:val="bottom"/>
            <w:gridSpan w:val="4"/>
          </w:tcPr>
          <w:p>
            <w:pPr>
              <w:jc w:val="center"/>
              <w:ind w:left="626"/>
              <w:spacing w:after="0"/>
              <w:rPr>
                <w:sz w:val="20"/>
                <w:szCs w:val="20"/>
                <w:color w:val="auto"/>
              </w:rPr>
            </w:pPr>
            <w:r>
              <w:rPr>
                <w:rFonts w:ascii="Arial" w:cs="Arial" w:eastAsia="Arial" w:hAnsi="Arial"/>
                <w:sz w:val="19"/>
                <w:szCs w:val="19"/>
                <w:color w:val="0000FF"/>
                <w:w w:val="84"/>
              </w:rPr>
              <w:t>27</w:t>
            </w: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gridSpan w:val="3"/>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3"/>
        </w:trPr>
        <w:tc>
          <w:tcPr>
            <w:tcW w:w="1120" w:type="dxa"/>
            <w:vAlign w:val="bottom"/>
          </w:tcPr>
          <w:p>
            <w:pPr>
              <w:ind w:left="20"/>
              <w:spacing w:after="0"/>
              <w:rPr>
                <w:sz w:val="20"/>
                <w:szCs w:val="20"/>
                <w:color w:val="auto"/>
              </w:rPr>
            </w:pPr>
            <w:r>
              <w:rPr>
                <w:rFonts w:ascii="Arial" w:cs="Arial" w:eastAsia="Arial" w:hAnsi="Arial"/>
                <w:sz w:val="19"/>
                <w:szCs w:val="19"/>
                <w:color w:val="auto"/>
              </w:rPr>
              <w:t>Item 3.</w:t>
            </w:r>
          </w:p>
        </w:tc>
        <w:tc>
          <w:tcPr>
            <w:tcW w:w="4560" w:type="dxa"/>
            <w:vAlign w:val="bottom"/>
            <w:gridSpan w:val="14"/>
          </w:tcPr>
          <w:p>
            <w:pPr>
              <w:spacing w:after="0"/>
              <w:rPr>
                <w:sz w:val="20"/>
                <w:szCs w:val="20"/>
                <w:color w:val="auto"/>
              </w:rPr>
            </w:pPr>
            <w:r>
              <w:rPr>
                <w:rFonts w:ascii="Arial" w:cs="Arial" w:eastAsia="Arial" w:hAnsi="Arial"/>
                <w:sz w:val="19"/>
                <w:szCs w:val="19"/>
                <w:color w:val="0000FF"/>
                <w:w w:val="90"/>
              </w:rPr>
              <w:t>Quantitative and Qualitative Disclosures About Market Risk</w:t>
            </w:r>
          </w:p>
        </w:tc>
        <w:tc>
          <w:tcPr>
            <w:tcW w:w="2220" w:type="dxa"/>
            <w:vAlign w:val="bottom"/>
            <w:gridSpan w:val="7"/>
          </w:tcPr>
          <w:p>
            <w:pPr>
              <w:spacing w:after="0"/>
              <w:rPr>
                <w:sz w:val="24"/>
                <w:szCs w:val="24"/>
                <w:color w:val="auto"/>
              </w:rPr>
            </w:pPr>
          </w:p>
        </w:tc>
        <w:tc>
          <w:tcPr>
            <w:tcW w:w="1740" w:type="dxa"/>
            <w:vAlign w:val="bottom"/>
            <w:gridSpan w:val="2"/>
          </w:tcPr>
          <w:p>
            <w:pPr>
              <w:spacing w:after="0"/>
              <w:rPr>
                <w:sz w:val="24"/>
                <w:szCs w:val="24"/>
                <w:color w:val="auto"/>
              </w:rPr>
            </w:pPr>
          </w:p>
        </w:tc>
        <w:tc>
          <w:tcPr>
            <w:tcW w:w="900" w:type="dxa"/>
            <w:vAlign w:val="bottom"/>
            <w:gridSpan w:val="4"/>
          </w:tcPr>
          <w:p>
            <w:pPr>
              <w:jc w:val="center"/>
              <w:ind w:left="626"/>
              <w:spacing w:after="0"/>
              <w:rPr>
                <w:sz w:val="20"/>
                <w:szCs w:val="20"/>
                <w:color w:val="auto"/>
              </w:rPr>
            </w:pPr>
            <w:r>
              <w:rPr>
                <w:rFonts w:ascii="Arial" w:cs="Arial" w:eastAsia="Arial" w:hAnsi="Arial"/>
                <w:sz w:val="19"/>
                <w:szCs w:val="19"/>
                <w:color w:val="0000FF"/>
                <w:w w:val="84"/>
              </w:rPr>
              <w:t>50</w:t>
            </w: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gridSpan w:val="3"/>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3"/>
        </w:trPr>
        <w:tc>
          <w:tcPr>
            <w:tcW w:w="1120" w:type="dxa"/>
            <w:vAlign w:val="bottom"/>
          </w:tcPr>
          <w:p>
            <w:pPr>
              <w:ind w:left="20"/>
              <w:spacing w:after="0"/>
              <w:rPr>
                <w:sz w:val="20"/>
                <w:szCs w:val="20"/>
                <w:color w:val="auto"/>
              </w:rPr>
            </w:pPr>
            <w:r>
              <w:rPr>
                <w:rFonts w:ascii="Arial" w:cs="Arial" w:eastAsia="Arial" w:hAnsi="Arial"/>
                <w:sz w:val="19"/>
                <w:szCs w:val="19"/>
                <w:color w:val="auto"/>
              </w:rPr>
              <w:t>Item 4.</w:t>
            </w:r>
          </w:p>
        </w:tc>
        <w:tc>
          <w:tcPr>
            <w:tcW w:w="4560" w:type="dxa"/>
            <w:vAlign w:val="bottom"/>
            <w:gridSpan w:val="14"/>
          </w:tcPr>
          <w:p>
            <w:pPr>
              <w:spacing w:after="0"/>
              <w:rPr>
                <w:sz w:val="20"/>
                <w:szCs w:val="20"/>
                <w:color w:val="auto"/>
              </w:rPr>
            </w:pPr>
            <w:r>
              <w:rPr>
                <w:rFonts w:ascii="Arial" w:cs="Arial" w:eastAsia="Arial" w:hAnsi="Arial"/>
                <w:sz w:val="19"/>
                <w:szCs w:val="19"/>
                <w:color w:val="0000FF"/>
              </w:rPr>
              <w:t>Controls and Procedures</w:t>
            </w:r>
          </w:p>
        </w:tc>
        <w:tc>
          <w:tcPr>
            <w:tcW w:w="3960" w:type="dxa"/>
            <w:vAlign w:val="bottom"/>
            <w:gridSpan w:val="9"/>
          </w:tcPr>
          <w:p>
            <w:pPr>
              <w:spacing w:after="0"/>
              <w:rPr>
                <w:sz w:val="24"/>
                <w:szCs w:val="24"/>
                <w:color w:val="auto"/>
              </w:rPr>
            </w:pPr>
          </w:p>
        </w:tc>
        <w:tc>
          <w:tcPr>
            <w:tcW w:w="900" w:type="dxa"/>
            <w:vAlign w:val="bottom"/>
            <w:gridSpan w:val="4"/>
          </w:tcPr>
          <w:p>
            <w:pPr>
              <w:jc w:val="center"/>
              <w:ind w:left="626"/>
              <w:spacing w:after="0"/>
              <w:rPr>
                <w:sz w:val="20"/>
                <w:szCs w:val="20"/>
                <w:color w:val="auto"/>
              </w:rPr>
            </w:pPr>
            <w:r>
              <w:rPr>
                <w:rFonts w:ascii="Arial" w:cs="Arial" w:eastAsia="Arial" w:hAnsi="Arial"/>
                <w:sz w:val="19"/>
                <w:szCs w:val="19"/>
                <w:color w:val="0000FF"/>
                <w:w w:val="84"/>
              </w:rPr>
              <w:t>50</w:t>
            </w:r>
          </w:p>
        </w:tc>
        <w:tc>
          <w:tcPr>
            <w:tcW w:w="700" w:type="dxa"/>
            <w:vAlign w:val="bottom"/>
          </w:tcPr>
          <w:p>
            <w:pPr>
              <w:spacing w:after="0"/>
              <w:rPr>
                <w:sz w:val="24"/>
                <w:szCs w:val="24"/>
                <w:color w:val="auto"/>
              </w:rPr>
            </w:pPr>
          </w:p>
        </w:tc>
      </w:tr>
      <w:tr>
        <w:trPr>
          <w:trHeight w:val="483"/>
        </w:trPr>
        <w:tc>
          <w:tcPr>
            <w:tcW w:w="11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0000FF"/>
            </w:tcBorders>
            <w:gridSpan w:val="6"/>
          </w:tcPr>
          <w:p>
            <w:pPr>
              <w:jc w:val="center"/>
              <w:spacing w:after="0"/>
              <w:rPr>
                <w:sz w:val="20"/>
                <w:szCs w:val="20"/>
                <w:color w:val="auto"/>
              </w:rPr>
            </w:pPr>
            <w:r>
              <w:rPr>
                <w:rFonts w:ascii="Arial" w:cs="Arial" w:eastAsia="Arial" w:hAnsi="Arial"/>
                <w:sz w:val="19"/>
                <w:szCs w:val="19"/>
                <w:color w:val="0000FF"/>
                <w:w w:val="96"/>
              </w:rPr>
              <w:t>PART II — OTHER INFORMATION</w:t>
            </w:r>
          </w:p>
        </w:tc>
        <w:tc>
          <w:tcPr>
            <w:tcW w:w="282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r>
      <w:tr>
        <w:trPr>
          <w:trHeight w:val="225"/>
        </w:trPr>
        <w:tc>
          <w:tcPr>
            <w:tcW w:w="1120" w:type="dxa"/>
            <w:vAlign w:val="bottom"/>
          </w:tcPr>
          <w:p>
            <w:pPr>
              <w:ind w:left="20"/>
              <w:spacing w:after="0"/>
              <w:rPr>
                <w:sz w:val="20"/>
                <w:szCs w:val="20"/>
                <w:color w:val="auto"/>
              </w:rPr>
            </w:pPr>
            <w:r>
              <w:rPr>
                <w:rFonts w:ascii="Arial" w:cs="Arial" w:eastAsia="Arial" w:hAnsi="Arial"/>
                <w:sz w:val="19"/>
                <w:szCs w:val="19"/>
                <w:color w:val="auto"/>
              </w:rPr>
              <w:t>Item 1.</w:t>
            </w:r>
          </w:p>
        </w:tc>
        <w:tc>
          <w:tcPr>
            <w:tcW w:w="1400" w:type="dxa"/>
            <w:vAlign w:val="bottom"/>
            <w:gridSpan w:val="6"/>
          </w:tcPr>
          <w:p>
            <w:pPr>
              <w:spacing w:after="0"/>
              <w:rPr>
                <w:sz w:val="20"/>
                <w:szCs w:val="20"/>
                <w:color w:val="auto"/>
              </w:rPr>
            </w:pPr>
            <w:r>
              <w:rPr>
                <w:rFonts w:ascii="Arial" w:cs="Arial" w:eastAsia="Arial" w:hAnsi="Arial"/>
                <w:sz w:val="19"/>
                <w:szCs w:val="19"/>
                <w:color w:val="0000FF"/>
                <w:w w:val="87"/>
              </w:rPr>
              <w:t>Legal Proceedings</w:t>
            </w:r>
          </w:p>
        </w:tc>
        <w:tc>
          <w:tcPr>
            <w:tcW w:w="7120" w:type="dxa"/>
            <w:vAlign w:val="bottom"/>
            <w:gridSpan w:val="17"/>
          </w:tcPr>
          <w:p>
            <w:pPr>
              <w:spacing w:after="0"/>
              <w:rPr>
                <w:sz w:val="19"/>
                <w:szCs w:val="19"/>
                <w:color w:val="auto"/>
              </w:rPr>
            </w:pPr>
          </w:p>
        </w:tc>
        <w:tc>
          <w:tcPr>
            <w:tcW w:w="900" w:type="dxa"/>
            <w:vAlign w:val="bottom"/>
            <w:gridSpan w:val="4"/>
          </w:tcPr>
          <w:p>
            <w:pPr>
              <w:jc w:val="center"/>
              <w:ind w:left="626"/>
              <w:spacing w:after="0"/>
              <w:rPr>
                <w:sz w:val="20"/>
                <w:szCs w:val="20"/>
                <w:color w:val="auto"/>
              </w:rPr>
            </w:pPr>
            <w:r>
              <w:rPr>
                <w:rFonts w:ascii="Arial" w:cs="Arial" w:eastAsia="Arial" w:hAnsi="Arial"/>
                <w:sz w:val="19"/>
                <w:szCs w:val="19"/>
                <w:color w:val="0000FF"/>
                <w:w w:val="84"/>
              </w:rPr>
              <w:t>51</w:t>
            </w:r>
          </w:p>
        </w:tc>
        <w:tc>
          <w:tcPr>
            <w:tcW w:w="70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3"/>
        </w:trPr>
        <w:tc>
          <w:tcPr>
            <w:tcW w:w="1120" w:type="dxa"/>
            <w:vAlign w:val="bottom"/>
          </w:tcPr>
          <w:p>
            <w:pPr>
              <w:ind w:left="20"/>
              <w:spacing w:after="0"/>
              <w:rPr>
                <w:sz w:val="20"/>
                <w:szCs w:val="20"/>
                <w:color w:val="auto"/>
              </w:rPr>
            </w:pPr>
            <w:r>
              <w:rPr>
                <w:rFonts w:ascii="Arial" w:cs="Arial" w:eastAsia="Arial" w:hAnsi="Arial"/>
                <w:sz w:val="19"/>
                <w:szCs w:val="19"/>
                <w:color w:val="auto"/>
              </w:rPr>
              <w:t>Item 1A.</w:t>
            </w:r>
          </w:p>
        </w:tc>
        <w:tc>
          <w:tcPr>
            <w:tcW w:w="1400" w:type="dxa"/>
            <w:vAlign w:val="bottom"/>
            <w:gridSpan w:val="6"/>
          </w:tcPr>
          <w:p>
            <w:pPr>
              <w:spacing w:after="0"/>
              <w:rPr>
                <w:sz w:val="20"/>
                <w:szCs w:val="20"/>
                <w:color w:val="auto"/>
              </w:rPr>
            </w:pPr>
            <w:r>
              <w:rPr>
                <w:rFonts w:ascii="Arial" w:cs="Arial" w:eastAsia="Arial" w:hAnsi="Arial"/>
                <w:sz w:val="19"/>
                <w:szCs w:val="19"/>
                <w:color w:val="0000FF"/>
              </w:rPr>
              <w:t>Risk Factors</w:t>
            </w:r>
          </w:p>
        </w:tc>
        <w:tc>
          <w:tcPr>
            <w:tcW w:w="7120" w:type="dxa"/>
            <w:vAlign w:val="bottom"/>
            <w:gridSpan w:val="17"/>
          </w:tcPr>
          <w:p>
            <w:pPr>
              <w:spacing w:after="0"/>
              <w:rPr>
                <w:sz w:val="24"/>
                <w:szCs w:val="24"/>
                <w:color w:val="auto"/>
              </w:rPr>
            </w:pPr>
          </w:p>
        </w:tc>
        <w:tc>
          <w:tcPr>
            <w:tcW w:w="900" w:type="dxa"/>
            <w:vAlign w:val="bottom"/>
            <w:gridSpan w:val="4"/>
          </w:tcPr>
          <w:p>
            <w:pPr>
              <w:jc w:val="center"/>
              <w:ind w:left="626"/>
              <w:spacing w:after="0"/>
              <w:rPr>
                <w:sz w:val="20"/>
                <w:szCs w:val="20"/>
                <w:color w:val="auto"/>
              </w:rPr>
            </w:pPr>
            <w:r>
              <w:rPr>
                <w:rFonts w:ascii="Arial" w:cs="Arial" w:eastAsia="Arial" w:hAnsi="Arial"/>
                <w:sz w:val="19"/>
                <w:szCs w:val="19"/>
                <w:color w:val="0000FF"/>
                <w:w w:val="84"/>
              </w:rPr>
              <w:t>51</w:t>
            </w: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3"/>
        </w:trPr>
        <w:tc>
          <w:tcPr>
            <w:tcW w:w="1120" w:type="dxa"/>
            <w:vAlign w:val="bottom"/>
          </w:tcPr>
          <w:p>
            <w:pPr>
              <w:ind w:left="20"/>
              <w:spacing w:after="0"/>
              <w:rPr>
                <w:sz w:val="20"/>
                <w:szCs w:val="20"/>
                <w:color w:val="auto"/>
              </w:rPr>
            </w:pPr>
            <w:r>
              <w:rPr>
                <w:rFonts w:ascii="Arial" w:cs="Arial" w:eastAsia="Arial" w:hAnsi="Arial"/>
                <w:sz w:val="19"/>
                <w:szCs w:val="19"/>
                <w:color w:val="auto"/>
              </w:rPr>
              <w:t>Item 2.</w:t>
            </w:r>
          </w:p>
        </w:tc>
        <w:tc>
          <w:tcPr>
            <w:tcW w:w="8520" w:type="dxa"/>
            <w:vAlign w:val="bottom"/>
            <w:gridSpan w:val="23"/>
          </w:tcPr>
          <w:p>
            <w:pPr>
              <w:spacing w:after="0"/>
              <w:rPr>
                <w:sz w:val="20"/>
                <w:szCs w:val="20"/>
                <w:color w:val="auto"/>
              </w:rPr>
            </w:pPr>
            <w:r>
              <w:rPr>
                <w:rFonts w:ascii="Arial" w:cs="Arial" w:eastAsia="Arial" w:hAnsi="Arial"/>
                <w:sz w:val="19"/>
                <w:szCs w:val="19"/>
                <w:color w:val="0000FF"/>
              </w:rPr>
              <w:t>Unregistered Sales of Equity Securities and Use of Proceeds</w:t>
            </w:r>
          </w:p>
        </w:tc>
        <w:tc>
          <w:tcPr>
            <w:tcW w:w="900" w:type="dxa"/>
            <w:vAlign w:val="bottom"/>
            <w:gridSpan w:val="4"/>
          </w:tcPr>
          <w:p>
            <w:pPr>
              <w:jc w:val="center"/>
              <w:ind w:left="626"/>
              <w:spacing w:after="0"/>
              <w:rPr>
                <w:sz w:val="20"/>
                <w:szCs w:val="20"/>
                <w:color w:val="auto"/>
              </w:rPr>
            </w:pPr>
            <w:r>
              <w:rPr>
                <w:rFonts w:ascii="Arial" w:cs="Arial" w:eastAsia="Arial" w:hAnsi="Arial"/>
                <w:sz w:val="19"/>
                <w:szCs w:val="19"/>
                <w:color w:val="0000FF"/>
                <w:w w:val="84"/>
              </w:rPr>
              <w:t>51</w:t>
            </w: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40" w:type="dxa"/>
            <w:vAlign w:val="bottom"/>
            <w:gridSpan w:val="10"/>
            <w:shd w:val="clear" w:color="auto" w:fill="0000FF"/>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3"/>
        </w:trPr>
        <w:tc>
          <w:tcPr>
            <w:tcW w:w="1120" w:type="dxa"/>
            <w:vAlign w:val="bottom"/>
          </w:tcPr>
          <w:p>
            <w:pPr>
              <w:ind w:left="20"/>
              <w:spacing w:after="0"/>
              <w:rPr>
                <w:sz w:val="20"/>
                <w:szCs w:val="20"/>
                <w:color w:val="auto"/>
              </w:rPr>
            </w:pPr>
            <w:r>
              <w:rPr>
                <w:rFonts w:ascii="Arial" w:cs="Arial" w:eastAsia="Arial" w:hAnsi="Arial"/>
                <w:sz w:val="19"/>
                <w:szCs w:val="19"/>
                <w:color w:val="auto"/>
              </w:rPr>
              <w:t>Item 6.</w:t>
            </w:r>
          </w:p>
        </w:tc>
        <w:tc>
          <w:tcPr>
            <w:tcW w:w="4560" w:type="dxa"/>
            <w:vAlign w:val="bottom"/>
            <w:gridSpan w:val="14"/>
          </w:tcPr>
          <w:p>
            <w:pPr>
              <w:spacing w:after="0"/>
              <w:rPr>
                <w:sz w:val="20"/>
                <w:szCs w:val="20"/>
                <w:color w:val="auto"/>
              </w:rPr>
            </w:pPr>
            <w:r>
              <w:rPr>
                <w:rFonts w:ascii="Arial" w:cs="Arial" w:eastAsia="Arial" w:hAnsi="Arial"/>
                <w:sz w:val="19"/>
                <w:szCs w:val="19"/>
                <w:color w:val="0000FF"/>
              </w:rPr>
              <w:t>Exhibits</w:t>
            </w:r>
          </w:p>
        </w:tc>
        <w:tc>
          <w:tcPr>
            <w:tcW w:w="3960" w:type="dxa"/>
            <w:vAlign w:val="bottom"/>
            <w:gridSpan w:val="9"/>
          </w:tcPr>
          <w:p>
            <w:pPr>
              <w:spacing w:after="0"/>
              <w:rPr>
                <w:sz w:val="24"/>
                <w:szCs w:val="24"/>
                <w:color w:val="auto"/>
              </w:rPr>
            </w:pPr>
          </w:p>
        </w:tc>
        <w:tc>
          <w:tcPr>
            <w:tcW w:w="900" w:type="dxa"/>
            <w:vAlign w:val="bottom"/>
            <w:gridSpan w:val="4"/>
          </w:tcPr>
          <w:p>
            <w:pPr>
              <w:jc w:val="center"/>
              <w:ind w:left="626"/>
              <w:spacing w:after="0"/>
              <w:rPr>
                <w:sz w:val="20"/>
                <w:szCs w:val="20"/>
                <w:color w:val="auto"/>
              </w:rPr>
            </w:pPr>
            <w:r>
              <w:rPr>
                <w:rFonts w:ascii="Arial" w:cs="Arial" w:eastAsia="Arial" w:hAnsi="Arial"/>
                <w:sz w:val="19"/>
                <w:szCs w:val="19"/>
                <w:color w:val="0000FF"/>
                <w:w w:val="84"/>
              </w:rPr>
              <w:t>52</w:t>
            </w: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0" w:type="dxa"/>
            <w:vAlign w:val="bottom"/>
            <w:gridSpan w:val="1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0"/>
        </w:trPr>
        <w:tc>
          <w:tcPr>
            <w:tcW w:w="1120" w:type="dxa"/>
            <w:vAlign w:val="bottom"/>
          </w:tcPr>
          <w:p>
            <w:pPr>
              <w:spacing w:after="0"/>
              <w:rPr>
                <w:sz w:val="24"/>
                <w:szCs w:val="24"/>
                <w:color w:val="auto"/>
              </w:rPr>
            </w:pPr>
          </w:p>
        </w:tc>
        <w:tc>
          <w:tcPr>
            <w:tcW w:w="8520" w:type="dxa"/>
            <w:vAlign w:val="bottom"/>
            <w:gridSpan w:val="23"/>
          </w:tcPr>
          <w:p>
            <w:pPr>
              <w:spacing w:after="0"/>
              <w:rPr>
                <w:sz w:val="20"/>
                <w:szCs w:val="20"/>
                <w:color w:val="auto"/>
              </w:rPr>
            </w:pPr>
            <w:r>
              <w:rPr>
                <w:rFonts w:ascii="Arial" w:cs="Arial" w:eastAsia="Arial" w:hAnsi="Arial"/>
                <w:sz w:val="19"/>
                <w:szCs w:val="19"/>
                <w:color w:val="0000FF"/>
              </w:rPr>
              <w:t>Signature</w:t>
            </w:r>
          </w:p>
        </w:tc>
        <w:tc>
          <w:tcPr>
            <w:tcW w:w="900" w:type="dxa"/>
            <w:vAlign w:val="bottom"/>
            <w:gridSpan w:val="4"/>
          </w:tcPr>
          <w:p>
            <w:pPr>
              <w:jc w:val="center"/>
              <w:ind w:left="626"/>
              <w:spacing w:after="0"/>
              <w:rPr>
                <w:sz w:val="20"/>
                <w:szCs w:val="20"/>
                <w:color w:val="auto"/>
              </w:rPr>
            </w:pPr>
            <w:r>
              <w:rPr>
                <w:rFonts w:ascii="Arial" w:cs="Arial" w:eastAsia="Arial" w:hAnsi="Arial"/>
                <w:sz w:val="19"/>
                <w:szCs w:val="19"/>
                <w:color w:val="0000FF"/>
                <w:w w:val="84"/>
              </w:rPr>
              <w:t>53</w:t>
            </w:r>
          </w:p>
        </w:tc>
        <w:tc>
          <w:tcPr>
            <w:tcW w:w="700" w:type="dxa"/>
            <w:vAlign w:val="bottom"/>
          </w:tcPr>
          <w:p>
            <w:pPr>
              <w:spacing w:after="0"/>
              <w:rPr>
                <w:sz w:val="24"/>
                <w:szCs w:val="24"/>
                <w:color w:val="auto"/>
              </w:rPr>
            </w:pPr>
          </w:p>
        </w:tc>
      </w:tr>
      <w:tr>
        <w:trPr>
          <w:trHeight w:val="894"/>
        </w:trPr>
        <w:tc>
          <w:tcPr>
            <w:tcW w:w="1120" w:type="dxa"/>
            <w:vAlign w:val="bottom"/>
          </w:tcPr>
          <w:p>
            <w:pPr>
              <w:spacing w:after="0"/>
              <w:rPr>
                <w:sz w:val="24"/>
                <w:szCs w:val="24"/>
                <w:color w:val="auto"/>
              </w:rPr>
            </w:pPr>
          </w:p>
        </w:tc>
        <w:tc>
          <w:tcPr>
            <w:tcW w:w="720" w:type="dxa"/>
            <w:vAlign w:val="bottom"/>
            <w:tcBorders>
              <w:top w:val="single" w:sz="8" w:color="0000FF"/>
            </w:tcBorders>
            <w:gridSpan w:val="4"/>
          </w:tcPr>
          <w:p>
            <w:pPr>
              <w:spacing w:after="0"/>
              <w:rPr>
                <w:sz w:val="24"/>
                <w:szCs w:val="24"/>
                <w:color w:val="auto"/>
              </w:rPr>
            </w:pPr>
          </w:p>
        </w:tc>
        <w:tc>
          <w:tcPr>
            <w:tcW w:w="3840" w:type="dxa"/>
            <w:vAlign w:val="bottom"/>
            <w:gridSpan w:val="10"/>
          </w:tcPr>
          <w:p>
            <w:pPr>
              <w:jc w:val="center"/>
              <w:ind w:left="3634"/>
              <w:spacing w:after="0"/>
              <w:rPr>
                <w:sz w:val="20"/>
                <w:szCs w:val="20"/>
                <w:color w:val="auto"/>
              </w:rPr>
            </w:pPr>
            <w:r>
              <w:rPr>
                <w:rFonts w:ascii="Arial" w:cs="Arial" w:eastAsia="Arial" w:hAnsi="Arial"/>
                <w:sz w:val="17"/>
                <w:szCs w:val="17"/>
                <w:color w:val="auto"/>
                <w:w w:val="84"/>
              </w:rPr>
              <w:t>2</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r>
      <w:tr>
        <w:trPr>
          <w:trHeight w:val="110"/>
        </w:trPr>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 FINANCIAL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Financial Statements</w:t>
      </w:r>
    </w:p>
    <w:p>
      <w:pPr>
        <w:spacing w:after="0" w:line="233"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CONSOLIDATED BALANCE SHEETS</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 THOUSANDS, EXCEPT SHARE AND PER SHARE DATA, 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25, 2022</w:t>
            </w:r>
          </w:p>
        </w:tc>
        <w:tc>
          <w:tcPr>
            <w:tcW w:w="180" w:type="dxa"/>
            <w:vAlign w:val="bottom"/>
          </w:tcPr>
          <w:p>
            <w:pPr>
              <w:spacing w:after="0"/>
              <w:rPr>
                <w:sz w:val="15"/>
                <w:szCs w:val="15"/>
                <w:color w:val="auto"/>
              </w:rPr>
            </w:pPr>
          </w:p>
        </w:tc>
        <w:tc>
          <w:tcPr>
            <w:tcW w:w="1660" w:type="dxa"/>
            <w:vAlign w:val="bottom"/>
          </w:tcPr>
          <w:p>
            <w:pPr>
              <w:jc w:val="right"/>
              <w:ind w:right="183"/>
              <w:spacing w:after="0"/>
              <w:rPr>
                <w:sz w:val="20"/>
                <w:szCs w:val="20"/>
                <w:color w:val="auto"/>
              </w:rPr>
            </w:pPr>
            <w:r>
              <w:rPr>
                <w:rFonts w:ascii="Arial" w:cs="Arial" w:eastAsia="Arial" w:hAnsi="Arial"/>
                <w:sz w:val="14"/>
                <w:szCs w:val="14"/>
                <w:b w:val="1"/>
                <w:bCs w:val="1"/>
                <w:color w:val="auto"/>
                <w:w w:val="99"/>
              </w:rPr>
              <w:t>DECEMBER 26, 2021</w:t>
            </w:r>
          </w:p>
        </w:tc>
        <w:tc>
          <w:tcPr>
            <w:tcW w:w="0" w:type="dxa"/>
            <w:vAlign w:val="bottom"/>
          </w:tcPr>
          <w:p>
            <w:pPr>
              <w:spacing w:after="0"/>
              <w:rPr>
                <w:sz w:val="1"/>
                <w:szCs w:val="1"/>
                <w:color w:val="auto"/>
              </w:rPr>
            </w:pPr>
          </w:p>
        </w:tc>
      </w:tr>
      <w:tr>
        <w:trPr>
          <w:trHeight w:val="30"/>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90,678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87,585</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Arial" w:cs="Arial" w:eastAsia="Arial" w:hAnsi="Arial"/>
                <w:sz w:val="15"/>
                <w:szCs w:val="15"/>
                <w:color w:val="auto"/>
              </w:rPr>
              <w:t>Restricted cash and cash equivalents</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1,472</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Inventories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83,250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79,112</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current assets, net</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101,639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184,623</w:t>
            </w: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assets</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275,710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352,792</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Property, fixtures and equipment, net</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875,567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842,012</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1,115,004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1,130,873</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273,100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268,444</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449,975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453,412</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Deferred income tax assets, net</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158,883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168,068</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assets, net</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70,962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78,670</w:t>
            </w:r>
          </w:p>
        </w:tc>
        <w:tc>
          <w:tcPr>
            <w:tcW w:w="0" w:type="dxa"/>
            <w:vAlign w:val="bottom"/>
          </w:tcPr>
          <w:p>
            <w:pPr>
              <w:spacing w:after="0"/>
              <w:rPr>
                <w:sz w:val="1"/>
                <w:szCs w:val="1"/>
                <w:color w:val="auto"/>
              </w:rPr>
            </w:pPr>
          </w:p>
        </w:tc>
      </w:tr>
      <w:tr>
        <w:trPr>
          <w:trHeight w:val="166"/>
        </w:trPr>
        <w:tc>
          <w:tcPr>
            <w:tcW w:w="7320" w:type="dxa"/>
            <w:vAlign w:val="bottom"/>
          </w:tcPr>
          <w:p>
            <w:pPr>
              <w:ind w:left="760"/>
              <w:spacing w:after="0" w:line="167" w:lineRule="exact"/>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tcPr>
          <w:p>
            <w:pPr>
              <w:jc w:val="right"/>
              <w:ind w:right="23"/>
              <w:spacing w:after="0" w:line="167" w:lineRule="exact"/>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3,219,201</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
              <w:spacing w:after="0" w:line="167" w:lineRule="exact"/>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3,294,271</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 AND STOCKHOLDERS’ EQUITY</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187,825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167,978</w:t>
            </w: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Arial" w:cs="Arial" w:eastAsia="Arial" w:hAnsi="Arial"/>
                <w:sz w:val="15"/>
                <w:szCs w:val="15"/>
                <w:color w:val="auto"/>
              </w:rPr>
              <w:t>Accrued and other current liabilities</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430,185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406,894</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Unearned revenue</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291,831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398,795</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Current portion of long-term debt</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10,958</w:t>
            </w: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liabilities</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911,322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984,625</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Non-current operating lease liabilities</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1,160,657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1,179,447</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 net</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820,225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782,107</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liabilities, net</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86,852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125,242</w:t>
            </w:r>
          </w:p>
        </w:tc>
        <w:tc>
          <w:tcPr>
            <w:tcW w:w="0" w:type="dxa"/>
            <w:vAlign w:val="bottom"/>
          </w:tcPr>
          <w:p>
            <w:pPr>
              <w:spacing w:after="0"/>
              <w:rPr>
                <w:sz w:val="1"/>
                <w:szCs w:val="1"/>
                <w:color w:val="auto"/>
              </w:rPr>
            </w:pPr>
          </w:p>
        </w:tc>
      </w:tr>
      <w:tr>
        <w:trPr>
          <w:trHeight w:val="226"/>
        </w:trPr>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2,979,056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3,071,421</w:t>
            </w:r>
          </w:p>
        </w:tc>
        <w:tc>
          <w:tcPr>
            <w:tcW w:w="0" w:type="dxa"/>
            <w:vAlign w:val="bottom"/>
          </w:tcPr>
          <w:p>
            <w:pPr>
              <w:spacing w:after="0"/>
              <w:rPr>
                <w:sz w:val="1"/>
                <w:szCs w:val="1"/>
                <w:color w:val="auto"/>
              </w:rPr>
            </w:pPr>
          </w:p>
        </w:tc>
      </w:tr>
      <w:tr>
        <w:trPr>
          <w:trHeight w:val="176"/>
        </w:trPr>
        <w:tc>
          <w:tcPr>
            <w:tcW w:w="7320" w:type="dxa"/>
            <w:vAlign w:val="bottom"/>
          </w:tcPr>
          <w:p>
            <w:pPr>
              <w:ind w:left="20"/>
              <w:spacing w:after="0"/>
              <w:rPr>
                <w:sz w:val="20"/>
                <w:szCs w:val="20"/>
                <w:color w:val="auto"/>
              </w:rPr>
            </w:pPr>
            <w:r>
              <w:rPr>
                <w:rFonts w:ascii="Arial" w:cs="Arial" w:eastAsia="Arial" w:hAnsi="Arial"/>
                <w:sz w:val="15"/>
                <w:szCs w:val="15"/>
                <w:color w:val="auto"/>
              </w:rPr>
              <w:t>Commitments and contingencies (Note 15)</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40"/>
              <w:spacing w:after="0"/>
              <w:rPr>
                <w:sz w:val="20"/>
                <w:szCs w:val="20"/>
                <w:color w:val="auto"/>
              </w:rPr>
            </w:pPr>
            <w:r>
              <w:rPr>
                <w:rFonts w:ascii="Arial" w:cs="Arial" w:eastAsia="Arial" w:hAnsi="Arial"/>
                <w:sz w:val="15"/>
                <w:szCs w:val="15"/>
                <w:color w:val="auto"/>
              </w:rPr>
              <w:t>Bloomin’ Brands stockholders’ equity</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Preferred stock, $0.01 par value, 25,000,000 shares authorized; no shares issued and outstanding as of</w:t>
            </w:r>
          </w:p>
        </w:tc>
        <w:tc>
          <w:tcPr>
            <w:tcW w:w="200" w:type="dxa"/>
            <w:vAlign w:val="bottom"/>
            <w:shd w:val="clear" w:color="auto" w:fill="CCEEFF"/>
          </w:tcPr>
          <w:p>
            <w:pPr>
              <w:spacing w:after="0"/>
              <w:rPr>
                <w:sz w:val="14"/>
                <w:szCs w:val="14"/>
                <w:color w:val="auto"/>
              </w:rPr>
            </w:pPr>
          </w:p>
        </w:tc>
        <w:tc>
          <w:tcPr>
            <w:tcW w:w="1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September 25, 2022 and December 26, 2021</w:t>
            </w:r>
          </w:p>
        </w:tc>
        <w:tc>
          <w:tcPr>
            <w:tcW w:w="200" w:type="dxa"/>
            <w:vAlign w:val="bottom"/>
            <w:shd w:val="clear" w:color="auto" w:fill="CCEEFF"/>
          </w:tcPr>
          <w:p>
            <w:pPr>
              <w:spacing w:after="0"/>
              <w:rPr>
                <w:sz w:val="17"/>
                <w:szCs w:val="17"/>
                <w:color w:val="auto"/>
              </w:rPr>
            </w:pPr>
          </w:p>
        </w:tc>
        <w:tc>
          <w:tcPr>
            <w:tcW w:w="1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320" w:type="dxa"/>
            <w:vAlign w:val="bottom"/>
          </w:tcPr>
          <w:p>
            <w:pPr>
              <w:ind w:left="320"/>
              <w:spacing w:after="0" w:line="160" w:lineRule="exact"/>
              <w:rPr>
                <w:sz w:val="20"/>
                <w:szCs w:val="20"/>
                <w:color w:val="auto"/>
              </w:rPr>
            </w:pPr>
            <w:r>
              <w:rPr>
                <w:rFonts w:ascii="Arial" w:cs="Arial" w:eastAsia="Arial" w:hAnsi="Arial"/>
                <w:sz w:val="15"/>
                <w:szCs w:val="15"/>
                <w:color w:val="auto"/>
                <w:w w:val="93"/>
              </w:rPr>
              <w:t>Common stock, $0.01 par value, 475,000,000 shares authorized; 88,449,929 and 89,252,823 shares issued and</w:t>
            </w:r>
          </w:p>
        </w:tc>
        <w:tc>
          <w:tcPr>
            <w:tcW w:w="200" w:type="dxa"/>
            <w:vAlign w:val="bottom"/>
          </w:tcPr>
          <w:p>
            <w:pPr>
              <w:spacing w:after="0"/>
              <w:rPr>
                <w:sz w:val="13"/>
                <w:szCs w:val="13"/>
                <w:color w:val="auto"/>
              </w:rPr>
            </w:pPr>
          </w:p>
        </w:tc>
        <w:tc>
          <w:tcPr>
            <w:tcW w:w="1780" w:type="dxa"/>
            <w:vAlign w:val="bottom"/>
            <w:vMerge w:val="restart"/>
          </w:tcPr>
          <w:p>
            <w:pPr>
              <w:jc w:val="right"/>
              <w:spacing w:after="0"/>
              <w:rPr>
                <w:sz w:val="20"/>
                <w:szCs w:val="20"/>
                <w:color w:val="auto"/>
              </w:rPr>
            </w:pPr>
            <w:r>
              <w:rPr>
                <w:rFonts w:ascii="Arial" w:cs="Arial" w:eastAsia="Arial" w:hAnsi="Arial"/>
                <w:sz w:val="15"/>
                <w:szCs w:val="15"/>
                <w:color w:val="auto"/>
              </w:rPr>
              <w:t>884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color w:val="auto"/>
              </w:rPr>
              <w:t>893</w:t>
            </w:r>
          </w:p>
        </w:tc>
        <w:tc>
          <w:tcPr>
            <w:tcW w:w="0" w:type="dxa"/>
            <w:vAlign w:val="bottom"/>
          </w:tcPr>
          <w:p>
            <w:pPr>
              <w:spacing w:after="0"/>
              <w:rPr>
                <w:sz w:val="1"/>
                <w:szCs w:val="1"/>
                <w:color w:val="auto"/>
              </w:rPr>
            </w:pPr>
          </w:p>
        </w:tc>
      </w:tr>
      <w:tr>
        <w:trPr>
          <w:trHeight w:val="199"/>
        </w:trPr>
        <w:tc>
          <w:tcPr>
            <w:tcW w:w="7320" w:type="dxa"/>
            <w:vAlign w:val="bottom"/>
          </w:tcPr>
          <w:p>
            <w:pPr>
              <w:ind w:left="320"/>
              <w:spacing w:after="0"/>
              <w:rPr>
                <w:sz w:val="20"/>
                <w:szCs w:val="20"/>
                <w:color w:val="auto"/>
              </w:rPr>
            </w:pPr>
            <w:r>
              <w:rPr>
                <w:rFonts w:ascii="Arial" w:cs="Arial" w:eastAsia="Arial" w:hAnsi="Arial"/>
                <w:sz w:val="15"/>
                <w:szCs w:val="15"/>
                <w:color w:val="auto"/>
              </w:rPr>
              <w:t>outstanding as of September 25, 2022 and December 26, 2021, respectively</w:t>
            </w:r>
          </w:p>
        </w:tc>
        <w:tc>
          <w:tcPr>
            <w:tcW w:w="20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Additional paid-in capital</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1,159,722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1,119,728</w:t>
            </w:r>
          </w:p>
        </w:tc>
        <w:tc>
          <w:tcPr>
            <w:tcW w:w="0" w:type="dxa"/>
            <w:vAlign w:val="bottom"/>
          </w:tcPr>
          <w:p>
            <w:pPr>
              <w:spacing w:after="0"/>
              <w:rPr>
                <w:sz w:val="1"/>
                <w:szCs w:val="1"/>
                <w:color w:val="auto"/>
              </w:rPr>
            </w:pPr>
          </w:p>
        </w:tc>
      </w:tr>
      <w:tr>
        <w:trPr>
          <w:trHeight w:val="203"/>
        </w:trPr>
        <w:tc>
          <w:tcPr>
            <w:tcW w:w="7320" w:type="dxa"/>
            <w:vAlign w:val="bottom"/>
          </w:tcPr>
          <w:p>
            <w:pPr>
              <w:ind w:left="320"/>
              <w:spacing w:after="0"/>
              <w:rPr>
                <w:sz w:val="20"/>
                <w:szCs w:val="20"/>
                <w:color w:val="auto"/>
              </w:rPr>
            </w:pPr>
            <w:r>
              <w:rPr>
                <w:rFonts w:ascii="Arial" w:cs="Arial" w:eastAsia="Arial" w:hAnsi="Arial"/>
                <w:sz w:val="15"/>
                <w:szCs w:val="15"/>
                <w:color w:val="auto"/>
              </w:rPr>
              <w:t>Accumulated deficit</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(735,268)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(698,171)</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(186,840)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(205,989)</w:t>
            </w:r>
          </w:p>
        </w:tc>
        <w:tc>
          <w:tcPr>
            <w:tcW w:w="0" w:type="dxa"/>
            <w:vAlign w:val="bottom"/>
          </w:tcPr>
          <w:p>
            <w:pPr>
              <w:spacing w:after="0"/>
              <w:rPr>
                <w:sz w:val="1"/>
                <w:szCs w:val="1"/>
                <w:color w:val="auto"/>
              </w:rPr>
            </w:pPr>
          </w:p>
        </w:tc>
      </w:tr>
      <w:tr>
        <w:trPr>
          <w:trHeight w:val="189"/>
        </w:trPr>
        <w:tc>
          <w:tcPr>
            <w:tcW w:w="7320" w:type="dxa"/>
            <w:vAlign w:val="bottom"/>
          </w:tcPr>
          <w:p>
            <w:pPr>
              <w:ind w:left="640"/>
              <w:spacing w:after="0"/>
              <w:rPr>
                <w:sz w:val="20"/>
                <w:szCs w:val="20"/>
                <w:color w:val="auto"/>
              </w:rPr>
            </w:pPr>
            <w:r>
              <w:rPr>
                <w:rFonts w:ascii="Arial" w:cs="Arial" w:eastAsia="Arial" w:hAnsi="Arial"/>
                <w:sz w:val="15"/>
                <w:szCs w:val="15"/>
                <w:color w:val="auto"/>
              </w:rPr>
              <w:t>Total Bloomin’ Brands stockholders’ equity</w:t>
            </w:r>
          </w:p>
        </w:tc>
        <w:tc>
          <w:tcPr>
            <w:tcW w:w="2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238,498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216,461</w:t>
            </w:r>
          </w:p>
        </w:tc>
        <w:tc>
          <w:tcPr>
            <w:tcW w:w="0" w:type="dxa"/>
            <w:vAlign w:val="bottom"/>
          </w:tcPr>
          <w:p>
            <w:pPr>
              <w:spacing w:after="0"/>
              <w:rPr>
                <w:sz w:val="1"/>
                <w:szCs w:val="1"/>
                <w:color w:val="auto"/>
              </w:rPr>
            </w:pPr>
          </w:p>
        </w:tc>
      </w:tr>
      <w:tr>
        <w:trPr>
          <w:trHeight w:val="215"/>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6,389</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Total stockholders’ equity</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240,145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222,850</w:t>
            </w:r>
          </w:p>
        </w:tc>
        <w:tc>
          <w:tcPr>
            <w:tcW w:w="0" w:type="dxa"/>
            <w:vAlign w:val="bottom"/>
          </w:tcPr>
          <w:p>
            <w:pPr>
              <w:spacing w:after="0"/>
              <w:rPr>
                <w:sz w:val="1"/>
                <w:szCs w:val="1"/>
                <w:color w:val="auto"/>
              </w:rPr>
            </w:pPr>
          </w:p>
        </w:tc>
      </w:tr>
      <w:tr>
        <w:trPr>
          <w:trHeight w:val="231"/>
        </w:trPr>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Total liabilities and stockholders’ equity</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3,219,201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3,294,271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OPERATIONS AND COMPREHENSIVE INCOME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340" w:type="dxa"/>
            <w:vAlign w:val="bottom"/>
          </w:tcPr>
          <w:p>
            <w:pPr>
              <w:spacing w:after="0"/>
              <w:rPr>
                <w:sz w:val="15"/>
                <w:szCs w:val="15"/>
                <w:color w:val="auto"/>
              </w:rPr>
            </w:pPr>
          </w:p>
        </w:tc>
        <w:tc>
          <w:tcPr>
            <w:tcW w:w="2760" w:type="dxa"/>
            <w:vAlign w:val="bottom"/>
            <w:gridSpan w:val="4"/>
          </w:tcPr>
          <w:p>
            <w:pPr>
              <w:jc w:val="right"/>
              <w:ind w:right="48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494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160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940" w:type="dxa"/>
            <w:vAlign w:val="bottom"/>
          </w:tcPr>
          <w:p>
            <w:pPr>
              <w:spacing w:after="0"/>
              <w:rPr>
                <w:sz w:val="17"/>
                <w:szCs w:val="17"/>
                <w:color w:val="auto"/>
              </w:rPr>
            </w:pPr>
          </w:p>
        </w:tc>
        <w:tc>
          <w:tcPr>
            <w:tcW w:w="1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26, 2021</w:t>
            </w:r>
          </w:p>
        </w:tc>
        <w:tc>
          <w:tcPr>
            <w:tcW w:w="100" w:type="dxa"/>
            <w:vAlign w:val="bottom"/>
          </w:tcPr>
          <w:p>
            <w:pPr>
              <w:spacing w:after="0"/>
              <w:rPr>
                <w:sz w:val="17"/>
                <w:szCs w:val="17"/>
                <w:color w:val="auto"/>
              </w:rPr>
            </w:pPr>
          </w:p>
        </w:tc>
        <w:tc>
          <w:tcPr>
            <w:tcW w:w="15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25, 2022</w:t>
            </w:r>
          </w:p>
        </w:tc>
        <w:tc>
          <w:tcPr>
            <w:tcW w:w="154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8"/>
              </w:rPr>
              <w:t>SEPTEMBER 26, 2021</w:t>
            </w:r>
          </w:p>
        </w:tc>
        <w:tc>
          <w:tcPr>
            <w:tcW w:w="0" w:type="dxa"/>
            <w:vAlign w:val="bottom"/>
          </w:tcPr>
          <w:p>
            <w:pPr>
              <w:spacing w:after="0"/>
              <w:rPr>
                <w:sz w:val="1"/>
                <w:szCs w:val="1"/>
                <w:color w:val="auto"/>
              </w:rPr>
            </w:pPr>
          </w:p>
        </w:tc>
      </w:tr>
      <w:tr>
        <w:trPr>
          <w:trHeight w:val="199"/>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3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1,040,375</w:t>
            </w:r>
          </w:p>
        </w:tc>
        <w:tc>
          <w:tcPr>
            <w:tcW w:w="100" w:type="dxa"/>
            <w:vAlign w:val="bottom"/>
          </w:tcPr>
          <w:p>
            <w:pPr>
              <w:spacing w:after="0"/>
              <w:rPr>
                <w:sz w:val="17"/>
                <w:szCs w:val="17"/>
                <w:color w:val="auto"/>
              </w:rPr>
            </w:pPr>
          </w:p>
        </w:tc>
        <w:tc>
          <w:tcPr>
            <w:tcW w:w="460" w:type="dxa"/>
            <w:vAlign w:val="bottom"/>
          </w:tcPr>
          <w:p>
            <w:pPr>
              <w:jc w:val="right"/>
              <w:ind w:right="28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996,718</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3,272,868</w:t>
            </w:r>
          </w:p>
        </w:tc>
        <w:tc>
          <w:tcPr>
            <w:tcW w:w="100" w:type="dxa"/>
            <w:vAlign w:val="bottom"/>
          </w:tcPr>
          <w:p>
            <w:pPr>
              <w:spacing w:after="0"/>
              <w:rPr>
                <w:sz w:val="17"/>
                <w:szCs w:val="17"/>
                <w:color w:val="auto"/>
              </w:rPr>
            </w:pPr>
          </w:p>
        </w:tc>
        <w:tc>
          <w:tcPr>
            <w:tcW w:w="480" w:type="dxa"/>
            <w:vAlign w:val="bottom"/>
          </w:tcPr>
          <w:p>
            <w:pPr>
              <w:jc w:val="right"/>
              <w:ind w:right="30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3,031,396</w:t>
            </w:r>
          </w:p>
        </w:tc>
        <w:tc>
          <w:tcPr>
            <w:tcW w:w="0" w:type="dxa"/>
            <w:vAlign w:val="bottom"/>
          </w:tcPr>
          <w:p>
            <w:pPr>
              <w:spacing w:after="0"/>
              <w:rPr>
                <w:sz w:val="1"/>
                <w:szCs w:val="1"/>
                <w:color w:val="auto"/>
              </w:rPr>
            </w:pPr>
          </w:p>
        </w:tc>
      </w:tr>
      <w:tr>
        <w:trPr>
          <w:trHeight w:val="215"/>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15,388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13,745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48,592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43,906</w:t>
            </w:r>
          </w:p>
        </w:tc>
        <w:tc>
          <w:tcPr>
            <w:tcW w:w="0" w:type="dxa"/>
            <w:vAlign w:val="bottom"/>
          </w:tcPr>
          <w:p>
            <w:pPr>
              <w:spacing w:after="0"/>
              <w:rPr>
                <w:sz w:val="1"/>
                <w:szCs w:val="1"/>
                <w:color w:val="auto"/>
              </w:rPr>
            </w:pPr>
          </w:p>
        </w:tc>
      </w:tr>
      <w:tr>
        <w:trPr>
          <w:trHeight w:val="212"/>
        </w:trPr>
        <w:tc>
          <w:tcPr>
            <w:tcW w:w="494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revenues</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1,055,763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1,010,463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3,321,460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3,075,302</w:t>
            </w:r>
          </w:p>
        </w:tc>
        <w:tc>
          <w:tcPr>
            <w:tcW w:w="0" w:type="dxa"/>
            <w:vAlign w:val="bottom"/>
          </w:tcPr>
          <w:p>
            <w:pPr>
              <w:spacing w:after="0"/>
              <w:rPr>
                <w:sz w:val="1"/>
                <w:szCs w:val="1"/>
                <w:color w:val="auto"/>
              </w:rPr>
            </w:pPr>
          </w:p>
        </w:tc>
      </w:tr>
      <w:tr>
        <w:trPr>
          <w:trHeight w:val="206"/>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40"/>
              <w:spacing w:after="0"/>
              <w:rPr>
                <w:sz w:val="20"/>
                <w:szCs w:val="20"/>
                <w:color w:val="auto"/>
              </w:rPr>
            </w:pPr>
            <w:r>
              <w:rPr>
                <w:rFonts w:ascii="Arial" w:cs="Arial" w:eastAsia="Arial" w:hAnsi="Arial"/>
                <w:sz w:val="15"/>
                <w:szCs w:val="15"/>
                <w:color w:val="auto"/>
              </w:rPr>
              <w:t>Food and beverage costs</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332,939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304,300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1,056,768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908,272</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Labor and other related</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303,244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290,246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924,514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859,883</w:t>
            </w:r>
          </w:p>
        </w:tc>
        <w:tc>
          <w:tcPr>
            <w:tcW w:w="0" w:type="dxa"/>
            <w:vAlign w:val="bottom"/>
          </w:tcPr>
          <w:p>
            <w:pPr>
              <w:spacing w:after="0"/>
              <w:rPr>
                <w:sz w:val="1"/>
                <w:szCs w:val="1"/>
                <w:color w:val="auto"/>
              </w:rPr>
            </w:pPr>
          </w:p>
        </w:tc>
      </w:tr>
      <w:tr>
        <w:trPr>
          <w:trHeight w:val="203"/>
        </w:trPr>
        <w:tc>
          <w:tcPr>
            <w:tcW w:w="4940" w:type="dxa"/>
            <w:vAlign w:val="bottom"/>
          </w:tcPr>
          <w:p>
            <w:pPr>
              <w:ind w:left="140"/>
              <w:spacing w:after="0"/>
              <w:rPr>
                <w:sz w:val="20"/>
                <w:szCs w:val="20"/>
                <w:color w:val="auto"/>
              </w:rPr>
            </w:pPr>
            <w:r>
              <w:rPr>
                <w:rFonts w:ascii="Arial" w:cs="Arial" w:eastAsia="Arial" w:hAnsi="Arial"/>
                <w:sz w:val="15"/>
                <w:szCs w:val="15"/>
                <w:color w:val="auto"/>
              </w:rPr>
              <w:t>Other restaurant operating</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267,944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299,788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790,583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762,531</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42,171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125,203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122,592</w:t>
            </w:r>
          </w:p>
        </w:tc>
        <w:tc>
          <w:tcPr>
            <w:tcW w:w="0" w:type="dxa"/>
            <w:vAlign w:val="bottom"/>
          </w:tcPr>
          <w:p>
            <w:pPr>
              <w:spacing w:after="0"/>
              <w:rPr>
                <w:sz w:val="1"/>
                <w:szCs w:val="1"/>
                <w:color w:val="auto"/>
              </w:rPr>
            </w:pPr>
          </w:p>
        </w:tc>
      </w:tr>
      <w:tr>
        <w:trPr>
          <w:trHeight w:val="203"/>
        </w:trPr>
        <w:tc>
          <w:tcPr>
            <w:tcW w:w="494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56,089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58,880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174,009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182,590</w:t>
            </w:r>
          </w:p>
        </w:tc>
        <w:tc>
          <w:tcPr>
            <w:tcW w:w="0" w:type="dxa"/>
            <w:vAlign w:val="bottom"/>
          </w:tcPr>
          <w:p>
            <w:pPr>
              <w:spacing w:after="0"/>
              <w:rPr>
                <w:sz w:val="1"/>
                <w:szCs w:val="1"/>
                <w:color w:val="auto"/>
              </w:rPr>
            </w:pPr>
          </w:p>
        </w:tc>
      </w:tr>
      <w:tr>
        <w:trPr>
          <w:trHeight w:val="215"/>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4,099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8,962</w:t>
            </w:r>
          </w:p>
        </w:tc>
        <w:tc>
          <w:tcPr>
            <w:tcW w:w="0" w:type="dxa"/>
            <w:vAlign w:val="bottom"/>
          </w:tcPr>
          <w:p>
            <w:pPr>
              <w:spacing w:after="0"/>
              <w:rPr>
                <w:sz w:val="1"/>
                <w:szCs w:val="1"/>
                <w:color w:val="auto"/>
              </w:rPr>
            </w:pPr>
          </w:p>
        </w:tc>
      </w:tr>
      <w:tr>
        <w:trPr>
          <w:trHeight w:val="212"/>
        </w:trPr>
        <w:tc>
          <w:tcPr>
            <w:tcW w:w="494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costs and expenses</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1,004,454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995,626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3,075,176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2,844,830</w:t>
            </w:r>
          </w:p>
        </w:tc>
        <w:tc>
          <w:tcPr>
            <w:tcW w:w="0" w:type="dxa"/>
            <w:vAlign w:val="bottom"/>
          </w:tcPr>
          <w:p>
            <w:pPr>
              <w:spacing w:after="0"/>
              <w:rPr>
                <w:sz w:val="1"/>
                <w:szCs w:val="1"/>
                <w:color w:val="auto"/>
              </w:rPr>
            </w:pPr>
          </w:p>
        </w:tc>
      </w:tr>
      <w:tr>
        <w:trPr>
          <w:trHeight w:val="206"/>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51,309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246,284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230,472</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Arial" w:cs="Arial" w:eastAsia="Arial" w:hAnsi="Arial"/>
                <w:sz w:val="15"/>
                <w:szCs w:val="15"/>
                <w:color w:val="auto"/>
              </w:rPr>
              <w:t>Loss on extinguishment and modification of debt</w:t>
            </w:r>
          </w:p>
        </w:tc>
        <w:tc>
          <w:tcPr>
            <w:tcW w:w="3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(107,630)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(2,073)</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fair value adjustment of derivatives, net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(17,685)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Arial" w:cs="Arial" w:eastAsia="Arial" w:hAnsi="Arial"/>
                <w:sz w:val="15"/>
                <w:szCs w:val="15"/>
                <w:color w:val="auto"/>
              </w:rPr>
              <w:t>Other income, net</w:t>
            </w:r>
          </w:p>
        </w:tc>
        <w:tc>
          <w:tcPr>
            <w:tcW w:w="3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(12,696)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(14,245)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(38,877)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(43,863)</w:t>
            </w:r>
          </w:p>
        </w:tc>
        <w:tc>
          <w:tcPr>
            <w:tcW w:w="0" w:type="dxa"/>
            <w:vAlign w:val="bottom"/>
          </w:tcPr>
          <w:p>
            <w:pPr>
              <w:spacing w:after="0"/>
              <w:rPr>
                <w:sz w:val="1"/>
                <w:szCs w:val="1"/>
                <w:color w:val="auto"/>
              </w:rPr>
            </w:pPr>
          </w:p>
        </w:tc>
      </w:tr>
      <w:tr>
        <w:trPr>
          <w:trHeight w:val="189"/>
        </w:trPr>
        <w:tc>
          <w:tcPr>
            <w:tcW w:w="4940" w:type="dxa"/>
            <w:vAlign w:val="bottom"/>
          </w:tcPr>
          <w:p>
            <w:pPr>
              <w:ind w:left="20"/>
              <w:spacing w:after="0"/>
              <w:rPr>
                <w:sz w:val="20"/>
                <w:szCs w:val="20"/>
                <w:color w:val="auto"/>
              </w:rPr>
            </w:pPr>
            <w:r>
              <w:rPr>
                <w:rFonts w:ascii="Arial" w:cs="Arial" w:eastAsia="Arial" w:hAnsi="Arial"/>
                <w:sz w:val="15"/>
                <w:szCs w:val="15"/>
                <w:color w:val="auto"/>
              </w:rPr>
              <w:t>Income before provision (benefit) for income taxes</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38,613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82,092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184,562</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(benefit)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5,563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33,028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24,827</w:t>
            </w:r>
          </w:p>
        </w:tc>
        <w:tc>
          <w:tcPr>
            <w:tcW w:w="0" w:type="dxa"/>
            <w:vAlign w:val="bottom"/>
          </w:tcPr>
          <w:p>
            <w:pPr>
              <w:spacing w:after="0"/>
              <w:rPr>
                <w:sz w:val="1"/>
                <w:szCs w:val="1"/>
                <w:color w:val="auto"/>
              </w:rPr>
            </w:pPr>
          </w:p>
        </w:tc>
      </w:tr>
      <w:tr>
        <w:trPr>
          <w:trHeight w:val="189"/>
        </w:trPr>
        <w:tc>
          <w:tcPr>
            <w:tcW w:w="49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33,050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5,051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49,064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159,735</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Less: net income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1,064</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5,202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4,879</w:t>
            </w:r>
          </w:p>
        </w:tc>
        <w:tc>
          <w:tcPr>
            <w:tcW w:w="0" w:type="dxa"/>
            <w:vAlign w:val="bottom"/>
          </w:tcPr>
          <w:p>
            <w:pPr>
              <w:spacing w:after="0"/>
              <w:rPr>
                <w:sz w:val="1"/>
                <w:szCs w:val="1"/>
                <w:color w:val="auto"/>
              </w:rPr>
            </w:pPr>
          </w:p>
        </w:tc>
      </w:tr>
      <w:tr>
        <w:trPr>
          <w:trHeight w:val="166"/>
        </w:trPr>
        <w:tc>
          <w:tcPr>
            <w:tcW w:w="4940" w:type="dxa"/>
            <w:vAlign w:val="bottom"/>
          </w:tcPr>
          <w:p>
            <w:pPr>
              <w:ind w:left="20"/>
              <w:spacing w:after="0" w:line="167" w:lineRule="exact"/>
              <w:rPr>
                <w:sz w:val="20"/>
                <w:szCs w:val="20"/>
                <w:color w:val="auto"/>
              </w:rPr>
            </w:pPr>
            <w:r>
              <w:rPr>
                <w:rFonts w:ascii="Arial" w:cs="Arial" w:eastAsia="Arial" w:hAnsi="Arial"/>
                <w:sz w:val="15"/>
                <w:szCs w:val="15"/>
                <w:color w:val="auto"/>
              </w:rPr>
              <w:t>Net income attributable to Bloomin’ Brands</w:t>
            </w:r>
          </w:p>
        </w:tc>
        <w:tc>
          <w:tcPr>
            <w:tcW w:w="380" w:type="dxa"/>
            <w:vAlign w:val="bottom"/>
            <w:tcBorders>
              <w:bottom w:val="single" w:sz="8" w:color="auto"/>
            </w:tcBorders>
          </w:tcPr>
          <w:p>
            <w:pPr>
              <w:jc w:val="right"/>
              <w:ind w:right="204"/>
              <w:spacing w:after="0" w:line="167" w:lineRule="exact"/>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31,986</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284"/>
              <w:spacing w:after="0" w:line="167" w:lineRule="exact"/>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3,449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4"/>
              <w:spacing w:after="0" w:line="167" w:lineRule="exact"/>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43,862</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04"/>
              <w:spacing w:after="0" w:line="167"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154,856</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33,050</w:t>
            </w:r>
          </w:p>
        </w:tc>
        <w:tc>
          <w:tcPr>
            <w:tcW w:w="100" w:type="dxa"/>
            <w:vAlign w:val="bottom"/>
          </w:tcPr>
          <w:p>
            <w:pPr>
              <w:spacing w:after="0"/>
              <w:rPr>
                <w:sz w:val="17"/>
                <w:szCs w:val="17"/>
                <w:color w:val="auto"/>
              </w:rPr>
            </w:pPr>
          </w:p>
        </w:tc>
        <w:tc>
          <w:tcPr>
            <w:tcW w:w="460" w:type="dxa"/>
            <w:vAlign w:val="bottom"/>
          </w:tcPr>
          <w:p>
            <w:pPr>
              <w:jc w:val="right"/>
              <w:ind w:right="28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5,051</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49,064</w:t>
            </w:r>
          </w:p>
        </w:tc>
        <w:tc>
          <w:tcPr>
            <w:tcW w:w="100" w:type="dxa"/>
            <w:vAlign w:val="bottom"/>
          </w:tcPr>
          <w:p>
            <w:pPr>
              <w:spacing w:after="0"/>
              <w:rPr>
                <w:sz w:val="17"/>
                <w:szCs w:val="17"/>
                <w:color w:val="auto"/>
              </w:rPr>
            </w:pPr>
          </w:p>
        </w:tc>
        <w:tc>
          <w:tcPr>
            <w:tcW w:w="480" w:type="dxa"/>
            <w:vAlign w:val="bottom"/>
          </w:tcPr>
          <w:p>
            <w:pPr>
              <w:jc w:val="right"/>
              <w:ind w:right="30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159,735</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40"/>
              <w:spacing w:after="0"/>
              <w:rPr>
                <w:sz w:val="20"/>
                <w:szCs w:val="20"/>
                <w:color w:val="auto"/>
              </w:rPr>
            </w:pPr>
            <w:r>
              <w:rPr>
                <w:rFonts w:ascii="Arial" w:cs="Arial" w:eastAsia="Arial" w:hAnsi="Arial"/>
                <w:sz w:val="15"/>
                <w:szCs w:val="15"/>
                <w:color w:val="auto"/>
              </w:rPr>
              <w:t>Foreign currency translation adjustment</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(13,041)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10,182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5,113</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Unrealized (loss) gain on derivatives, net of tax</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w:t>
            </w:r>
          </w:p>
        </w:tc>
        <w:tc>
          <w:tcPr>
            <w:tcW w:w="0" w:type="dxa"/>
            <w:vAlign w:val="bottom"/>
          </w:tcPr>
          <w:p>
            <w:pPr>
              <w:spacing w:after="0"/>
              <w:rPr>
                <w:sz w:val="1"/>
                <w:szCs w:val="1"/>
                <w:color w:val="auto"/>
              </w:rPr>
            </w:pPr>
          </w:p>
        </w:tc>
      </w:tr>
      <w:tr>
        <w:trPr>
          <w:trHeight w:val="160"/>
        </w:trPr>
        <w:tc>
          <w:tcPr>
            <w:tcW w:w="4940" w:type="dxa"/>
            <w:vAlign w:val="bottom"/>
          </w:tcPr>
          <w:p>
            <w:pPr>
              <w:ind w:left="140"/>
              <w:spacing w:after="0" w:line="160" w:lineRule="exact"/>
              <w:rPr>
                <w:sz w:val="20"/>
                <w:szCs w:val="20"/>
                <w:color w:val="auto"/>
              </w:rPr>
            </w:pPr>
            <w:r>
              <w:rPr>
                <w:rFonts w:ascii="Arial" w:cs="Arial" w:eastAsia="Arial" w:hAnsi="Arial"/>
                <w:sz w:val="15"/>
                <w:szCs w:val="15"/>
                <w:color w:val="auto"/>
              </w:rPr>
              <w:t>Reclassification of adjustments for loss on derivatives included in Net</w:t>
            </w:r>
          </w:p>
        </w:tc>
        <w:tc>
          <w:tcPr>
            <w:tcW w:w="38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1,519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954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6,036</w:t>
            </w:r>
          </w:p>
        </w:tc>
        <w:tc>
          <w:tcPr>
            <w:tcW w:w="0" w:type="dxa"/>
            <w:vAlign w:val="bottom"/>
          </w:tcPr>
          <w:p>
            <w:pPr>
              <w:spacing w:after="0"/>
              <w:rPr>
                <w:sz w:val="1"/>
                <w:szCs w:val="1"/>
                <w:color w:val="auto"/>
              </w:rPr>
            </w:pPr>
          </w:p>
        </w:tc>
      </w:tr>
      <w:tr>
        <w:trPr>
          <w:trHeight w:val="199"/>
        </w:trPr>
        <w:tc>
          <w:tcPr>
            <w:tcW w:w="4940" w:type="dxa"/>
            <w:vAlign w:val="bottom"/>
          </w:tcPr>
          <w:p>
            <w:pPr>
              <w:ind w:left="140"/>
              <w:spacing w:after="0"/>
              <w:rPr>
                <w:sz w:val="20"/>
                <w:szCs w:val="20"/>
                <w:color w:val="auto"/>
              </w:rPr>
            </w:pPr>
            <w:r>
              <w:rPr>
                <w:rFonts w:ascii="Arial" w:cs="Arial" w:eastAsia="Arial" w:hAnsi="Arial"/>
                <w:sz w:val="15"/>
                <w:szCs w:val="15"/>
                <w:color w:val="auto"/>
              </w:rPr>
              <w:t>income, net of tax</w:t>
            </w:r>
          </w:p>
        </w:tc>
        <w:tc>
          <w:tcPr>
            <w:tcW w:w="3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7"/>
              </w:rPr>
              <w:t>Impact of terminated interest rate swaps included in Net income, net of tax</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7,440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2,950</w:t>
            </w:r>
          </w:p>
        </w:tc>
        <w:tc>
          <w:tcPr>
            <w:tcW w:w="0" w:type="dxa"/>
            <w:vAlign w:val="bottom"/>
          </w:tcPr>
          <w:p>
            <w:pPr>
              <w:spacing w:after="0"/>
              <w:rPr>
                <w:sz w:val="1"/>
                <w:szCs w:val="1"/>
                <w:color w:val="auto"/>
              </w:rPr>
            </w:pPr>
          </w:p>
        </w:tc>
      </w:tr>
      <w:tr>
        <w:trPr>
          <w:trHeight w:val="189"/>
        </w:trPr>
        <w:tc>
          <w:tcPr>
            <w:tcW w:w="4940" w:type="dxa"/>
            <w:vAlign w:val="bottom"/>
          </w:tcPr>
          <w:p>
            <w:pPr>
              <w:ind w:left="20"/>
              <w:spacing w:after="0"/>
              <w:rPr>
                <w:sz w:val="20"/>
                <w:szCs w:val="20"/>
                <w:color w:val="auto"/>
              </w:rPr>
            </w:pPr>
            <w:r>
              <w:rPr>
                <w:rFonts w:ascii="Arial" w:cs="Arial" w:eastAsia="Arial" w:hAnsi="Arial"/>
                <w:sz w:val="15"/>
                <w:szCs w:val="15"/>
                <w:color w:val="auto"/>
              </w:rPr>
              <w:t>Comprehensive income</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22,264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9,569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68,213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173,511</w:t>
            </w:r>
          </w:p>
        </w:tc>
        <w:tc>
          <w:tcPr>
            <w:tcW w:w="0" w:type="dxa"/>
            <w:vAlign w:val="bottom"/>
          </w:tcPr>
          <w:p>
            <w:pPr>
              <w:spacing w:after="0"/>
              <w:rPr>
                <w:sz w:val="1"/>
                <w:szCs w:val="1"/>
                <w:color w:val="auto"/>
              </w:rPr>
            </w:pPr>
          </w:p>
        </w:tc>
      </w:tr>
      <w:tr>
        <w:trPr>
          <w:trHeight w:val="215"/>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Less: comprehensive income attributable to noncontrolling interests</w:t>
            </w: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5,202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4,879</w:t>
            </w:r>
          </w:p>
        </w:tc>
        <w:tc>
          <w:tcPr>
            <w:tcW w:w="0" w:type="dxa"/>
            <w:vAlign w:val="bottom"/>
          </w:tcPr>
          <w:p>
            <w:pPr>
              <w:spacing w:after="0"/>
              <w:rPr>
                <w:sz w:val="1"/>
                <w:szCs w:val="1"/>
                <w:color w:val="auto"/>
              </w:rPr>
            </w:pPr>
          </w:p>
        </w:tc>
      </w:tr>
      <w:tr>
        <w:trPr>
          <w:trHeight w:val="206"/>
        </w:trPr>
        <w:tc>
          <w:tcPr>
            <w:tcW w:w="4940" w:type="dxa"/>
            <w:vAlign w:val="bottom"/>
          </w:tcPr>
          <w:p>
            <w:pPr>
              <w:ind w:left="20"/>
              <w:spacing w:after="0"/>
              <w:rPr>
                <w:sz w:val="20"/>
                <w:szCs w:val="20"/>
                <w:color w:val="auto"/>
              </w:rPr>
            </w:pPr>
            <w:r>
              <w:rPr>
                <w:rFonts w:ascii="Arial" w:cs="Arial" w:eastAsia="Arial" w:hAnsi="Arial"/>
                <w:sz w:val="15"/>
                <w:szCs w:val="15"/>
                <w:color w:val="auto"/>
              </w:rPr>
              <w:t>Comprehensive income attributable to Bloomin’ Brands</w:t>
            </w: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21,200</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7,967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63,011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168,632</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Arial" w:cs="Arial" w:eastAsia="Arial" w:hAnsi="Arial"/>
                <w:sz w:val="15"/>
                <w:szCs w:val="15"/>
                <w:color w:val="auto"/>
              </w:rPr>
              <w:t>Earnings per share:</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Basic</w:t>
            </w: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40" w:type="dxa"/>
            <w:vAlign w:val="bottom"/>
          </w:tcPr>
          <w:p>
            <w:pPr>
              <w:ind w:left="140"/>
              <w:spacing w:after="0"/>
              <w:rPr>
                <w:sz w:val="20"/>
                <w:szCs w:val="20"/>
                <w:color w:val="auto"/>
              </w:rPr>
            </w:pPr>
            <w:r>
              <w:rPr>
                <w:rFonts w:ascii="Arial" w:cs="Arial" w:eastAsia="Arial" w:hAnsi="Arial"/>
                <w:sz w:val="15"/>
                <w:szCs w:val="15"/>
                <w:color w:val="auto"/>
              </w:rPr>
              <w:t>Diluted</w:t>
            </w: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0.34</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0.44</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common shares outstanding:</w:t>
            </w: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940" w:type="dxa"/>
            <w:vAlign w:val="bottom"/>
          </w:tcPr>
          <w:p>
            <w:pPr>
              <w:ind w:left="140"/>
              <w:spacing w:after="0"/>
              <w:rPr>
                <w:sz w:val="20"/>
                <w:szCs w:val="20"/>
                <w:color w:val="auto"/>
              </w:rPr>
            </w:pPr>
            <w:r>
              <w:rPr>
                <w:rFonts w:ascii="Arial" w:cs="Arial" w:eastAsia="Arial" w:hAnsi="Arial"/>
                <w:sz w:val="15"/>
                <w:szCs w:val="15"/>
                <w:color w:val="auto"/>
              </w:rPr>
              <w:t>Basic</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89,192</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89,229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89,149</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88,890</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94,736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107,783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99,609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109,410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CHANGES IN STOCKHOLDERS’ EQUITY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 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5"/>
          </w:tcPr>
          <w:p>
            <w:pPr>
              <w:ind w:left="140"/>
              <w:spacing w:after="0"/>
              <w:rPr>
                <w:sz w:val="20"/>
                <w:szCs w:val="20"/>
                <w:color w:val="auto"/>
              </w:rPr>
            </w:pPr>
            <w:r>
              <w:rPr>
                <w:rFonts w:ascii="Arial" w:cs="Arial" w:eastAsia="Arial" w:hAnsi="Arial"/>
                <w:sz w:val="14"/>
                <w:szCs w:val="14"/>
                <w:b w:val="1"/>
                <w:bCs w:val="1"/>
                <w:color w:val="auto"/>
              </w:rPr>
              <w:t>BLOOMIN’ BRANDS, INC.</w:t>
            </w: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440" w:type="dxa"/>
            <w:vAlign w:val="bottom"/>
          </w:tcPr>
          <w:p>
            <w:pPr>
              <w:spacing w:after="0"/>
              <w:rPr>
                <w:sz w:val="22"/>
                <w:szCs w:val="22"/>
                <w:color w:val="auto"/>
              </w:rPr>
            </w:pPr>
          </w:p>
        </w:tc>
        <w:tc>
          <w:tcPr>
            <w:tcW w:w="198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w:t>
            </w: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440" w:type="dxa"/>
            <w:vAlign w:val="bottom"/>
          </w:tcPr>
          <w:p>
            <w:pPr>
              <w:spacing w:after="0"/>
              <w:rPr>
                <w:sz w:val="7"/>
                <w:szCs w:val="7"/>
                <w:color w:val="auto"/>
              </w:rPr>
            </w:pPr>
          </w:p>
        </w:tc>
        <w:tc>
          <w:tcPr>
            <w:tcW w:w="198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jc w:val="center"/>
              <w:ind w:right="240"/>
              <w:spacing w:after="0" w:line="119"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7"/>
                <w:szCs w:val="7"/>
                <w:color w:val="auto"/>
              </w:rPr>
            </w:pPr>
          </w:p>
        </w:tc>
        <w:tc>
          <w:tcPr>
            <w:tcW w:w="1000" w:type="dxa"/>
            <w:vAlign w:val="bottom"/>
            <w:gridSpan w:val="2"/>
            <w:vMerge w:val="restart"/>
          </w:tcPr>
          <w:p>
            <w:pPr>
              <w:ind w:left="80"/>
              <w:spacing w:after="0" w:line="119" w:lineRule="exact"/>
              <w:rPr>
                <w:sz w:val="20"/>
                <w:szCs w:val="20"/>
                <w:color w:val="auto"/>
              </w:rPr>
            </w:pPr>
            <w:r>
              <w:rPr>
                <w:rFonts w:ascii="Arial" w:cs="Arial" w:eastAsia="Arial" w:hAnsi="Arial"/>
                <w:sz w:val="13"/>
                <w:szCs w:val="13"/>
                <w:b w:val="1"/>
                <w:bCs w:val="1"/>
                <w:color w:val="auto"/>
              </w:rPr>
              <w:t>ULATED</w:t>
            </w:r>
          </w:p>
        </w:tc>
        <w:tc>
          <w:tcPr>
            <w:tcW w:w="1780" w:type="dxa"/>
            <w:vAlign w:val="bottom"/>
            <w:gridSpan w:val="3"/>
            <w:vMerge w:val="restart"/>
          </w:tcPr>
          <w:p>
            <w:pPr>
              <w:ind w:left="20"/>
              <w:spacing w:after="0" w:line="119" w:lineRule="exact"/>
              <w:rPr>
                <w:sz w:val="20"/>
                <w:szCs w:val="20"/>
                <w:color w:val="auto"/>
              </w:rPr>
            </w:pPr>
            <w:r>
              <w:rPr>
                <w:rFonts w:ascii="Arial" w:cs="Arial" w:eastAsia="Arial" w:hAnsi="Arial"/>
                <w:sz w:val="13"/>
                <w:szCs w:val="13"/>
                <w:b w:val="1"/>
                <w:bCs w:val="1"/>
                <w:color w:val="auto"/>
              </w:rPr>
              <w:t>ACCUMULATED OTHER</w:t>
            </w:r>
          </w:p>
        </w:tc>
        <w:tc>
          <w:tcPr>
            <w:tcW w:w="1600" w:type="dxa"/>
            <w:vAlign w:val="bottom"/>
            <w:gridSpan w:val="3"/>
            <w:vMerge w:val="restart"/>
          </w:tcPr>
          <w:p>
            <w:pPr>
              <w:jc w:val="center"/>
              <w:ind w:right="80"/>
              <w:spacing w:after="0" w:line="119" w:lineRule="exact"/>
              <w:rPr>
                <w:sz w:val="20"/>
                <w:szCs w:val="20"/>
                <w:color w:val="auto"/>
              </w:rPr>
            </w:pPr>
            <w:r>
              <w:rPr>
                <w:rFonts w:ascii="Arial" w:cs="Arial" w:eastAsia="Arial" w:hAnsi="Arial"/>
                <w:sz w:val="13"/>
                <w:szCs w:val="13"/>
                <w:b w:val="1"/>
                <w:bCs w:val="1"/>
                <w:color w:val="auto"/>
              </w:rPr>
              <w:t>NON-CONTROLLING</w:t>
            </w: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9"/>
        </w:trPr>
        <w:tc>
          <w:tcPr>
            <w:tcW w:w="244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PAID-IN CAPITAL</w:t>
            </w:r>
          </w:p>
        </w:tc>
        <w:tc>
          <w:tcPr>
            <w:tcW w:w="18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 LOSS</w:t>
            </w:r>
          </w:p>
        </w:tc>
        <w:tc>
          <w:tcPr>
            <w:tcW w:w="24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44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5"/>
                <w:szCs w:val="15"/>
                <w:color w:val="auto"/>
              </w:rPr>
              <w:t>Balance,</w:t>
            </w:r>
          </w:p>
        </w:tc>
        <w:tc>
          <w:tcPr>
            <w:tcW w:w="8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90,151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902</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1,169,697</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(733,723)</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(176,054)</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1,919</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262,741</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 26, 2022</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31,986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33,050</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Other comprehensive loss, net of tax</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(10,786)</w:t>
            </w: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line="160" w:lineRule="exact"/>
              <w:rPr>
                <w:sz w:val="20"/>
                <w:szCs w:val="20"/>
                <w:color w:val="auto"/>
              </w:rPr>
            </w:pPr>
            <w:r>
              <w:rPr>
                <w:rFonts w:ascii="Arial" w:cs="Arial" w:eastAsia="Arial" w:hAnsi="Arial"/>
                <w:sz w:val="15"/>
                <w:szCs w:val="15"/>
                <w:color w:val="auto"/>
              </w:rPr>
              <w:t>Cash dividends declared, $0.14 per</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(12,475)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(12,475)</w:t>
            </w:r>
          </w:p>
        </w:tc>
        <w:tc>
          <w:tcPr>
            <w:tcW w:w="0" w:type="dxa"/>
            <w:vAlign w:val="bottom"/>
          </w:tcPr>
          <w:p>
            <w:pPr>
              <w:spacing w:after="0"/>
              <w:rPr>
                <w:sz w:val="1"/>
                <w:szCs w:val="1"/>
                <w:color w:val="auto"/>
              </w:rPr>
            </w:pPr>
          </w:p>
        </w:tc>
      </w:tr>
      <w:tr>
        <w:trPr>
          <w:trHeight w:val="199"/>
        </w:trPr>
        <w:tc>
          <w:tcPr>
            <w:tcW w:w="2440" w:type="dxa"/>
            <w:vAlign w:val="bottom"/>
          </w:tcPr>
          <w:p>
            <w:pPr>
              <w:ind w:left="20"/>
              <w:spacing w:after="0"/>
              <w:rPr>
                <w:sz w:val="20"/>
                <w:szCs w:val="20"/>
                <w:color w:val="auto"/>
              </w:rPr>
            </w:pPr>
            <w:r>
              <w:rPr>
                <w:rFonts w:ascii="Arial" w:cs="Arial" w:eastAsia="Arial" w:hAnsi="Arial"/>
                <w:sz w:val="15"/>
                <w:szCs w:val="15"/>
                <w:color w:val="auto"/>
              </w:rPr>
              <w:t>common share</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Repurchase and retirement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(1,746)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(33,531)</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(33,549)</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Common stock issued under stock</w:t>
            </w: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487</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plans (1)</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line="160" w:lineRule="exact"/>
              <w:rPr>
                <w:sz w:val="20"/>
                <w:szCs w:val="20"/>
                <w:color w:val="auto"/>
              </w:rPr>
            </w:pPr>
            <w:r>
              <w:rPr>
                <w:rFonts w:ascii="Arial" w:cs="Arial" w:eastAsia="Arial" w:hAnsi="Arial"/>
                <w:sz w:val="15"/>
                <w:szCs w:val="15"/>
                <w:color w:val="auto"/>
              </w:rPr>
              <w:t>Distributions to noncontrolling</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(1,477)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(1,477)</w:t>
            </w:r>
          </w:p>
        </w:tc>
        <w:tc>
          <w:tcPr>
            <w:tcW w:w="0" w:type="dxa"/>
            <w:vAlign w:val="bottom"/>
          </w:tcPr>
          <w:p>
            <w:pPr>
              <w:spacing w:after="0"/>
              <w:rPr>
                <w:sz w:val="1"/>
                <w:szCs w:val="1"/>
                <w:color w:val="auto"/>
              </w:rPr>
            </w:pPr>
          </w:p>
        </w:tc>
      </w:tr>
      <w:tr>
        <w:trPr>
          <w:trHeight w:val="199"/>
        </w:trPr>
        <w:tc>
          <w:tcPr>
            <w:tcW w:w="2440" w:type="dxa"/>
            <w:vAlign w:val="bottom"/>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Contributions from noncontrolling</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440" w:type="dxa"/>
            <w:vAlign w:val="bottom"/>
            <w:tcBorders>
              <w:top w:val="single" w:sz="8" w:color="CCEEFF"/>
            </w:tcBorders>
          </w:tcPr>
          <w:p>
            <w:pPr>
              <w:ind w:left="20"/>
              <w:spacing w:after="0" w:line="133" w:lineRule="exact"/>
              <w:rPr>
                <w:sz w:val="20"/>
                <w:szCs w:val="20"/>
                <w:color w:val="auto"/>
              </w:rPr>
            </w:pPr>
            <w:r>
              <w:rPr>
                <w:rFonts w:ascii="Arial" w:cs="Arial" w:eastAsia="Arial" w:hAnsi="Arial"/>
                <w:sz w:val="15"/>
                <w:szCs w:val="15"/>
                <w:color w:val="auto"/>
              </w:rPr>
              <w:t>Balance,</w:t>
            </w:r>
          </w:p>
        </w:tc>
        <w:tc>
          <w:tcPr>
            <w:tcW w:w="86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88,450</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884</w:t>
            </w: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1,159,722</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(735,268)</w:t>
            </w:r>
          </w:p>
        </w:tc>
        <w:tc>
          <w:tcPr>
            <w:tcW w:w="12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(186,840)</w:t>
            </w:r>
          </w:p>
        </w:tc>
        <w:tc>
          <w:tcPr>
            <w:tcW w:w="10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1,647</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240,145</w:t>
            </w: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Arial" w:cs="Arial" w:eastAsia="Arial" w:hAnsi="Arial"/>
                <w:sz w:val="15"/>
                <w:szCs w:val="15"/>
                <w:color w:val="auto"/>
              </w:rPr>
              <w:t>September 25, 2022</w:t>
            </w: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440" w:type="dxa"/>
            <w:vAlign w:val="bottom"/>
            <w:shd w:val="clear" w:color="auto" w:fill="CCEEFF"/>
          </w:tcPr>
          <w:p>
            <w:pPr>
              <w:ind w:left="20"/>
              <w:spacing w:after="0" w:line="147" w:lineRule="exact"/>
              <w:rPr>
                <w:sz w:val="20"/>
                <w:szCs w:val="20"/>
                <w:color w:val="auto"/>
              </w:rPr>
            </w:pPr>
            <w:r>
              <w:rPr>
                <w:rFonts w:ascii="Arial" w:cs="Arial" w:eastAsia="Arial" w:hAnsi="Arial"/>
                <w:sz w:val="15"/>
                <w:szCs w:val="15"/>
                <w:color w:val="auto"/>
              </w:rPr>
              <w:t>Balance,</w:t>
            </w: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89,253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893</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1,119,728</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(698,171)</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(205,989)</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6,389</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222,850</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26, 2021</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43,862</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5,202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49,064</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9"/>
              </w:rPr>
              <w:t>Other comprehensive income, net of</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19,149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19,149</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w:t>
            </w: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line="160" w:lineRule="exact"/>
              <w:rPr>
                <w:sz w:val="20"/>
                <w:szCs w:val="20"/>
                <w:color w:val="auto"/>
              </w:rPr>
            </w:pPr>
            <w:r>
              <w:rPr>
                <w:rFonts w:ascii="Arial" w:cs="Arial" w:eastAsia="Arial" w:hAnsi="Arial"/>
                <w:sz w:val="15"/>
                <w:szCs w:val="15"/>
                <w:color w:val="auto"/>
              </w:rPr>
              <w:t>Cash dividends declared, $0.42 per</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(37,452)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(37,452)</w:t>
            </w:r>
          </w:p>
        </w:tc>
        <w:tc>
          <w:tcPr>
            <w:tcW w:w="0" w:type="dxa"/>
            <w:vAlign w:val="bottom"/>
          </w:tcPr>
          <w:p>
            <w:pPr>
              <w:spacing w:after="0"/>
              <w:rPr>
                <w:sz w:val="1"/>
                <w:szCs w:val="1"/>
                <w:color w:val="auto"/>
              </w:rPr>
            </w:pPr>
          </w:p>
        </w:tc>
      </w:tr>
      <w:tr>
        <w:trPr>
          <w:trHeight w:val="199"/>
        </w:trPr>
        <w:tc>
          <w:tcPr>
            <w:tcW w:w="2440" w:type="dxa"/>
            <w:vAlign w:val="bottom"/>
          </w:tcPr>
          <w:p>
            <w:pPr>
              <w:ind w:left="20"/>
              <w:spacing w:after="0"/>
              <w:rPr>
                <w:sz w:val="20"/>
                <w:szCs w:val="20"/>
                <w:color w:val="auto"/>
              </w:rPr>
            </w:pPr>
            <w:r>
              <w:rPr>
                <w:rFonts w:ascii="Arial" w:cs="Arial" w:eastAsia="Arial" w:hAnsi="Arial"/>
                <w:sz w:val="15"/>
                <w:szCs w:val="15"/>
                <w:color w:val="auto"/>
              </w:rPr>
              <w:t>common share</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Repurchase and retirement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(80,959)</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(81,000)</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11,815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11,815</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Common stock issued under stock</w:t>
            </w: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942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2,494</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plans (1)</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line="160" w:lineRule="exact"/>
              <w:rPr>
                <w:sz w:val="20"/>
                <w:szCs w:val="20"/>
                <w:color w:val="auto"/>
              </w:rPr>
            </w:pPr>
            <w:r>
              <w:rPr>
                <w:rFonts w:ascii="Arial" w:cs="Arial" w:eastAsia="Arial" w:hAnsi="Arial"/>
                <w:sz w:val="15"/>
                <w:szCs w:val="15"/>
                <w:color w:val="auto"/>
                <w:w w:val="98"/>
              </w:rPr>
              <w:t>Purchase of noncontrolling interests,</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(735)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(3,915)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(4,650)</w:t>
            </w:r>
          </w:p>
        </w:tc>
        <w:tc>
          <w:tcPr>
            <w:tcW w:w="0" w:type="dxa"/>
            <w:vAlign w:val="bottom"/>
          </w:tcPr>
          <w:p>
            <w:pPr>
              <w:spacing w:after="0"/>
              <w:rPr>
                <w:sz w:val="1"/>
                <w:szCs w:val="1"/>
                <w:color w:val="auto"/>
              </w:rPr>
            </w:pPr>
          </w:p>
        </w:tc>
      </w:tr>
      <w:tr>
        <w:trPr>
          <w:trHeight w:val="199"/>
        </w:trPr>
        <w:tc>
          <w:tcPr>
            <w:tcW w:w="2440" w:type="dxa"/>
            <w:vAlign w:val="bottom"/>
          </w:tcPr>
          <w:p>
            <w:pPr>
              <w:ind w:left="20"/>
              <w:spacing w:after="0"/>
              <w:rPr>
                <w:sz w:val="20"/>
                <w:szCs w:val="20"/>
                <w:color w:val="auto"/>
              </w:rPr>
            </w:pPr>
            <w:r>
              <w:rPr>
                <w:rFonts w:ascii="Arial" w:cs="Arial" w:eastAsia="Arial" w:hAnsi="Arial"/>
                <w:sz w:val="15"/>
                <w:szCs w:val="15"/>
                <w:color w:val="auto"/>
              </w:rPr>
              <w:t>net of tax of $254</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Distributions to noncontrolling</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(6,631)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(6,631)</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line="160" w:lineRule="exact"/>
              <w:rPr>
                <w:sz w:val="20"/>
                <w:szCs w:val="20"/>
                <w:color w:val="auto"/>
              </w:rPr>
            </w:pPr>
            <w:r>
              <w:rPr>
                <w:rFonts w:ascii="Arial" w:cs="Arial" w:eastAsia="Arial" w:hAnsi="Arial"/>
                <w:sz w:val="15"/>
                <w:szCs w:val="15"/>
                <w:color w:val="auto"/>
              </w:rPr>
              <w:t>Contributions from noncontrolling</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602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602</w:t>
            </w:r>
          </w:p>
        </w:tc>
        <w:tc>
          <w:tcPr>
            <w:tcW w:w="0" w:type="dxa"/>
            <w:vAlign w:val="bottom"/>
          </w:tcPr>
          <w:p>
            <w:pPr>
              <w:spacing w:after="0"/>
              <w:rPr>
                <w:sz w:val="1"/>
                <w:szCs w:val="1"/>
                <w:color w:val="auto"/>
              </w:rPr>
            </w:pPr>
          </w:p>
        </w:tc>
      </w:tr>
      <w:tr>
        <w:trPr>
          <w:trHeight w:val="199"/>
        </w:trPr>
        <w:tc>
          <w:tcPr>
            <w:tcW w:w="2440" w:type="dxa"/>
            <w:vAlign w:val="bottom"/>
          </w:tcPr>
          <w:p>
            <w:pPr>
              <w:ind w:left="20"/>
              <w:spacing w:after="0"/>
              <w:rPr>
                <w:sz w:val="20"/>
                <w:szCs w:val="20"/>
                <w:color w:val="auto"/>
              </w:rPr>
            </w:pPr>
            <w:r>
              <w:rPr>
                <w:rFonts w:ascii="Arial" w:cs="Arial" w:eastAsia="Arial" w:hAnsi="Arial"/>
                <w:sz w:val="15"/>
                <w:szCs w:val="15"/>
                <w:color w:val="auto"/>
              </w:rPr>
              <w:t>interests</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7"/>
              </w:rPr>
              <w:t>Retirement of convertible senior note</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112,956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112,956</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hedges</w:t>
            </w: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5"/>
                <w:szCs w:val="15"/>
                <w:color w:val="auto"/>
              </w:rPr>
              <w:t>Retirement of warrants</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(97,617)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(97,617)</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Issuance of common stock from</w:t>
            </w: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2,313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48,542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48,565</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4"/>
              </w:rPr>
              <w:t>repurchase of convertible senior notes</w:t>
            </w: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440" w:type="dxa"/>
            <w:vAlign w:val="bottom"/>
            <w:tcBorders>
              <w:top w:val="single" w:sz="8" w:color="CCEEFF"/>
            </w:tcBorders>
          </w:tcPr>
          <w:p>
            <w:pPr>
              <w:ind w:left="20"/>
              <w:spacing w:after="0" w:line="133" w:lineRule="exact"/>
              <w:rPr>
                <w:sz w:val="20"/>
                <w:szCs w:val="20"/>
                <w:color w:val="auto"/>
              </w:rPr>
            </w:pPr>
            <w:r>
              <w:rPr>
                <w:rFonts w:ascii="Arial" w:cs="Arial" w:eastAsia="Arial" w:hAnsi="Arial"/>
                <w:sz w:val="15"/>
                <w:szCs w:val="15"/>
                <w:color w:val="auto"/>
              </w:rPr>
              <w:t>Balance,</w:t>
            </w:r>
          </w:p>
        </w:tc>
        <w:tc>
          <w:tcPr>
            <w:tcW w:w="86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88,450</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884</w:t>
            </w: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1,159,722</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(735,268)</w:t>
            </w:r>
          </w:p>
        </w:tc>
        <w:tc>
          <w:tcPr>
            <w:tcW w:w="12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(186,840)</w:t>
            </w:r>
          </w:p>
        </w:tc>
        <w:tc>
          <w:tcPr>
            <w:tcW w:w="10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1,647</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240,145</w:t>
            </w: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Arial" w:cs="Arial" w:eastAsia="Arial" w:hAnsi="Arial"/>
                <w:sz w:val="15"/>
                <w:szCs w:val="15"/>
                <w:color w:val="auto"/>
              </w:rPr>
              <w:t>September 25, 2022</w:t>
            </w: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CHANGES IN STOCKHOLDERS’ EQUITY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 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BLOOMIN’ BRANDS, INC.</w:t>
            </w: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3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360" w:type="dxa"/>
            <w:vAlign w:val="bottom"/>
          </w:tcPr>
          <w:p>
            <w:pPr>
              <w:spacing w:after="0"/>
              <w:rPr>
                <w:sz w:val="22"/>
                <w:szCs w:val="22"/>
                <w:color w:val="auto"/>
              </w:rPr>
            </w:pPr>
          </w:p>
        </w:tc>
        <w:tc>
          <w:tcPr>
            <w:tcW w:w="202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w:t>
            </w: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360" w:type="dxa"/>
            <w:vAlign w:val="bottom"/>
          </w:tcPr>
          <w:p>
            <w:pPr>
              <w:spacing w:after="0"/>
              <w:rPr>
                <w:sz w:val="7"/>
                <w:szCs w:val="7"/>
                <w:color w:val="auto"/>
              </w:rPr>
            </w:pPr>
          </w:p>
        </w:tc>
        <w:tc>
          <w:tcPr>
            <w:tcW w:w="202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restart"/>
          </w:tcPr>
          <w:p>
            <w:pPr>
              <w:jc w:val="center"/>
              <w:ind w:right="260"/>
              <w:spacing w:after="0" w:line="119"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7"/>
                <w:szCs w:val="7"/>
                <w:color w:val="auto"/>
              </w:rPr>
            </w:pPr>
          </w:p>
        </w:tc>
        <w:tc>
          <w:tcPr>
            <w:tcW w:w="1040" w:type="dxa"/>
            <w:vAlign w:val="bottom"/>
            <w:gridSpan w:val="2"/>
            <w:vMerge w:val="restart"/>
          </w:tcPr>
          <w:p>
            <w:pPr>
              <w:ind w:left="100"/>
              <w:spacing w:after="0" w:line="119" w:lineRule="exact"/>
              <w:rPr>
                <w:sz w:val="20"/>
                <w:szCs w:val="20"/>
                <w:color w:val="auto"/>
              </w:rPr>
            </w:pPr>
            <w:r>
              <w:rPr>
                <w:rFonts w:ascii="Arial" w:cs="Arial" w:eastAsia="Arial" w:hAnsi="Arial"/>
                <w:sz w:val="13"/>
                <w:szCs w:val="13"/>
                <w:b w:val="1"/>
                <w:bCs w:val="1"/>
                <w:color w:val="auto"/>
              </w:rPr>
              <w:t>ULATED</w:t>
            </w:r>
          </w:p>
        </w:tc>
        <w:tc>
          <w:tcPr>
            <w:tcW w:w="1780" w:type="dxa"/>
            <w:vAlign w:val="bottom"/>
            <w:gridSpan w:val="3"/>
            <w:vMerge w:val="restart"/>
          </w:tcPr>
          <w:p>
            <w:pPr>
              <w:ind w:left="20"/>
              <w:spacing w:after="0" w:line="119" w:lineRule="exact"/>
              <w:rPr>
                <w:sz w:val="20"/>
                <w:szCs w:val="20"/>
                <w:color w:val="auto"/>
              </w:rPr>
            </w:pPr>
            <w:r>
              <w:rPr>
                <w:rFonts w:ascii="Arial" w:cs="Arial" w:eastAsia="Arial" w:hAnsi="Arial"/>
                <w:sz w:val="13"/>
                <w:szCs w:val="13"/>
                <w:b w:val="1"/>
                <w:bCs w:val="1"/>
                <w:color w:val="auto"/>
              </w:rPr>
              <w:t>ACCUMULATED OTHER</w:t>
            </w:r>
          </w:p>
        </w:tc>
        <w:tc>
          <w:tcPr>
            <w:tcW w:w="1580" w:type="dxa"/>
            <w:vAlign w:val="bottom"/>
            <w:gridSpan w:val="3"/>
            <w:vMerge w:val="restart"/>
          </w:tcPr>
          <w:p>
            <w:pPr>
              <w:jc w:val="center"/>
              <w:ind w:right="100"/>
              <w:spacing w:after="0" w:line="119" w:lineRule="exact"/>
              <w:rPr>
                <w:sz w:val="20"/>
                <w:szCs w:val="20"/>
                <w:color w:val="auto"/>
              </w:rPr>
            </w:pPr>
            <w:r>
              <w:rPr>
                <w:rFonts w:ascii="Arial" w:cs="Arial" w:eastAsia="Arial" w:hAnsi="Arial"/>
                <w:sz w:val="13"/>
                <w:szCs w:val="13"/>
                <w:b w:val="1"/>
                <w:bCs w:val="1"/>
                <w:color w:val="auto"/>
              </w:rPr>
              <w:t>NON-CONTROLLING</w:t>
            </w: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23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158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 LOSS</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36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5"/>
                <w:szCs w:val="15"/>
                <w:color w:val="auto"/>
              </w:rPr>
              <w:t>Balance,</w:t>
            </w:r>
          </w:p>
        </w:tc>
        <w:tc>
          <w:tcPr>
            <w:tcW w:w="90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89,211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892</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1,109,904</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(762,319)</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(202,188)</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6,618</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152,907</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 27, 2021</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3,449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1,602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5,051</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5"/>
              </w:rPr>
              <w:t>Other comprehensive income, net of</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4,518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4,518</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5,593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5,593</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Common stock issued under stock</w:t>
            </w:r>
          </w:p>
        </w:tc>
        <w:tc>
          <w:tcPr>
            <w:tcW w:w="9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plans (1)</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rPr>
                <w:sz w:val="20"/>
                <w:szCs w:val="20"/>
                <w:color w:val="auto"/>
              </w:rPr>
            </w:pPr>
            <w:r>
              <w:rPr>
                <w:rFonts w:ascii="Arial" w:cs="Arial" w:eastAsia="Arial" w:hAnsi="Arial"/>
                <w:sz w:val="15"/>
                <w:szCs w:val="15"/>
                <w:color w:val="auto"/>
                <w:w w:val="97"/>
              </w:rPr>
              <w:t>Purchase of noncontrolling interests</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Distributions to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(2,062)</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Contributions from noncontrolling</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374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194"/>
        </w:trPr>
        <w:tc>
          <w:tcPr>
            <w:tcW w:w="2360" w:type="dxa"/>
            <w:vAlign w:val="bottom"/>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36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5"/>
                <w:szCs w:val="15"/>
                <w:color w:val="auto"/>
              </w:rPr>
              <w:t>Balance,</w:t>
            </w:r>
          </w:p>
        </w:tc>
        <w:tc>
          <w:tcPr>
            <w:tcW w:w="90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89,248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892</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1,115,464</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(758,870)</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(197,670)</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6,520</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166,336</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September 26, 2021</w:t>
            </w: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3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360" w:type="dxa"/>
            <w:vAlign w:val="bottom"/>
            <w:shd w:val="clear" w:color="auto" w:fill="CCEEFF"/>
          </w:tcPr>
          <w:p>
            <w:pPr>
              <w:ind w:left="20"/>
              <w:spacing w:after="0" w:line="147" w:lineRule="exact"/>
              <w:rPr>
                <w:sz w:val="20"/>
                <w:szCs w:val="20"/>
                <w:color w:val="auto"/>
              </w:rPr>
            </w:pPr>
            <w:r>
              <w:rPr>
                <w:rFonts w:ascii="Arial" w:cs="Arial" w:eastAsia="Arial" w:hAnsi="Arial"/>
                <w:sz w:val="15"/>
                <w:szCs w:val="15"/>
                <w:color w:val="auto"/>
              </w:rPr>
              <w:t>Balance,</w:t>
            </w:r>
          </w:p>
        </w:tc>
        <w:tc>
          <w:tcPr>
            <w:tcW w:w="9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87,856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879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1,132,808</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(918,096)</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(211,446)</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6,812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10,957</w:t>
            </w:r>
          </w:p>
        </w:tc>
        <w:tc>
          <w:tcPr>
            <w:tcW w:w="0" w:type="dxa"/>
            <w:vAlign w:val="bottom"/>
          </w:tcPr>
          <w:p>
            <w:pPr>
              <w:spacing w:after="0"/>
              <w:rPr>
                <w:sz w:val="1"/>
                <w:szCs w:val="1"/>
                <w:color w:val="auto"/>
              </w:rPr>
            </w:pPr>
          </w:p>
        </w:tc>
      </w:tr>
      <w:tr>
        <w:trPr>
          <w:trHeight w:val="201"/>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27, 2020</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w w:val="99"/>
              </w:rPr>
              <w:t>Cumulative-effect from a change in</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(47,323)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4,370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(42,953)</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accounting principle, net of tax</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154,856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159,735</w:t>
            </w: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w w:val="95"/>
              </w:rPr>
              <w:t>Other comprehensive income, net of</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120" w:type="dxa"/>
            <w:vAlign w:val="bottom"/>
            <w:vMerge w:val="restart"/>
          </w:tcPr>
          <w:p>
            <w:pPr>
              <w:jc w:val="right"/>
              <w:ind w:right="3"/>
              <w:spacing w:after="0"/>
              <w:rPr>
                <w:sz w:val="20"/>
                <w:szCs w:val="20"/>
                <w:color w:val="auto"/>
              </w:rPr>
            </w:pPr>
            <w:r>
              <w:rPr>
                <w:rFonts w:ascii="Arial" w:cs="Arial" w:eastAsia="Arial" w:hAnsi="Arial"/>
                <w:sz w:val="15"/>
                <w:szCs w:val="15"/>
                <w:color w:val="auto"/>
              </w:rPr>
              <w:t>13,776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13,776</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tax</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20,100</w:t>
            </w: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Common stock issued under stock</w:t>
            </w:r>
          </w:p>
        </w:tc>
        <w:tc>
          <w:tcPr>
            <w:tcW w:w="900" w:type="dxa"/>
            <w:vAlign w:val="bottom"/>
            <w:vMerge w:val="restart"/>
          </w:tcPr>
          <w:p>
            <w:pPr>
              <w:jc w:val="right"/>
              <w:ind w:right="3"/>
              <w:spacing w:after="0"/>
              <w:rPr>
                <w:sz w:val="20"/>
                <w:szCs w:val="20"/>
                <w:color w:val="auto"/>
              </w:rPr>
            </w:pPr>
            <w:r>
              <w:rPr>
                <w:rFonts w:ascii="Arial" w:cs="Arial" w:eastAsia="Arial" w:hAnsi="Arial"/>
                <w:sz w:val="15"/>
                <w:szCs w:val="15"/>
                <w:color w:val="auto"/>
              </w:rPr>
              <w:t>1,392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9,870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9,883</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plans (1)</w:t>
            </w: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Purchase of noncontrolling interests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0"/>
        </w:trPr>
        <w:tc>
          <w:tcPr>
            <w:tcW w:w="2360" w:type="dxa"/>
            <w:vAlign w:val="bottom"/>
          </w:tcPr>
          <w:p>
            <w:pPr>
              <w:ind w:left="20"/>
              <w:spacing w:after="0" w:line="160" w:lineRule="exact"/>
              <w:rPr>
                <w:sz w:val="20"/>
                <w:szCs w:val="20"/>
                <w:color w:val="auto"/>
              </w:rPr>
            </w:pPr>
            <w:r>
              <w:rPr>
                <w:rFonts w:ascii="Arial" w:cs="Arial" w:eastAsia="Arial" w:hAnsi="Arial"/>
                <w:sz w:val="15"/>
                <w:szCs w:val="15"/>
                <w:color w:val="auto"/>
              </w:rPr>
              <w:t>Distributions to noncontrolling</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(6,203)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(6,203)</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Contributions from noncontrolling</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1,044</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360" w:type="dxa"/>
            <w:vAlign w:val="bottom"/>
            <w:tcBorders>
              <w:top w:val="single" w:sz="8" w:color="CCEEFF"/>
            </w:tcBorders>
          </w:tcPr>
          <w:p>
            <w:pPr>
              <w:ind w:left="20"/>
              <w:spacing w:after="0" w:line="133" w:lineRule="exact"/>
              <w:rPr>
                <w:sz w:val="20"/>
                <w:szCs w:val="20"/>
                <w:color w:val="auto"/>
              </w:rPr>
            </w:pPr>
            <w:r>
              <w:rPr>
                <w:rFonts w:ascii="Arial" w:cs="Arial" w:eastAsia="Arial" w:hAnsi="Arial"/>
                <w:sz w:val="15"/>
                <w:szCs w:val="15"/>
                <w:color w:val="auto"/>
              </w:rPr>
              <w:t>Balance,</w:t>
            </w:r>
          </w:p>
        </w:tc>
        <w:tc>
          <w:tcPr>
            <w:tcW w:w="90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89,248</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892</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1,115,464</w:t>
            </w: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(758,870)</w:t>
            </w:r>
          </w:p>
        </w:tc>
        <w:tc>
          <w:tcPr>
            <w:tcW w:w="10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(197,670)</w:t>
            </w:r>
          </w:p>
        </w:tc>
        <w:tc>
          <w:tcPr>
            <w:tcW w:w="10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6,520</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166,336</w:t>
            </w:r>
          </w:p>
        </w:tc>
        <w:tc>
          <w:tcPr>
            <w:tcW w:w="0" w:type="dxa"/>
            <w:vAlign w:val="bottom"/>
          </w:tcPr>
          <w:p>
            <w:pPr>
              <w:spacing w:after="0"/>
              <w:rPr>
                <w:sz w:val="1"/>
                <w:szCs w:val="1"/>
                <w:color w:val="auto"/>
              </w:rPr>
            </w:pPr>
          </w:p>
        </w:tc>
      </w:tr>
      <w:tr>
        <w:trPr>
          <w:trHeight w:val="181"/>
        </w:trPr>
        <w:tc>
          <w:tcPr>
            <w:tcW w:w="2360" w:type="dxa"/>
            <w:vAlign w:val="bottom"/>
          </w:tcPr>
          <w:p>
            <w:pPr>
              <w:ind w:left="20"/>
              <w:spacing w:after="0"/>
              <w:rPr>
                <w:sz w:val="20"/>
                <w:szCs w:val="20"/>
                <w:color w:val="auto"/>
              </w:rPr>
            </w:pPr>
            <w:r>
              <w:rPr>
                <w:rFonts w:ascii="Arial" w:cs="Arial" w:eastAsia="Arial" w:hAnsi="Arial"/>
                <w:sz w:val="15"/>
                <w:szCs w:val="15"/>
                <w:color w:val="auto"/>
              </w:rPr>
              <w:t>September 26, 2021</w:t>
            </w: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forfeitures and shares withheld for employee taxes.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UNAUDITED)</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20" w:type="dxa"/>
            <w:vAlign w:val="bottom"/>
            <w:gridSpan w:val="4"/>
          </w:tcPr>
          <w:p>
            <w:pPr>
              <w:jc w:val="right"/>
              <w:ind w:right="943"/>
              <w:spacing w:after="0"/>
              <w:rPr>
                <w:sz w:val="20"/>
                <w:szCs w:val="20"/>
                <w:color w:val="auto"/>
              </w:rPr>
            </w:pPr>
            <w:r>
              <w:rPr>
                <w:rFonts w:ascii="Arial" w:cs="Arial" w:eastAsia="Arial" w:hAnsi="Arial"/>
                <w:sz w:val="14"/>
                <w:szCs w:val="14"/>
                <w:b w:val="1"/>
                <w:bCs w:val="1"/>
                <w:color w:val="auto"/>
              </w:rPr>
              <w:t>THIRTY-NINE WEEKS ENDED</w:t>
            </w:r>
          </w:p>
        </w:tc>
      </w:tr>
      <w:tr>
        <w:trPr>
          <w:trHeight w:val="30"/>
        </w:trPr>
        <w:tc>
          <w:tcPr>
            <w:tcW w:w="7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6"/>
        </w:trPr>
        <w:tc>
          <w:tcPr>
            <w:tcW w:w="7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25, 2022</w:t>
            </w:r>
          </w:p>
        </w:tc>
        <w:tc>
          <w:tcPr>
            <w:tcW w:w="200" w:type="dxa"/>
            <w:vAlign w:val="bottom"/>
          </w:tcPr>
          <w:p>
            <w:pPr>
              <w:spacing w:after="0"/>
              <w:rPr>
                <w:sz w:val="17"/>
                <w:szCs w:val="17"/>
                <w:color w:val="auto"/>
              </w:rPr>
            </w:pPr>
          </w:p>
        </w:tc>
        <w:tc>
          <w:tcPr>
            <w:tcW w:w="1760" w:type="dxa"/>
            <w:vAlign w:val="bottom"/>
          </w:tcPr>
          <w:p>
            <w:pPr>
              <w:jc w:val="right"/>
              <w:ind w:right="223"/>
              <w:spacing w:after="0"/>
              <w:rPr>
                <w:sz w:val="20"/>
                <w:szCs w:val="20"/>
                <w:color w:val="auto"/>
              </w:rPr>
            </w:pPr>
            <w:r>
              <w:rPr>
                <w:rFonts w:ascii="Arial" w:cs="Arial" w:eastAsia="Arial" w:hAnsi="Arial"/>
                <w:sz w:val="14"/>
                <w:szCs w:val="14"/>
                <w:b w:val="1"/>
                <w:bCs w:val="1"/>
                <w:color w:val="auto"/>
                <w:w w:val="98"/>
              </w:rPr>
              <w:t>SEPTEMBER 26, 2021</w:t>
            </w:r>
          </w:p>
        </w:tc>
      </w:tr>
      <w:tr>
        <w:trPr>
          <w:trHeight w:val="238"/>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provided by operating activities:</w:t>
            </w:r>
          </w:p>
        </w:tc>
        <w:tc>
          <w:tcPr>
            <w:tcW w:w="200" w:type="dxa"/>
            <w:vAlign w:val="bottom"/>
            <w:tcBorders>
              <w:top w:val="single" w:sz="8" w:color="auto"/>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spacing w:after="0"/>
              <w:rPr>
                <w:sz w:val="20"/>
                <w:szCs w:val="20"/>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49,064</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159,735</w:t>
            </w:r>
          </w:p>
        </w:tc>
      </w:tr>
      <w:tr>
        <w:trPr>
          <w:trHeight w:val="209"/>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cash provided by operating activities: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125,203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122,592</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Amortization of debt discounts and issuance costs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3,441</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Amortization of deferred gift card sales commissions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18,213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19,277</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Provision for impaired assets and restaurant closings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8,962</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Non-cash interest expense from terminated interest rate swaps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10,014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3,973</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Non-cash operating lease costs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57,791</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Stock-based and other non-cash compensation expense</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11,815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20,100</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income tax expense</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3,842</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Loss on extinguishment and modification of debt</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107,630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2,073</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Loss on fair value adjustment of derivatives, net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Other, net</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5,381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(946)</w:t>
            </w:r>
          </w:p>
        </w:tc>
      </w:tr>
      <w:tr>
        <w:trPr>
          <w:trHeight w:val="202"/>
        </w:trPr>
        <w:tc>
          <w:tcPr>
            <w:tcW w:w="7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Change in assets and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(128,447)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(96,594)</w:t>
            </w:r>
          </w:p>
        </w:tc>
      </w:tr>
      <w:tr>
        <w:trPr>
          <w:trHeight w:val="212"/>
        </w:trPr>
        <w:tc>
          <w:tcPr>
            <w:tcW w:w="7220" w:type="dxa"/>
            <w:vAlign w:val="bottom"/>
            <w:tcBorders>
              <w:bottom w:val="single" w:sz="8" w:color="CCEEFF"/>
            </w:tcBorders>
          </w:tcPr>
          <w:p>
            <w:pPr>
              <w:ind w:left="940"/>
              <w:spacing w:after="0"/>
              <w:rPr>
                <w:sz w:val="20"/>
                <w:szCs w:val="20"/>
                <w:color w:val="auto"/>
              </w:rPr>
            </w:pPr>
            <w:r>
              <w:rPr>
                <w:rFonts w:ascii="Arial" w:cs="Arial" w:eastAsia="Arial" w:hAnsi="Arial"/>
                <w:sz w:val="15"/>
                <w:szCs w:val="15"/>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292,579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304,246</w:t>
            </w:r>
          </w:p>
        </w:tc>
      </w:tr>
      <w:tr>
        <w:trPr>
          <w:trHeight w:val="206"/>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used in investing activities:</w:t>
            </w: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Proceeds from disposal of property, fixtures and equipment</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7,052</w:t>
            </w: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received on life insurance policies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9,270</w:t>
            </w: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Capital expenditures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(137,260)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(85,339)</w:t>
            </w:r>
          </w:p>
        </w:tc>
      </w:tr>
      <w:tr>
        <w:trPr>
          <w:trHeight w:val="215"/>
        </w:trPr>
        <w:tc>
          <w:tcPr>
            <w:tcW w:w="7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Other investments, net</w:t>
            </w: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w:t>
            </w:r>
          </w:p>
        </w:tc>
      </w:tr>
      <w:tr>
        <w:trPr>
          <w:trHeight w:val="212"/>
        </w:trPr>
        <w:tc>
          <w:tcPr>
            <w:tcW w:w="7220" w:type="dxa"/>
            <w:vAlign w:val="bottom"/>
          </w:tcPr>
          <w:p>
            <w:pPr>
              <w:ind w:left="940"/>
              <w:spacing w:after="0"/>
              <w:rPr>
                <w:sz w:val="20"/>
                <w:szCs w:val="20"/>
                <w:color w:val="auto"/>
              </w:rPr>
            </w:pPr>
            <w:r>
              <w:rPr>
                <w:rFonts w:ascii="Arial" w:cs="Arial" w:eastAsia="Arial" w:hAnsi="Arial"/>
                <w:sz w:val="15"/>
                <w:szCs w:val="15"/>
                <w:color w:val="auto"/>
              </w:rPr>
              <w:t>Net cash used in investing activities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(121,455)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(69,085)</w:t>
            </w:r>
          </w:p>
        </w:tc>
      </w:tr>
    </w:tbl>
    <w:p>
      <w:pPr>
        <w:spacing w:after="0" w:line="237" w:lineRule="exact"/>
        <w:rPr>
          <w:sz w:val="20"/>
          <w:szCs w:val="20"/>
          <w:color w:val="auto"/>
        </w:rPr>
      </w:pPr>
    </w:p>
    <w:p>
      <w:pPr>
        <w:ind w:left="10100"/>
        <w:spacing w:after="0"/>
        <w:rPr>
          <w:sz w:val="20"/>
          <w:szCs w:val="20"/>
          <w:color w:val="auto"/>
        </w:rPr>
      </w:pPr>
      <w:r>
        <w:rPr>
          <w:rFonts w:ascii="Arial" w:cs="Arial" w:eastAsia="Arial" w:hAnsi="Arial"/>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20" w:type="dxa"/>
            <w:vAlign w:val="bottom"/>
            <w:gridSpan w:val="4"/>
          </w:tcPr>
          <w:p>
            <w:pPr>
              <w:jc w:val="right"/>
              <w:ind w:right="94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7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25, 2022</w:t>
            </w:r>
          </w:p>
        </w:tc>
        <w:tc>
          <w:tcPr>
            <w:tcW w:w="200" w:type="dxa"/>
            <w:vAlign w:val="bottom"/>
          </w:tcPr>
          <w:p>
            <w:pPr>
              <w:spacing w:after="0"/>
              <w:rPr>
                <w:sz w:val="17"/>
                <w:szCs w:val="17"/>
                <w:color w:val="auto"/>
              </w:rPr>
            </w:pPr>
          </w:p>
        </w:tc>
        <w:tc>
          <w:tcPr>
            <w:tcW w:w="1760" w:type="dxa"/>
            <w:vAlign w:val="bottom"/>
          </w:tcPr>
          <w:p>
            <w:pPr>
              <w:jc w:val="right"/>
              <w:ind w:right="223"/>
              <w:spacing w:after="0"/>
              <w:rPr>
                <w:sz w:val="20"/>
                <w:szCs w:val="20"/>
                <w:color w:val="auto"/>
              </w:rPr>
            </w:pPr>
            <w:r>
              <w:rPr>
                <w:rFonts w:ascii="Arial" w:cs="Arial" w:eastAsia="Arial" w:hAnsi="Arial"/>
                <w:sz w:val="14"/>
                <w:szCs w:val="14"/>
                <w:b w:val="1"/>
                <w:bCs w:val="1"/>
                <w:color w:val="auto"/>
                <w:w w:val="98"/>
              </w:rPr>
              <w:t>SEPTEMBER 26, 2021</w:t>
            </w:r>
          </w:p>
        </w:tc>
        <w:tc>
          <w:tcPr>
            <w:tcW w:w="0" w:type="dxa"/>
            <w:vAlign w:val="bottom"/>
          </w:tcPr>
          <w:p>
            <w:pPr>
              <w:spacing w:after="0"/>
              <w:rPr>
                <w:sz w:val="1"/>
                <w:szCs w:val="1"/>
                <w:color w:val="auto"/>
              </w:rPr>
            </w:pPr>
          </w:p>
        </w:tc>
      </w:tr>
      <w:tr>
        <w:trPr>
          <w:trHeight w:val="238"/>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used in financing activities:</w:t>
            </w:r>
          </w:p>
        </w:tc>
        <w:tc>
          <w:tcPr>
            <w:tcW w:w="200" w:type="dxa"/>
            <w:vAlign w:val="bottom"/>
            <w:tcBorders>
              <w:top w:val="single" w:sz="8" w:color="auto"/>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Proceeds from issuance of long-term debt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Repayments of long-term debt and finance lease obligations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(196,076)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(428,364)</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Proceeds from borrowings on revolving credit facilities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929,500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378,000</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Repayments of borrowings on revolving credit facilities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(701,000)</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Financing fees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(1,205)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(5,868)</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issuance of senior notes</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Issuance costs related to senior notes</w:t>
            </w:r>
          </w:p>
        </w:tc>
        <w:tc>
          <w:tcPr>
            <w:tcW w:w="200" w:type="dxa"/>
            <w:vAlign w:val="bottom"/>
          </w:tcPr>
          <w:p>
            <w:pPr>
              <w:spacing w:after="0"/>
              <w:rPr>
                <w:sz w:val="17"/>
                <w:szCs w:val="17"/>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(5,546)</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Repurchase of convertible senior notes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(196,919)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Proceeds from retirement of convertible senior note hedges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131,869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Payments for retirement of warrants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(114,825)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Proceeds from share-based compensation, net</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2,494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9,883</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Distributions to noncontrolling interests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(6,203)</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Contributions from noncontrolling interests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602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1,044</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Purchase of noncontrolling interests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Payments for partner equity plan</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(7,813)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(7,135)</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Repurchase of common stock</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2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Cash dividends paid on common stock</w:t>
            </w: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(37,452)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7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5"/>
                <w:szCs w:val="15"/>
                <w:color w:val="auto"/>
              </w:rPr>
              <w:t>Net cash used in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(170,760)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(265,192)</w:t>
            </w:r>
          </w:p>
        </w:tc>
        <w:tc>
          <w:tcPr>
            <w:tcW w:w="0" w:type="dxa"/>
            <w:vAlign w:val="bottom"/>
          </w:tcPr>
          <w:p>
            <w:pPr>
              <w:spacing w:after="0"/>
              <w:rPr>
                <w:sz w:val="1"/>
                <w:szCs w:val="1"/>
                <w:color w:val="auto"/>
              </w:rPr>
            </w:pPr>
          </w:p>
        </w:tc>
      </w:tr>
      <w:tr>
        <w:trPr>
          <w:trHeight w:val="185"/>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(29,824)</w:t>
            </w:r>
          </w:p>
        </w:tc>
        <w:tc>
          <w:tcPr>
            <w:tcW w:w="0" w:type="dxa"/>
            <w:vAlign w:val="bottom"/>
          </w:tcPr>
          <w:p>
            <w:pPr>
              <w:spacing w:after="0"/>
              <w:rPr>
                <w:sz w:val="1"/>
                <w:szCs w:val="1"/>
                <w:color w:val="auto"/>
              </w:rPr>
            </w:pPr>
          </w:p>
        </w:tc>
      </w:tr>
      <w:tr>
        <w:trPr>
          <w:trHeight w:val="212"/>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as of the beginning of the period</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89,057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110,408</w:t>
            </w:r>
          </w:p>
        </w:tc>
        <w:tc>
          <w:tcPr>
            <w:tcW w:w="0" w:type="dxa"/>
            <w:vAlign w:val="bottom"/>
          </w:tcPr>
          <w:p>
            <w:pPr>
              <w:spacing w:after="0"/>
              <w:rPr>
                <w:sz w:val="1"/>
                <w:szCs w:val="1"/>
                <w:color w:val="auto"/>
              </w:rPr>
            </w:pPr>
          </w:p>
        </w:tc>
      </w:tr>
      <w:tr>
        <w:trPr>
          <w:trHeight w:val="231"/>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as of the end of the period</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90,821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80,584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Supplemental disclosures of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paid for interest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28,787</w:t>
            </w: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Cash paid for income taxes, net of refunds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25,354</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23,449</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 of non-cash investing and financing activities: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320"/>
              <w:spacing w:after="0"/>
              <w:rPr>
                <w:sz w:val="20"/>
                <w:szCs w:val="20"/>
                <w:color w:val="auto"/>
              </w:rPr>
            </w:pPr>
            <w:r>
              <w:rPr>
                <w:rFonts w:ascii="Arial" w:cs="Arial" w:eastAsia="Arial" w:hAnsi="Arial"/>
                <w:sz w:val="15"/>
                <w:szCs w:val="15"/>
                <w:color w:val="auto"/>
              </w:rPr>
              <w:t>Leased assets obtained in exchange for new operating lease liabilities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44,556</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38,154</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Leased assets obtained in exchange for new finance lease liabilities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1,229</w:t>
            </w:r>
          </w:p>
        </w:tc>
        <w:tc>
          <w:tcPr>
            <w:tcW w:w="0" w:type="dxa"/>
            <w:vAlign w:val="bottom"/>
          </w:tcPr>
          <w:p>
            <w:pPr>
              <w:spacing w:after="0"/>
              <w:rPr>
                <w:sz w:val="1"/>
                <w:szCs w:val="1"/>
                <w:color w:val="auto"/>
              </w:rPr>
            </w:pPr>
          </w:p>
        </w:tc>
      </w:tr>
      <w:tr>
        <w:trPr>
          <w:trHeight w:val="201"/>
        </w:trPr>
        <w:tc>
          <w:tcPr>
            <w:tcW w:w="7220" w:type="dxa"/>
            <w:vAlign w:val="bottom"/>
          </w:tcPr>
          <w:p>
            <w:pPr>
              <w:ind w:left="320"/>
              <w:spacing w:after="0"/>
              <w:rPr>
                <w:sz w:val="20"/>
                <w:szCs w:val="20"/>
                <w:color w:val="auto"/>
              </w:rPr>
            </w:pPr>
            <w:r>
              <w:rPr>
                <w:rFonts w:ascii="Arial" w:cs="Arial" w:eastAsia="Arial" w:hAnsi="Arial"/>
                <w:sz w:val="15"/>
                <w:szCs w:val="15"/>
                <w:color w:val="auto"/>
              </w:rPr>
              <w:t>Increase in liabilities from the acquisition of property, fixtures and equipment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14,961</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3,006</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w:t>
      </w:r>
    </w:p>
    <w:p>
      <w:pPr>
        <w:spacing w:after="0" w:line="315" w:lineRule="exact"/>
        <w:rPr>
          <w:sz w:val="20"/>
          <w:szCs w:val="20"/>
          <w:color w:val="auto"/>
        </w:rPr>
      </w:pPr>
    </w:p>
    <w:p>
      <w:pPr>
        <w:ind w:left="340" w:hanging="337"/>
        <w:spacing w:after="0"/>
        <w:tabs>
          <w:tab w:leader="none" w:pos="340" w:val="left"/>
        </w:tabs>
        <w:numPr>
          <w:ilvl w:val="0"/>
          <w:numId w:val="4"/>
        </w:numPr>
        <w:rPr>
          <w:rFonts w:ascii="Arial" w:cs="Arial" w:eastAsia="Arial" w:hAnsi="Arial"/>
          <w:sz w:val="19"/>
          <w:szCs w:val="19"/>
          <w:color w:val="auto"/>
        </w:rPr>
      </w:pPr>
      <w:r>
        <w:rPr>
          <w:rFonts w:ascii="Arial" w:cs="Arial" w:eastAsia="Arial" w:hAnsi="Arial"/>
          <w:sz w:val="19"/>
          <w:szCs w:val="19"/>
          <w:color w:val="auto"/>
        </w:rPr>
        <w:t>Description of the Business and Basis of Presentation</w:t>
      </w: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9"/>
          <w:szCs w:val="19"/>
          <w:i w:val="1"/>
          <w:iCs w:val="1"/>
          <w:color w:val="auto"/>
        </w:rPr>
        <w:t xml:space="preserve">Description of the Business - </w:t>
      </w:r>
      <w:r>
        <w:rPr>
          <w:rFonts w:ascii="Arial" w:cs="Arial" w:eastAsia="Arial" w:hAnsi="Arial"/>
          <w:sz w:val="19"/>
          <w:szCs w:val="19"/>
          <w:color w:val="auto"/>
        </w:rPr>
        <w:t>Bloomin’ Brands (“Bloomin’ Brands” or the “Company”) owns and operates casual, upscale casual and fine dining</w:t>
      </w:r>
      <w:r>
        <w:rPr>
          <w:rFonts w:ascii="Arial" w:cs="Arial" w:eastAsia="Arial" w:hAnsi="Arial"/>
          <w:sz w:val="19"/>
          <w:szCs w:val="19"/>
          <w:i w:val="1"/>
          <w:iCs w:val="1"/>
          <w:color w:val="auto"/>
        </w:rPr>
        <w:t xml:space="preserve"> </w:t>
      </w:r>
      <w:r>
        <w:rPr>
          <w:rFonts w:ascii="Arial" w:cs="Arial" w:eastAsia="Arial" w:hAnsi="Arial"/>
          <w:sz w:val="19"/>
          <w:szCs w:val="19"/>
          <w:color w:val="auto"/>
        </w:rPr>
        <w:t>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 accompanying interim unaudited condensed consolidated financial statements have been prepared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26, 2021.</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9"/>
          <w:szCs w:val="19"/>
          <w:i w:val="1"/>
          <w:iCs w:val="1"/>
          <w:color w:val="auto"/>
        </w:rPr>
        <w:t xml:space="preserve">Recently Issued Financial Accounting Standards Not Yet Adopted </w:t>
      </w:r>
      <w:r>
        <w:rPr>
          <w:rFonts w:ascii="Arial" w:cs="Arial" w:eastAsia="Arial" w:hAnsi="Arial"/>
          <w:sz w:val="19"/>
          <w:szCs w:val="19"/>
          <w:color w:val="auto"/>
        </w:rPr>
        <w:t>- In November 2021, the Financial Accounting Standards Board issued</w:t>
      </w:r>
      <w:r>
        <w:rPr>
          <w:rFonts w:ascii="Arial" w:cs="Arial" w:eastAsia="Arial" w:hAnsi="Arial"/>
          <w:sz w:val="19"/>
          <w:szCs w:val="19"/>
          <w:i w:val="1"/>
          <w:iCs w:val="1"/>
          <w:color w:val="auto"/>
        </w:rPr>
        <w:t xml:space="preserve"> </w:t>
      </w:r>
      <w:r>
        <w:rPr>
          <w:rFonts w:ascii="Arial" w:cs="Arial" w:eastAsia="Arial" w:hAnsi="Arial"/>
          <w:sz w:val="19"/>
          <w:szCs w:val="19"/>
          <w:color w:val="auto"/>
        </w:rPr>
        <w:t>Accounting Standards Update (“ASU”) No. 2021-10, “Government Assistance (Topic 832): Disclosures by Business Entities about Government Assistance” (“ASU No. 2021-10”), which requires financial statement footnote disclosure regarding government assistance accounted for by applying a grant or contribution accounting model by analogy. ASU No. 2021-10 is effective for the Company for the fiscal year ending December 25, 2022. Upon adoption of ASU No. 2021-10 during the fourth quarter of 2022, the Company anticipates government assistance financial statement footnote disclosures within the 2022 Form 10-K, primarily in connection with employee retention credits provided under the Coronavirus, Aid, Relief and Economic Security (“CARES”) Act.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Recent accounting guidance not discussed herein is not applicable, did not have, or is not expected to have a material impact to the Company.</w:t>
      </w:r>
    </w:p>
    <w:p>
      <w:pPr>
        <w:spacing w:after="0" w:line="26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Reclassifications </w:t>
      </w:r>
      <w:r>
        <w:rPr>
          <w:rFonts w:ascii="Arial" w:cs="Arial" w:eastAsia="Arial" w:hAnsi="Arial"/>
          <w:sz w:val="19"/>
          <w:szCs w:val="19"/>
          <w:color w:val="auto"/>
        </w:rPr>
        <w:t>- The Company reclassified certain items in the accompanying consolidated financial statements for prior periods to be</w:t>
      </w:r>
      <w:r>
        <w:rPr>
          <w:rFonts w:ascii="Arial" w:cs="Arial" w:eastAsia="Arial" w:hAnsi="Arial"/>
          <w:sz w:val="19"/>
          <w:szCs w:val="19"/>
          <w:i w:val="1"/>
          <w:iCs w:val="1"/>
          <w:color w:val="auto"/>
        </w:rPr>
        <w:t xml:space="preserve"> </w:t>
      </w:r>
      <w:r>
        <w:rPr>
          <w:rFonts w:ascii="Arial" w:cs="Arial" w:eastAsia="Arial" w:hAnsi="Arial"/>
          <w:sz w:val="19"/>
          <w:szCs w:val="19"/>
          <w:color w:val="auto"/>
        </w:rPr>
        <w:t>comparable with the classification for the current period, including, but not limited to, presentation of certain items within the condensed consolidated statements of cash flows and certain notes to the consolidated financial statements. These reclassifications had no effect on previously reported net income.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ind w:left="340" w:hanging="337"/>
        <w:spacing w:after="0"/>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Revenue Recognition</w:t>
      </w:r>
    </w:p>
    <w:p>
      <w:pPr>
        <w:spacing w:after="0" w:line="246"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includes the categories of revenue included in the Company’s Consolidated Statements of Operations and Comprehensive Income for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4"/>
          </w:tcPr>
          <w:p>
            <w:pPr>
              <w:jc w:val="right"/>
              <w:ind w:right="52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spacing w:after="0"/>
              <w:rPr>
                <w:sz w:val="2"/>
                <w:szCs w:val="2"/>
                <w:color w:val="auto"/>
              </w:rPr>
            </w:pPr>
          </w:p>
        </w:tc>
        <w:tc>
          <w:tcPr>
            <w:tcW w:w="1600" w:type="dxa"/>
            <w:vAlign w:val="bottom"/>
            <w:gridSpan w:val="3"/>
          </w:tcPr>
          <w:p>
            <w:pPr>
              <w:spacing w:after="0"/>
              <w:rPr>
                <w:sz w:val="2"/>
                <w:szCs w:val="2"/>
                <w:color w:val="auto"/>
              </w:rPr>
            </w:pPr>
          </w:p>
        </w:tc>
        <w:tc>
          <w:tcPr>
            <w:tcW w:w="1640" w:type="dxa"/>
            <w:vAlign w:val="bottom"/>
            <w:gridSpan w:val="3"/>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860" w:type="dxa"/>
            <w:vAlign w:val="bottom"/>
            <w:vMerge w:val="continue"/>
          </w:tcPr>
          <w:p>
            <w:pPr>
              <w:spacing w:after="0"/>
              <w:rPr>
                <w:sz w:val="17"/>
                <w:szCs w:val="17"/>
                <w:color w:val="auto"/>
              </w:rPr>
            </w:pPr>
          </w:p>
        </w:tc>
        <w:tc>
          <w:tcPr>
            <w:tcW w:w="16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80" w:type="dxa"/>
            <w:vAlign w:val="bottom"/>
          </w:tcPr>
          <w:p>
            <w:pPr>
              <w:spacing w:after="0"/>
              <w:rPr>
                <w:sz w:val="17"/>
                <w:szCs w:val="17"/>
                <w:color w:val="auto"/>
              </w:rPr>
            </w:pPr>
          </w:p>
        </w:tc>
        <w:tc>
          <w:tcPr>
            <w:tcW w:w="16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0" w:type="dxa"/>
            <w:vAlign w:val="bottom"/>
          </w:tcPr>
          <w:p>
            <w:pPr>
              <w:spacing w:after="0"/>
              <w:rPr>
                <w:sz w:val="1"/>
                <w:szCs w:val="1"/>
                <w:color w:val="auto"/>
              </w:rPr>
            </w:pPr>
          </w:p>
        </w:tc>
      </w:tr>
      <w:tr>
        <w:trPr>
          <w:trHeight w:val="19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3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1,040,375</w:t>
            </w:r>
          </w:p>
        </w:tc>
        <w:tc>
          <w:tcPr>
            <w:tcW w:w="100" w:type="dxa"/>
            <w:vAlign w:val="bottom"/>
          </w:tcPr>
          <w:p>
            <w:pPr>
              <w:spacing w:after="0"/>
              <w:rPr>
                <w:sz w:val="17"/>
                <w:szCs w:val="17"/>
                <w:color w:val="auto"/>
              </w:rPr>
            </w:pP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996,718</w:t>
            </w:r>
          </w:p>
        </w:tc>
        <w:tc>
          <w:tcPr>
            <w:tcW w:w="80" w:type="dxa"/>
            <w:vAlign w:val="bottom"/>
          </w:tcPr>
          <w:p>
            <w:pPr>
              <w:spacing w:after="0"/>
              <w:rPr>
                <w:sz w:val="17"/>
                <w:szCs w:val="17"/>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3,272,868</w:t>
            </w:r>
          </w:p>
        </w:tc>
        <w:tc>
          <w:tcPr>
            <w:tcW w:w="120" w:type="dxa"/>
            <w:vAlign w:val="bottom"/>
          </w:tcPr>
          <w:p>
            <w:pPr>
              <w:spacing w:after="0"/>
              <w:rPr>
                <w:sz w:val="17"/>
                <w:szCs w:val="17"/>
                <w:color w:val="auto"/>
              </w:rPr>
            </w:pPr>
          </w:p>
        </w:tc>
        <w:tc>
          <w:tcPr>
            <w:tcW w:w="460" w:type="dxa"/>
            <w:vAlign w:val="bottom"/>
          </w:tcPr>
          <w:p>
            <w:pPr>
              <w:jc w:val="right"/>
              <w:ind w:right="30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3,031,396</w:t>
            </w: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20"/>
              <w:spacing w:after="0"/>
              <w:rPr>
                <w:sz w:val="20"/>
                <w:szCs w:val="20"/>
                <w:color w:val="auto"/>
              </w:rPr>
            </w:pPr>
            <w:r>
              <w:rPr>
                <w:rFonts w:ascii="Arial" w:cs="Arial" w:eastAsia="Arial" w:hAnsi="Arial"/>
                <w:sz w:val="15"/>
                <w:szCs w:val="15"/>
                <w:color w:val="auto"/>
              </w:rPr>
              <w:t>Franchise revenues</w:t>
            </w:r>
          </w:p>
        </w:tc>
        <w:tc>
          <w:tcPr>
            <w:tcW w:w="38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11,826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12,908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37,828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31,918</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revenues (1)</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3,562</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10,764</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11,988</w:t>
            </w:r>
          </w:p>
        </w:tc>
        <w:tc>
          <w:tcPr>
            <w:tcW w:w="0" w:type="dxa"/>
            <w:vAlign w:val="bottom"/>
          </w:tcPr>
          <w:p>
            <w:pPr>
              <w:spacing w:after="0"/>
              <w:rPr>
                <w:sz w:val="1"/>
                <w:szCs w:val="1"/>
                <w:color w:val="auto"/>
              </w:rPr>
            </w:pPr>
          </w:p>
        </w:tc>
      </w:tr>
      <w:tr>
        <w:trPr>
          <w:trHeight w:val="212"/>
        </w:trPr>
        <w:tc>
          <w:tcPr>
            <w:tcW w:w="486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Franchise and other revenues</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15,388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13,745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48,592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43,906</w:t>
            </w:r>
          </w:p>
        </w:tc>
        <w:tc>
          <w:tcPr>
            <w:tcW w:w="0" w:type="dxa"/>
            <w:vAlign w:val="bottom"/>
          </w:tcPr>
          <w:p>
            <w:pPr>
              <w:spacing w:after="0"/>
              <w:rPr>
                <w:sz w:val="1"/>
                <w:szCs w:val="1"/>
                <w:color w:val="auto"/>
              </w:rPr>
            </w:pPr>
          </w:p>
        </w:tc>
      </w:tr>
      <w:tr>
        <w:trPr>
          <w:trHeight w:val="231"/>
        </w:trPr>
        <w:tc>
          <w:tcPr>
            <w:tcW w:w="48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rPr>
              <w:t>Total revenues</w:t>
            </w: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1,055,763</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1,010,463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3,321,460</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3,075,302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jc w:val="both"/>
        <w:ind w:left="620" w:hanging="617"/>
        <w:spacing w:after="0" w:line="268" w:lineRule="auto"/>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thirteen and thirty-nine weeks ended September 26, 2021 include an adjustment of $(3.2) million to reduce the Company’s initial recorded estimate and net $3.1 million benefit, respectively, within other revenues in connection with favorable court rulings in Brazil regarding the calculation methodology and taxable base of Program of Social Integration (“PIS”) and Contribution for the Financing of Social Security (“COFINS”) taxes. The net amount recognized as a result of the favorable court rulings primarily represents refundable PIS and COFINS taxes for prior years, including accrued interest.</w:t>
      </w:r>
    </w:p>
    <w:p>
      <w:pPr>
        <w:spacing w:after="0" w:line="189"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The following tables include the disaggregation of Restaurant sales and franchise revenues, by restaurant concept and major international market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8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80" w:type="dxa"/>
            <w:vAlign w:val="bottom"/>
            <w:gridSpan w:val="5"/>
          </w:tcPr>
          <w:p>
            <w:pPr>
              <w:ind w:left="420"/>
              <w:spacing w:after="0"/>
              <w:rPr>
                <w:sz w:val="20"/>
                <w:szCs w:val="20"/>
                <w:color w:val="auto"/>
              </w:rPr>
            </w:pPr>
            <w:r>
              <w:rPr>
                <w:rFonts w:ascii="Arial" w:cs="Arial" w:eastAsia="Arial" w:hAnsi="Arial"/>
                <w:sz w:val="14"/>
                <w:szCs w:val="14"/>
                <w:b w:val="1"/>
                <w:bCs w:val="1"/>
                <w:color w:val="auto"/>
              </w:rPr>
              <w:t>SEPTEMBER 25, 2022</w:t>
            </w:r>
          </w:p>
        </w:tc>
        <w:tc>
          <w:tcPr>
            <w:tcW w:w="880" w:type="dxa"/>
            <w:vAlign w:val="bottom"/>
          </w:tcPr>
          <w:p>
            <w:pPr>
              <w:spacing w:after="0"/>
              <w:rPr>
                <w:sz w:val="17"/>
                <w:szCs w:val="17"/>
                <w:color w:val="auto"/>
              </w:rPr>
            </w:pPr>
          </w:p>
        </w:tc>
        <w:tc>
          <w:tcPr>
            <w:tcW w:w="2280" w:type="dxa"/>
            <w:vAlign w:val="bottom"/>
            <w:gridSpan w:val="4"/>
          </w:tcPr>
          <w:p>
            <w:pPr>
              <w:jc w:val="right"/>
              <w:ind w:right="824"/>
              <w:spacing w:after="0"/>
              <w:rPr>
                <w:sz w:val="20"/>
                <w:szCs w:val="20"/>
                <w:color w:val="auto"/>
              </w:rPr>
            </w:pPr>
            <w:r>
              <w:rPr>
                <w:rFonts w:ascii="Arial" w:cs="Arial" w:eastAsia="Arial" w:hAnsi="Arial"/>
                <w:sz w:val="14"/>
                <w:szCs w:val="14"/>
                <w:b w:val="1"/>
                <w:bCs w:val="1"/>
                <w:color w:val="auto"/>
                <w:w w:val="93"/>
              </w:rPr>
              <w:t>SEPTEMBER 26, 2021</w:t>
            </w:r>
          </w:p>
        </w:tc>
        <w:tc>
          <w:tcPr>
            <w:tcW w:w="0" w:type="dxa"/>
            <w:vAlign w:val="bottom"/>
          </w:tcPr>
          <w:p>
            <w:pPr>
              <w:spacing w:after="0"/>
              <w:rPr>
                <w:sz w:val="1"/>
                <w:szCs w:val="1"/>
                <w:color w:val="auto"/>
              </w:rPr>
            </w:pPr>
          </w:p>
        </w:tc>
      </w:tr>
      <w:tr>
        <w:trPr>
          <w:trHeight w:val="132"/>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5"/>
              <w:spacing w:after="0" w:line="133" w:lineRule="exact"/>
              <w:rPr>
                <w:sz w:val="20"/>
                <w:szCs w:val="20"/>
                <w:color w:val="auto"/>
              </w:rPr>
            </w:pPr>
            <w:r>
              <w:rPr>
                <w:rFonts w:ascii="Arial" w:cs="Arial" w:eastAsia="Arial" w:hAnsi="Arial"/>
                <w:sz w:val="14"/>
                <w:szCs w:val="14"/>
                <w:b w:val="1"/>
                <w:bCs w:val="1"/>
                <w:color w:val="auto"/>
                <w:w w:val="97"/>
              </w:rPr>
              <w:t>FRANCHISE</w:t>
            </w:r>
          </w:p>
        </w:tc>
        <w:tc>
          <w:tcPr>
            <w:tcW w:w="100" w:type="dxa"/>
            <w:vAlign w:val="bottom"/>
          </w:tcPr>
          <w:p>
            <w:pPr>
              <w:spacing w:after="0"/>
              <w:rPr>
                <w:sz w:val="11"/>
                <w:szCs w:val="11"/>
                <w:color w:val="auto"/>
              </w:rPr>
            </w:pPr>
          </w:p>
        </w:tc>
        <w:tc>
          <w:tcPr>
            <w:tcW w:w="16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84"/>
              <w:spacing w:after="0" w:line="133"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REVENUES</w:t>
            </w:r>
          </w:p>
        </w:tc>
        <w:tc>
          <w:tcPr>
            <w:tcW w:w="16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304"/>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4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536,793</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7,447</w:t>
            </w:r>
          </w:p>
        </w:tc>
        <w:tc>
          <w:tcPr>
            <w:tcW w:w="100" w:type="dxa"/>
            <w:vAlign w:val="bottom"/>
          </w:tcPr>
          <w:p>
            <w:pPr>
              <w:spacing w:after="0"/>
              <w:rPr>
                <w:sz w:val="17"/>
                <w:szCs w:val="17"/>
                <w:color w:val="auto"/>
              </w:rPr>
            </w:pPr>
          </w:p>
        </w:tc>
        <w:tc>
          <w:tcPr>
            <w:tcW w:w="880" w:type="dxa"/>
            <w:vAlign w:val="bottom"/>
          </w:tcPr>
          <w:p>
            <w:pPr>
              <w:jc w:val="right"/>
              <w:ind w:right="706"/>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523,142</w:t>
            </w:r>
          </w:p>
        </w:tc>
        <w:tc>
          <w:tcPr>
            <w:tcW w:w="12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9,335</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Carrabba’s Italian Grill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159,728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159,147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Bonefish Grill</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130,669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134,603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Fleming’s Prime Steakhouse &amp; Wine Bar</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80,748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79,687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total</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910,679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898,790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9,989</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Outback Steakhouse Brazil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105,932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74,020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(1)</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3,461</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2,919</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 total</w:t>
            </w: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129,696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3,461</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97,928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2,919</w:t>
            </w:r>
          </w:p>
        </w:tc>
        <w:tc>
          <w:tcPr>
            <w:tcW w:w="0" w:type="dxa"/>
            <w:vAlign w:val="bottom"/>
          </w:tcPr>
          <w:p>
            <w:pPr>
              <w:spacing w:after="0"/>
              <w:rPr>
                <w:sz w:val="1"/>
                <w:szCs w:val="1"/>
                <w:color w:val="auto"/>
              </w:rPr>
            </w:pPr>
          </w:p>
        </w:tc>
      </w:tr>
      <w:tr>
        <w:trPr>
          <w:trHeight w:val="206"/>
        </w:trPr>
        <w:tc>
          <w:tcPr>
            <w:tcW w:w="4840" w:type="dxa"/>
            <w:vAlign w:val="bottom"/>
          </w:tcPr>
          <w:p>
            <w:pPr>
              <w:ind w:left="440"/>
              <w:spacing w:after="0"/>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1,040,375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11,826</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06"/>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996,718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12,908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Restaurant sales for Company-owned Outback Steakhouse restaurants outside of Brazil and Abbraccio restaurants in Brazil. Franchise revenues primarily includes revenues from franchised Outback Steakhouse restaurants.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THIRTY-NINE WEEKS ENDED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8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80" w:type="dxa"/>
            <w:vAlign w:val="bottom"/>
            <w:gridSpan w:val="5"/>
          </w:tcPr>
          <w:p>
            <w:pPr>
              <w:ind w:left="420"/>
              <w:spacing w:after="0"/>
              <w:rPr>
                <w:sz w:val="20"/>
                <w:szCs w:val="20"/>
                <w:color w:val="auto"/>
              </w:rPr>
            </w:pPr>
            <w:r>
              <w:rPr>
                <w:rFonts w:ascii="Arial" w:cs="Arial" w:eastAsia="Arial" w:hAnsi="Arial"/>
                <w:sz w:val="14"/>
                <w:szCs w:val="14"/>
                <w:b w:val="1"/>
                <w:bCs w:val="1"/>
                <w:color w:val="auto"/>
              </w:rPr>
              <w:t>SEPTEMBER 25, 2022</w:t>
            </w:r>
          </w:p>
        </w:tc>
        <w:tc>
          <w:tcPr>
            <w:tcW w:w="480" w:type="dxa"/>
            <w:vAlign w:val="bottom"/>
          </w:tcPr>
          <w:p>
            <w:pPr>
              <w:spacing w:after="0"/>
              <w:rPr>
                <w:sz w:val="17"/>
                <w:szCs w:val="17"/>
                <w:color w:val="auto"/>
              </w:rPr>
            </w:pPr>
          </w:p>
        </w:tc>
        <w:tc>
          <w:tcPr>
            <w:tcW w:w="2680" w:type="dxa"/>
            <w:vAlign w:val="bottom"/>
            <w:gridSpan w:val="4"/>
          </w:tcPr>
          <w:p>
            <w:pPr>
              <w:jc w:val="right"/>
              <w:ind w:right="824"/>
              <w:spacing w:after="0"/>
              <w:rPr>
                <w:sz w:val="20"/>
                <w:szCs w:val="20"/>
                <w:color w:val="auto"/>
              </w:rPr>
            </w:pPr>
            <w:r>
              <w:rPr>
                <w:rFonts w:ascii="Arial" w:cs="Arial" w:eastAsia="Arial" w:hAnsi="Arial"/>
                <w:sz w:val="14"/>
                <w:szCs w:val="14"/>
                <w:b w:val="1"/>
                <w:bCs w:val="1"/>
                <w:color w:val="auto"/>
              </w:rPr>
              <w:t>SEPTEMBER 26, 2021</w:t>
            </w:r>
          </w:p>
        </w:tc>
        <w:tc>
          <w:tcPr>
            <w:tcW w:w="0" w:type="dxa"/>
            <w:vAlign w:val="bottom"/>
          </w:tcPr>
          <w:p>
            <w:pPr>
              <w:spacing w:after="0"/>
              <w:rPr>
                <w:sz w:val="1"/>
                <w:szCs w:val="1"/>
                <w:color w:val="auto"/>
              </w:rPr>
            </w:pPr>
          </w:p>
        </w:tc>
      </w:tr>
      <w:tr>
        <w:trPr>
          <w:trHeight w:val="132"/>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5"/>
              <w:spacing w:after="0" w:line="133" w:lineRule="exact"/>
              <w:rPr>
                <w:sz w:val="20"/>
                <w:szCs w:val="20"/>
                <w:color w:val="auto"/>
              </w:rPr>
            </w:pPr>
            <w:r>
              <w:rPr>
                <w:rFonts w:ascii="Arial" w:cs="Arial" w:eastAsia="Arial" w:hAnsi="Arial"/>
                <w:sz w:val="14"/>
                <w:szCs w:val="14"/>
                <w:b w:val="1"/>
                <w:bCs w:val="1"/>
                <w:color w:val="auto"/>
                <w:w w:val="97"/>
              </w:rPr>
              <w:t>FRANCHISE</w:t>
            </w:r>
          </w:p>
        </w:tc>
        <w:tc>
          <w:tcPr>
            <w:tcW w:w="100" w:type="dxa"/>
            <w:vAlign w:val="bottom"/>
          </w:tcPr>
          <w:p>
            <w:pPr>
              <w:spacing w:after="0"/>
              <w:rPr>
                <w:sz w:val="11"/>
                <w:szCs w:val="11"/>
                <w:color w:val="auto"/>
              </w:rPr>
            </w:pPr>
          </w:p>
        </w:tc>
        <w:tc>
          <w:tcPr>
            <w:tcW w:w="16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84"/>
              <w:spacing w:after="0" w:line="133"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REVENUES</w:t>
            </w:r>
          </w:p>
        </w:tc>
        <w:tc>
          <w:tcPr>
            <w:tcW w:w="16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304"/>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4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1,705,749</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24,062</w:t>
            </w:r>
          </w:p>
        </w:tc>
        <w:tc>
          <w:tcPr>
            <w:tcW w:w="100" w:type="dxa"/>
            <w:vAlign w:val="bottom"/>
          </w:tcPr>
          <w:p>
            <w:pPr>
              <w:spacing w:after="0"/>
              <w:rPr>
                <w:sz w:val="17"/>
                <w:szCs w:val="17"/>
                <w:color w:val="auto"/>
              </w:rPr>
            </w:pP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1,649,433</w:t>
            </w:r>
          </w:p>
        </w:tc>
        <w:tc>
          <w:tcPr>
            <w:tcW w:w="12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20,709</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Carrabba’s Italian Grill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505,546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488,241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1,764</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Bonefish Grill</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427,557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513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410,613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Fleming’s Prime Steakhouse &amp; Wine Bar</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272,343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234,099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6,756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total</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2,920,241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26,801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2,789,142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22,949</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Outback Steakhouse Brazil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291,880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178,178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(1)</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60,747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11,027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64,076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8,969</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 total</w:t>
            </w: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352,627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11,027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242,254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8,969</w:t>
            </w:r>
          </w:p>
        </w:tc>
        <w:tc>
          <w:tcPr>
            <w:tcW w:w="0" w:type="dxa"/>
            <w:vAlign w:val="bottom"/>
          </w:tcPr>
          <w:p>
            <w:pPr>
              <w:spacing w:after="0"/>
              <w:rPr>
                <w:sz w:val="1"/>
                <w:szCs w:val="1"/>
                <w:color w:val="auto"/>
              </w:rPr>
            </w:pPr>
          </w:p>
        </w:tc>
      </w:tr>
      <w:tr>
        <w:trPr>
          <w:trHeight w:val="206"/>
        </w:trPr>
        <w:tc>
          <w:tcPr>
            <w:tcW w:w="4840" w:type="dxa"/>
            <w:vAlign w:val="bottom"/>
          </w:tcPr>
          <w:p>
            <w:pPr>
              <w:ind w:left="440"/>
              <w:spacing w:after="0"/>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3,272,868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37,828</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3,031,396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31,918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Restaurant sales for Company-owned Outback Steakhouse restaurants outside of Brazil and Abbraccio restaurants in Brazil. Franchise revenues primarily includes revenues from franchised Outback Steakhouse restaurants.</w:t>
      </w:r>
    </w:p>
    <w:p>
      <w:pPr>
        <w:spacing w:after="0" w:line="203"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following table includes a detail of assets and liabilities from contracts with customers included on the Company’s Consolidated Balance Sheets as of the periods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25, 2022</w:t>
            </w:r>
          </w:p>
        </w:tc>
        <w:tc>
          <w:tcPr>
            <w:tcW w:w="220" w:type="dxa"/>
            <w:vAlign w:val="bottom"/>
          </w:tcPr>
          <w:p>
            <w:pPr>
              <w:spacing w:after="0"/>
              <w:rPr>
                <w:sz w:val="18"/>
                <w:szCs w:val="18"/>
                <w:color w:val="auto"/>
              </w:rPr>
            </w:pPr>
          </w:p>
        </w:tc>
        <w:tc>
          <w:tcPr>
            <w:tcW w:w="1740" w:type="dxa"/>
            <w:vAlign w:val="bottom"/>
          </w:tcPr>
          <w:p>
            <w:pPr>
              <w:jc w:val="right"/>
              <w:ind w:right="244"/>
              <w:spacing w:after="0"/>
              <w:rPr>
                <w:sz w:val="20"/>
                <w:szCs w:val="20"/>
                <w:color w:val="auto"/>
              </w:rPr>
            </w:pPr>
            <w:r>
              <w:rPr>
                <w:rFonts w:ascii="Arial" w:cs="Arial" w:eastAsia="Arial" w:hAnsi="Arial"/>
                <w:sz w:val="14"/>
                <w:szCs w:val="14"/>
                <w:b w:val="1"/>
                <w:bCs w:val="1"/>
                <w:color w:val="auto"/>
              </w:rPr>
              <w:t>DECEMBER 26, 2021</w:t>
            </w:r>
          </w:p>
        </w:tc>
      </w:tr>
      <w:tr>
        <w:trPr>
          <w:trHeight w:val="19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current assets, net</w:t>
            </w:r>
          </w:p>
        </w:tc>
        <w:tc>
          <w:tcPr>
            <w:tcW w:w="20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r>
      <w:tr>
        <w:trPr>
          <w:trHeight w:val="203"/>
        </w:trPr>
        <w:tc>
          <w:tcPr>
            <w:tcW w:w="7220" w:type="dxa"/>
            <w:vAlign w:val="bottom"/>
          </w:tcPr>
          <w:p>
            <w:pPr>
              <w:ind w:left="140"/>
              <w:spacing w:after="0"/>
              <w:rPr>
                <w:sz w:val="20"/>
                <w:szCs w:val="20"/>
                <w:color w:val="auto"/>
              </w:rPr>
            </w:pPr>
            <w:r>
              <w:rPr>
                <w:rFonts w:ascii="Arial" w:cs="Arial" w:eastAsia="Arial" w:hAnsi="Arial"/>
                <w:sz w:val="15"/>
                <w:szCs w:val="15"/>
                <w:color w:val="auto"/>
              </w:rPr>
              <w:t>Deferred gift card sales commissions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10,798</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17,793</w:t>
            </w:r>
          </w:p>
        </w:tc>
      </w:tr>
      <w:tr>
        <w:trPr>
          <w:trHeight w:val="248"/>
        </w:trPr>
        <w:tc>
          <w:tcPr>
            <w:tcW w:w="7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5"/>
                <w:szCs w:val="15"/>
                <w:color w:val="auto"/>
              </w:rPr>
              <w:t>Unearned revenue</w:t>
            </w: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9"/>
        </w:trPr>
        <w:tc>
          <w:tcPr>
            <w:tcW w:w="7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gift card revenue</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283,559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387,945</w:t>
            </w:r>
          </w:p>
        </w:tc>
      </w:tr>
      <w:tr>
        <w:trPr>
          <w:trHeight w:val="203"/>
        </w:trPr>
        <w:tc>
          <w:tcPr>
            <w:tcW w:w="7220" w:type="dxa"/>
            <w:vAlign w:val="bottom"/>
          </w:tcPr>
          <w:p>
            <w:pPr>
              <w:ind w:left="140"/>
              <w:spacing w:after="0"/>
              <w:rPr>
                <w:sz w:val="20"/>
                <w:szCs w:val="20"/>
                <w:color w:val="auto"/>
              </w:rPr>
            </w:pPr>
            <w:r>
              <w:rPr>
                <w:rFonts w:ascii="Arial" w:cs="Arial" w:eastAsia="Arial" w:hAnsi="Arial"/>
                <w:sz w:val="15"/>
                <w:szCs w:val="15"/>
                <w:color w:val="auto"/>
              </w:rPr>
              <w:t>Deferred loyalty revenue</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5,226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9,386</w:t>
            </w:r>
          </w:p>
        </w:tc>
      </w:tr>
      <w:tr>
        <w:trPr>
          <w:trHeight w:val="209"/>
        </w:trPr>
        <w:tc>
          <w:tcPr>
            <w:tcW w:w="7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franchise fees - current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w:t>
            </w:r>
          </w:p>
        </w:tc>
      </w:tr>
      <w:tr>
        <w:trPr>
          <w:trHeight w:val="212"/>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1,021</w:t>
            </w:r>
          </w:p>
        </w:tc>
      </w:tr>
      <w:tr>
        <w:trPr>
          <w:trHeight w:val="231"/>
        </w:trPr>
        <w:tc>
          <w:tcPr>
            <w:tcW w:w="7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unearned revenue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291,831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398,795</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6"/>
        </w:trPr>
        <w:tc>
          <w:tcPr>
            <w:tcW w:w="7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long-term liabilities, net</w:t>
            </w: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01"/>
        </w:trPr>
        <w:tc>
          <w:tcPr>
            <w:tcW w:w="7220" w:type="dxa"/>
            <w:vAlign w:val="bottom"/>
          </w:tcPr>
          <w:p>
            <w:pPr>
              <w:ind w:left="140"/>
              <w:spacing w:after="0"/>
              <w:rPr>
                <w:sz w:val="20"/>
                <w:szCs w:val="20"/>
                <w:color w:val="auto"/>
              </w:rPr>
            </w:pPr>
            <w:r>
              <w:rPr>
                <w:rFonts w:ascii="Arial" w:cs="Arial" w:eastAsia="Arial" w:hAnsi="Arial"/>
                <w:sz w:val="15"/>
                <w:szCs w:val="15"/>
                <w:color w:val="auto"/>
              </w:rPr>
              <w:t>Deferred franchise fees - non-current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4,244</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4,280</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deferred gift card sales commissions for the periods indicated:</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4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80" w:type="dxa"/>
            <w:vAlign w:val="bottom"/>
            <w:gridSpan w:val="3"/>
          </w:tcPr>
          <w:p>
            <w:pPr>
              <w:jc w:val="right"/>
              <w:ind w:right="26"/>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640" w:type="dxa"/>
            <w:vAlign w:val="bottom"/>
            <w:gridSpan w:val="3"/>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820" w:type="dxa"/>
            <w:vAlign w:val="bottom"/>
            <w:vMerge w:val="continue"/>
          </w:tcPr>
          <w:p>
            <w:pPr>
              <w:spacing w:after="0"/>
              <w:rPr>
                <w:sz w:val="17"/>
                <w:szCs w:val="17"/>
                <w:color w:val="auto"/>
              </w:rPr>
            </w:pPr>
          </w:p>
        </w:tc>
        <w:tc>
          <w:tcPr>
            <w:tcW w:w="16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100" w:type="dxa"/>
            <w:vAlign w:val="bottom"/>
          </w:tcPr>
          <w:p>
            <w:pPr>
              <w:spacing w:after="0"/>
              <w:rPr>
                <w:sz w:val="17"/>
                <w:szCs w:val="17"/>
                <w:color w:val="auto"/>
              </w:rPr>
            </w:pPr>
          </w:p>
        </w:tc>
        <w:tc>
          <w:tcPr>
            <w:tcW w:w="16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0" w:type="dxa"/>
            <w:vAlign w:val="bottom"/>
          </w:tcPr>
          <w:p>
            <w:pPr>
              <w:spacing w:after="0"/>
              <w:rPr>
                <w:sz w:val="1"/>
                <w:szCs w:val="1"/>
                <w:color w:val="auto"/>
              </w:rPr>
            </w:pPr>
          </w:p>
        </w:tc>
      </w:tr>
      <w:tr>
        <w:trPr>
          <w:trHeight w:val="20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beginning of the period</w:t>
            </w:r>
          </w:p>
        </w:tc>
        <w:tc>
          <w:tcPr>
            <w:tcW w:w="38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12,338</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12,548</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17,793</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19,300</w:t>
            </w:r>
          </w:p>
        </w:tc>
        <w:tc>
          <w:tcPr>
            <w:tcW w:w="0" w:type="dxa"/>
            <w:vAlign w:val="bottom"/>
          </w:tcPr>
          <w:p>
            <w:pPr>
              <w:spacing w:after="0"/>
              <w:rPr>
                <w:sz w:val="1"/>
                <w:szCs w:val="1"/>
                <w:color w:val="auto"/>
              </w:rPr>
            </w:pPr>
          </w:p>
        </w:tc>
      </w:tr>
      <w:tr>
        <w:trPr>
          <w:trHeight w:val="203"/>
        </w:trPr>
        <w:tc>
          <w:tcPr>
            <w:tcW w:w="4820" w:type="dxa"/>
            <w:vAlign w:val="bottom"/>
          </w:tcPr>
          <w:p>
            <w:pPr>
              <w:ind w:left="120"/>
              <w:spacing w:after="0"/>
              <w:rPr>
                <w:sz w:val="20"/>
                <w:szCs w:val="20"/>
                <w:color w:val="auto"/>
              </w:rPr>
            </w:pPr>
            <w:r>
              <w:rPr>
                <w:rFonts w:ascii="Arial" w:cs="Arial" w:eastAsia="Arial" w:hAnsi="Arial"/>
                <w:sz w:val="15"/>
                <w:szCs w:val="15"/>
                <w:color w:val="auto"/>
              </w:rPr>
              <w:t>Deferred gift card sales commissions amortization</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(4,755)</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(4,841)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(18,213)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3"/>
              </w:rPr>
              <w:t>(19,277)</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Deferred gift card sales commissions capitalization</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13,441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12,494</w:t>
            </w:r>
          </w:p>
        </w:tc>
        <w:tc>
          <w:tcPr>
            <w:tcW w:w="0" w:type="dxa"/>
            <w:vAlign w:val="bottom"/>
          </w:tcPr>
          <w:p>
            <w:pPr>
              <w:spacing w:after="0"/>
              <w:rPr>
                <w:sz w:val="1"/>
                <w:szCs w:val="1"/>
                <w:color w:val="auto"/>
              </w:rPr>
            </w:pPr>
          </w:p>
        </w:tc>
      </w:tr>
      <w:tr>
        <w:trPr>
          <w:trHeight w:val="212"/>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(621)</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(2,223)</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(1,685)</w:t>
            </w:r>
          </w:p>
        </w:tc>
        <w:tc>
          <w:tcPr>
            <w:tcW w:w="0" w:type="dxa"/>
            <w:vAlign w:val="bottom"/>
          </w:tcPr>
          <w:p>
            <w:pPr>
              <w:spacing w:after="0"/>
              <w:rPr>
                <w:sz w:val="1"/>
                <w:szCs w:val="1"/>
                <w:color w:val="auto"/>
              </w:rPr>
            </w:pPr>
          </w:p>
        </w:tc>
      </w:tr>
      <w:tr>
        <w:trPr>
          <w:trHeight w:val="231"/>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end of the period</w:t>
            </w:r>
          </w:p>
        </w:tc>
        <w:tc>
          <w:tcPr>
            <w:tcW w:w="38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10,798</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10,832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10,798</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10,832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unearned gift card revenue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4"/>
          </w:tcPr>
          <w:p>
            <w:pPr>
              <w:jc w:val="right"/>
              <w:ind w:right="52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640" w:type="dxa"/>
            <w:vAlign w:val="bottom"/>
            <w:gridSpan w:val="3"/>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860" w:type="dxa"/>
            <w:vAlign w:val="bottom"/>
            <w:vMerge w:val="continue"/>
          </w:tcPr>
          <w:p>
            <w:pPr>
              <w:spacing w:after="0"/>
              <w:rPr>
                <w:sz w:val="17"/>
                <w:szCs w:val="17"/>
                <w:color w:val="auto"/>
              </w:rPr>
            </w:pPr>
          </w:p>
        </w:tc>
        <w:tc>
          <w:tcPr>
            <w:tcW w:w="1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100" w:type="dxa"/>
            <w:vAlign w:val="bottom"/>
          </w:tcPr>
          <w:p>
            <w:pPr>
              <w:spacing w:after="0"/>
              <w:rPr>
                <w:sz w:val="17"/>
                <w:szCs w:val="17"/>
                <w:color w:val="auto"/>
              </w:rPr>
            </w:pPr>
          </w:p>
        </w:tc>
        <w:tc>
          <w:tcPr>
            <w:tcW w:w="16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0" w:type="dxa"/>
            <w:vAlign w:val="bottom"/>
          </w:tcPr>
          <w:p>
            <w:pPr>
              <w:spacing w:after="0"/>
              <w:rPr>
                <w:sz w:val="1"/>
                <w:szCs w:val="1"/>
                <w:color w:val="auto"/>
              </w:rPr>
            </w:pPr>
          </w:p>
        </w:tc>
      </w:tr>
      <w:tr>
        <w:trPr>
          <w:trHeight w:val="20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beginning of the period</w:t>
            </w:r>
          </w:p>
        </w:tc>
        <w:tc>
          <w:tcPr>
            <w:tcW w:w="38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303,544</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293,955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387,945</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373,048</w:t>
            </w:r>
          </w:p>
        </w:tc>
        <w:tc>
          <w:tcPr>
            <w:tcW w:w="0" w:type="dxa"/>
            <w:vAlign w:val="bottom"/>
          </w:tcPr>
          <w:p>
            <w:pPr>
              <w:spacing w:after="0"/>
              <w:rPr>
                <w:sz w:val="1"/>
                <w:szCs w:val="1"/>
                <w:color w:val="auto"/>
              </w:rPr>
            </w:pPr>
          </w:p>
        </w:tc>
      </w:tr>
      <w:tr>
        <w:trPr>
          <w:trHeight w:val="203"/>
        </w:trPr>
        <w:tc>
          <w:tcPr>
            <w:tcW w:w="4860" w:type="dxa"/>
            <w:vAlign w:val="bottom"/>
          </w:tcPr>
          <w:p>
            <w:pPr>
              <w:ind w:left="140"/>
              <w:spacing w:after="0"/>
              <w:rPr>
                <w:sz w:val="20"/>
                <w:szCs w:val="20"/>
                <w:color w:val="auto"/>
              </w:rPr>
            </w:pPr>
            <w:r>
              <w:rPr>
                <w:rFonts w:ascii="Arial" w:cs="Arial" w:eastAsia="Arial" w:hAnsi="Arial"/>
                <w:sz w:val="15"/>
                <w:szCs w:val="15"/>
                <w:color w:val="auto"/>
              </w:rPr>
              <w:t>Gift card sales</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46,692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45,036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162,146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153,126</w:t>
            </w: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Gift card redemptions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(63,041)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(252,091)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(237,988)</w:t>
            </w:r>
          </w:p>
        </w:tc>
        <w:tc>
          <w:tcPr>
            <w:tcW w:w="0" w:type="dxa"/>
            <w:vAlign w:val="bottom"/>
          </w:tcPr>
          <w:p>
            <w:pPr>
              <w:spacing w:after="0"/>
              <w:rPr>
                <w:sz w:val="1"/>
                <w:szCs w:val="1"/>
                <w:color w:val="auto"/>
              </w:rPr>
            </w:pPr>
          </w:p>
        </w:tc>
      </w:tr>
      <w:tr>
        <w:trPr>
          <w:trHeight w:val="212"/>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Gift card breakage</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(3,636)</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(14,441)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(13,982)</w:t>
            </w:r>
          </w:p>
        </w:tc>
        <w:tc>
          <w:tcPr>
            <w:tcW w:w="0" w:type="dxa"/>
            <w:vAlign w:val="bottom"/>
          </w:tcPr>
          <w:p>
            <w:pPr>
              <w:spacing w:after="0"/>
              <w:rPr>
                <w:sz w:val="1"/>
                <w:szCs w:val="1"/>
                <w:color w:val="auto"/>
              </w:rPr>
            </w:pPr>
          </w:p>
        </w:tc>
      </w:tr>
      <w:tr>
        <w:trPr>
          <w:trHeight w:val="23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end of the period</w:t>
            </w: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283,559</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274,204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283,559</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274,204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340" w:hanging="337"/>
        <w:spacing w:after="0"/>
        <w:tabs>
          <w:tab w:leader="none" w:pos="340" w:val="left"/>
        </w:tabs>
        <w:numPr>
          <w:ilvl w:val="0"/>
          <w:numId w:val="9"/>
        </w:numPr>
        <w:rPr>
          <w:rFonts w:ascii="Arial" w:cs="Arial" w:eastAsia="Arial" w:hAnsi="Arial"/>
          <w:sz w:val="19"/>
          <w:szCs w:val="19"/>
          <w:color w:val="auto"/>
        </w:rPr>
      </w:pPr>
      <w:r>
        <w:rPr>
          <w:rFonts w:ascii="Arial" w:cs="Arial" w:eastAsia="Arial" w:hAnsi="Arial"/>
          <w:sz w:val="19"/>
          <w:szCs w:val="19"/>
          <w:color w:val="auto"/>
        </w:rPr>
        <w:t>Impairments and Exit Costs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The components of Provision for impaired assets and restaurant closings are as follows for the period indicated: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8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tcPr>
          <w:p>
            <w:pPr>
              <w:jc w:val="right"/>
              <w:ind w:right="284"/>
              <w:spacing w:after="0"/>
              <w:rPr>
                <w:sz w:val="20"/>
                <w:szCs w:val="20"/>
                <w:color w:val="auto"/>
              </w:rPr>
            </w:pPr>
            <w:r>
              <w:rPr>
                <w:rFonts w:ascii="Arial" w:cs="Arial" w:eastAsia="Arial" w:hAnsi="Arial"/>
                <w:sz w:val="14"/>
                <w:szCs w:val="14"/>
                <w:b w:val="1"/>
                <w:bCs w:val="1"/>
                <w:color w:val="auto"/>
              </w:rPr>
              <w:t>THIRTY-NINE WEEKS ENDED</w:t>
            </w:r>
          </w:p>
        </w:tc>
      </w:tr>
      <w:tr>
        <w:trPr>
          <w:trHeight w:val="224"/>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SEPTEMBER 26, 2021</w:t>
            </w:r>
          </w:p>
        </w:tc>
      </w:tr>
      <w:tr>
        <w:trPr>
          <w:trHeight w:val="193"/>
        </w:trPr>
        <w:tc>
          <w:tcPr>
            <w:tcW w:w="8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 losses</w:t>
            </w:r>
          </w:p>
        </w:tc>
        <w:tc>
          <w:tcPr>
            <w:tcW w:w="24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r>
      <w:tr>
        <w:trPr>
          <w:trHeight w:val="203"/>
        </w:trPr>
        <w:tc>
          <w:tcPr>
            <w:tcW w:w="8500" w:type="dxa"/>
            <w:vAlign w:val="bottom"/>
          </w:tcPr>
          <w:p>
            <w:pPr>
              <w:ind w:left="220"/>
              <w:spacing w:after="0"/>
              <w:rPr>
                <w:sz w:val="20"/>
                <w:szCs w:val="20"/>
                <w:color w:val="auto"/>
              </w:rPr>
            </w:pPr>
            <w:r>
              <w:rPr>
                <w:rFonts w:ascii="Arial" w:cs="Arial" w:eastAsia="Arial" w:hAnsi="Arial"/>
                <w:sz w:val="15"/>
                <w:szCs w:val="15"/>
                <w:color w:val="auto"/>
              </w:rPr>
              <w:t>U.S.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2460" w:type="dxa"/>
            <w:vAlign w:val="bottom"/>
          </w:tcPr>
          <w:p>
            <w:pPr>
              <w:jc w:val="right"/>
              <w:spacing w:after="0"/>
              <w:rPr>
                <w:sz w:val="20"/>
                <w:szCs w:val="20"/>
                <w:color w:val="auto"/>
              </w:rPr>
            </w:pPr>
            <w:r>
              <w:rPr>
                <w:rFonts w:ascii="Arial" w:cs="Arial" w:eastAsia="Arial" w:hAnsi="Arial"/>
                <w:sz w:val="15"/>
                <w:szCs w:val="15"/>
                <w:color w:val="auto"/>
              </w:rPr>
              <w:t>8,289</w:t>
            </w:r>
          </w:p>
        </w:tc>
      </w:tr>
      <w:tr>
        <w:trPr>
          <w:trHeight w:val="209"/>
        </w:trPr>
        <w:tc>
          <w:tcPr>
            <w:tcW w:w="8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24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r>
      <w:tr>
        <w:trPr>
          <w:trHeight w:val="212"/>
        </w:trPr>
        <w:tc>
          <w:tcPr>
            <w:tcW w:w="85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Corporate</w:t>
            </w: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w:t>
            </w:r>
          </w:p>
        </w:tc>
      </w:tr>
      <w:tr>
        <w:trPr>
          <w:trHeight w:val="226"/>
        </w:trPr>
        <w:tc>
          <w:tcPr>
            <w:tcW w:w="8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Total impairment losses</w:t>
            </w:r>
          </w:p>
        </w:tc>
        <w:tc>
          <w:tcPr>
            <w:tcW w:w="24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8,726</w:t>
            </w:r>
          </w:p>
        </w:tc>
      </w:tr>
      <w:tr>
        <w:trPr>
          <w:trHeight w:val="176"/>
        </w:trPr>
        <w:tc>
          <w:tcPr>
            <w:tcW w:w="8500" w:type="dxa"/>
            <w:vAlign w:val="bottom"/>
          </w:tcPr>
          <w:p>
            <w:pPr>
              <w:ind w:left="20"/>
              <w:spacing w:after="0"/>
              <w:rPr>
                <w:sz w:val="20"/>
                <w:szCs w:val="20"/>
                <w:color w:val="auto"/>
              </w:rPr>
            </w:pPr>
            <w:r>
              <w:rPr>
                <w:rFonts w:ascii="Arial" w:cs="Arial" w:eastAsia="Arial" w:hAnsi="Arial"/>
                <w:sz w:val="15"/>
                <w:szCs w:val="15"/>
                <w:color w:val="auto"/>
              </w:rPr>
              <w:t>Restaurant closure charges (benefits)</w:t>
            </w:r>
          </w:p>
        </w:tc>
        <w:tc>
          <w:tcPr>
            <w:tcW w:w="24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209"/>
        </w:trPr>
        <w:tc>
          <w:tcPr>
            <w:tcW w:w="8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w:t>
            </w:r>
          </w:p>
        </w:tc>
        <w:tc>
          <w:tcPr>
            <w:tcW w:w="24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w:t>
            </w:r>
          </w:p>
        </w:tc>
      </w:tr>
      <w:tr>
        <w:trPr>
          <w:trHeight w:val="212"/>
        </w:trPr>
        <w:tc>
          <w:tcPr>
            <w:tcW w:w="85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International</w:t>
            </w: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w:t>
            </w:r>
          </w:p>
        </w:tc>
      </w:tr>
      <w:tr>
        <w:trPr>
          <w:trHeight w:val="212"/>
        </w:trPr>
        <w:tc>
          <w:tcPr>
            <w:tcW w:w="8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Total restaurant closure charges</w:t>
            </w:r>
          </w:p>
        </w:tc>
        <w:tc>
          <w:tcPr>
            <w:tcW w:w="24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r>
      <w:tr>
        <w:trPr>
          <w:trHeight w:val="206"/>
        </w:trPr>
        <w:tc>
          <w:tcPr>
            <w:tcW w:w="8500" w:type="dxa"/>
            <w:vAlign w:val="bottom"/>
          </w:tcPr>
          <w:p>
            <w:pPr>
              <w:ind w:left="20"/>
              <w:spacing w:after="0"/>
              <w:rPr>
                <w:sz w:val="20"/>
                <w:szCs w:val="20"/>
                <w:color w:val="auto"/>
              </w:rPr>
            </w:pPr>
            <w:r>
              <w:rPr>
                <w:rFonts w:ascii="Arial" w:cs="Arial" w:eastAsia="Arial" w:hAnsi="Arial"/>
                <w:sz w:val="15"/>
                <w:szCs w:val="15"/>
                <w:color w:val="auto"/>
              </w:rPr>
              <w:t>Provision for impaired assets and restaurant closings</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8,962</w:t>
            </w:r>
          </w:p>
        </w:tc>
      </w:tr>
      <w:tr>
        <w:trPr>
          <w:trHeight w:val="20"/>
        </w:trPr>
        <w:tc>
          <w:tcPr>
            <w:tcW w:w="8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Impairment and closure charges during the period presented resulted primarily from locations identified for closure.</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Annual Goodwill and Intangible Asset Impairment Assessment </w:t>
      </w:r>
      <w:r>
        <w:rPr>
          <w:rFonts w:ascii="Arial" w:cs="Arial" w:eastAsia="Arial" w:hAnsi="Arial"/>
          <w:sz w:val="19"/>
          <w:szCs w:val="19"/>
          <w:color w:val="auto"/>
        </w:rPr>
        <w:t>- The Company performs its annual assessment for impairment of goodwill and other</w:t>
      </w:r>
      <w:r>
        <w:rPr>
          <w:rFonts w:ascii="Arial" w:cs="Arial" w:eastAsia="Arial" w:hAnsi="Arial"/>
          <w:sz w:val="19"/>
          <w:szCs w:val="19"/>
          <w:i w:val="1"/>
          <w:iCs w:val="1"/>
          <w:color w:val="auto"/>
        </w:rPr>
        <w:t xml:space="preserve"> </w:t>
      </w:r>
      <w:r>
        <w:rPr>
          <w:rFonts w:ascii="Arial" w:cs="Arial" w:eastAsia="Arial" w:hAnsi="Arial"/>
          <w:sz w:val="19"/>
          <w:szCs w:val="19"/>
          <w:color w:val="auto"/>
        </w:rPr>
        <w:t>indefinite-lived intangible assets during its second fiscal quarter. The Company’s 2022 and 2021 assessments were qualitative. In connection with these assessments, the Company did not record any impairment charges.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Accrued Facility Closure and Other Costs Rollforward </w:t>
      </w:r>
      <w:r>
        <w:rPr>
          <w:rFonts w:ascii="Arial" w:cs="Arial" w:eastAsia="Arial" w:hAnsi="Arial"/>
          <w:sz w:val="19"/>
          <w:szCs w:val="19"/>
          <w:color w:val="auto"/>
        </w:rPr>
        <w:t>- The following table is a rollforward of the Company’s closed facility lease liabilities and</w:t>
      </w:r>
      <w:r>
        <w:rPr>
          <w:rFonts w:ascii="Arial" w:cs="Arial" w:eastAsia="Arial" w:hAnsi="Arial"/>
          <w:sz w:val="19"/>
          <w:szCs w:val="19"/>
          <w:i w:val="1"/>
          <w:iCs w:val="1"/>
          <w:color w:val="auto"/>
        </w:rPr>
        <w:t xml:space="preserve"> </w:t>
      </w:r>
      <w:r>
        <w:rPr>
          <w:rFonts w:ascii="Arial" w:cs="Arial" w:eastAsia="Arial" w:hAnsi="Arial"/>
          <w:sz w:val="19"/>
          <w:szCs w:val="19"/>
          <w:color w:val="auto"/>
        </w:rPr>
        <w:t>other accrued costs associated with the closure and restructuring initiatives for the period indicated: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tcPr>
          <w:p>
            <w:pPr>
              <w:jc w:val="right"/>
              <w:ind w:right="405"/>
              <w:spacing w:after="0"/>
              <w:rPr>
                <w:sz w:val="20"/>
                <w:szCs w:val="20"/>
                <w:color w:val="auto"/>
              </w:rPr>
            </w:pPr>
            <w:r>
              <w:rPr>
                <w:rFonts w:ascii="Arial" w:cs="Arial" w:eastAsia="Arial" w:hAnsi="Arial"/>
                <w:sz w:val="14"/>
                <w:szCs w:val="14"/>
                <w:b w:val="1"/>
                <w:bCs w:val="1"/>
                <w:color w:val="auto"/>
              </w:rPr>
              <w:t>THIRTY-NINE WEEKS ENDED</w:t>
            </w:r>
          </w:p>
        </w:tc>
      </w:tr>
      <w:tr>
        <w:trPr>
          <w:trHeight w:val="224"/>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SEPTEMBER 25, 2022</w:t>
            </w:r>
          </w:p>
        </w:tc>
      </w:tr>
      <w:tr>
        <w:trPr>
          <w:trHeight w:val="206"/>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beginning of the period</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8,485</w:t>
            </w:r>
          </w:p>
        </w:tc>
      </w:tr>
      <w:tr>
        <w:trPr>
          <w:trHeight w:val="203"/>
        </w:trPr>
        <w:tc>
          <w:tcPr>
            <w:tcW w:w="8300" w:type="dxa"/>
            <w:vAlign w:val="bottom"/>
          </w:tcPr>
          <w:p>
            <w:pPr>
              <w:ind w:left="140"/>
              <w:spacing w:after="0"/>
              <w:rPr>
                <w:sz w:val="20"/>
                <w:szCs w:val="20"/>
                <w:color w:val="auto"/>
              </w:rPr>
            </w:pPr>
            <w:r>
              <w:rPr>
                <w:rFonts w:ascii="Arial" w:cs="Arial" w:eastAsia="Arial" w:hAnsi="Arial"/>
                <w:sz w:val="15"/>
                <w:szCs w:val="15"/>
                <w:color w:val="auto"/>
              </w:rPr>
              <w:t>Cash payments</w:t>
            </w:r>
          </w:p>
        </w:tc>
        <w:tc>
          <w:tcPr>
            <w:tcW w:w="300" w:type="dxa"/>
            <w:vAlign w:val="bottom"/>
          </w:tcPr>
          <w:p>
            <w:pPr>
              <w:spacing w:after="0"/>
              <w:rPr>
                <w:sz w:val="17"/>
                <w:szCs w:val="17"/>
                <w:color w:val="auto"/>
              </w:rPr>
            </w:pPr>
          </w:p>
        </w:tc>
        <w:tc>
          <w:tcPr>
            <w:tcW w:w="2640" w:type="dxa"/>
            <w:vAlign w:val="bottom"/>
          </w:tcPr>
          <w:p>
            <w:pPr>
              <w:jc w:val="right"/>
              <w:spacing w:after="0"/>
              <w:rPr>
                <w:sz w:val="20"/>
                <w:szCs w:val="20"/>
                <w:color w:val="auto"/>
              </w:rPr>
            </w:pPr>
            <w:r>
              <w:rPr>
                <w:rFonts w:ascii="Arial" w:cs="Arial" w:eastAsia="Arial" w:hAnsi="Arial"/>
                <w:sz w:val="15"/>
                <w:szCs w:val="15"/>
                <w:color w:val="auto"/>
              </w:rPr>
              <w:t>(2,813)</w:t>
            </w:r>
          </w:p>
        </w:tc>
      </w:tr>
      <w:tr>
        <w:trPr>
          <w:trHeight w:val="209"/>
        </w:trPr>
        <w:tc>
          <w:tcPr>
            <w:tcW w:w="8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Accretion</w:t>
            </w:r>
          </w:p>
        </w:tc>
        <w:tc>
          <w:tcPr>
            <w:tcW w:w="30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w:t>
            </w:r>
          </w:p>
        </w:tc>
      </w:tr>
      <w:tr>
        <w:trPr>
          <w:trHeight w:val="212"/>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Adjustments</w:t>
            </w:r>
          </w:p>
        </w:tc>
        <w:tc>
          <w:tcPr>
            <w:tcW w:w="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w:t>
            </w: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end of the period (1)</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5,834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As of September 25, 2022, the Company had exit-related accruals related to certain closure and restructuring initiatives of $1.5 million recorded in Accrued and other current liabilities and $4.3 million recorded in Non-current operating lease liabilities on its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ind w:left="340" w:hanging="337"/>
        <w:spacing w:after="0"/>
        <w:tabs>
          <w:tab w:leader="none" w:pos="3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Earnings Per Share</w:t>
      </w:r>
    </w:p>
    <w:p>
      <w:pPr>
        <w:spacing w:after="0" w:line="2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February 2021, the Company provided the trustee of its convertible senior notes due in 2025 (the “2025 Notes”) notice of the Company’s irrevocable election to settle the principal portion of the 2025 Notes in cash and any excess in shares. As a result, subsequent to the election, only the amounts in excess of the principal amount are considered in diluted earnings per share. The amount of the 2025 Notes settled in shares of common stock will have a dilutive impact on diluted earnings per share when the average market price of the Company’s common stock for a given period exceeds the conversion price, which was initially $11.89 per share of common stock.</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252525"/>
        </w:rPr>
        <w:t xml:space="preserve">In connection with the offering of the </w:t>
      </w:r>
      <w:r>
        <w:rPr>
          <w:rFonts w:ascii="Arial" w:cs="Arial" w:eastAsia="Arial" w:hAnsi="Arial"/>
          <w:sz w:val="19"/>
          <w:szCs w:val="19"/>
          <w:color w:val="000000"/>
        </w:rPr>
        <w:t>2025 Notes, the Company entered into</w:t>
      </w:r>
      <w:r>
        <w:rPr>
          <w:rFonts w:ascii="Arial" w:cs="Arial" w:eastAsia="Arial" w:hAnsi="Arial"/>
          <w:sz w:val="19"/>
          <w:szCs w:val="19"/>
          <w:color w:val="252525"/>
        </w:rPr>
        <w:t xml:space="preserve"> warrant transactions (the “Warrant Transactions”), which have a dilutive effect on the Company’s common stock to the extent the price of its common stock exceeds the strike price of the Warrant Transactions, which was initially $16.64.</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computation of basic and diluted earnings per share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62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640" w:type="dxa"/>
            <w:vAlign w:val="bottom"/>
            <w:gridSpan w:val="3"/>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840" w:type="dxa"/>
            <w:vAlign w:val="bottom"/>
            <w:vMerge w:val="continue"/>
          </w:tcPr>
          <w:p>
            <w:pPr>
              <w:spacing w:after="0"/>
              <w:rPr>
                <w:sz w:val="17"/>
                <w:szCs w:val="17"/>
                <w:color w:val="auto"/>
              </w:rPr>
            </w:pPr>
          </w:p>
        </w:tc>
        <w:tc>
          <w:tcPr>
            <w:tcW w:w="16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100" w:type="dxa"/>
            <w:vAlign w:val="bottom"/>
          </w:tcPr>
          <w:p>
            <w:pPr>
              <w:spacing w:after="0"/>
              <w:rPr>
                <w:sz w:val="17"/>
                <w:szCs w:val="17"/>
                <w:color w:val="auto"/>
              </w:rPr>
            </w:pPr>
          </w:p>
        </w:tc>
        <w:tc>
          <w:tcPr>
            <w:tcW w:w="16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0" w:type="dxa"/>
            <w:vAlign w:val="bottom"/>
          </w:tcPr>
          <w:p>
            <w:pPr>
              <w:spacing w:after="0"/>
              <w:rPr>
                <w:sz w:val="1"/>
                <w:szCs w:val="1"/>
                <w:color w:val="auto"/>
              </w:rPr>
            </w:pPr>
          </w:p>
        </w:tc>
      </w:tr>
      <w:tr>
        <w:trPr>
          <w:trHeight w:val="213"/>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attributable to Bloomin’ Brands</w:t>
            </w:r>
          </w:p>
        </w:tc>
        <w:tc>
          <w:tcPr>
            <w:tcW w:w="38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43,862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154,856</w:t>
            </w:r>
          </w:p>
        </w:tc>
        <w:tc>
          <w:tcPr>
            <w:tcW w:w="0" w:type="dxa"/>
            <w:vAlign w:val="bottom"/>
          </w:tcPr>
          <w:p>
            <w:pPr>
              <w:spacing w:after="0"/>
              <w:rPr>
                <w:sz w:val="1"/>
                <w:szCs w:val="1"/>
                <w:color w:val="auto"/>
              </w:rPr>
            </w:pPr>
          </w:p>
        </w:tc>
      </w:tr>
      <w:tr>
        <w:trPr>
          <w:trHeight w:val="132"/>
        </w:trPr>
        <w:tc>
          <w:tcPr>
            <w:tcW w:w="4840" w:type="dxa"/>
            <w:vAlign w:val="bottom"/>
          </w:tcPr>
          <w:p>
            <w:pPr>
              <w:ind w:left="120"/>
              <w:spacing w:after="0" w:line="133" w:lineRule="exact"/>
              <w:rPr>
                <w:sz w:val="20"/>
                <w:szCs w:val="20"/>
                <w:color w:val="auto"/>
              </w:rPr>
            </w:pPr>
            <w:r>
              <w:rPr>
                <w:rFonts w:ascii="Arial" w:cs="Arial" w:eastAsia="Arial" w:hAnsi="Arial"/>
                <w:sz w:val="15"/>
                <w:szCs w:val="15"/>
                <w:color w:val="auto"/>
                <w:w w:val="94"/>
              </w:rPr>
              <w:t>Convertible senior notes if-converted method interest adjustment, net of tax</w:t>
            </w:r>
          </w:p>
        </w:tc>
        <w:tc>
          <w:tcPr>
            <w:tcW w:w="38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460</w:t>
            </w:r>
          </w:p>
        </w:tc>
        <w:tc>
          <w:tcPr>
            <w:tcW w:w="0" w:type="dxa"/>
            <w:vAlign w:val="bottom"/>
          </w:tcPr>
          <w:p>
            <w:pPr>
              <w:spacing w:after="0"/>
              <w:rPr>
                <w:sz w:val="1"/>
                <w:szCs w:val="1"/>
                <w:color w:val="auto"/>
              </w:rPr>
            </w:pPr>
          </w:p>
        </w:tc>
      </w:tr>
      <w:tr>
        <w:trPr>
          <w:trHeight w:val="194"/>
        </w:trPr>
        <w:tc>
          <w:tcPr>
            <w:tcW w:w="4840" w:type="dxa"/>
            <w:vAlign w:val="bottom"/>
          </w:tcPr>
          <w:p>
            <w:pPr>
              <w:ind w:left="120"/>
              <w:spacing w:after="0"/>
              <w:rPr>
                <w:sz w:val="20"/>
                <w:szCs w:val="20"/>
                <w:color w:val="auto"/>
              </w:rPr>
            </w:pPr>
            <w:r>
              <w:rPr>
                <w:rFonts w:ascii="Arial" w:cs="Arial" w:eastAsia="Arial" w:hAnsi="Arial"/>
                <w:sz w:val="15"/>
                <w:szCs w:val="15"/>
                <w:color w:val="auto"/>
              </w:rPr>
              <w:t>(1)</w:t>
            </w:r>
          </w:p>
        </w:tc>
        <w:tc>
          <w:tcPr>
            <w:tcW w:w="3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net income attributable to Bloomin’ Brands</w:t>
            </w:r>
          </w:p>
        </w:tc>
        <w:tc>
          <w:tcPr>
            <w:tcW w:w="38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155,316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weighted average common shares outstanding</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89,192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89,229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89,149</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88,890</w:t>
            </w:r>
          </w:p>
        </w:tc>
        <w:tc>
          <w:tcPr>
            <w:tcW w:w="0" w:type="dxa"/>
            <w:vAlign w:val="bottom"/>
          </w:tcPr>
          <w:p>
            <w:pPr>
              <w:spacing w:after="0"/>
              <w:rPr>
                <w:sz w:val="1"/>
                <w:szCs w:val="1"/>
                <w:color w:val="auto"/>
              </w:rPr>
            </w:pPr>
          </w:p>
        </w:tc>
      </w:tr>
      <w:tr>
        <w:trPr>
          <w:trHeight w:val="206"/>
        </w:trPr>
        <w:tc>
          <w:tcPr>
            <w:tcW w:w="4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dilutive securities:</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Stock options</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864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261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913</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Nonvested restricted stock units</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rPr>
                <w:sz w:val="20"/>
                <w:szCs w:val="20"/>
                <w:color w:val="auto"/>
              </w:rPr>
            </w:pPr>
            <w:r>
              <w:rPr>
                <w:rFonts w:ascii="Arial" w:cs="Arial" w:eastAsia="Arial" w:hAnsi="Arial"/>
                <w:sz w:val="15"/>
                <w:szCs w:val="15"/>
                <w:color w:val="auto"/>
              </w:rPr>
              <w:t>Nonvested performance-based share units</w:t>
            </w:r>
          </w:p>
        </w:tc>
        <w:tc>
          <w:tcPr>
            <w:tcW w:w="3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Convertible senior notes (1)(2)</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6,732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12,300</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Warrants (2)</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1,564</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3,204</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6,896</w:t>
            </w:r>
          </w:p>
        </w:tc>
        <w:tc>
          <w:tcPr>
            <w:tcW w:w="0" w:type="dxa"/>
            <w:vAlign w:val="bottom"/>
          </w:tcPr>
          <w:p>
            <w:pPr>
              <w:spacing w:after="0"/>
              <w:rPr>
                <w:sz w:val="1"/>
                <w:szCs w:val="1"/>
                <w:color w:val="auto"/>
              </w:rPr>
            </w:pPr>
          </w:p>
        </w:tc>
      </w:tr>
      <w:tr>
        <w:trPr>
          <w:trHeight w:val="231"/>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weighted average common shares outstanding</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94,736</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107,783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99,609</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109,410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earnings per share</w:t>
            </w: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0.49</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201"/>
        </w:trPr>
        <w:tc>
          <w:tcPr>
            <w:tcW w:w="4840" w:type="dxa"/>
            <w:vAlign w:val="bottom"/>
          </w:tcPr>
          <w:p>
            <w:pPr>
              <w:ind w:left="20"/>
              <w:spacing w:after="0"/>
              <w:rPr>
                <w:sz w:val="20"/>
                <w:szCs w:val="20"/>
                <w:color w:val="auto"/>
              </w:rPr>
            </w:pPr>
            <w:r>
              <w:rPr>
                <w:rFonts w:ascii="Arial" w:cs="Arial" w:eastAsia="Arial" w:hAnsi="Arial"/>
                <w:sz w:val="15"/>
                <w:szCs w:val="15"/>
                <w:color w:val="auto"/>
              </w:rPr>
              <w:t>Diluted earnings per share</w:t>
            </w: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0.34</w:t>
            </w:r>
          </w:p>
        </w:tc>
        <w:tc>
          <w:tcPr>
            <w:tcW w:w="100" w:type="dxa"/>
            <w:vAlign w:val="bottom"/>
          </w:tcPr>
          <w:p>
            <w:pPr>
              <w:spacing w:after="0"/>
              <w:rPr>
                <w:sz w:val="17"/>
                <w:szCs w:val="17"/>
                <w:color w:val="auto"/>
              </w:rPr>
            </w:pPr>
          </w:p>
        </w:tc>
        <w:tc>
          <w:tcPr>
            <w:tcW w:w="900" w:type="dxa"/>
            <w:vAlign w:val="bottom"/>
          </w:tcPr>
          <w:p>
            <w:pPr>
              <w:jc w:val="right"/>
              <w:ind w:right="72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0.44</w:t>
            </w:r>
          </w:p>
        </w:tc>
        <w:tc>
          <w:tcPr>
            <w:tcW w:w="120" w:type="dxa"/>
            <w:vAlign w:val="bottom"/>
          </w:tcPr>
          <w:p>
            <w:pPr>
              <w:spacing w:after="0"/>
              <w:rPr>
                <w:sz w:val="17"/>
                <w:szCs w:val="17"/>
                <w:color w:val="auto"/>
              </w:rPr>
            </w:pP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jc w:val="both"/>
        <w:ind w:left="620" w:hanging="617"/>
        <w:spacing w:after="0" w:line="257" w:lineRule="auto"/>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Adjustment for interest related to the 2025 Notes weighted for the portion of the period prior to the Company’s election under the 2025 Notes indenture to settle the principal portion of the 2025 Notes in cash. Effective with the Company’s election, there will be no further numerator adjustments for interest or denominator adjustments for shares required to settle the principal portion.</w:t>
      </w:r>
    </w:p>
    <w:p>
      <w:pPr>
        <w:ind w:left="620" w:hanging="617"/>
        <w:spacing w:after="0" w:line="284" w:lineRule="auto"/>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During the thirty-nine weeks ended September 25, 2022, the Company repurchased $125.0 million of the 2025 Notes and retired the corresponding portion of the related warrants. See Note 8 - </w:t>
      </w:r>
      <w:r>
        <w:rPr>
          <w:rFonts w:ascii="Arial" w:cs="Arial" w:eastAsia="Arial" w:hAnsi="Arial"/>
          <w:sz w:val="15"/>
          <w:szCs w:val="15"/>
          <w:i w:val="1"/>
          <w:iCs w:val="1"/>
          <w:color w:val="auto"/>
        </w:rPr>
        <w:t>Convertible Senior Notes</w:t>
      </w:r>
      <w:r>
        <w:rPr>
          <w:rFonts w:ascii="Arial" w:cs="Arial" w:eastAsia="Arial" w:hAnsi="Arial"/>
          <w:sz w:val="15"/>
          <w:szCs w:val="15"/>
          <w:color w:val="auto"/>
        </w:rPr>
        <w:t xml:space="preserve"> for additional details.</w:t>
      </w:r>
    </w:p>
    <w:p>
      <w:pPr>
        <w:spacing w:after="0" w:line="177"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Share-based compensation-related weighted average securities outstanding not included in the computation of earnings per share because their effect was antidilutive were as follows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60" w:type="dxa"/>
            <w:vAlign w:val="bottom"/>
          </w:tcPr>
          <w:p>
            <w:pPr>
              <w:spacing w:after="0"/>
              <w:rPr>
                <w:sz w:val="15"/>
                <w:szCs w:val="15"/>
                <w:color w:val="auto"/>
              </w:rPr>
            </w:pPr>
          </w:p>
        </w:tc>
        <w:tc>
          <w:tcPr>
            <w:tcW w:w="3200" w:type="dxa"/>
            <w:vAlign w:val="bottom"/>
            <w:gridSpan w:val="4"/>
          </w:tcPr>
          <w:p>
            <w:pPr>
              <w:ind w:left="660"/>
              <w:spacing w:after="0"/>
              <w:rPr>
                <w:sz w:val="20"/>
                <w:szCs w:val="20"/>
                <w:color w:val="auto"/>
              </w:rPr>
            </w:pPr>
            <w:r>
              <w:rPr>
                <w:rFonts w:ascii="Arial" w:cs="Arial" w:eastAsia="Arial" w:hAnsi="Arial"/>
                <w:sz w:val="14"/>
                <w:szCs w:val="14"/>
                <w:b w:val="1"/>
                <w:bCs w:val="1"/>
                <w:color w:val="auto"/>
              </w:rPr>
              <w:t>THIRTEEN WEEKS ENDED</w:t>
            </w:r>
          </w:p>
        </w:tc>
        <w:tc>
          <w:tcPr>
            <w:tcW w:w="3080" w:type="dxa"/>
            <w:vAlign w:val="bottom"/>
            <w:gridSpan w:val="3"/>
          </w:tcPr>
          <w:p>
            <w:pPr>
              <w:jc w:val="right"/>
              <w:ind w:right="485"/>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60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960" w:type="dxa"/>
            <w:vAlign w:val="bottom"/>
            <w:tcBorders>
              <w:bottom w:val="single" w:sz="8" w:color="CCEEFF"/>
            </w:tcBorders>
            <w:vMerge w:val="continue"/>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25, 2022</w:t>
            </w:r>
          </w:p>
        </w:tc>
        <w:tc>
          <w:tcPr>
            <w:tcW w:w="120" w:type="dxa"/>
            <w:vAlign w:val="bottom"/>
            <w:tcBorders>
              <w:top w:val="single" w:sz="8" w:color="auto"/>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20" w:type="dxa"/>
            <w:vAlign w:val="bottom"/>
            <w:tcBorders>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25, 2022</w:t>
            </w:r>
          </w:p>
        </w:tc>
        <w:tc>
          <w:tcPr>
            <w:tcW w:w="100" w:type="dxa"/>
            <w:vAlign w:val="bottom"/>
            <w:tcBorders>
              <w:top w:val="single" w:sz="8" w:color="auto"/>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SEPTEMBER 26, 2021</w:t>
            </w:r>
          </w:p>
        </w:tc>
        <w:tc>
          <w:tcPr>
            <w:tcW w:w="0" w:type="dxa"/>
            <w:vAlign w:val="bottom"/>
          </w:tcPr>
          <w:p>
            <w:pPr>
              <w:spacing w:after="0"/>
              <w:rPr>
                <w:sz w:val="1"/>
                <w:szCs w:val="1"/>
                <w:color w:val="auto"/>
              </w:rPr>
            </w:pPr>
          </w:p>
        </w:tc>
      </w:tr>
      <w:tr>
        <w:trPr>
          <w:trHeight w:val="206"/>
        </w:trPr>
        <w:tc>
          <w:tcPr>
            <w:tcW w:w="4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options</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2,297</w:t>
            </w: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2,012</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Arial" w:cs="Arial" w:eastAsia="Arial" w:hAnsi="Arial"/>
                <w:sz w:val="15"/>
                <w:szCs w:val="15"/>
                <w:color w:val="auto"/>
              </w:rPr>
              <w:t>Nonvested restricted stock units</w:t>
            </w:r>
          </w:p>
        </w:tc>
        <w:tc>
          <w:tcPr>
            <w:tcW w:w="1480" w:type="dxa"/>
            <w:vAlign w:val="bottom"/>
          </w:tcPr>
          <w:p>
            <w:pPr>
              <w:jc w:val="right"/>
              <w:spacing w:after="0"/>
              <w:rPr>
                <w:sz w:val="20"/>
                <w:szCs w:val="20"/>
                <w:color w:val="auto"/>
              </w:rPr>
            </w:pPr>
            <w:r>
              <w:rPr>
                <w:rFonts w:ascii="Arial" w:cs="Arial" w:eastAsia="Arial" w:hAnsi="Arial"/>
                <w:sz w:val="15"/>
                <w:szCs w:val="15"/>
                <w:color w:val="auto"/>
              </w:rPr>
              <w:t>150</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77</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249</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Nonvested performance-based share units</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ind w:left="340" w:hanging="337"/>
        <w:spacing w:after="0"/>
        <w:tabs>
          <w:tab w:leader="none" w:pos="3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Stock-based Compensation Plans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The Company recognized stock-based compensation expense as follows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20" w:type="dxa"/>
            <w:vAlign w:val="bottom"/>
            <w:gridSpan w:val="3"/>
          </w:tcPr>
          <w:p>
            <w:pPr>
              <w:jc w:val="right"/>
              <w:ind w:right="66"/>
              <w:spacing w:after="0"/>
              <w:rPr>
                <w:sz w:val="20"/>
                <w:szCs w:val="20"/>
                <w:color w:val="auto"/>
              </w:rPr>
            </w:pPr>
            <w:r>
              <w:rPr>
                <w:rFonts w:ascii="Arial" w:cs="Arial" w:eastAsia="Arial" w:hAnsi="Arial"/>
                <w:sz w:val="14"/>
                <w:szCs w:val="14"/>
                <w:b w:val="1"/>
                <w:bCs w:val="1"/>
                <w:color w:val="auto"/>
              </w:rPr>
              <w:t>THIRTEEN WEEKS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640" w:type="dxa"/>
            <w:vAlign w:val="bottom"/>
            <w:gridSpan w:val="3"/>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840" w:type="dxa"/>
            <w:vAlign w:val="bottom"/>
            <w:vMerge w:val="continue"/>
          </w:tcPr>
          <w:p>
            <w:pPr>
              <w:spacing w:after="0"/>
              <w:rPr>
                <w:sz w:val="17"/>
                <w:szCs w:val="17"/>
                <w:color w:val="auto"/>
              </w:rPr>
            </w:pPr>
          </w:p>
        </w:tc>
        <w:tc>
          <w:tcPr>
            <w:tcW w:w="16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100" w:type="dxa"/>
            <w:vAlign w:val="bottom"/>
          </w:tcPr>
          <w:p>
            <w:pPr>
              <w:spacing w:after="0"/>
              <w:rPr>
                <w:sz w:val="17"/>
                <w:szCs w:val="17"/>
                <w:color w:val="auto"/>
              </w:rPr>
            </w:pPr>
          </w:p>
        </w:tc>
        <w:tc>
          <w:tcPr>
            <w:tcW w:w="16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0" w:type="dxa"/>
            <w:vAlign w:val="bottom"/>
          </w:tcPr>
          <w:p>
            <w:pPr>
              <w:spacing w:after="0"/>
              <w:rPr>
                <w:sz w:val="1"/>
                <w:szCs w:val="1"/>
                <w:color w:val="auto"/>
              </w:rPr>
            </w:pPr>
          </w:p>
        </w:tc>
      </w:tr>
      <w:tr>
        <w:trPr>
          <w:trHeight w:val="20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Performance-based share units (1)</w:t>
            </w:r>
          </w:p>
        </w:tc>
        <w:tc>
          <w:tcPr>
            <w:tcW w:w="38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5,526</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11,813</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Arial" w:cs="Arial" w:eastAsia="Arial" w:hAnsi="Arial"/>
                <w:sz w:val="15"/>
                <w:szCs w:val="15"/>
                <w:color w:val="auto"/>
              </w:rPr>
              <w:t>Restricted stock units</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1,872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5,709</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6,373</w:t>
            </w:r>
          </w:p>
        </w:tc>
        <w:tc>
          <w:tcPr>
            <w:tcW w:w="0" w:type="dxa"/>
            <w:vAlign w:val="bottom"/>
          </w:tcPr>
          <w:p>
            <w:pPr>
              <w:spacing w:after="0"/>
              <w:rPr>
                <w:sz w:val="1"/>
                <w:szCs w:val="1"/>
                <w:color w:val="auto"/>
              </w:rPr>
            </w:pPr>
          </w:p>
        </w:tc>
      </w:tr>
      <w:tr>
        <w:trPr>
          <w:trHeight w:val="20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w:t>
            </w: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470</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1,829</w:t>
            </w: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3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1,977</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06"/>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5,564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11,705</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82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20,015</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jc w:val="both"/>
        <w:ind w:left="620" w:hanging="617"/>
        <w:spacing w:after="0" w:line="262" w:lineRule="auto"/>
        <w:tabs>
          <w:tab w:leader="none" w:pos="620" w:val="left"/>
        </w:tabs>
        <w:numPr>
          <w:ilvl w:val="0"/>
          <w:numId w:val="14"/>
        </w:numPr>
        <w:rPr>
          <w:rFonts w:ascii="Arial" w:cs="Arial" w:eastAsia="Arial" w:hAnsi="Arial"/>
          <w:sz w:val="15"/>
          <w:szCs w:val="15"/>
          <w:color w:val="252525"/>
        </w:rPr>
      </w:pPr>
      <w:r>
        <w:rPr>
          <w:rFonts w:ascii="Arial" w:cs="Arial" w:eastAsia="Arial" w:hAnsi="Arial"/>
          <w:sz w:val="15"/>
          <w:szCs w:val="15"/>
          <w:color w:val="auto"/>
        </w:rPr>
        <w:t>The thirteen and thirty-nine weeks ended September 25, 2022 include a cumulative life-to-date adjustment to decrease expense for PSUs granted in fiscal year 2020 based on revised Company projections of performance criteria set forth in the award agreements. The thirty-nine weeks ended September 26, 2021 includes a cumulative life-to-date adjustment to increase expense for PSUs granted in fiscal years 2019, 2020 and 2021 based on revised Company projections of performance criteria set forth in the award agreements.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In February 2022, the Company granted 0.5 million performance-based share units (“PSUs”) subject to final payout modification by a Relative Total Shareholder Return (“Relative TSR”) modifier. This Relative TSR modifier can adjust the final payout outcome by 75%, 100% or 125% of the achieved performance metric, with the overall payout capped at 200% of the annual target grant. These PSUs have a three-year cliff vesting period and their fair value was estimated using the Monte Carlo simulation model.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Assumptions used in the Monte Carlo simulation model and the grant date fair value of PSUs granted were as follows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20" w:type="dxa"/>
            <w:vAlign w:val="bottom"/>
            <w:gridSpan w:val="4"/>
          </w:tcPr>
          <w:p>
            <w:pPr>
              <w:jc w:val="right"/>
              <w:ind w:right="844"/>
              <w:spacing w:after="0"/>
              <w:rPr>
                <w:sz w:val="20"/>
                <w:szCs w:val="20"/>
                <w:color w:val="auto"/>
              </w:rPr>
            </w:pPr>
            <w:r>
              <w:rPr>
                <w:rFonts w:ascii="Arial" w:cs="Arial" w:eastAsia="Arial" w:hAnsi="Arial"/>
                <w:sz w:val="14"/>
                <w:szCs w:val="14"/>
                <w:b w:val="1"/>
                <w:bCs w:val="1"/>
                <w:color w:val="auto"/>
              </w:rPr>
              <w:t>THIRTY-NINE WEEKS ENDED</w:t>
            </w:r>
          </w:p>
        </w:tc>
      </w:tr>
      <w:tr>
        <w:trPr>
          <w:trHeight w:val="30"/>
        </w:trPr>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6"/>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25, 2022</w:t>
            </w:r>
          </w:p>
        </w:tc>
        <w:tc>
          <w:tcPr>
            <w:tcW w:w="180" w:type="dxa"/>
            <w:vAlign w:val="bottom"/>
          </w:tcPr>
          <w:p>
            <w:pPr>
              <w:spacing w:after="0"/>
              <w:rPr>
                <w:sz w:val="17"/>
                <w:szCs w:val="17"/>
                <w:color w:val="auto"/>
              </w:rPr>
            </w:pPr>
          </w:p>
        </w:tc>
        <w:tc>
          <w:tcPr>
            <w:tcW w:w="1680" w:type="dxa"/>
            <w:vAlign w:val="bottom"/>
          </w:tcPr>
          <w:p>
            <w:pPr>
              <w:jc w:val="right"/>
              <w:ind w:right="164"/>
              <w:spacing w:after="0"/>
              <w:rPr>
                <w:sz w:val="20"/>
                <w:szCs w:val="20"/>
                <w:color w:val="auto"/>
              </w:rPr>
            </w:pPr>
            <w:r>
              <w:rPr>
                <w:rFonts w:ascii="Arial" w:cs="Arial" w:eastAsia="Arial" w:hAnsi="Arial"/>
                <w:sz w:val="14"/>
                <w:szCs w:val="14"/>
                <w:b w:val="1"/>
                <w:bCs w:val="1"/>
                <w:color w:val="auto"/>
                <w:w w:val="97"/>
              </w:rPr>
              <w:t>SEPTEMBER 26, 2021</w:t>
            </w:r>
          </w:p>
        </w:tc>
      </w:tr>
      <w:tr>
        <w:trPr>
          <w:trHeight w:val="186"/>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Assumptions:</w:t>
            </w:r>
          </w:p>
        </w:tc>
        <w:tc>
          <w:tcPr>
            <w:tcW w:w="18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r>
      <w:tr>
        <w:trPr>
          <w:trHeight w:val="203"/>
        </w:trPr>
        <w:tc>
          <w:tcPr>
            <w:tcW w:w="7440" w:type="dxa"/>
            <w:vAlign w:val="bottom"/>
          </w:tcPr>
          <w:p>
            <w:pPr>
              <w:ind w:left="140"/>
              <w:spacing w:after="0"/>
              <w:rPr>
                <w:sz w:val="20"/>
                <w:szCs w:val="20"/>
                <w:color w:val="auto"/>
              </w:rPr>
            </w:pPr>
            <w:r>
              <w:rPr>
                <w:rFonts w:ascii="Arial" w:cs="Arial" w:eastAsia="Arial" w:hAnsi="Arial"/>
                <w:sz w:val="15"/>
                <w:szCs w:val="15"/>
                <w:color w:val="auto"/>
              </w:rPr>
              <w:t>Risk-free interest rate (1)</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1.64 %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0.20 %</w:t>
            </w:r>
          </w:p>
        </w:tc>
      </w:tr>
      <w:tr>
        <w:trPr>
          <w:trHeight w:val="209"/>
        </w:trPr>
        <w:tc>
          <w:tcPr>
            <w:tcW w:w="7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Dividend yield (2)</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203"/>
        </w:trPr>
        <w:tc>
          <w:tcPr>
            <w:tcW w:w="7440" w:type="dxa"/>
            <w:vAlign w:val="bottom"/>
          </w:tcPr>
          <w:p>
            <w:pPr>
              <w:ind w:left="140"/>
              <w:spacing w:after="0"/>
              <w:rPr>
                <w:sz w:val="20"/>
                <w:szCs w:val="20"/>
                <w:color w:val="auto"/>
              </w:rPr>
            </w:pPr>
            <w:r>
              <w:rPr>
                <w:rFonts w:ascii="Arial" w:cs="Arial" w:eastAsia="Arial" w:hAnsi="Arial"/>
                <w:sz w:val="15"/>
                <w:szCs w:val="15"/>
                <w:color w:val="auto"/>
              </w:rPr>
              <w:t>Volatility (3)</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49.11 %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48.45 %</w:t>
            </w:r>
          </w:p>
        </w:tc>
      </w:tr>
      <w:tr>
        <w:trPr>
          <w:trHeight w:val="248"/>
        </w:trPr>
        <w:tc>
          <w:tcPr>
            <w:tcW w:w="7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Grant date fair value per unit (4)</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126"/>
              <w:spacing w:after="0"/>
              <w:rPr>
                <w:sz w:val="20"/>
                <w:szCs w:val="20"/>
                <w:color w:val="auto"/>
              </w:rPr>
            </w:pPr>
            <w:r>
              <w:rPr>
                <w:rFonts w:ascii="Arial" w:cs="Arial" w:eastAsia="Arial" w:hAnsi="Arial"/>
                <w:sz w:val="15"/>
                <w:szCs w:val="15"/>
                <w:color w:val="auto"/>
              </w:rPr>
              <w:t>26.10</w:t>
            </w:r>
          </w:p>
        </w:tc>
        <w:tc>
          <w:tcPr>
            <w:tcW w:w="8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104"/>
              <w:spacing w:after="0"/>
              <w:rPr>
                <w:sz w:val="20"/>
                <w:szCs w:val="20"/>
                <w:color w:val="auto"/>
              </w:rPr>
            </w:pPr>
            <w:r>
              <w:rPr>
                <w:rFonts w:ascii="Arial" w:cs="Arial" w:eastAsia="Arial" w:hAnsi="Arial"/>
                <w:sz w:val="15"/>
                <w:szCs w:val="15"/>
                <w:color w:val="auto"/>
              </w:rPr>
              <w:t>29.73</w:t>
            </w:r>
          </w:p>
        </w:tc>
      </w:tr>
      <w:tr>
        <w:trPr>
          <w:trHeight w:val="280"/>
        </w:trPr>
        <w:tc>
          <w:tcPr>
            <w:tcW w:w="7440" w:type="dxa"/>
            <w:vAlign w:val="bottom"/>
          </w:tcPr>
          <w:p>
            <w:pPr>
              <w:spacing w:after="0"/>
              <w:rPr>
                <w:sz w:val="20"/>
                <w:szCs w:val="20"/>
                <w:color w:val="auto"/>
              </w:rPr>
            </w:pPr>
            <w:r>
              <w:rPr>
                <w:rFonts w:ascii="Arial" w:cs="Arial" w:eastAsia="Arial" w:hAnsi="Arial"/>
                <w:sz w:val="15"/>
                <w:szCs w:val="15"/>
                <w:color w:val="auto"/>
              </w:rPr>
              <w:t>________________</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ind w:left="620" w:hanging="617"/>
        <w:spacing w:after="0"/>
        <w:tabs>
          <w:tab w:leader="none" w:pos="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Risk-free interest rate is the U.S. Treasury yield curve in effect as of the grant date for the performance period of the unit.</w:t>
      </w:r>
    </w:p>
    <w:p>
      <w:pPr>
        <w:spacing w:after="0" w:line="11" w:lineRule="exact"/>
        <w:rPr>
          <w:rFonts w:ascii="Arial" w:cs="Arial" w:eastAsia="Arial" w:hAnsi="Arial"/>
          <w:sz w:val="15"/>
          <w:szCs w:val="15"/>
          <w:color w:val="auto"/>
        </w:rPr>
      </w:pPr>
    </w:p>
    <w:p>
      <w:pPr>
        <w:ind w:left="620" w:hanging="617"/>
        <w:spacing w:after="0"/>
        <w:tabs>
          <w:tab w:leader="none" w:pos="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Dividend yield is the level of dividends expected to be paid on the Company’s common stock over the expected term.</w:t>
      </w:r>
    </w:p>
    <w:p>
      <w:pPr>
        <w:spacing w:after="0" w:line="17" w:lineRule="exact"/>
        <w:rPr>
          <w:rFonts w:ascii="Arial" w:cs="Arial" w:eastAsia="Arial" w:hAnsi="Arial"/>
          <w:sz w:val="15"/>
          <w:szCs w:val="15"/>
          <w:color w:val="auto"/>
        </w:rPr>
      </w:pPr>
    </w:p>
    <w:p>
      <w:pPr>
        <w:ind w:left="620" w:hanging="617"/>
        <w:spacing w:after="0"/>
        <w:tabs>
          <w:tab w:leader="none" w:pos="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the historical volatility of the Company’s stock over the last seven years.</w:t>
      </w:r>
    </w:p>
    <w:p>
      <w:pPr>
        <w:spacing w:after="0" w:line="8" w:lineRule="exact"/>
        <w:rPr>
          <w:rFonts w:ascii="Arial" w:cs="Arial" w:eastAsia="Arial" w:hAnsi="Arial"/>
          <w:sz w:val="15"/>
          <w:szCs w:val="15"/>
          <w:color w:val="auto"/>
        </w:rPr>
      </w:pPr>
    </w:p>
    <w:p>
      <w:pPr>
        <w:ind w:left="620" w:hanging="617"/>
        <w:spacing w:after="0" w:line="284" w:lineRule="auto"/>
        <w:tabs>
          <w:tab w:leader="none" w:pos="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Represents a premium above the per share value of the Company’s common stock for the Relative TSR modifier as of the grant date of 7.9% and 14.3% for grants during the thirty-nine weeks ended September 25, 2022 and September 26, 2021, respectively.</w:t>
      </w:r>
    </w:p>
    <w:p>
      <w:pPr>
        <w:spacing w:after="0" w:line="177"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The following represents unrecognized stock-based compensation expense and the remaining weighted average vesting period as of September 25, 2022: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UNRECOGNIZED COMPENSATION</w:t>
            </w:r>
          </w:p>
        </w:tc>
        <w:tc>
          <w:tcPr>
            <w:tcW w:w="250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rPr>
              <w:t>REMAINING WEIGHTED AVERAGE</w:t>
            </w:r>
          </w:p>
        </w:tc>
        <w:tc>
          <w:tcPr>
            <w:tcW w:w="0" w:type="dxa"/>
            <w:vAlign w:val="bottom"/>
          </w:tcPr>
          <w:p>
            <w:pPr>
              <w:spacing w:after="0"/>
              <w:rPr>
                <w:sz w:val="1"/>
                <w:szCs w:val="1"/>
                <w:color w:val="auto"/>
              </w:rPr>
            </w:pPr>
          </w:p>
        </w:tc>
      </w:tr>
      <w:tr>
        <w:trPr>
          <w:trHeight w:val="138"/>
        </w:trPr>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3"/>
              </w:rPr>
              <w:t>EXPENSE</w:t>
            </w: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(dollars in thousands)</w:t>
            </w:r>
          </w:p>
        </w:tc>
        <w:tc>
          <w:tcPr>
            <w:tcW w:w="2500" w:type="dxa"/>
            <w:vAlign w:val="bottom"/>
          </w:tcPr>
          <w:p>
            <w:pPr>
              <w:jc w:val="right"/>
              <w:ind w:right="287"/>
              <w:spacing w:after="0"/>
              <w:rPr>
                <w:sz w:val="20"/>
                <w:szCs w:val="20"/>
                <w:color w:val="auto"/>
              </w:rPr>
            </w:pPr>
            <w:r>
              <w:rPr>
                <w:rFonts w:ascii="Arial" w:cs="Arial" w:eastAsia="Arial" w:hAnsi="Arial"/>
                <w:sz w:val="14"/>
                <w:szCs w:val="14"/>
                <w:b w:val="1"/>
                <w:bCs w:val="1"/>
                <w:color w:val="auto"/>
              </w:rPr>
              <w:t>VESTING PERIOD (in years)</w:t>
            </w:r>
          </w:p>
        </w:tc>
        <w:tc>
          <w:tcPr>
            <w:tcW w:w="0" w:type="dxa"/>
            <w:vAlign w:val="bottom"/>
          </w:tcPr>
          <w:p>
            <w:pPr>
              <w:spacing w:after="0"/>
              <w:rPr>
                <w:sz w:val="1"/>
                <w:szCs w:val="1"/>
                <w:color w:val="auto"/>
              </w:rPr>
            </w:pPr>
          </w:p>
        </w:tc>
      </w:tr>
      <w:tr>
        <w:trPr>
          <w:trHeight w:val="20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Performance-based share units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14,620</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01"/>
        </w:trPr>
        <w:tc>
          <w:tcPr>
            <w:tcW w:w="6120" w:type="dxa"/>
            <w:vAlign w:val="bottom"/>
          </w:tcPr>
          <w:p>
            <w:pPr>
              <w:ind w:left="20"/>
              <w:spacing w:after="0"/>
              <w:rPr>
                <w:sz w:val="20"/>
                <w:szCs w:val="20"/>
                <w:color w:val="auto"/>
              </w:rPr>
            </w:pPr>
            <w:r>
              <w:rPr>
                <w:rFonts w:ascii="Arial" w:cs="Arial" w:eastAsia="Arial" w:hAnsi="Arial"/>
                <w:sz w:val="15"/>
                <w:szCs w:val="15"/>
                <w:color w:val="auto"/>
              </w:rPr>
              <w:t>Restricted stock units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0" w:type="dxa"/>
            <w:vAlign w:val="bottom"/>
          </w:tcPr>
          <w:p>
            <w:pPr>
              <w:jc w:val="right"/>
              <w:spacing w:after="0"/>
              <w:rPr>
                <w:sz w:val="20"/>
                <w:szCs w:val="20"/>
                <w:color w:val="auto"/>
              </w:rPr>
            </w:pPr>
            <w:r>
              <w:rPr>
                <w:rFonts w:ascii="Arial" w:cs="Arial" w:eastAsia="Arial" w:hAnsi="Arial"/>
                <w:sz w:val="15"/>
                <w:szCs w:val="15"/>
                <w:color w:val="auto"/>
              </w:rPr>
              <w:t>9,673</w:t>
            </w:r>
          </w:p>
        </w:tc>
        <w:tc>
          <w:tcPr>
            <w:tcW w:w="12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spacing w:after="0"/>
        <w:tabs>
          <w:tab w:leader="none" w:pos="320" w:val="left"/>
        </w:tabs>
        <w:rPr>
          <w:sz w:val="20"/>
          <w:szCs w:val="20"/>
          <w:color w:val="auto"/>
        </w:rPr>
      </w:pPr>
      <w:r>
        <w:rPr>
          <w:rFonts w:ascii="Arial" w:cs="Arial" w:eastAsia="Arial" w:hAnsi="Arial"/>
          <w:sz w:val="19"/>
          <w:szCs w:val="19"/>
          <w:color w:val="auto"/>
        </w:rPr>
        <w:t>6.</w:t>
      </w:r>
      <w:r>
        <w:rPr>
          <w:sz w:val="20"/>
          <w:szCs w:val="20"/>
          <w:color w:val="auto"/>
        </w:rPr>
        <w:tab/>
      </w:r>
      <w:r>
        <w:rPr>
          <w:rFonts w:ascii="Arial" w:cs="Arial" w:eastAsia="Arial" w:hAnsi="Arial"/>
          <w:sz w:val="17"/>
          <w:szCs w:val="17"/>
          <w:color w:val="auto"/>
        </w:rPr>
        <w:t>Other Current Assets, Net</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Other current assets, net, consisted of the following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25, 2022</w:t>
            </w:r>
          </w:p>
        </w:tc>
        <w:tc>
          <w:tcPr>
            <w:tcW w:w="200" w:type="dxa"/>
            <w:vAlign w:val="bottom"/>
          </w:tcPr>
          <w:p>
            <w:pPr>
              <w:spacing w:after="0"/>
              <w:rPr>
                <w:sz w:val="18"/>
                <w:szCs w:val="18"/>
                <w:color w:val="auto"/>
              </w:rPr>
            </w:pPr>
          </w:p>
        </w:tc>
        <w:tc>
          <w:tcPr>
            <w:tcW w:w="1760" w:type="dxa"/>
            <w:vAlign w:val="bottom"/>
          </w:tcPr>
          <w:p>
            <w:pPr>
              <w:jc w:val="right"/>
              <w:ind w:right="244"/>
              <w:spacing w:after="0"/>
              <w:rPr>
                <w:sz w:val="20"/>
                <w:szCs w:val="20"/>
                <w:color w:val="auto"/>
              </w:rPr>
            </w:pPr>
            <w:r>
              <w:rPr>
                <w:rFonts w:ascii="Arial" w:cs="Arial" w:eastAsia="Arial" w:hAnsi="Arial"/>
                <w:sz w:val="14"/>
                <w:szCs w:val="14"/>
                <w:b w:val="1"/>
                <w:bCs w:val="1"/>
                <w:color w:val="auto"/>
              </w:rPr>
              <w:t>DECEMBER 26, 2021</w:t>
            </w:r>
          </w:p>
        </w:tc>
      </w:tr>
      <w:tr>
        <w:trPr>
          <w:trHeight w:val="206"/>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Prepaid expenses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31,468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21,194</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Accounts receivable - gift cards, net</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8,584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91,248</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 vendors, net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11,793</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Accounts receivable - franchisees, net</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2,124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1,701</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 other, net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18,353</w:t>
            </w:r>
          </w:p>
        </w:tc>
      </w:tr>
      <w:tr>
        <w:trPr>
          <w:trHeight w:val="203"/>
        </w:trPr>
        <w:tc>
          <w:tcPr>
            <w:tcW w:w="7200" w:type="dxa"/>
            <w:vAlign w:val="bottom"/>
          </w:tcPr>
          <w:p>
            <w:pPr>
              <w:ind w:left="20"/>
              <w:spacing w:after="0"/>
              <w:rPr>
                <w:sz w:val="20"/>
                <w:szCs w:val="20"/>
                <w:color w:val="auto"/>
              </w:rPr>
            </w:pPr>
            <w:r>
              <w:rPr>
                <w:rFonts w:ascii="Arial" w:cs="Arial" w:eastAsia="Arial" w:hAnsi="Arial"/>
                <w:sz w:val="15"/>
                <w:szCs w:val="15"/>
                <w:color w:val="auto"/>
              </w:rPr>
              <w:t>Deferred gift card sales commissions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10,798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17,793</w:t>
            </w:r>
          </w:p>
        </w:tc>
      </w:tr>
      <w:tr>
        <w:trPr>
          <w:trHeight w:val="209"/>
        </w:trPr>
        <w:tc>
          <w:tcPr>
            <w:tcW w:w="7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Company-owned life insurance policies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17,244</w:t>
            </w:r>
          </w:p>
        </w:tc>
      </w:tr>
      <w:tr>
        <w:trPr>
          <w:trHeight w:val="21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current assets, net</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5,575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5,297</w:t>
            </w:r>
          </w:p>
        </w:tc>
      </w:tr>
      <w:tr>
        <w:trPr>
          <w:trHeight w:val="228"/>
        </w:trPr>
        <w:tc>
          <w:tcPr>
            <w:tcW w:w="7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101,639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184,623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20" w:val="left"/>
        </w:tabs>
        <w:rPr>
          <w:sz w:val="20"/>
          <w:szCs w:val="20"/>
          <w:color w:val="auto"/>
        </w:rPr>
      </w:pPr>
      <w:r>
        <w:rPr>
          <w:rFonts w:ascii="Arial" w:cs="Arial" w:eastAsia="Arial" w:hAnsi="Arial"/>
          <w:sz w:val="19"/>
          <w:szCs w:val="19"/>
          <w:color w:val="auto"/>
        </w:rPr>
        <w:t>7.</w:t>
      </w:r>
      <w:r>
        <w:rPr>
          <w:sz w:val="20"/>
          <w:szCs w:val="20"/>
          <w:color w:val="auto"/>
        </w:rPr>
        <w:tab/>
      </w:r>
      <w:r>
        <w:rPr>
          <w:rFonts w:ascii="Arial" w:cs="Arial" w:eastAsia="Arial" w:hAnsi="Arial"/>
          <w:sz w:val="17"/>
          <w:szCs w:val="17"/>
          <w:color w:val="auto"/>
        </w:rPr>
        <w:t>Long-term Debt, Net</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outstanding Long-term debt, net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4"/>
          </w:tcPr>
          <w:p>
            <w:pPr>
              <w:ind w:left="780"/>
              <w:spacing w:after="0"/>
              <w:rPr>
                <w:sz w:val="20"/>
                <w:szCs w:val="20"/>
                <w:color w:val="auto"/>
              </w:rPr>
            </w:pPr>
            <w:r>
              <w:rPr>
                <w:rFonts w:ascii="Arial" w:cs="Arial" w:eastAsia="Arial" w:hAnsi="Arial"/>
                <w:sz w:val="14"/>
                <w:szCs w:val="14"/>
                <w:b w:val="1"/>
                <w:bCs w:val="1"/>
                <w:color w:val="auto"/>
              </w:rPr>
              <w:t>SEPTEMBER 25, 2022</w:t>
            </w:r>
          </w:p>
        </w:tc>
        <w:tc>
          <w:tcPr>
            <w:tcW w:w="160" w:type="dxa"/>
            <w:vAlign w:val="bottom"/>
          </w:tcPr>
          <w:p>
            <w:pPr>
              <w:spacing w:after="0"/>
              <w:rPr>
                <w:sz w:val="15"/>
                <w:szCs w:val="15"/>
                <w:color w:val="auto"/>
              </w:rPr>
            </w:pPr>
          </w:p>
        </w:tc>
        <w:tc>
          <w:tcPr>
            <w:tcW w:w="3080" w:type="dxa"/>
            <w:vAlign w:val="bottom"/>
            <w:gridSpan w:val="3"/>
          </w:tcPr>
          <w:p>
            <w:pPr>
              <w:jc w:val="right"/>
              <w:ind w:right="891"/>
              <w:spacing w:after="0"/>
              <w:rPr>
                <w:sz w:val="20"/>
                <w:szCs w:val="20"/>
                <w:color w:val="auto"/>
              </w:rPr>
            </w:pPr>
            <w:r>
              <w:rPr>
                <w:rFonts w:ascii="Arial" w:cs="Arial" w:eastAsia="Arial" w:hAnsi="Arial"/>
                <w:sz w:val="14"/>
                <w:szCs w:val="14"/>
                <w:b w:val="1"/>
                <w:bCs w:val="1"/>
                <w:color w:val="auto"/>
              </w:rPr>
              <w:t>DECEMBER 26, 2021</w:t>
            </w:r>
          </w:p>
        </w:tc>
        <w:tc>
          <w:tcPr>
            <w:tcW w:w="0" w:type="dxa"/>
            <w:vAlign w:val="bottom"/>
          </w:tcPr>
          <w:p>
            <w:pPr>
              <w:spacing w:after="0"/>
              <w:rPr>
                <w:sz w:val="1"/>
                <w:szCs w:val="1"/>
                <w:color w:val="auto"/>
              </w:rPr>
            </w:pPr>
          </w:p>
        </w:tc>
      </w:tr>
      <w:tr>
        <w:trPr>
          <w:trHeight w:val="30"/>
        </w:trPr>
        <w:tc>
          <w:tcPr>
            <w:tcW w:w="4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1"/>
                <w:szCs w:val="11"/>
                <w:color w:val="auto"/>
              </w:rPr>
            </w:pPr>
          </w:p>
        </w:tc>
        <w:tc>
          <w:tcPr>
            <w:tcW w:w="1340" w:type="dxa"/>
            <w:vAlign w:val="bottom"/>
          </w:tcPr>
          <w:p>
            <w:pPr>
              <w:jc w:val="right"/>
              <w:ind w:right="164"/>
              <w:spacing w:after="0" w:line="13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7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1"/>
                <w:szCs w:val="11"/>
                <w:color w:val="auto"/>
              </w:rPr>
            </w:pPr>
          </w:p>
        </w:tc>
        <w:tc>
          <w:tcPr>
            <w:tcW w:w="1340" w:type="dxa"/>
            <w:vAlign w:val="bottom"/>
          </w:tcPr>
          <w:p>
            <w:pPr>
              <w:jc w:val="right"/>
              <w:ind w:right="164"/>
              <w:spacing w:after="0" w:line="13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6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34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34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Secured Credit Facility:</w:t>
            </w:r>
          </w:p>
        </w:tc>
        <w:tc>
          <w:tcPr>
            <w:tcW w:w="1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80"/>
              <w:spacing w:after="0"/>
              <w:rPr>
                <w:sz w:val="20"/>
                <w:szCs w:val="20"/>
                <w:color w:val="auto"/>
              </w:rPr>
            </w:pPr>
            <w:r>
              <w:rPr>
                <w:rFonts w:ascii="Arial" w:cs="Arial" w:eastAsia="Arial" w:hAnsi="Arial"/>
                <w:sz w:val="15"/>
                <w:szCs w:val="15"/>
                <w:color w:val="auto"/>
              </w:rPr>
              <w:t>Term loan A (1)</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195,000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1.60 %</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Revolving credit facility (2)</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4.26 %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3.75 %</w:t>
            </w:r>
          </w:p>
        </w:tc>
        <w:tc>
          <w:tcPr>
            <w:tcW w:w="0" w:type="dxa"/>
            <w:vAlign w:val="bottom"/>
          </w:tcPr>
          <w:p>
            <w:pPr>
              <w:spacing w:after="0"/>
              <w:rPr>
                <w:sz w:val="1"/>
                <w:szCs w:val="1"/>
                <w:color w:val="auto"/>
              </w:rPr>
            </w:pPr>
          </w:p>
        </w:tc>
      </w:tr>
      <w:tr>
        <w:trPr>
          <w:trHeight w:val="185"/>
        </w:trPr>
        <w:tc>
          <w:tcPr>
            <w:tcW w:w="466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Senior Secured Credit Facility</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420,000</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275,000</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 Notes (3)</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5.00 %</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5"/>
                <w:szCs w:val="15"/>
                <w:color w:val="auto"/>
              </w:rPr>
              <w:t>2029 Notes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5.13 %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5.13 %</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Finance lease liabilities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3,816</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2,376</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Arial" w:cs="Arial" w:eastAsia="Arial" w:hAnsi="Arial"/>
                <w:sz w:val="15"/>
                <w:szCs w:val="15"/>
                <w:color w:val="auto"/>
              </w:rPr>
              <w:t>Less: unamortized debt discount and issuance costs (4)</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(6,836)</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(14,157)</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finance lease interest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220"/>
              <w:spacing w:after="0"/>
              <w:rPr>
                <w:sz w:val="20"/>
                <w:szCs w:val="20"/>
                <w:color w:val="auto"/>
              </w:rPr>
            </w:pPr>
            <w:r>
              <w:rPr>
                <w:rFonts w:ascii="Arial" w:cs="Arial" w:eastAsia="Arial" w:hAnsi="Arial"/>
                <w:sz w:val="15"/>
                <w:szCs w:val="15"/>
                <w:color w:val="auto"/>
              </w:rPr>
              <w:t>Total debt, net</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821,706</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793,065</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current portion of long-term debt</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(1,481)</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(10,958)</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tcPr>
          <w:p>
            <w:pPr>
              <w:ind w:left="220"/>
              <w:spacing w:after="0"/>
              <w:rPr>
                <w:sz w:val="20"/>
                <w:szCs w:val="20"/>
                <w:color w:val="auto"/>
              </w:rPr>
            </w:pPr>
            <w:r>
              <w:rPr>
                <w:rFonts w:ascii="Arial" w:cs="Arial" w:eastAsia="Arial" w:hAnsi="Arial"/>
                <w:sz w:val="15"/>
                <w:szCs w:val="15"/>
                <w:color w:val="auto"/>
              </w:rPr>
              <w:t>Long-term debt,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820,225</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782,107</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Interest rate represents the weighted average interest rate as of December 26, 2021.</w:t>
      </w:r>
    </w:p>
    <w:p>
      <w:pPr>
        <w:spacing w:after="0" w:line="8" w:lineRule="exact"/>
        <w:rPr>
          <w:rFonts w:ascii="Arial" w:cs="Arial" w:eastAsia="Arial" w:hAnsi="Arial"/>
          <w:sz w:val="15"/>
          <w:szCs w:val="15"/>
          <w:color w:val="auto"/>
        </w:rPr>
      </w:pPr>
    </w:p>
    <w:p>
      <w:pPr>
        <w:ind w:left="620" w:hanging="617"/>
        <w:spacing w:after="0" w:line="260" w:lineRule="auto"/>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Interest rate represents the weighted average interest rate as of September 25, 2022 and the base rate option elected in anticipation of impending repayment as of December 26, 2021.</w:t>
      </w:r>
    </w:p>
    <w:p>
      <w:pPr>
        <w:ind w:left="620" w:hanging="617"/>
        <w:spacing w:after="0" w:line="260" w:lineRule="auto"/>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During the thirty-nine weeks ended September 25, 2022, the Company repurchased $125.0 million of the 2025 Notes. See Note 8 - </w:t>
      </w:r>
      <w:r>
        <w:rPr>
          <w:rFonts w:ascii="Arial" w:cs="Arial" w:eastAsia="Arial" w:hAnsi="Arial"/>
          <w:sz w:val="15"/>
          <w:szCs w:val="15"/>
          <w:i w:val="1"/>
          <w:iCs w:val="1"/>
          <w:color w:val="auto"/>
        </w:rPr>
        <w:t>Convertible Senior Notes</w:t>
      </w:r>
      <w:r>
        <w:rPr>
          <w:rFonts w:ascii="Arial" w:cs="Arial" w:eastAsia="Arial" w:hAnsi="Arial"/>
          <w:sz w:val="15"/>
          <w:szCs w:val="15"/>
          <w:color w:val="auto"/>
        </w:rPr>
        <w:t xml:space="preserve"> for additional details.</w:t>
      </w:r>
    </w:p>
    <w:p>
      <w:pPr>
        <w:ind w:left="620" w:hanging="617"/>
        <w:spacing w:after="0" w:line="266" w:lineRule="auto"/>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In connection with the Amended Credit Agreement and the partial repurchase of the 2025 Notes, $5.7 million of debt issuance costs were written off during the thirty-nine weeks ended September 25, 2022. See Note 8 - </w:t>
      </w:r>
      <w:r>
        <w:rPr>
          <w:rFonts w:ascii="Arial" w:cs="Arial" w:eastAsia="Arial" w:hAnsi="Arial"/>
          <w:sz w:val="15"/>
          <w:szCs w:val="15"/>
          <w:i w:val="1"/>
          <w:iCs w:val="1"/>
          <w:color w:val="auto"/>
        </w:rPr>
        <w:t>Convertible Senior Notes</w:t>
      </w:r>
      <w:r>
        <w:rPr>
          <w:rFonts w:ascii="Arial" w:cs="Arial" w:eastAsia="Arial" w:hAnsi="Arial"/>
          <w:sz w:val="15"/>
          <w:szCs w:val="15"/>
          <w:color w:val="auto"/>
        </w:rPr>
        <w:t xml:space="preserve"> for additional details.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Credit Agreement Amendment - </w:t>
      </w:r>
      <w:r>
        <w:rPr>
          <w:rFonts w:ascii="Arial" w:cs="Arial" w:eastAsia="Arial" w:hAnsi="Arial"/>
          <w:sz w:val="19"/>
          <w:szCs w:val="19"/>
          <w:color w:val="auto"/>
        </w:rPr>
        <w:t>On April 16, 2021, the Company and its wholly-owned subsidiary, OSI Restaurant Partners, LLC (“OSI”), as co-borrowers, entered into the Second Amended and Restated Credit Agreement (the “Credit Agreement”), which provides for senior secured financing of up to $1.0 billion consisting of a $200.0 million Term loan A and an $800.0 million revolving credit facility (the “Senior Secured Credit Facility”), maturing on April 16, 2026.</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On April 26, 2022, the Company and OSI entered into the First Amendment to the Second Amended and Restated Credit Agreement and Incremental Amendment (the “Amended Credit Agreement”), which included an increase of the Company’s existing revolving credit facility from $800.0 million to $1.0 billion and a transition from London Inter-Bank Offered Rate (“LIBOR”) to Secured Overnight Financing Rate (“SOFR”) as the benchmark rate for purposes of calculating interest under the Senior Secured Credit Facility. At closing, an incremental $192.5 million was drawn on the revolving credit facility to fully repay the outstanding balance of Term loan A. The total indebtedness of the Company remained unchanged as a result of the Amended Credit Agreement.</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Under the Amended Credit Agreement, the Company may elect an interest rate at each reset period based on the Base Rate or Adjusted Term SOFR, plus an applicable spread. The Base Rate option is the highest of: (i) the prime rate of Wells Fargo Bank, National Association, (ii) the federal funds effective rate plus 0.5 of 1.0% or (iii) the Adjusted Term SOFR with a one-month interest period plus 1.0% (the “Base Rate”). The Adjusted Term SOFR option is the 30, 90 or 180-day SOFR, plus a term SOFR adjustment of 0.10%, subject to a 0% floor (the “Adjusted Term SOFR”). The interest rate spreads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60" w:type="dxa"/>
            <w:vAlign w:val="bottom"/>
          </w:tcPr>
          <w:p>
            <w:pPr>
              <w:spacing w:after="0"/>
              <w:rPr>
                <w:sz w:val="15"/>
                <w:szCs w:val="15"/>
                <w:color w:val="auto"/>
              </w:rPr>
            </w:pPr>
          </w:p>
        </w:tc>
        <w:tc>
          <w:tcPr>
            <w:tcW w:w="3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BASE RATE ELECTION</w:t>
            </w:r>
          </w:p>
        </w:tc>
        <w:tc>
          <w:tcPr>
            <w:tcW w:w="4620" w:type="dxa"/>
            <w:vAlign w:val="bottom"/>
          </w:tcPr>
          <w:p>
            <w:pPr>
              <w:jc w:val="center"/>
              <w:spacing w:after="0"/>
              <w:rPr>
                <w:sz w:val="20"/>
                <w:szCs w:val="20"/>
                <w:color w:val="auto"/>
              </w:rPr>
            </w:pPr>
            <w:r>
              <w:rPr>
                <w:rFonts w:ascii="Arial" w:cs="Arial" w:eastAsia="Arial" w:hAnsi="Arial"/>
                <w:sz w:val="14"/>
                <w:szCs w:val="14"/>
                <w:b w:val="1"/>
                <w:bCs w:val="1"/>
                <w:color w:val="auto"/>
                <w:w w:val="98"/>
              </w:rPr>
              <w:t>ADJUSTED TERM SOFR ELECTION</w:t>
            </w:r>
          </w:p>
        </w:tc>
      </w:tr>
      <w:tr>
        <w:trPr>
          <w:trHeight w:val="30"/>
        </w:trPr>
        <w:tc>
          <w:tcPr>
            <w:tcW w:w="3160" w:type="dxa"/>
            <w:vAlign w:val="bottom"/>
            <w:tcBorders>
              <w:bottom w:val="single" w:sz="8" w:color="CCEEFF"/>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06"/>
        </w:trPr>
        <w:tc>
          <w:tcPr>
            <w:tcW w:w="3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Revolving credit facility</w:t>
            </w:r>
          </w:p>
        </w:tc>
        <w:tc>
          <w:tcPr>
            <w:tcW w:w="34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1"/>
              </w:rPr>
              <w:t>50 to 150 basis points over the Base Rate</w:t>
            </w:r>
          </w:p>
        </w:tc>
        <w:tc>
          <w:tcPr>
            <w:tcW w:w="46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150 to 250 basis points over the Adjusted Term SOFR</w:t>
            </w:r>
          </w:p>
        </w:tc>
      </w:tr>
    </w:tbl>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transition to SOFR did not materially impact the interest rate applied to the Company’s borrowings. No other material changes were made to the terms of the Company’s Credit Agreement as a result of the Amended Credit Agreement.</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As of September 25, 2022 and December 26, 2021, the Company was in compliance with its debt covenants.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principal payments of the Company’s total consolidated debt outstanding as of the period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97"/>
              </w:rPr>
              <w:t>SEPTEMBER 25, 2022</w:t>
            </w:r>
          </w:p>
        </w:tc>
      </w:tr>
      <w:tr>
        <w:trPr>
          <w:trHeight w:val="206"/>
        </w:trPr>
        <w:tc>
          <w:tcPr>
            <w:tcW w:w="9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1</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w:t>
            </w:r>
          </w:p>
        </w:tc>
      </w:tr>
      <w:tr>
        <w:trPr>
          <w:trHeight w:val="203"/>
        </w:trPr>
        <w:tc>
          <w:tcPr>
            <w:tcW w:w="9320" w:type="dxa"/>
            <w:vAlign w:val="bottom"/>
          </w:tcPr>
          <w:p>
            <w:pPr>
              <w:ind w:left="20"/>
              <w:spacing w:after="0"/>
              <w:rPr>
                <w:sz w:val="20"/>
                <w:szCs w:val="20"/>
                <w:color w:val="auto"/>
              </w:rPr>
            </w:pPr>
            <w:r>
              <w:rPr>
                <w:rFonts w:ascii="Arial" w:cs="Arial" w:eastAsia="Arial" w:hAnsi="Arial"/>
                <w:sz w:val="15"/>
                <w:szCs w:val="15"/>
                <w:color w:val="auto"/>
              </w:rPr>
              <w:t>Year 2</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1,202</w:t>
            </w:r>
          </w:p>
        </w:tc>
      </w:tr>
      <w:tr>
        <w:trPr>
          <w:trHeight w:val="209"/>
        </w:trPr>
        <w:tc>
          <w:tcPr>
            <w:tcW w:w="9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3</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105,662</w:t>
            </w:r>
          </w:p>
        </w:tc>
      </w:tr>
      <w:tr>
        <w:trPr>
          <w:trHeight w:val="203"/>
        </w:trPr>
        <w:tc>
          <w:tcPr>
            <w:tcW w:w="9320" w:type="dxa"/>
            <w:vAlign w:val="bottom"/>
          </w:tcPr>
          <w:p>
            <w:pPr>
              <w:ind w:left="20"/>
              <w:spacing w:after="0"/>
              <w:rPr>
                <w:sz w:val="20"/>
                <w:szCs w:val="20"/>
                <w:color w:val="auto"/>
              </w:rPr>
            </w:pPr>
            <w:r>
              <w:rPr>
                <w:rFonts w:ascii="Arial" w:cs="Arial" w:eastAsia="Arial" w:hAnsi="Arial"/>
                <w:sz w:val="15"/>
                <w:szCs w:val="15"/>
                <w:color w:val="auto"/>
              </w:rPr>
              <w:t>Year 4</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420,350</w:t>
            </w:r>
          </w:p>
        </w:tc>
      </w:tr>
      <w:tr>
        <w:trPr>
          <w:trHeight w:val="209"/>
        </w:trPr>
        <w:tc>
          <w:tcPr>
            <w:tcW w:w="9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 5</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w:t>
            </w:r>
          </w:p>
        </w:tc>
      </w:tr>
      <w:tr>
        <w:trPr>
          <w:trHeight w:val="212"/>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300,132</w:t>
            </w:r>
          </w:p>
        </w:tc>
      </w:tr>
      <w:tr>
        <w:trPr>
          <w:trHeight w:val="206"/>
        </w:trPr>
        <w:tc>
          <w:tcPr>
            <w:tcW w:w="9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payments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828,816</w:t>
            </w:r>
          </w:p>
        </w:tc>
      </w:tr>
      <w:tr>
        <w:trPr>
          <w:trHeight w:val="203"/>
        </w:trPr>
        <w:tc>
          <w:tcPr>
            <w:tcW w:w="9320" w:type="dxa"/>
            <w:vAlign w:val="bottom"/>
          </w:tcPr>
          <w:p>
            <w:pPr>
              <w:ind w:left="20"/>
              <w:spacing w:after="0"/>
              <w:rPr>
                <w:sz w:val="20"/>
                <w:szCs w:val="20"/>
                <w:color w:val="auto"/>
              </w:rPr>
            </w:pPr>
            <w:r>
              <w:rPr>
                <w:rFonts w:ascii="Arial" w:cs="Arial" w:eastAsia="Arial" w:hAnsi="Arial"/>
                <w:sz w:val="15"/>
                <w:szCs w:val="15"/>
                <w:color w:val="auto"/>
              </w:rPr>
              <w:t>Less: unamortized debt discount and issuance costs</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(6,836)</w:t>
            </w:r>
          </w:p>
        </w:tc>
      </w:tr>
      <w:tr>
        <w:trPr>
          <w:trHeight w:val="215"/>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finance lease interest</w:t>
            </w: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w:t>
            </w:r>
          </w:p>
        </w:tc>
      </w:tr>
      <w:tr>
        <w:trPr>
          <w:trHeight w:val="206"/>
        </w:trPr>
        <w:tc>
          <w:tcPr>
            <w:tcW w:w="9320" w:type="dxa"/>
            <w:vAlign w:val="bottom"/>
          </w:tcPr>
          <w:p>
            <w:pPr>
              <w:ind w:left="120"/>
              <w:spacing w:after="0"/>
              <w:rPr>
                <w:sz w:val="20"/>
                <w:szCs w:val="20"/>
                <w:color w:val="auto"/>
              </w:rPr>
            </w:pPr>
            <w:r>
              <w:rPr>
                <w:rFonts w:ascii="Arial" w:cs="Arial" w:eastAsia="Arial" w:hAnsi="Arial"/>
                <w:sz w:val="15"/>
                <w:szCs w:val="15"/>
                <w:color w:val="auto"/>
              </w:rPr>
              <w:t>Total principal payments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821,706</w:t>
            </w:r>
          </w:p>
        </w:tc>
      </w:tr>
      <w:tr>
        <w:trPr>
          <w:trHeight w:val="20"/>
        </w:trPr>
        <w:tc>
          <w:tcPr>
            <w:tcW w:w="9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40" w:hanging="337"/>
        <w:spacing w:after="0"/>
        <w:tabs>
          <w:tab w:leader="none" w:pos="3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Convertible Senior Notes</w:t>
      </w: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i w:val="1"/>
          <w:iCs w:val="1"/>
          <w:color w:val="auto"/>
        </w:rPr>
        <w:t xml:space="preserve">2025 Notes </w:t>
      </w:r>
      <w:r>
        <w:rPr>
          <w:rFonts w:ascii="Arial" w:cs="Arial" w:eastAsia="Arial" w:hAnsi="Arial"/>
          <w:sz w:val="19"/>
          <w:szCs w:val="19"/>
          <w:color w:val="auto"/>
        </w:rPr>
        <w:t>- On May 25, 2022, the Company entered into exchange agreements (the “Exchange Agreements”) with certain holders (the</w:t>
      </w:r>
      <w:r>
        <w:rPr>
          <w:rFonts w:ascii="Arial" w:cs="Arial" w:eastAsia="Arial" w:hAnsi="Arial"/>
          <w:sz w:val="19"/>
          <w:szCs w:val="19"/>
          <w:i w:val="1"/>
          <w:iCs w:val="1"/>
          <w:color w:val="auto"/>
        </w:rPr>
        <w:t xml:space="preserve"> </w:t>
      </w:r>
      <w:r>
        <w:rPr>
          <w:rFonts w:ascii="Arial" w:cs="Arial" w:eastAsia="Arial" w:hAnsi="Arial"/>
          <w:sz w:val="19"/>
          <w:szCs w:val="19"/>
          <w:color w:val="auto"/>
        </w:rPr>
        <w:t>“Noteholders”) of the 2025 Notes. The Noteholders agreed to exchange $125.0 million in aggregate principal amount of the Company’s outstanding 2025 Notes for $196.9 million in cash, plus accrued interest, and approximately 2.3 million shares of the Company’s common stock (the “2025 Notes Partial Repurchase”). Under the Exchange Agreements, the total amount of cash paid and number of shares of common stock issued by the Company were based upon the volume-weighted average price per share of the Company’s common stock during a ten-trading day averaging period ending on June 14, 2022. Upon entering into the Exchange Agreements, the conversion feature related to the 2025 Notes repurchased, as well as the settlements of the related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convertible senior note hedges and warrants, were subject to derivative accounting. In connection with the 2025 Notes Partial Repurchase, the Company recognized a loss on extinguishment of debt of $104.7 million and a loss on fair value adjustment of derivatives, net of $17.7 million, and recorded a $48.5 million increase to Additional paid-in capital during the thirty-nine weeks ended September 25, 2022.</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initial conversion rate applicable to the 2025 Notes was 84.122 shares of common stock per $1,000 principal amount of 2025 Notes, or a total of approximately 19.348 million shares for the total $230.0 million principal amount. This initial conversion rate was equivalent to an initial conversion price of approximately $11.89 per share. In connection with dividends paid during the thirty-nine weeks ended September 25, 2022, the conversion rate for the remaining 2025 Notes decreased to approximately $11.66 per share, which represents 85.743 shares of common stock per $1,000 principal amount of the 2025 Notes, or a total of approximately 9.003 million shares.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includes the outstanding principal amount and carrying value of the 2025 Notes as of the periods indicated: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25, 2022</w:t>
            </w:r>
          </w:p>
        </w:tc>
        <w:tc>
          <w:tcPr>
            <w:tcW w:w="240" w:type="dxa"/>
            <w:vAlign w:val="bottom"/>
          </w:tcPr>
          <w:p>
            <w:pPr>
              <w:spacing w:after="0"/>
              <w:rPr>
                <w:sz w:val="18"/>
                <w:szCs w:val="18"/>
                <w:color w:val="auto"/>
              </w:rPr>
            </w:pPr>
          </w:p>
        </w:tc>
        <w:tc>
          <w:tcPr>
            <w:tcW w:w="1860" w:type="dxa"/>
            <w:vAlign w:val="bottom"/>
          </w:tcPr>
          <w:p>
            <w:pPr>
              <w:jc w:val="right"/>
              <w:ind w:right="325"/>
              <w:spacing w:after="0"/>
              <w:rPr>
                <w:sz w:val="20"/>
                <w:szCs w:val="20"/>
                <w:color w:val="auto"/>
              </w:rPr>
            </w:pPr>
            <w:r>
              <w:rPr>
                <w:rFonts w:ascii="Arial" w:cs="Arial" w:eastAsia="Arial" w:hAnsi="Arial"/>
                <w:sz w:val="14"/>
                <w:szCs w:val="14"/>
                <w:b w:val="1"/>
                <w:bCs w:val="1"/>
                <w:color w:val="auto"/>
              </w:rPr>
              <w:t>DECEMBER 26, 2021</w:t>
            </w:r>
          </w:p>
        </w:tc>
      </w:tr>
      <w:tr>
        <w:trPr>
          <w:trHeight w:val="19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debt, net</w:t>
            </w:r>
          </w:p>
        </w:tc>
        <w:tc>
          <w:tcPr>
            <w:tcW w:w="22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r>
      <w:tr>
        <w:trPr>
          <w:trHeight w:val="203"/>
        </w:trPr>
        <w:tc>
          <w:tcPr>
            <w:tcW w:w="6940" w:type="dxa"/>
            <w:vAlign w:val="bottom"/>
          </w:tcPr>
          <w:p>
            <w:pPr>
              <w:ind w:left="120"/>
              <w:spacing w:after="0"/>
              <w:rPr>
                <w:sz w:val="20"/>
                <w:szCs w:val="20"/>
                <w:color w:val="auto"/>
              </w:rPr>
            </w:pPr>
            <w:r>
              <w:rPr>
                <w:rFonts w:ascii="Arial" w:cs="Arial" w:eastAsia="Arial" w:hAnsi="Arial"/>
                <w:sz w:val="15"/>
                <w:szCs w:val="15"/>
                <w:color w:val="auto"/>
              </w:rPr>
              <w:t>Principal</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spacing w:after="0"/>
              <w:rPr>
                <w:sz w:val="20"/>
                <w:szCs w:val="20"/>
                <w:color w:val="auto"/>
              </w:rPr>
            </w:pPr>
            <w:r>
              <w:rPr>
                <w:rFonts w:ascii="Arial" w:cs="Arial" w:eastAsia="Arial" w:hAnsi="Arial"/>
                <w:sz w:val="15"/>
                <w:szCs w:val="15"/>
                <w:color w:val="auto"/>
              </w:rPr>
              <w:t>105,000</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860" w:type="dxa"/>
            <w:vAlign w:val="bottom"/>
          </w:tcPr>
          <w:p>
            <w:pPr>
              <w:jc w:val="right"/>
              <w:ind w:right="5"/>
              <w:spacing w:after="0"/>
              <w:rPr>
                <w:sz w:val="20"/>
                <w:szCs w:val="20"/>
                <w:color w:val="auto"/>
              </w:rPr>
            </w:pPr>
            <w:r>
              <w:rPr>
                <w:rFonts w:ascii="Arial" w:cs="Arial" w:eastAsia="Arial" w:hAnsi="Arial"/>
                <w:sz w:val="15"/>
                <w:szCs w:val="15"/>
                <w:color w:val="auto"/>
              </w:rPr>
              <w:t>230,000</w:t>
            </w:r>
          </w:p>
        </w:tc>
      </w:tr>
      <w:tr>
        <w:trPr>
          <w:trHeight w:val="215"/>
        </w:trPr>
        <w:tc>
          <w:tcPr>
            <w:tcW w:w="6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Less: debt issuance costs (1)</w:t>
            </w:r>
          </w:p>
        </w:tc>
        <w:tc>
          <w:tcPr>
            <w:tcW w:w="2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(5,898)</w:t>
            </w:r>
          </w:p>
        </w:tc>
      </w:tr>
      <w:tr>
        <w:trPr>
          <w:trHeight w:val="206"/>
        </w:trPr>
        <w:tc>
          <w:tcPr>
            <w:tcW w:w="6940" w:type="dxa"/>
            <w:vAlign w:val="bottom"/>
          </w:tcPr>
          <w:p>
            <w:pPr>
              <w:ind w:left="200"/>
              <w:spacing w:after="0"/>
              <w:rPr>
                <w:sz w:val="20"/>
                <w:szCs w:val="20"/>
                <w:color w:val="auto"/>
              </w:rPr>
            </w:pPr>
            <w:r>
              <w:rPr>
                <w:rFonts w:ascii="Arial" w:cs="Arial" w:eastAsia="Arial" w:hAnsi="Arial"/>
                <w:sz w:val="15"/>
                <w:szCs w:val="15"/>
                <w:color w:val="auto"/>
              </w:rPr>
              <w:t>Net carrying amount</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102,868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224,102</w:t>
            </w:r>
          </w:p>
        </w:tc>
      </w:tr>
      <w:tr>
        <w:trPr>
          <w:trHeight w:val="20"/>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18"/>
        </w:numPr>
        <w:rPr>
          <w:rFonts w:ascii="Arial" w:cs="Arial" w:eastAsia="Arial" w:hAnsi="Arial"/>
          <w:sz w:val="15"/>
          <w:szCs w:val="15"/>
          <w:color w:val="252525"/>
        </w:rPr>
      </w:pPr>
      <w:r>
        <w:rPr>
          <w:rFonts w:ascii="Arial" w:cs="Arial" w:eastAsia="Arial" w:hAnsi="Arial"/>
          <w:sz w:val="15"/>
          <w:szCs w:val="15"/>
          <w:color w:val="auto"/>
        </w:rPr>
        <w:t>Debt issuance costs are amortized to Interest expense, net using the effective interest method over the 2025 Notes’ expected life. During the thirty-nine weeks ended September 25, 2022, the Company wrote off $2.8 million of debt issuance costs as a result of the 2025 Notes Partial Repurchase.</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252525"/>
        </w:rPr>
        <w:t xml:space="preserve">Following is a summary of interest expense for the </w:t>
      </w:r>
      <w:r>
        <w:rPr>
          <w:rFonts w:ascii="Arial" w:cs="Arial" w:eastAsia="Arial" w:hAnsi="Arial"/>
          <w:sz w:val="19"/>
          <w:szCs w:val="19"/>
          <w:color w:val="000000"/>
        </w:rPr>
        <w:t>2025 Notes, by component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gridSpan w:val="3"/>
          </w:tcPr>
          <w:p>
            <w:pPr>
              <w:jc w:val="right"/>
              <w:ind w:right="26"/>
              <w:spacing w:after="0"/>
              <w:rPr>
                <w:sz w:val="20"/>
                <w:szCs w:val="20"/>
                <w:color w:val="auto"/>
              </w:rPr>
            </w:pPr>
            <w:r>
              <w:rPr>
                <w:rFonts w:ascii="Arial" w:cs="Arial" w:eastAsia="Arial" w:hAnsi="Arial"/>
                <w:sz w:val="14"/>
                <w:szCs w:val="14"/>
                <w:b w:val="1"/>
                <w:bCs w:val="1"/>
                <w:color w:val="auto"/>
              </w:rPr>
              <w:t>THIRTEEN WEEKS ENDED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100" w:type="dxa"/>
            <w:vAlign w:val="bottom"/>
            <w:vMerge w:val="continue"/>
          </w:tcPr>
          <w:p>
            <w:pPr>
              <w:spacing w:after="0"/>
              <w:rPr>
                <w:sz w:val="17"/>
                <w:szCs w:val="17"/>
                <w:color w:val="auto"/>
              </w:rPr>
            </w:pP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00" w:type="dxa"/>
            <w:vAlign w:val="bottom"/>
          </w:tcPr>
          <w:p>
            <w:pPr>
              <w:spacing w:after="0"/>
              <w:rPr>
                <w:sz w:val="17"/>
                <w:szCs w:val="17"/>
                <w:color w:val="auto"/>
              </w:rPr>
            </w:pP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0" w:type="dxa"/>
            <w:vAlign w:val="bottom"/>
          </w:tcPr>
          <w:p>
            <w:pPr>
              <w:spacing w:after="0"/>
              <w:rPr>
                <w:sz w:val="1"/>
                <w:szCs w:val="1"/>
                <w:color w:val="auto"/>
              </w:rPr>
            </w:pPr>
          </w:p>
        </w:tc>
      </w:tr>
      <w:tr>
        <w:trPr>
          <w:trHeight w:val="20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Coupon interest</w:t>
            </w: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1,313</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6,785</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8,625</w:t>
            </w:r>
          </w:p>
        </w:tc>
        <w:tc>
          <w:tcPr>
            <w:tcW w:w="0" w:type="dxa"/>
            <w:vAlign w:val="bottom"/>
          </w:tcPr>
          <w:p>
            <w:pPr>
              <w:spacing w:after="0"/>
              <w:rPr>
                <w:sz w:val="1"/>
                <w:szCs w:val="1"/>
                <w:color w:val="auto"/>
              </w:rPr>
            </w:pPr>
          </w:p>
        </w:tc>
      </w:tr>
      <w:tr>
        <w:trPr>
          <w:trHeight w:val="212"/>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Debt issuance cost amortization</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1,159</w:t>
            </w:r>
          </w:p>
        </w:tc>
        <w:tc>
          <w:tcPr>
            <w:tcW w:w="0" w:type="dxa"/>
            <w:vAlign w:val="bottom"/>
          </w:tcPr>
          <w:p>
            <w:pPr>
              <w:spacing w:after="0"/>
              <w:rPr>
                <w:sz w:val="1"/>
                <w:szCs w:val="1"/>
                <w:color w:val="auto"/>
              </w:rPr>
            </w:pPr>
          </w:p>
        </w:tc>
      </w:tr>
      <w:tr>
        <w:trPr>
          <w:trHeight w:val="231"/>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interest expense (1)</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7,748</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9,784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 xml:space="preserve">The effective rate of the 2025 Notes over their expected life is </w:t>
      </w:r>
      <w:r>
        <w:rPr>
          <w:rFonts w:ascii="Arial" w:cs="Arial" w:eastAsia="Arial" w:hAnsi="Arial"/>
          <w:sz w:val="15"/>
          <w:szCs w:val="15"/>
          <w:color w:val="252525"/>
        </w:rPr>
        <w:t>5.85%.</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Based on the daily closing prices of the Company’s stock during the quarter ended September 25, 2022, the remaining holders of the 2025 Notes are eligible to convert their 2025 Notes during the fourth quarter of 2022.</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i w:val="1"/>
          <w:iCs w:val="1"/>
          <w:color w:val="auto"/>
        </w:rPr>
        <w:t xml:space="preserve">Convertible Note Hedge and Warrant Transactions </w:t>
      </w:r>
      <w:r>
        <w:rPr>
          <w:rFonts w:ascii="Arial" w:cs="Arial" w:eastAsia="Arial" w:hAnsi="Arial"/>
          <w:sz w:val="19"/>
          <w:szCs w:val="19"/>
          <w:color w:val="252525"/>
        </w:rPr>
        <w:t>- In connection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2025 Notes Partial Repurchase, the Company entered into partial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unwind agreements with certain financial institutions relating to a portion of the convertible note hedge transactions (the “Note Hedge Early Termination Agreements”) and a portion of the </w:t>
      </w:r>
      <w:r>
        <w:rPr>
          <w:rFonts w:ascii="Arial" w:cs="Arial" w:eastAsia="Arial" w:hAnsi="Arial"/>
          <w:sz w:val="19"/>
          <w:szCs w:val="19"/>
          <w:color w:val="252525"/>
        </w:rPr>
        <w:t>Warrant Transactions</w:t>
      </w:r>
      <w:r>
        <w:rPr>
          <w:rFonts w:ascii="Arial" w:cs="Arial" w:eastAsia="Arial" w:hAnsi="Arial"/>
          <w:sz w:val="19"/>
          <w:szCs w:val="19"/>
          <w:color w:val="auto"/>
        </w:rPr>
        <w:t xml:space="preserve"> (the “Warrant Early Termination Agreements”) that were previously entered into by the Company in connection with the issuance of the 2025 Notes. Upon settlement, the Company received $131.9 million for the Note Hedge Early Termination Agreements and paid $114.8 million for the Warrant Early Termination Agreements during the thirty-nine weeks ended September 25, 2022. In connection with the Note Hedge Early Termination Agreements and the Warrant Early Termination Agreements the Company recorded a $113.0 million increase and a $97.6 million decrease, respectively, to Additional paid-in capital during the thirty-nine weeks ended September 25, 2022.</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252525"/>
        </w:rPr>
        <w:t>The remaining Warrant Transactions have a dilutive effect on the Company’s common stock to the extent that the price of its common stock exceeds the strike price of the Warrant Transactions. The strike price was initially $16.64 per share and is subject to certain adjustments under the terms of the Warrant Transactions. In connection with</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dividends paid during the thirty-nine weeks ended September 25, 2022, the strike price for the remaining </w:t>
      </w:r>
      <w:r>
        <w:rPr>
          <w:rFonts w:ascii="Arial" w:cs="Arial" w:eastAsia="Arial" w:hAnsi="Arial"/>
          <w:sz w:val="17"/>
          <w:szCs w:val="17"/>
          <w:color w:val="252525"/>
        </w:rPr>
        <w:t>Warrant Transactions</w:t>
      </w:r>
      <w:r>
        <w:rPr>
          <w:rFonts w:ascii="Arial" w:cs="Arial" w:eastAsia="Arial" w:hAnsi="Arial"/>
          <w:sz w:val="17"/>
          <w:szCs w:val="17"/>
          <w:color w:val="auto"/>
        </w:rPr>
        <w:t xml:space="preserve"> decreased to $16.33.</w:t>
      </w:r>
    </w:p>
    <w:p>
      <w:pPr>
        <w:spacing w:after="0" w:line="269" w:lineRule="exact"/>
        <w:rPr>
          <w:sz w:val="20"/>
          <w:szCs w:val="20"/>
          <w:color w:val="auto"/>
        </w:rPr>
      </w:pPr>
    </w:p>
    <w:p>
      <w:pPr>
        <w:spacing w:after="0"/>
        <w:tabs>
          <w:tab w:leader="none" w:pos="320" w:val="left"/>
        </w:tabs>
        <w:rPr>
          <w:sz w:val="20"/>
          <w:szCs w:val="20"/>
          <w:color w:val="auto"/>
        </w:rPr>
      </w:pPr>
      <w:r>
        <w:rPr>
          <w:rFonts w:ascii="Arial" w:cs="Arial" w:eastAsia="Arial" w:hAnsi="Arial"/>
          <w:sz w:val="19"/>
          <w:szCs w:val="19"/>
          <w:color w:val="auto"/>
        </w:rPr>
        <w:t>9.</w:t>
      </w:r>
      <w:r>
        <w:rPr>
          <w:sz w:val="20"/>
          <w:szCs w:val="20"/>
          <w:color w:val="auto"/>
        </w:rPr>
        <w:tab/>
      </w:r>
      <w:r>
        <w:rPr>
          <w:rFonts w:ascii="Arial" w:cs="Arial" w:eastAsia="Arial" w:hAnsi="Arial"/>
          <w:sz w:val="17"/>
          <w:szCs w:val="17"/>
          <w:color w:val="auto"/>
        </w:rPr>
        <w:t>Other Long-term Liabilities, Net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Other long-term liabilities, net, consisted of the following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25, 2022</w:t>
            </w:r>
          </w:p>
        </w:tc>
        <w:tc>
          <w:tcPr>
            <w:tcW w:w="200" w:type="dxa"/>
            <w:vAlign w:val="bottom"/>
          </w:tcPr>
          <w:p>
            <w:pPr>
              <w:spacing w:after="0"/>
              <w:rPr>
                <w:sz w:val="18"/>
                <w:szCs w:val="18"/>
                <w:color w:val="auto"/>
              </w:rPr>
            </w:pPr>
          </w:p>
        </w:tc>
        <w:tc>
          <w:tcPr>
            <w:tcW w:w="1720" w:type="dxa"/>
            <w:vAlign w:val="bottom"/>
          </w:tcPr>
          <w:p>
            <w:pPr>
              <w:jc w:val="right"/>
              <w:ind w:right="224"/>
              <w:spacing w:after="0"/>
              <w:rPr>
                <w:sz w:val="20"/>
                <w:szCs w:val="20"/>
                <w:color w:val="auto"/>
              </w:rPr>
            </w:pPr>
            <w:r>
              <w:rPr>
                <w:rFonts w:ascii="Arial" w:cs="Arial" w:eastAsia="Arial" w:hAnsi="Arial"/>
                <w:sz w:val="14"/>
                <w:szCs w:val="14"/>
                <w:b w:val="1"/>
                <w:bCs w:val="1"/>
                <w:color w:val="auto"/>
              </w:rPr>
              <w:t>DECEMBER 26, 2021</w:t>
            </w:r>
          </w:p>
        </w:tc>
      </w:tr>
      <w:tr>
        <w:trPr>
          <w:trHeight w:val="206"/>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insurance liability</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30,419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31,517</w:t>
            </w:r>
          </w:p>
        </w:tc>
      </w:tr>
      <w:tr>
        <w:trPr>
          <w:trHeight w:val="203"/>
        </w:trPr>
        <w:tc>
          <w:tcPr>
            <w:tcW w:w="7300" w:type="dxa"/>
            <w:vAlign w:val="bottom"/>
          </w:tcPr>
          <w:p>
            <w:pPr>
              <w:ind w:left="20"/>
              <w:spacing w:after="0"/>
              <w:rPr>
                <w:sz w:val="20"/>
                <w:szCs w:val="20"/>
                <w:color w:val="auto"/>
              </w:rPr>
            </w:pPr>
            <w:r>
              <w:rPr>
                <w:rFonts w:ascii="Arial" w:cs="Arial" w:eastAsia="Arial" w:hAnsi="Arial"/>
                <w:sz w:val="15"/>
                <w:szCs w:val="15"/>
                <w:color w:val="auto"/>
              </w:rPr>
              <w:t>Deferred payroll tax liabilities (1)</w:t>
            </w:r>
          </w:p>
        </w:tc>
        <w:tc>
          <w:tcPr>
            <w:tcW w:w="180" w:type="dxa"/>
            <w:vAlign w:val="bottom"/>
          </w:tcPr>
          <w:p>
            <w:pPr>
              <w:spacing w:after="0"/>
              <w:rPr>
                <w:sz w:val="17"/>
                <w:szCs w:val="17"/>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27,302</w:t>
            </w:r>
          </w:p>
        </w:tc>
      </w:tr>
      <w:tr>
        <w:trPr>
          <w:trHeight w:val="209"/>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compensation obligations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37,514</w:t>
            </w:r>
          </w:p>
        </w:tc>
      </w:tr>
      <w:tr>
        <w:trPr>
          <w:trHeight w:val="21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28,082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28,909</w:t>
            </w:r>
          </w:p>
        </w:tc>
      </w:tr>
      <w:tr>
        <w:trPr>
          <w:trHeight w:val="228"/>
        </w:trPr>
        <w:tc>
          <w:tcPr>
            <w:tcW w:w="7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86,852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125,242</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w:t>
      </w:r>
    </w:p>
    <w:p>
      <w:pPr>
        <w:spacing w:after="0" w:line="20" w:lineRule="exact"/>
        <w:rPr>
          <w:sz w:val="20"/>
          <w:szCs w:val="20"/>
          <w:color w:val="auto"/>
        </w:rPr>
      </w:pPr>
    </w:p>
    <w:p>
      <w:pPr>
        <w:ind w:left="620" w:hanging="617"/>
        <w:spacing w:after="0"/>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During the thirty-nine weeks ended September 25, 2022, the Company reclassified $27.3 million of payroll taxes deferred under the CARES Act to current.</w:t>
      </w:r>
    </w:p>
    <w:p>
      <w:pPr>
        <w:spacing w:after="0" w:line="23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10.</w:t>
      </w:r>
      <w:r>
        <w:rPr>
          <w:sz w:val="20"/>
          <w:szCs w:val="20"/>
          <w:color w:val="auto"/>
        </w:rPr>
        <w:tab/>
      </w:r>
      <w:r>
        <w:rPr>
          <w:rFonts w:ascii="Arial" w:cs="Arial" w:eastAsia="Arial" w:hAnsi="Arial"/>
          <w:sz w:val="17"/>
          <w:szCs w:val="17"/>
          <w:color w:val="auto"/>
        </w:rPr>
        <w:t>Stockholders’ Equity</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 xml:space="preserve">Share Repurchases </w:t>
      </w:r>
      <w:r>
        <w:rPr>
          <w:rFonts w:ascii="Arial" w:cs="Arial" w:eastAsia="Arial" w:hAnsi="Arial"/>
          <w:sz w:val="19"/>
          <w:szCs w:val="19"/>
          <w:color w:val="auto"/>
        </w:rPr>
        <w:t>- On February 8, 2022, the Company’s Board of Directors (the “Board”) approved a share repurchase program (the “2022 Share</w:t>
      </w:r>
      <w:r>
        <w:rPr>
          <w:rFonts w:ascii="Arial" w:cs="Arial" w:eastAsia="Arial" w:hAnsi="Arial"/>
          <w:sz w:val="19"/>
          <w:szCs w:val="19"/>
          <w:i w:val="1"/>
          <w:iCs w:val="1"/>
          <w:color w:val="auto"/>
        </w:rPr>
        <w:t xml:space="preserve"> </w:t>
      </w:r>
      <w:r>
        <w:rPr>
          <w:rFonts w:ascii="Arial" w:cs="Arial" w:eastAsia="Arial" w:hAnsi="Arial"/>
          <w:sz w:val="19"/>
          <w:szCs w:val="19"/>
          <w:color w:val="auto"/>
        </w:rPr>
        <w:t>Repurchase Program”) under which the Company was authorized to repurchase up to $125.0 million of its outstanding common stock. The 2022 Share Repurchase Program will expire on August 9, 2023. As of September 25, 2022, $44.0 million remained available for repurchase under the 2022 Share Repurchase Program. Following is a summary of the shares repurchased under the 2022 Share Repurchase Program during fiscal year 2022: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AVERAGE</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64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8"/>
              </w:rPr>
              <w:t>REPURCHASE PRICE</w:t>
            </w:r>
          </w:p>
        </w:tc>
        <w:tc>
          <w:tcPr>
            <w:tcW w:w="300" w:type="dxa"/>
            <w:vAlign w:val="bottom"/>
          </w:tcPr>
          <w:p>
            <w:pPr>
              <w:spacing w:after="0"/>
              <w:rPr>
                <w:sz w:val="12"/>
                <w:szCs w:val="12"/>
                <w:color w:val="auto"/>
              </w:rPr>
            </w:pPr>
          </w:p>
        </w:tc>
        <w:tc>
          <w:tcPr>
            <w:tcW w:w="134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9"/>
        </w:trPr>
        <w:tc>
          <w:tcPr>
            <w:tcW w:w="6120" w:type="dxa"/>
            <w:vAlign w:val="bottom"/>
            <w:tcBorders>
              <w:bottom w:val="single" w:sz="8" w:color="CCEEFF"/>
            </w:tcBorders>
            <w:vMerge w:val="continue"/>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5"/>
              </w:rPr>
              <w:t>PER SHARE</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First fiscal quarter</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11,702</w:t>
            </w:r>
          </w:p>
        </w:tc>
        <w:tc>
          <w:tcPr>
            <w:tcW w:w="0" w:type="dxa"/>
            <w:vAlign w:val="bottom"/>
          </w:tcPr>
          <w:p>
            <w:pPr>
              <w:spacing w:after="0"/>
              <w:rPr>
                <w:sz w:val="1"/>
                <w:szCs w:val="1"/>
                <w:color w:val="auto"/>
              </w:rPr>
            </w:pPr>
          </w:p>
        </w:tc>
      </w:tr>
      <w:tr>
        <w:trPr>
          <w:trHeight w:val="203"/>
        </w:trPr>
        <w:tc>
          <w:tcPr>
            <w:tcW w:w="6120" w:type="dxa"/>
            <w:vAlign w:val="bottom"/>
          </w:tcPr>
          <w:p>
            <w:pPr>
              <w:ind w:left="20"/>
              <w:spacing w:after="0"/>
              <w:rPr>
                <w:sz w:val="20"/>
                <w:szCs w:val="20"/>
                <w:color w:val="auto"/>
              </w:rPr>
            </w:pPr>
            <w:r>
              <w:rPr>
                <w:rFonts w:ascii="Arial" w:cs="Arial" w:eastAsia="Arial" w:hAnsi="Arial"/>
                <w:sz w:val="15"/>
                <w:szCs w:val="15"/>
                <w:color w:val="auto"/>
              </w:rPr>
              <w:t>Second fiscal quarter</w:t>
            </w:r>
          </w:p>
        </w:tc>
        <w:tc>
          <w:tcPr>
            <w:tcW w:w="1640" w:type="dxa"/>
            <w:vAlign w:val="bottom"/>
          </w:tcPr>
          <w:p>
            <w:pPr>
              <w:jc w:val="right"/>
              <w:spacing w:after="0"/>
              <w:rPr>
                <w:sz w:val="20"/>
                <w:szCs w:val="20"/>
                <w:color w:val="auto"/>
              </w:rPr>
            </w:pPr>
            <w:r>
              <w:rPr>
                <w:rFonts w:ascii="Arial" w:cs="Arial" w:eastAsia="Arial" w:hAnsi="Arial"/>
                <w:sz w:val="15"/>
                <w:szCs w:val="15"/>
                <w:color w:val="auto"/>
              </w:rPr>
              <w:t>1,761</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20.30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35,749</w:t>
            </w:r>
          </w:p>
        </w:tc>
        <w:tc>
          <w:tcPr>
            <w:tcW w:w="0" w:type="dxa"/>
            <w:vAlign w:val="bottom"/>
          </w:tcPr>
          <w:p>
            <w:pPr>
              <w:spacing w:after="0"/>
              <w:rPr>
                <w:sz w:val="1"/>
                <w:szCs w:val="1"/>
                <w:color w:val="auto"/>
              </w:rPr>
            </w:pPr>
          </w:p>
        </w:tc>
      </w:tr>
      <w:tr>
        <w:trPr>
          <w:trHeight w:val="21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Third fiscal quarter</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19.21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33,549</w:t>
            </w:r>
          </w:p>
        </w:tc>
        <w:tc>
          <w:tcPr>
            <w:tcW w:w="0" w:type="dxa"/>
            <w:vAlign w:val="bottom"/>
          </w:tcPr>
          <w:p>
            <w:pPr>
              <w:spacing w:after="0"/>
              <w:rPr>
                <w:sz w:val="1"/>
                <w:szCs w:val="1"/>
                <w:color w:val="auto"/>
              </w:rPr>
            </w:pPr>
          </w:p>
        </w:tc>
      </w:tr>
      <w:tr>
        <w:trPr>
          <w:trHeight w:val="206"/>
        </w:trPr>
        <w:tc>
          <w:tcPr>
            <w:tcW w:w="6120" w:type="dxa"/>
            <w:vAlign w:val="bottom"/>
          </w:tcPr>
          <w:p>
            <w:pPr>
              <w:ind w:left="120"/>
              <w:spacing w:after="0"/>
              <w:rPr>
                <w:sz w:val="20"/>
                <w:szCs w:val="20"/>
                <w:color w:val="auto"/>
              </w:rPr>
            </w:pPr>
            <w:r>
              <w:rPr>
                <w:rFonts w:ascii="Arial" w:cs="Arial" w:eastAsia="Arial" w:hAnsi="Arial"/>
                <w:sz w:val="15"/>
                <w:szCs w:val="15"/>
                <w:color w:val="auto"/>
              </w:rPr>
              <w:t>Total common stock repurchases (1)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4,058</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19.96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81,000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line="284" w:lineRule="auto"/>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Subsequent to September 25, 2022, the Company repurchased 682 thousand shares of its common stock for $13.8 million under a Rule 10b5-1 plan through October 28, 2022.</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Dividends - </w:t>
      </w:r>
      <w:r>
        <w:rPr>
          <w:rFonts w:ascii="Arial" w:cs="Arial" w:eastAsia="Arial" w:hAnsi="Arial"/>
          <w:sz w:val="19"/>
          <w:szCs w:val="19"/>
          <w:color w:val="auto"/>
        </w:rPr>
        <w:t>The Company declared and paid dividends per share during fiscal year 2022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DIVIDENDS PER</w:t>
            </w:r>
          </w:p>
        </w:tc>
        <w:tc>
          <w:tcPr>
            <w:tcW w:w="260" w:type="dxa"/>
            <w:vAlign w:val="bottom"/>
          </w:tcPr>
          <w:p>
            <w:pPr>
              <w:spacing w:after="0"/>
              <w:rPr>
                <w:sz w:val="14"/>
                <w:szCs w:val="14"/>
                <w:color w:val="auto"/>
              </w:rPr>
            </w:pPr>
          </w:p>
        </w:tc>
        <w:tc>
          <w:tcPr>
            <w:tcW w:w="1200" w:type="dxa"/>
            <w:vAlign w:val="bottom"/>
            <w:vMerge w:val="restart"/>
          </w:tcPr>
          <w:p>
            <w:pPr>
              <w:jc w:val="right"/>
              <w:ind w:right="34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8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SHARE</w:t>
            </w:r>
          </w:p>
        </w:tc>
        <w:tc>
          <w:tcPr>
            <w:tcW w:w="2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First fiscal quarter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12,559</w:t>
            </w:r>
          </w:p>
        </w:tc>
        <w:tc>
          <w:tcPr>
            <w:tcW w:w="0" w:type="dxa"/>
            <w:vAlign w:val="bottom"/>
          </w:tcPr>
          <w:p>
            <w:pPr>
              <w:spacing w:after="0"/>
              <w:rPr>
                <w:sz w:val="1"/>
                <w:szCs w:val="1"/>
                <w:color w:val="auto"/>
              </w:rPr>
            </w:pPr>
          </w:p>
        </w:tc>
      </w:tr>
      <w:tr>
        <w:trPr>
          <w:trHeight w:val="203"/>
        </w:trPr>
        <w:tc>
          <w:tcPr>
            <w:tcW w:w="8220" w:type="dxa"/>
            <w:vAlign w:val="bottom"/>
          </w:tcPr>
          <w:p>
            <w:pPr>
              <w:ind w:left="20"/>
              <w:spacing w:after="0"/>
              <w:rPr>
                <w:sz w:val="20"/>
                <w:szCs w:val="20"/>
                <w:color w:val="auto"/>
              </w:rPr>
            </w:pPr>
            <w:r>
              <w:rPr>
                <w:rFonts w:ascii="Arial" w:cs="Arial" w:eastAsia="Arial" w:hAnsi="Arial"/>
                <w:sz w:val="15"/>
                <w:szCs w:val="15"/>
                <w:color w:val="auto"/>
              </w:rPr>
              <w:t>Second fiscal quarter</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0.14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12,418</w:t>
            </w:r>
          </w:p>
        </w:tc>
        <w:tc>
          <w:tcPr>
            <w:tcW w:w="0" w:type="dxa"/>
            <w:vAlign w:val="bottom"/>
          </w:tcPr>
          <w:p>
            <w:pPr>
              <w:spacing w:after="0"/>
              <w:rPr>
                <w:sz w:val="1"/>
                <w:szCs w:val="1"/>
                <w:color w:val="auto"/>
              </w:rPr>
            </w:pPr>
          </w:p>
        </w:tc>
      </w:tr>
      <w:tr>
        <w:trPr>
          <w:trHeight w:val="20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Third fiscal quarter</w:t>
            </w: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12,475</w:t>
            </w:r>
          </w:p>
        </w:tc>
        <w:tc>
          <w:tcPr>
            <w:tcW w:w="0" w:type="dxa"/>
            <w:vAlign w:val="bottom"/>
          </w:tcPr>
          <w:p>
            <w:pPr>
              <w:spacing w:after="0"/>
              <w:rPr>
                <w:sz w:val="1"/>
                <w:szCs w:val="1"/>
                <w:color w:val="auto"/>
              </w:rPr>
            </w:pPr>
          </w:p>
        </w:tc>
      </w:tr>
      <w:tr>
        <w:trPr>
          <w:trHeight w:val="206"/>
        </w:trPr>
        <w:tc>
          <w:tcPr>
            <w:tcW w:w="8220" w:type="dxa"/>
            <w:vAlign w:val="bottom"/>
          </w:tcPr>
          <w:p>
            <w:pPr>
              <w:ind w:left="120"/>
              <w:spacing w:after="0"/>
              <w:rPr>
                <w:sz w:val="20"/>
                <w:szCs w:val="20"/>
                <w:color w:val="auto"/>
              </w:rPr>
            </w:pPr>
            <w:r>
              <w:rPr>
                <w:rFonts w:ascii="Arial" w:cs="Arial" w:eastAsia="Arial" w:hAnsi="Arial"/>
                <w:sz w:val="15"/>
                <w:szCs w:val="15"/>
                <w:color w:val="auto"/>
              </w:rPr>
              <w:t>Total cash dividends declared and paid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37,452</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 October 2022, the Board declared a quarterly cash dividend of $0.14 per share, payable on November 23, 2022 to shareholders of record at the close of business on November 9, 2022.</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Accumulated Other Comprehensive Loss (“AOCL”) - </w:t>
      </w:r>
      <w:r>
        <w:rPr>
          <w:rFonts w:ascii="Arial" w:cs="Arial" w:eastAsia="Arial" w:hAnsi="Arial"/>
          <w:sz w:val="19"/>
          <w:szCs w:val="19"/>
          <w:color w:val="auto"/>
        </w:rPr>
        <w:t>Following are the components of AOCL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25, 2022</w:t>
            </w:r>
          </w:p>
        </w:tc>
        <w:tc>
          <w:tcPr>
            <w:tcW w:w="200" w:type="dxa"/>
            <w:vAlign w:val="bottom"/>
          </w:tcPr>
          <w:p>
            <w:pPr>
              <w:spacing w:after="0"/>
              <w:rPr>
                <w:sz w:val="18"/>
                <w:szCs w:val="18"/>
                <w:color w:val="auto"/>
              </w:rPr>
            </w:pPr>
          </w:p>
        </w:tc>
        <w:tc>
          <w:tcPr>
            <w:tcW w:w="1760" w:type="dxa"/>
            <w:vAlign w:val="bottom"/>
          </w:tcPr>
          <w:p>
            <w:pPr>
              <w:jc w:val="right"/>
              <w:ind w:right="245"/>
              <w:spacing w:after="0"/>
              <w:rPr>
                <w:sz w:val="20"/>
                <w:szCs w:val="20"/>
                <w:color w:val="auto"/>
              </w:rPr>
            </w:pPr>
            <w:r>
              <w:rPr>
                <w:rFonts w:ascii="Arial" w:cs="Arial" w:eastAsia="Arial" w:hAnsi="Arial"/>
                <w:sz w:val="14"/>
                <w:szCs w:val="14"/>
                <w:b w:val="1"/>
                <w:bCs w:val="1"/>
                <w:color w:val="auto"/>
              </w:rPr>
              <w:t>DECEMBER 26, 2021</w:t>
            </w:r>
          </w:p>
        </w:tc>
      </w:tr>
      <w:tr>
        <w:trPr>
          <w:trHeight w:val="206"/>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(185,298)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(195,480)</w:t>
            </w:r>
          </w:p>
        </w:tc>
      </w:tr>
      <w:tr>
        <w:trPr>
          <w:trHeight w:val="21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Unrealized loss on derivatives, net of tax</w:t>
            </w: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(10,509)</w:t>
            </w:r>
          </w:p>
        </w:tc>
      </w:tr>
      <w:tr>
        <w:trPr>
          <w:trHeight w:val="231"/>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(186,840)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(205,989)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Following are the components of Other comprehensive (loss) income attributable to Bloomin’ Brands for the periods indicated: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gridSpan w:val="3"/>
          </w:tcPr>
          <w:p>
            <w:pPr>
              <w:jc w:val="right"/>
              <w:ind w:right="26"/>
              <w:spacing w:after="0"/>
              <w:rPr>
                <w:sz w:val="20"/>
                <w:szCs w:val="20"/>
                <w:color w:val="auto"/>
              </w:rPr>
            </w:pPr>
            <w:r>
              <w:rPr>
                <w:rFonts w:ascii="Arial" w:cs="Arial" w:eastAsia="Arial" w:hAnsi="Arial"/>
                <w:sz w:val="14"/>
                <w:szCs w:val="14"/>
                <w:b w:val="1"/>
                <w:bCs w:val="1"/>
                <w:color w:val="auto"/>
              </w:rPr>
              <w:t>THIRTEEN WEEKS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4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540" w:type="dxa"/>
            <w:vAlign w:val="bottom"/>
            <w:gridSpan w:val="3"/>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100" w:type="dxa"/>
            <w:vAlign w:val="bottom"/>
            <w:vMerge w:val="continue"/>
          </w:tcPr>
          <w:p>
            <w:pPr>
              <w:spacing w:after="0"/>
              <w:rPr>
                <w:sz w:val="17"/>
                <w:szCs w:val="17"/>
                <w:color w:val="auto"/>
              </w:rPr>
            </w:pPr>
          </w:p>
        </w:tc>
        <w:tc>
          <w:tcPr>
            <w:tcW w:w="154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00" w:type="dxa"/>
            <w:vAlign w:val="bottom"/>
          </w:tcPr>
          <w:p>
            <w:pPr>
              <w:spacing w:after="0"/>
              <w:rPr>
                <w:sz w:val="17"/>
                <w:szCs w:val="17"/>
                <w:color w:val="auto"/>
              </w:rPr>
            </w:pPr>
          </w:p>
        </w:tc>
        <w:tc>
          <w:tcPr>
            <w:tcW w:w="154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0" w:type="dxa"/>
            <w:vAlign w:val="bottom"/>
          </w:tcPr>
          <w:p>
            <w:pPr>
              <w:spacing w:after="0"/>
              <w:rPr>
                <w:sz w:val="1"/>
                <w:szCs w:val="1"/>
                <w:color w:val="auto"/>
              </w:rPr>
            </w:pPr>
          </w:p>
        </w:tc>
      </w:tr>
      <w:tr>
        <w:trPr>
          <w:trHeight w:val="20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(13,041)</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10,182</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5,113</w:t>
            </w:r>
          </w:p>
        </w:tc>
        <w:tc>
          <w:tcPr>
            <w:tcW w:w="0" w:type="dxa"/>
            <w:vAlign w:val="bottom"/>
          </w:tcPr>
          <w:p>
            <w:pPr>
              <w:spacing w:after="0"/>
              <w:rPr>
                <w:sz w:val="1"/>
                <w:szCs w:val="1"/>
                <w:color w:val="auto"/>
              </w:rPr>
            </w:pPr>
          </w:p>
        </w:tc>
      </w:tr>
      <w:tr>
        <w:trPr>
          <w:trHeight w:val="245"/>
        </w:trPr>
        <w:tc>
          <w:tcPr>
            <w:tcW w:w="5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Unrealized (loss) gain on derivatives, net of tax</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573</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w:t>
            </w:r>
          </w:p>
        </w:tc>
        <w:tc>
          <w:tcPr>
            <w:tcW w:w="0" w:type="dxa"/>
            <w:vAlign w:val="bottom"/>
          </w:tcPr>
          <w:p>
            <w:pPr>
              <w:spacing w:after="0"/>
              <w:rPr>
                <w:sz w:val="1"/>
                <w:szCs w:val="1"/>
                <w:color w:val="auto"/>
              </w:rPr>
            </w:pPr>
          </w:p>
        </w:tc>
      </w:tr>
      <w:tr>
        <w:trPr>
          <w:trHeight w:val="160"/>
        </w:trPr>
        <w:tc>
          <w:tcPr>
            <w:tcW w:w="5100" w:type="dxa"/>
            <w:vAlign w:val="bottom"/>
          </w:tcPr>
          <w:p>
            <w:pPr>
              <w:ind w:left="20"/>
              <w:spacing w:after="0" w:line="160" w:lineRule="exact"/>
              <w:rPr>
                <w:sz w:val="20"/>
                <w:szCs w:val="20"/>
                <w:color w:val="auto"/>
              </w:rPr>
            </w:pPr>
            <w:r>
              <w:rPr>
                <w:rFonts w:ascii="Arial" w:cs="Arial" w:eastAsia="Arial" w:hAnsi="Arial"/>
                <w:sz w:val="15"/>
                <w:szCs w:val="15"/>
                <w:color w:val="auto"/>
                <w:w w:val="98"/>
              </w:rPr>
              <w:t>Reclassification of adjustments for loss on derivatives included in Net income,</w:t>
            </w:r>
          </w:p>
        </w:tc>
        <w:tc>
          <w:tcPr>
            <w:tcW w:w="360" w:type="dxa"/>
            <w:vAlign w:val="bottom"/>
          </w:tcPr>
          <w:p>
            <w:pPr>
              <w:spacing w:after="0"/>
              <w:rPr>
                <w:sz w:val="13"/>
                <w:szCs w:val="13"/>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1,519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color w:val="auto"/>
              </w:rPr>
              <w:t>954</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6,036</w:t>
            </w:r>
          </w:p>
        </w:tc>
        <w:tc>
          <w:tcPr>
            <w:tcW w:w="0" w:type="dxa"/>
            <w:vAlign w:val="bottom"/>
          </w:tcPr>
          <w:p>
            <w:pPr>
              <w:spacing w:after="0"/>
              <w:rPr>
                <w:sz w:val="1"/>
                <w:szCs w:val="1"/>
                <w:color w:val="auto"/>
              </w:rPr>
            </w:pPr>
          </w:p>
        </w:tc>
      </w:tr>
      <w:tr>
        <w:trPr>
          <w:trHeight w:val="199"/>
        </w:trPr>
        <w:tc>
          <w:tcPr>
            <w:tcW w:w="5100" w:type="dxa"/>
            <w:vAlign w:val="bottom"/>
          </w:tcPr>
          <w:p>
            <w:pPr>
              <w:ind w:left="20"/>
              <w:spacing w:after="0"/>
              <w:rPr>
                <w:sz w:val="20"/>
                <w:szCs w:val="20"/>
                <w:color w:val="auto"/>
              </w:rPr>
            </w:pPr>
            <w:r>
              <w:rPr>
                <w:rFonts w:ascii="Arial" w:cs="Arial" w:eastAsia="Arial" w:hAnsi="Arial"/>
                <w:sz w:val="15"/>
                <w:szCs w:val="15"/>
                <w:color w:val="auto"/>
              </w:rPr>
              <w:t>net of tax (1)</w:t>
            </w:r>
          </w:p>
        </w:tc>
        <w:tc>
          <w:tcPr>
            <w:tcW w:w="3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8"/>
              </w:rPr>
              <w:t>Impact of terminated interest rate swaps included in Net income, net of tax (1)</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2,255</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7,440</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2,950</w:t>
            </w:r>
          </w:p>
        </w:tc>
        <w:tc>
          <w:tcPr>
            <w:tcW w:w="0" w:type="dxa"/>
            <w:vAlign w:val="bottom"/>
          </w:tcPr>
          <w:p>
            <w:pPr>
              <w:spacing w:after="0"/>
              <w:rPr>
                <w:sz w:val="1"/>
                <w:szCs w:val="1"/>
                <w:color w:val="auto"/>
              </w:rPr>
            </w:pPr>
          </w:p>
        </w:tc>
      </w:tr>
      <w:tr>
        <w:trPr>
          <w:trHeight w:val="185"/>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Total gain on derivatives, net of tax</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2,255</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8,967</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8,663</w:t>
            </w:r>
          </w:p>
        </w:tc>
        <w:tc>
          <w:tcPr>
            <w:tcW w:w="0" w:type="dxa"/>
            <w:vAlign w:val="bottom"/>
          </w:tcPr>
          <w:p>
            <w:pPr>
              <w:spacing w:after="0"/>
              <w:rPr>
                <w:sz w:val="1"/>
                <w:szCs w:val="1"/>
                <w:color w:val="auto"/>
              </w:rPr>
            </w:pPr>
          </w:p>
        </w:tc>
      </w:tr>
      <w:tr>
        <w:trPr>
          <w:trHeight w:val="231"/>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comprehensive (loss) income attributable to Bloomin’ Brands</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(10,786)</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4,518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19,149</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13,776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 xml:space="preserve">See Note 11 - </w:t>
      </w:r>
      <w:r>
        <w:rPr>
          <w:rFonts w:ascii="Arial" w:cs="Arial" w:eastAsia="Arial" w:hAnsi="Arial"/>
          <w:sz w:val="15"/>
          <w:szCs w:val="15"/>
          <w:i w:val="1"/>
          <w:iCs w:val="1"/>
          <w:color w:val="auto"/>
        </w:rPr>
        <w:t>Derivative Instruments and Hedging Activities</w:t>
      </w:r>
      <w:r>
        <w:rPr>
          <w:rFonts w:ascii="Arial" w:cs="Arial" w:eastAsia="Arial" w:hAnsi="Arial"/>
          <w:sz w:val="15"/>
          <w:szCs w:val="15"/>
          <w:color w:val="auto"/>
        </w:rPr>
        <w:t xml:space="preserve"> for the tax impact of reclassifications and the terminated swaps.</w:t>
      </w:r>
    </w:p>
    <w:p>
      <w:pPr>
        <w:spacing w:after="0" w:line="23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color w:val="auto"/>
        </w:rPr>
        <w:t>Derivative Instruments and Hedging Activities</w:t>
      </w:r>
    </w:p>
    <w:p>
      <w:pPr>
        <w:spacing w:after="0" w:line="23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auto"/>
        </w:rPr>
        <w:t xml:space="preserve">Cash Flow Hedges of Interest Rate Risk - </w:t>
      </w:r>
      <w:r>
        <w:rPr>
          <w:rFonts w:ascii="Arial" w:cs="Arial" w:eastAsia="Arial" w:hAnsi="Arial"/>
          <w:sz w:val="18"/>
          <w:szCs w:val="18"/>
          <w:color w:val="auto"/>
        </w:rPr>
        <w:t>In October 2018, the Company entered into variable-to-fixed interest rate swap agreements with 12</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hedge a portion of the cash flows of the Company’s variable rate debt. The swap agreements had an aggregate notional amount of $550.0 million and mature on November 30, 2022. Under the terms of the swap agreements, the Company paid a weighted average fixed rate of 3.04% on the notional amount and received payments from the counterparty based on one-month LIBOR. During 2021, the Company terminated its variable-to-fixed interest rate swap agreements with certain counterparties and as a result, as of December 26, 2021 had interest rate swap agreements remaining with two counterparties for an aggregate notional amount of $125.0 million.</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 connection with the Amended Credit Agreement, on April 26, 2022 the Company terminated its remaining variable-to-fixed interest rate swap agreements. Following these terminations, the unrealized loss related to the terminated swap agreements included in Accumulated other comprehensive loss is amortized to Interest expense, net during 2022.</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The Company’s swap agreements were designated and qualified as cash flow hedges, recognized on its Consolidated Balance Sheet at fair value as of December 26, 2021 and classified based on the instruments’ maturity dates. As of September 25, 2022, the Company estimated $2.2 million of interest expense from the terminated swap agreements will be reclassified to Interest expense, net through the November 2022 maturity date of the swaps.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fair value and classification of the Company’s swap agreements as of the period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26, 2021</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7"/>
              </w:rPr>
              <w:t>CONSOLIDATED BALANCE SHEET</w:t>
            </w:r>
          </w:p>
        </w:tc>
        <w:tc>
          <w:tcPr>
            <w:tcW w:w="0" w:type="dxa"/>
            <w:vAlign w:val="bottom"/>
          </w:tcPr>
          <w:p>
            <w:pPr>
              <w:spacing w:after="0"/>
              <w:rPr>
                <w:sz w:val="1"/>
                <w:szCs w:val="1"/>
                <w:color w:val="auto"/>
              </w:rPr>
            </w:pPr>
          </w:p>
        </w:tc>
      </w:tr>
      <w:tr>
        <w:trPr>
          <w:trHeight w:val="183"/>
        </w:trPr>
        <w:tc>
          <w:tcPr>
            <w:tcW w:w="62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8"/>
              </w:rPr>
              <w:t>CLASSIFICATION</w:t>
            </w:r>
          </w:p>
        </w:tc>
        <w:tc>
          <w:tcPr>
            <w:tcW w:w="0" w:type="dxa"/>
            <w:vAlign w:val="bottom"/>
          </w:tcPr>
          <w:p>
            <w:pPr>
              <w:spacing w:after="0"/>
              <w:rPr>
                <w:sz w:val="1"/>
                <w:szCs w:val="1"/>
                <w:color w:val="auto"/>
              </w:rPr>
            </w:pPr>
          </w:p>
        </w:tc>
      </w:tr>
      <w:tr>
        <w:trPr>
          <w:trHeight w:val="206"/>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rate swaps - liability (1)</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3,056</w:t>
            </w:r>
          </w:p>
        </w:tc>
        <w:tc>
          <w:tcPr>
            <w:tcW w:w="10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Accrued and other current liabilities</w:t>
            </w:r>
          </w:p>
        </w:tc>
        <w:tc>
          <w:tcPr>
            <w:tcW w:w="0" w:type="dxa"/>
            <w:vAlign w:val="bottom"/>
          </w:tcPr>
          <w:p>
            <w:pPr>
              <w:spacing w:after="0"/>
              <w:rPr>
                <w:sz w:val="1"/>
                <w:szCs w:val="1"/>
                <w:color w:val="auto"/>
              </w:rPr>
            </w:pPr>
          </w:p>
        </w:tc>
      </w:tr>
      <w:tr>
        <w:trPr>
          <w:trHeight w:val="201"/>
        </w:trPr>
        <w:tc>
          <w:tcPr>
            <w:tcW w:w="6220" w:type="dxa"/>
            <w:vAlign w:val="bottom"/>
          </w:tcPr>
          <w:p>
            <w:pPr>
              <w:ind w:left="20"/>
              <w:spacing w:after="0"/>
              <w:rPr>
                <w:sz w:val="20"/>
                <w:szCs w:val="20"/>
                <w:color w:val="auto"/>
              </w:rPr>
            </w:pPr>
            <w:r>
              <w:rPr>
                <w:rFonts w:ascii="Arial" w:cs="Arial" w:eastAsia="Arial" w:hAnsi="Arial"/>
                <w:sz w:val="15"/>
                <w:szCs w:val="15"/>
                <w:color w:val="auto"/>
              </w:rPr>
              <w:t>Accrued interest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276</w:t>
            </w: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5"/>
                <w:szCs w:val="15"/>
                <w:color w:val="auto"/>
              </w:rPr>
              <w:t>Accrued and other current liabilities</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 xml:space="preserve">See Note 13 -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for fair value discussion of the interest rate swaps.</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effects of the swap agreements on Net income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20" w:type="dxa"/>
            <w:vAlign w:val="bottom"/>
            <w:gridSpan w:val="3"/>
          </w:tcPr>
          <w:p>
            <w:pPr>
              <w:jc w:val="right"/>
              <w:ind w:right="4"/>
              <w:spacing w:after="0"/>
              <w:rPr>
                <w:sz w:val="20"/>
                <w:szCs w:val="20"/>
                <w:color w:val="auto"/>
              </w:rPr>
            </w:pPr>
            <w:r>
              <w:rPr>
                <w:rFonts w:ascii="Arial" w:cs="Arial" w:eastAsia="Arial" w:hAnsi="Arial"/>
                <w:sz w:val="14"/>
                <w:szCs w:val="14"/>
                <w:b w:val="1"/>
                <w:bCs w:val="1"/>
                <w:color w:val="auto"/>
              </w:rPr>
              <w:t>THIRTEEN WEEKS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100" w:type="dxa"/>
            <w:vAlign w:val="bottom"/>
            <w:vMerge w:val="continue"/>
          </w:tcPr>
          <w:p>
            <w:pPr>
              <w:spacing w:after="0"/>
              <w:rPr>
                <w:sz w:val="17"/>
                <w:szCs w:val="17"/>
                <w:color w:val="auto"/>
              </w:rPr>
            </w:pP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00" w:type="dxa"/>
            <w:vAlign w:val="bottom"/>
          </w:tcPr>
          <w:p>
            <w:pPr>
              <w:spacing w:after="0"/>
              <w:rPr>
                <w:sz w:val="17"/>
                <w:szCs w:val="17"/>
                <w:color w:val="auto"/>
              </w:rPr>
            </w:pP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SEPTEMBER 26, 2021</w:t>
            </w:r>
          </w:p>
        </w:tc>
        <w:tc>
          <w:tcPr>
            <w:tcW w:w="0" w:type="dxa"/>
            <w:vAlign w:val="bottom"/>
          </w:tcPr>
          <w:p>
            <w:pPr>
              <w:spacing w:after="0"/>
              <w:rPr>
                <w:sz w:val="1"/>
                <w:szCs w:val="1"/>
                <w:color w:val="auto"/>
              </w:rPr>
            </w:pPr>
          </w:p>
        </w:tc>
      </w:tr>
      <w:tr>
        <w:trPr>
          <w:trHeight w:val="19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rate swap agreements:</w:t>
            </w:r>
          </w:p>
        </w:tc>
        <w:tc>
          <w:tcPr>
            <w:tcW w:w="3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20"/>
              <w:spacing w:after="0"/>
              <w:rPr>
                <w:sz w:val="20"/>
                <w:szCs w:val="20"/>
                <w:color w:val="auto"/>
              </w:rPr>
            </w:pPr>
            <w:r>
              <w:rPr>
                <w:rFonts w:ascii="Arial" w:cs="Arial" w:eastAsia="Arial" w:hAnsi="Arial"/>
                <w:sz w:val="15"/>
                <w:szCs w:val="15"/>
                <w:color w:val="auto"/>
              </w:rPr>
              <w:t>Interest rate swap expense recognized in Interest expense, net</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744"/>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(2,045)</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(1,284)</w:t>
            </w:r>
          </w:p>
        </w:tc>
        <w:tc>
          <w:tcPr>
            <w:tcW w:w="100" w:type="dxa"/>
            <w:vAlign w:val="bottom"/>
          </w:tcPr>
          <w:p>
            <w:pPr>
              <w:spacing w:after="0"/>
              <w:rPr>
                <w:sz w:val="17"/>
                <w:szCs w:val="17"/>
                <w:color w:val="auto"/>
              </w:rPr>
            </w:pPr>
          </w:p>
        </w:tc>
        <w:tc>
          <w:tcPr>
            <w:tcW w:w="960" w:type="dxa"/>
            <w:vAlign w:val="bottom"/>
          </w:tcPr>
          <w:p>
            <w:pPr>
              <w:jc w:val="right"/>
              <w:ind w:right="784"/>
              <w:spacing w:after="0"/>
              <w:rPr>
                <w:sz w:val="20"/>
                <w:szCs w:val="20"/>
                <w:color w:val="auto"/>
              </w:rPr>
            </w:pPr>
            <w:r>
              <w:rPr>
                <w:rFonts w:ascii="Arial" w:cs="Arial" w:eastAsia="Arial" w:hAnsi="Arial"/>
                <w:sz w:val="15"/>
                <w:szCs w:val="15"/>
                <w:color w:val="auto"/>
                <w:w w:val="95"/>
              </w:rPr>
              <w:t>$</w:t>
            </w:r>
          </w:p>
        </w:tc>
        <w:tc>
          <w:tcPr>
            <w:tcW w:w="500" w:type="dxa"/>
            <w:vAlign w:val="bottom"/>
          </w:tcPr>
          <w:p>
            <w:pPr>
              <w:jc w:val="center"/>
              <w:spacing w:after="0"/>
              <w:rPr>
                <w:sz w:val="20"/>
                <w:szCs w:val="20"/>
                <w:color w:val="auto"/>
              </w:rPr>
            </w:pPr>
            <w:r>
              <w:rPr>
                <w:rFonts w:ascii="Arial" w:cs="Arial" w:eastAsia="Arial" w:hAnsi="Arial"/>
                <w:sz w:val="15"/>
                <w:szCs w:val="15"/>
                <w:color w:val="auto"/>
                <w:w w:val="96"/>
              </w:rPr>
              <w:t>(8,127)</w:t>
            </w:r>
          </w:p>
        </w:tc>
        <w:tc>
          <w:tcPr>
            <w:tcW w:w="0" w:type="dxa"/>
            <w:vAlign w:val="bottom"/>
          </w:tcPr>
          <w:p>
            <w:pPr>
              <w:spacing w:after="0"/>
              <w:rPr>
                <w:sz w:val="1"/>
                <w:szCs w:val="1"/>
                <w:color w:val="auto"/>
              </w:rPr>
            </w:pPr>
          </w:p>
        </w:tc>
      </w:tr>
      <w:tr>
        <w:trPr>
          <w:trHeight w:val="215"/>
        </w:trPr>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Income tax benefit recognized in Provision (benefit) for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2,091</w:t>
            </w:r>
          </w:p>
        </w:tc>
        <w:tc>
          <w:tcPr>
            <w:tcW w:w="0" w:type="dxa"/>
            <w:vAlign w:val="bottom"/>
          </w:tcPr>
          <w:p>
            <w:pPr>
              <w:spacing w:after="0"/>
              <w:rPr>
                <w:sz w:val="1"/>
                <w:szCs w:val="1"/>
                <w:color w:val="auto"/>
              </w:rPr>
            </w:pPr>
          </w:p>
        </w:tc>
      </w:tr>
      <w:tr>
        <w:trPr>
          <w:trHeight w:val="212"/>
        </w:trPr>
        <w:tc>
          <w:tcPr>
            <w:tcW w:w="5100" w:type="dxa"/>
            <w:vAlign w:val="bottom"/>
          </w:tcPr>
          <w:p>
            <w:pPr>
              <w:ind w:left="240"/>
              <w:spacing w:after="0"/>
              <w:rPr>
                <w:sz w:val="20"/>
                <w:szCs w:val="20"/>
                <w:color w:val="auto"/>
              </w:rPr>
            </w:pPr>
            <w:r>
              <w:rPr>
                <w:rFonts w:ascii="Arial" w:cs="Arial" w:eastAsia="Arial" w:hAnsi="Arial"/>
                <w:sz w:val="15"/>
                <w:szCs w:val="15"/>
                <w:color w:val="auto"/>
              </w:rPr>
              <w:t>Net effects of interest rate swap agreements</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744"/>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(1,519)</w:t>
            </w:r>
          </w:p>
        </w:tc>
        <w:tc>
          <w:tcPr>
            <w:tcW w:w="100" w:type="dxa"/>
            <w:vAlign w:val="bottom"/>
          </w:tcPr>
          <w:p>
            <w:pPr>
              <w:spacing w:after="0"/>
              <w:rPr>
                <w:sz w:val="18"/>
                <w:szCs w:val="18"/>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(954)</w:t>
            </w:r>
          </w:p>
        </w:tc>
        <w:tc>
          <w:tcPr>
            <w:tcW w:w="100" w:type="dxa"/>
            <w:vAlign w:val="bottom"/>
          </w:tcPr>
          <w:p>
            <w:pPr>
              <w:spacing w:after="0"/>
              <w:rPr>
                <w:sz w:val="18"/>
                <w:szCs w:val="18"/>
                <w:color w:val="auto"/>
              </w:rPr>
            </w:pPr>
          </w:p>
        </w:tc>
        <w:tc>
          <w:tcPr>
            <w:tcW w:w="960" w:type="dxa"/>
            <w:vAlign w:val="bottom"/>
          </w:tcPr>
          <w:p>
            <w:pPr>
              <w:jc w:val="right"/>
              <w:ind w:right="784"/>
              <w:spacing w:after="0"/>
              <w:rPr>
                <w:sz w:val="20"/>
                <w:szCs w:val="20"/>
                <w:color w:val="auto"/>
              </w:rPr>
            </w:pPr>
            <w:r>
              <w:rPr>
                <w:rFonts w:ascii="Arial" w:cs="Arial" w:eastAsia="Arial" w:hAnsi="Arial"/>
                <w:sz w:val="15"/>
                <w:szCs w:val="15"/>
                <w:color w:val="auto"/>
                <w:w w:val="95"/>
              </w:rPr>
              <w:t>$</w:t>
            </w:r>
          </w:p>
        </w:tc>
        <w:tc>
          <w:tcPr>
            <w:tcW w:w="500" w:type="dxa"/>
            <w:vAlign w:val="bottom"/>
          </w:tcPr>
          <w:p>
            <w:pPr>
              <w:jc w:val="center"/>
              <w:spacing w:after="0"/>
              <w:rPr>
                <w:sz w:val="20"/>
                <w:szCs w:val="20"/>
                <w:color w:val="auto"/>
              </w:rPr>
            </w:pPr>
            <w:r>
              <w:rPr>
                <w:rFonts w:ascii="Arial" w:cs="Arial" w:eastAsia="Arial" w:hAnsi="Arial"/>
                <w:sz w:val="15"/>
                <w:szCs w:val="15"/>
                <w:color w:val="auto"/>
                <w:w w:val="96"/>
              </w:rPr>
              <w:t>(6,036)</w:t>
            </w:r>
          </w:p>
        </w:tc>
        <w:tc>
          <w:tcPr>
            <w:tcW w:w="0" w:type="dxa"/>
            <w:vAlign w:val="bottom"/>
          </w:tcPr>
          <w:p>
            <w:pPr>
              <w:spacing w:after="0"/>
              <w:rPr>
                <w:sz w:val="1"/>
                <w:szCs w:val="1"/>
                <w:color w:val="auto"/>
              </w:rPr>
            </w:pPr>
          </w:p>
        </w:tc>
      </w:tr>
      <w:tr>
        <w:trPr>
          <w:trHeight w:val="19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Terminated interest rate swap agreements:</w:t>
            </w:r>
          </w:p>
        </w:tc>
        <w:tc>
          <w:tcPr>
            <w:tcW w:w="3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20"/>
              <w:spacing w:after="0"/>
              <w:rPr>
                <w:sz w:val="20"/>
                <w:szCs w:val="20"/>
                <w:color w:val="auto"/>
              </w:rPr>
            </w:pPr>
            <w:r>
              <w:rPr>
                <w:rFonts w:ascii="Arial" w:cs="Arial" w:eastAsia="Arial" w:hAnsi="Arial"/>
                <w:sz w:val="15"/>
                <w:szCs w:val="15"/>
                <w:color w:val="auto"/>
                <w:w w:val="99"/>
              </w:rPr>
              <w:t>Terminated interest rate swap expense recognized in Interest expense, net</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(3,034)</w:t>
            </w:r>
          </w:p>
        </w:tc>
        <w:tc>
          <w:tcPr>
            <w:tcW w:w="100" w:type="dxa"/>
            <w:vAlign w:val="bottom"/>
          </w:tcPr>
          <w:p>
            <w:pPr>
              <w:spacing w:after="0"/>
              <w:rPr>
                <w:sz w:val="17"/>
                <w:szCs w:val="17"/>
                <w:color w:val="auto"/>
              </w:rPr>
            </w:pPr>
          </w:p>
        </w:tc>
        <w:tc>
          <w:tcPr>
            <w:tcW w:w="920" w:type="dxa"/>
            <w:vAlign w:val="bottom"/>
          </w:tcPr>
          <w:p>
            <w:pPr>
              <w:jc w:val="right"/>
              <w:ind w:right="744"/>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(1,992)</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(10,014)</w:t>
            </w:r>
          </w:p>
        </w:tc>
        <w:tc>
          <w:tcPr>
            <w:tcW w:w="100" w:type="dxa"/>
            <w:vAlign w:val="bottom"/>
          </w:tcPr>
          <w:p>
            <w:pPr>
              <w:spacing w:after="0"/>
              <w:rPr>
                <w:sz w:val="17"/>
                <w:szCs w:val="17"/>
                <w:color w:val="auto"/>
              </w:rPr>
            </w:pPr>
          </w:p>
        </w:tc>
        <w:tc>
          <w:tcPr>
            <w:tcW w:w="960" w:type="dxa"/>
            <w:vAlign w:val="bottom"/>
          </w:tcPr>
          <w:p>
            <w:pPr>
              <w:jc w:val="right"/>
              <w:ind w:right="784"/>
              <w:spacing w:after="0"/>
              <w:rPr>
                <w:sz w:val="20"/>
                <w:szCs w:val="20"/>
                <w:color w:val="auto"/>
              </w:rPr>
            </w:pPr>
            <w:r>
              <w:rPr>
                <w:rFonts w:ascii="Arial" w:cs="Arial" w:eastAsia="Arial" w:hAnsi="Arial"/>
                <w:sz w:val="15"/>
                <w:szCs w:val="15"/>
                <w:color w:val="auto"/>
                <w:w w:val="95"/>
              </w:rPr>
              <w:t>$</w:t>
            </w:r>
          </w:p>
        </w:tc>
        <w:tc>
          <w:tcPr>
            <w:tcW w:w="500" w:type="dxa"/>
            <w:vAlign w:val="bottom"/>
          </w:tcPr>
          <w:p>
            <w:pPr>
              <w:jc w:val="center"/>
              <w:spacing w:after="0"/>
              <w:rPr>
                <w:sz w:val="20"/>
                <w:szCs w:val="20"/>
                <w:color w:val="auto"/>
              </w:rPr>
            </w:pPr>
            <w:r>
              <w:rPr>
                <w:rFonts w:ascii="Arial" w:cs="Arial" w:eastAsia="Arial" w:hAnsi="Arial"/>
                <w:sz w:val="15"/>
                <w:szCs w:val="15"/>
                <w:color w:val="auto"/>
                <w:w w:val="96"/>
              </w:rPr>
              <w:t>(3,973)</w:t>
            </w:r>
          </w:p>
        </w:tc>
        <w:tc>
          <w:tcPr>
            <w:tcW w:w="0" w:type="dxa"/>
            <w:vAlign w:val="bottom"/>
          </w:tcPr>
          <w:p>
            <w:pPr>
              <w:spacing w:after="0"/>
              <w:rPr>
                <w:sz w:val="1"/>
                <w:szCs w:val="1"/>
                <w:color w:val="auto"/>
              </w:rPr>
            </w:pPr>
          </w:p>
        </w:tc>
      </w:tr>
      <w:tr>
        <w:trPr>
          <w:trHeight w:val="215"/>
        </w:trPr>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Income tax benefit recognized in Provision (benefit) for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779</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2,574</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1,023</w:t>
            </w:r>
          </w:p>
        </w:tc>
        <w:tc>
          <w:tcPr>
            <w:tcW w:w="0" w:type="dxa"/>
            <w:vAlign w:val="bottom"/>
          </w:tcPr>
          <w:p>
            <w:pPr>
              <w:spacing w:after="0"/>
              <w:rPr>
                <w:sz w:val="1"/>
                <w:szCs w:val="1"/>
                <w:color w:val="auto"/>
              </w:rPr>
            </w:pPr>
          </w:p>
        </w:tc>
      </w:tr>
      <w:tr>
        <w:trPr>
          <w:trHeight w:val="212"/>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Net effects of terminated interest rate swap agreements</w:t>
            </w: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(2,255)</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744"/>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(7,440)</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(2,950)</w:t>
            </w:r>
          </w:p>
        </w:tc>
        <w:tc>
          <w:tcPr>
            <w:tcW w:w="0" w:type="dxa"/>
            <w:vAlign w:val="bottom"/>
          </w:tcPr>
          <w:p>
            <w:pPr>
              <w:spacing w:after="0"/>
              <w:rPr>
                <w:sz w:val="1"/>
                <w:szCs w:val="1"/>
                <w:color w:val="auto"/>
              </w:rPr>
            </w:pPr>
          </w:p>
        </w:tc>
      </w:tr>
      <w:tr>
        <w:trPr>
          <w:trHeight w:val="231"/>
        </w:trPr>
        <w:tc>
          <w:tcPr>
            <w:tcW w:w="5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net effects on Net income</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(2,255)</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(8,394)</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6"/>
              </w:rPr>
              <w:t>(8,986)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6"/>
          <w:szCs w:val="16"/>
          <w:color w:val="auto"/>
        </w:rPr>
        <w:t>Leases</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following table includes a detail of lease assets and liabilities included on the Company’s Consolidated Balance Sheets as of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9"/>
              </w:rPr>
              <w:t>CONSOLIDATED BALANCE SHEET CLASSIFICATION</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w w:val="98"/>
              </w:rPr>
              <w:t>SEPTEMBER 25, 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DECEMBER 26, 2021</w:t>
            </w:r>
          </w:p>
        </w:tc>
      </w:tr>
      <w:tr>
        <w:trPr>
          <w:trHeight w:val="206"/>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lease right-of-use assets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1,115,004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1,130,873</w:t>
            </w:r>
          </w:p>
        </w:tc>
      </w:tr>
      <w:tr>
        <w:trPr>
          <w:trHeight w:val="212"/>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Finance lease right-of-use assets (1)</w:t>
            </w:r>
          </w:p>
        </w:tc>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Property, fixtures and equipment, net</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2,074</w:t>
            </w:r>
          </w:p>
        </w:tc>
      </w:tr>
      <w:tr>
        <w:trPr>
          <w:trHeight w:val="228"/>
        </w:trPr>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lease assets, net</w:t>
            </w:r>
          </w:p>
        </w:tc>
        <w:tc>
          <w:tcPr>
            <w:tcW w:w="3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1,118,408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1,132,947</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34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6"/>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operating lease liabilities (2)</w:t>
            </w: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Accrued and other current liabilities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181,427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177,028</w:t>
            </w:r>
          </w:p>
        </w:tc>
      </w:tr>
      <w:tr>
        <w:trPr>
          <w:trHeight w:val="203"/>
        </w:trPr>
        <w:tc>
          <w:tcPr>
            <w:tcW w:w="3480" w:type="dxa"/>
            <w:vAlign w:val="bottom"/>
          </w:tcPr>
          <w:p>
            <w:pPr>
              <w:ind w:left="20"/>
              <w:spacing w:after="0"/>
              <w:rPr>
                <w:sz w:val="20"/>
                <w:szCs w:val="20"/>
                <w:color w:val="auto"/>
              </w:rPr>
            </w:pPr>
            <w:r>
              <w:rPr>
                <w:rFonts w:ascii="Arial" w:cs="Arial" w:eastAsia="Arial" w:hAnsi="Arial"/>
                <w:sz w:val="15"/>
                <w:szCs w:val="15"/>
                <w:color w:val="auto"/>
              </w:rPr>
              <w:t>Current finance lease liabilities</w:t>
            </w:r>
          </w:p>
        </w:tc>
        <w:tc>
          <w:tcPr>
            <w:tcW w:w="3720" w:type="dxa"/>
            <w:vAlign w:val="bottom"/>
            <w:gridSpan w:val="2"/>
          </w:tcPr>
          <w:p>
            <w:pPr>
              <w:spacing w:after="0"/>
              <w:rPr>
                <w:sz w:val="20"/>
                <w:szCs w:val="20"/>
                <w:color w:val="auto"/>
              </w:rPr>
            </w:pPr>
            <w:r>
              <w:rPr>
                <w:rFonts w:ascii="Arial" w:cs="Arial" w:eastAsia="Arial" w:hAnsi="Arial"/>
                <w:sz w:val="15"/>
                <w:szCs w:val="15"/>
                <w:color w:val="auto"/>
              </w:rPr>
              <w:t>Current portion of long-term debt</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1,481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958</w:t>
            </w: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operating lease liabilities (2)</w:t>
            </w:r>
          </w:p>
        </w:tc>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Non-current operating lease liabilities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1,160,392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1,178,998</w:t>
            </w:r>
          </w:p>
        </w:tc>
      </w:tr>
      <w:tr>
        <w:trPr>
          <w:trHeight w:val="212"/>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Non-current finance lease liabilities</w:t>
            </w:r>
          </w:p>
        </w:tc>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Long-term debt, net</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1,264</w:t>
            </w:r>
          </w:p>
        </w:tc>
      </w:tr>
      <w:tr>
        <w:trPr>
          <w:trHeight w:val="228"/>
        </w:trPr>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lease liabilities</w:t>
            </w:r>
          </w:p>
        </w:tc>
        <w:tc>
          <w:tcPr>
            <w:tcW w:w="3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1,345,361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1,358,248</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Net of accumulated amortization of $3.4 million and $3.3 million as of September 25, 2022 and December 26, 2021, respectively.</w:t>
      </w:r>
    </w:p>
    <w:p>
      <w:pPr>
        <w:spacing w:after="0" w:line="11" w:lineRule="exact"/>
        <w:rPr>
          <w:rFonts w:ascii="Arial" w:cs="Arial" w:eastAsia="Arial" w:hAnsi="Arial"/>
          <w:sz w:val="15"/>
          <w:szCs w:val="15"/>
          <w:color w:val="auto"/>
        </w:rPr>
      </w:pPr>
    </w:p>
    <w:p>
      <w:pPr>
        <w:ind w:left="620" w:hanging="617"/>
        <w:spacing w:after="0" w:line="280" w:lineRule="auto"/>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Excludes current accrued contingent percentage rent of $3.3 million and $3.5 million, as of September 25, 2022 and December 26, 2021, respectively, and immaterial current and non-current COVID-19-related deferred rent accruals.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expenses and income related to leases recognized in the Company’s Consolidated Statements of Operations and</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Comprehensive Income for the periods indicated: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00" w:type="dxa"/>
            <w:vAlign w:val="bottom"/>
          </w:tcPr>
          <w:p>
            <w:pPr>
              <w:spacing w:after="0"/>
              <w:rPr>
                <w:sz w:val="15"/>
                <w:szCs w:val="15"/>
                <w:color w:val="auto"/>
              </w:rPr>
            </w:pPr>
          </w:p>
        </w:tc>
        <w:tc>
          <w:tcPr>
            <w:tcW w:w="2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CONSOLIDATED STATEMENTS OF</w:t>
            </w:r>
          </w:p>
        </w:tc>
        <w:tc>
          <w:tcPr>
            <w:tcW w:w="360" w:type="dxa"/>
            <w:vAlign w:val="bottom"/>
          </w:tcPr>
          <w:p>
            <w:pPr>
              <w:spacing w:after="0"/>
              <w:rPr>
                <w:sz w:val="15"/>
                <w:szCs w:val="15"/>
                <w:color w:val="auto"/>
              </w:rPr>
            </w:pPr>
          </w:p>
        </w:tc>
        <w:tc>
          <w:tcPr>
            <w:tcW w:w="2120" w:type="dxa"/>
            <w:vAlign w:val="bottom"/>
            <w:gridSpan w:val="3"/>
          </w:tcPr>
          <w:p>
            <w:pPr>
              <w:jc w:val="right"/>
              <w:ind w:right="6"/>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200" w:type="dxa"/>
            <w:vAlign w:val="bottom"/>
          </w:tcPr>
          <w:p>
            <w:pPr>
              <w:spacing w:after="0"/>
              <w:rPr>
                <w:sz w:val="2"/>
                <w:szCs w:val="2"/>
                <w:color w:val="auto"/>
              </w:rPr>
            </w:pPr>
          </w:p>
        </w:tc>
        <w:tc>
          <w:tcPr>
            <w:tcW w:w="2760" w:type="dxa"/>
            <w:vAlign w:val="bottom"/>
            <w:gridSpan w:val="2"/>
            <w:vMerge w:val="continue"/>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7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7"/>
              </w:rPr>
              <w:t>OPERATIONS AND COMPREHENSIVE</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SEPTEMBER 25, 2022</w:t>
            </w:r>
          </w:p>
        </w:tc>
        <w:tc>
          <w:tcPr>
            <w:tcW w:w="100" w:type="dxa"/>
            <w:vAlign w:val="bottom"/>
            <w:vMerge w:val="restart"/>
          </w:tcPr>
          <w:p>
            <w:pPr>
              <w:spacing w:after="0"/>
              <w:rPr>
                <w:sz w:val="11"/>
                <w:szCs w:val="11"/>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00" w:type="dxa"/>
            <w:vAlign w:val="bottom"/>
            <w:vMerge w:val="restart"/>
          </w:tcPr>
          <w:p>
            <w:pPr>
              <w:spacing w:after="0"/>
              <w:rPr>
                <w:sz w:val="11"/>
                <w:szCs w:val="11"/>
                <w:color w:val="auto"/>
              </w:rPr>
            </w:pPr>
          </w:p>
        </w:tc>
        <w:tc>
          <w:tcPr>
            <w:tcW w:w="1500" w:type="dxa"/>
            <w:vAlign w:val="bottom"/>
            <w:gridSpan w:val="2"/>
            <w:vMerge w:val="restart"/>
          </w:tcPr>
          <w:p>
            <w:pPr>
              <w:jc w:val="right"/>
              <w:ind w:right="4"/>
              <w:spacing w:after="0"/>
              <w:rPr>
                <w:sz w:val="20"/>
                <w:szCs w:val="20"/>
                <w:color w:val="auto"/>
              </w:rPr>
            </w:pPr>
            <w:r>
              <w:rPr>
                <w:rFonts w:ascii="Arial" w:cs="Arial" w:eastAsia="Arial" w:hAnsi="Arial"/>
                <w:sz w:val="14"/>
                <w:szCs w:val="14"/>
                <w:b w:val="1"/>
                <w:bCs w:val="1"/>
                <w:color w:val="auto"/>
                <w:w w:val="96"/>
              </w:rPr>
              <w:t>SEPTEMBER 25, 2022</w:t>
            </w:r>
          </w:p>
        </w:tc>
        <w:tc>
          <w:tcPr>
            <w:tcW w:w="100" w:type="dxa"/>
            <w:vAlign w:val="bottom"/>
            <w:vMerge w:val="restart"/>
          </w:tcPr>
          <w:p>
            <w:pPr>
              <w:spacing w:after="0"/>
              <w:rPr>
                <w:sz w:val="11"/>
                <w:szCs w:val="11"/>
                <w:color w:val="auto"/>
              </w:rPr>
            </w:pPr>
          </w:p>
        </w:tc>
        <w:tc>
          <w:tcPr>
            <w:tcW w:w="1540" w:type="dxa"/>
            <w:vAlign w:val="bottom"/>
            <w:gridSpan w:val="2"/>
            <w:vMerge w:val="restart"/>
          </w:tcPr>
          <w:p>
            <w:pPr>
              <w:jc w:val="right"/>
              <w:ind w:right="3"/>
              <w:spacing w:after="0"/>
              <w:rPr>
                <w:sz w:val="20"/>
                <w:szCs w:val="20"/>
                <w:color w:val="auto"/>
              </w:rPr>
            </w:pPr>
            <w:r>
              <w:rPr>
                <w:rFonts w:ascii="Arial" w:cs="Arial" w:eastAsia="Arial" w:hAnsi="Arial"/>
                <w:sz w:val="14"/>
                <w:szCs w:val="14"/>
                <w:b w:val="1"/>
                <w:bCs w:val="1"/>
                <w:color w:val="auto"/>
                <w:w w:val="98"/>
              </w:rPr>
              <w:t>SEPTEMBER 26, 2021</w:t>
            </w:r>
          </w:p>
        </w:tc>
        <w:tc>
          <w:tcPr>
            <w:tcW w:w="0" w:type="dxa"/>
            <w:vAlign w:val="bottom"/>
          </w:tcPr>
          <w:p>
            <w:pPr>
              <w:spacing w:after="0"/>
              <w:rPr>
                <w:sz w:val="1"/>
                <w:szCs w:val="1"/>
                <w:color w:val="auto"/>
              </w:rPr>
            </w:pPr>
          </w:p>
        </w:tc>
      </w:tr>
      <w:tr>
        <w:trPr>
          <w:trHeight w:val="199"/>
        </w:trPr>
        <w:tc>
          <w:tcPr>
            <w:tcW w:w="2200" w:type="dxa"/>
            <w:vAlign w:val="bottom"/>
            <w:tcBorders>
              <w:bottom w:val="single" w:sz="8" w:color="CCEEFF"/>
            </w:tcBorders>
            <w:vMerge w:val="continue"/>
          </w:tcPr>
          <w:p>
            <w:pPr>
              <w:spacing w:after="0"/>
              <w:rPr>
                <w:sz w:val="17"/>
                <w:szCs w:val="17"/>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 CLASSIFICATION</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0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leases (1)</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45,817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136,757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133,362</w:t>
            </w:r>
          </w:p>
        </w:tc>
        <w:tc>
          <w:tcPr>
            <w:tcW w:w="0" w:type="dxa"/>
            <w:vAlign w:val="bottom"/>
          </w:tcPr>
          <w:p>
            <w:pPr>
              <w:spacing w:after="0"/>
              <w:rPr>
                <w:sz w:val="1"/>
                <w:szCs w:val="1"/>
                <w:color w:val="auto"/>
              </w:rPr>
            </w:pPr>
          </w:p>
        </w:tc>
      </w:tr>
      <w:tr>
        <w:trPr>
          <w:trHeight w:val="203"/>
        </w:trPr>
        <w:tc>
          <w:tcPr>
            <w:tcW w:w="2200" w:type="dxa"/>
            <w:vAlign w:val="bottom"/>
          </w:tcPr>
          <w:p>
            <w:pPr>
              <w:ind w:left="20"/>
              <w:spacing w:after="0"/>
              <w:rPr>
                <w:sz w:val="20"/>
                <w:szCs w:val="20"/>
                <w:color w:val="auto"/>
              </w:rPr>
            </w:pPr>
            <w:r>
              <w:rPr>
                <w:rFonts w:ascii="Arial" w:cs="Arial" w:eastAsia="Arial" w:hAnsi="Arial"/>
                <w:sz w:val="15"/>
                <w:szCs w:val="15"/>
                <w:color w:val="auto"/>
              </w:rPr>
              <w:t>Variable lease cost (2)</w:t>
            </w:r>
          </w:p>
        </w:tc>
        <w:tc>
          <w:tcPr>
            <w:tcW w:w="2760" w:type="dxa"/>
            <w:vAlign w:val="bottom"/>
            <w:gridSpan w:val="2"/>
          </w:tcPr>
          <w:p>
            <w:pPr>
              <w:ind w:left="20"/>
              <w:spacing w:after="0"/>
              <w:rPr>
                <w:sz w:val="20"/>
                <w:szCs w:val="20"/>
                <w:color w:val="auto"/>
              </w:rPr>
            </w:pPr>
            <w:r>
              <w:rPr>
                <w:rFonts w:ascii="Arial" w:cs="Arial" w:eastAsia="Arial" w:hAnsi="Arial"/>
                <w:sz w:val="15"/>
                <w:szCs w:val="15"/>
                <w:color w:val="auto"/>
              </w:rPr>
              <w:t>Other restaurant operating</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1,519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5,021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3,082</w:t>
            </w: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Finance leases: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40"/>
              <w:spacing w:after="0"/>
              <w:rPr>
                <w:sz w:val="20"/>
                <w:szCs w:val="20"/>
                <w:color w:val="auto"/>
              </w:rPr>
            </w:pPr>
            <w:r>
              <w:rPr>
                <w:rFonts w:ascii="Arial" w:cs="Arial" w:eastAsia="Arial" w:hAnsi="Arial"/>
                <w:sz w:val="15"/>
                <w:szCs w:val="15"/>
                <w:color w:val="auto"/>
              </w:rPr>
              <w:t>Amortization of leased assets</w:t>
            </w:r>
          </w:p>
        </w:tc>
        <w:tc>
          <w:tcPr>
            <w:tcW w:w="2760" w:type="dxa"/>
            <w:vAlign w:val="bottom"/>
            <w:gridSpan w:val="2"/>
          </w:tcPr>
          <w:p>
            <w:pPr>
              <w:ind w:left="20"/>
              <w:spacing w:after="0"/>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1,048</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800</w:t>
            </w: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on lease liabilities</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12"/>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Sublease revenue</w:t>
            </w:r>
          </w:p>
        </w:tc>
        <w:tc>
          <w:tcPr>
            <w:tcW w:w="27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Franchise and other revenues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(2,455)</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(7,449)</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(6,936)</w:t>
            </w:r>
          </w:p>
        </w:tc>
        <w:tc>
          <w:tcPr>
            <w:tcW w:w="0" w:type="dxa"/>
            <w:vAlign w:val="bottom"/>
          </w:tcPr>
          <w:p>
            <w:pPr>
              <w:spacing w:after="0"/>
              <w:rPr>
                <w:sz w:val="1"/>
                <w:szCs w:val="1"/>
                <w:color w:val="auto"/>
              </w:rPr>
            </w:pPr>
          </w:p>
        </w:tc>
      </w:tr>
      <w:tr>
        <w:trPr>
          <w:trHeight w:val="231"/>
        </w:trPr>
        <w:tc>
          <w:tcPr>
            <w:tcW w:w="2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Lease costs, net</w:t>
            </w:r>
          </w:p>
        </w:tc>
        <w:tc>
          <w:tcPr>
            <w:tcW w:w="2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45,280</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43,419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135,497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130,409</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jc w:val="both"/>
        <w:ind w:left="620" w:hanging="617"/>
        <w:spacing w:after="0" w:line="257" w:lineRule="auto"/>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Excludes rent expense for office facilities and Company-owned closed or subleased properties of $3.1 million and $3.2 million for the thirteen weeks ended September 25, 2022 and September 26, 2021, respectively, and $9.1 million and $9.9 million for the thirty-nine weeks ended September 25, 2022 and September 26, 2021, respectively, which is included in General and administrative expense.</w:t>
      </w:r>
    </w:p>
    <w:p>
      <w:pPr>
        <w:ind w:left="620" w:hanging="617"/>
        <w:spacing w:after="0"/>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Includes COVID-19-related rent abatements for the thirteen and thirty-nine weeks ended September 26, 2021.</w:t>
      </w:r>
    </w:p>
    <w:p>
      <w:pPr>
        <w:spacing w:after="0" w:line="219"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The following table is a summary of cash flow impacts to the Company’s Consolidated Financial Statements related to its leases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8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20" w:type="dxa"/>
            <w:vAlign w:val="bottom"/>
            <w:vMerge w:val="continue"/>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0" w:type="dxa"/>
            <w:vAlign w:val="bottom"/>
          </w:tcPr>
          <w:p>
            <w:pPr>
              <w:spacing w:after="0"/>
              <w:rPr>
                <w:sz w:val="1"/>
                <w:szCs w:val="1"/>
                <w:color w:val="auto"/>
              </w:rPr>
            </w:pPr>
          </w:p>
        </w:tc>
      </w:tr>
      <w:tr>
        <w:trPr>
          <w:trHeight w:val="19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20" w:type="dxa"/>
            <w:vAlign w:val="bottom"/>
          </w:tcPr>
          <w:p>
            <w:pPr>
              <w:ind w:left="140"/>
              <w:spacing w:after="0"/>
              <w:rPr>
                <w:sz w:val="20"/>
                <w:szCs w:val="20"/>
                <w:color w:val="auto"/>
              </w:rPr>
            </w:pPr>
            <w:r>
              <w:rPr>
                <w:rFonts w:ascii="Arial" w:cs="Arial" w:eastAsia="Arial" w:hAnsi="Arial"/>
                <w:sz w:val="15"/>
                <w:szCs w:val="15"/>
                <w:color w:val="auto"/>
              </w:rPr>
              <w:t>Cash paid for amounts included in the measurement of operating lease liabilities</w:t>
            </w: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145,797</w:t>
            </w:r>
          </w:p>
        </w:tc>
        <w:tc>
          <w:tcPr>
            <w:tcW w:w="100" w:type="dxa"/>
            <w:vAlign w:val="bottom"/>
          </w:tcPr>
          <w:p>
            <w:pPr>
              <w:spacing w:after="0"/>
              <w:rPr>
                <w:sz w:val="17"/>
                <w:szCs w:val="17"/>
                <w:color w:val="auto"/>
              </w:rPr>
            </w:pPr>
          </w:p>
        </w:tc>
        <w:tc>
          <w:tcPr>
            <w:tcW w:w="500" w:type="dxa"/>
            <w:vAlign w:val="bottom"/>
          </w:tcPr>
          <w:p>
            <w:pPr>
              <w:jc w:val="right"/>
              <w:ind w:right="327"/>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155,661</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6"/>
          <w:szCs w:val="16"/>
          <w:color w:val="auto"/>
        </w:rPr>
        <w:t>Fair Value Measurements</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1</w:t>
            </w:r>
          </w:p>
        </w:tc>
        <w:tc>
          <w:tcPr>
            <w:tcW w:w="10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Unadjusted quoted market prices in active markets for identical assets or liabilities</w:t>
            </w:r>
          </w:p>
        </w:tc>
      </w:tr>
      <w:tr>
        <w:trPr>
          <w:trHeight w:val="203"/>
        </w:trPr>
        <w:tc>
          <w:tcPr>
            <w:tcW w:w="800" w:type="dxa"/>
            <w:vAlign w:val="bottom"/>
          </w:tcPr>
          <w:p>
            <w:pPr>
              <w:ind w:left="20"/>
              <w:spacing w:after="0"/>
              <w:rPr>
                <w:sz w:val="20"/>
                <w:szCs w:val="20"/>
                <w:color w:val="auto"/>
              </w:rPr>
            </w:pPr>
            <w:r>
              <w:rPr>
                <w:rFonts w:ascii="Arial" w:cs="Arial" w:eastAsia="Arial" w:hAnsi="Arial"/>
                <w:sz w:val="15"/>
                <w:szCs w:val="15"/>
                <w:color w:val="auto"/>
              </w:rPr>
              <w:t>Level 2</w:t>
            </w:r>
          </w:p>
        </w:tc>
        <w:tc>
          <w:tcPr>
            <w:tcW w:w="10420" w:type="dxa"/>
            <w:vAlign w:val="bottom"/>
          </w:tcPr>
          <w:p>
            <w:pPr>
              <w:ind w:left="320"/>
              <w:spacing w:after="0"/>
              <w:rPr>
                <w:sz w:val="20"/>
                <w:szCs w:val="20"/>
                <w:color w:val="auto"/>
              </w:rPr>
            </w:pPr>
            <w:r>
              <w:rPr>
                <w:rFonts w:ascii="Arial" w:cs="Arial" w:eastAsia="Arial" w:hAnsi="Arial"/>
                <w:sz w:val="15"/>
                <w:szCs w:val="15"/>
                <w:color w:val="auto"/>
              </w:rPr>
              <w:t>Observable inputs available at measurement date other than quoted prices included in Level 1</w:t>
            </w:r>
          </w:p>
        </w:tc>
      </w:tr>
      <w:tr>
        <w:trPr>
          <w:trHeight w:val="209"/>
        </w:trPr>
        <w:tc>
          <w:tcPr>
            <w:tcW w:w="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3</w:t>
            </w:r>
          </w:p>
        </w:tc>
        <w:tc>
          <w:tcPr>
            <w:tcW w:w="10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Unobservable inputs that cannot be corroborated by observable market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spacing w:after="0" w:line="278" w:lineRule="auto"/>
        <w:rPr>
          <w:sz w:val="20"/>
          <w:szCs w:val="20"/>
          <w:color w:val="auto"/>
        </w:rPr>
      </w:pPr>
      <w:r>
        <w:rPr>
          <w:rFonts w:ascii="Arial" w:cs="Arial" w:eastAsia="Arial" w:hAnsi="Arial"/>
          <w:sz w:val="19"/>
          <w:szCs w:val="19"/>
          <w:i w:val="1"/>
          <w:iCs w:val="1"/>
          <w:color w:val="auto"/>
        </w:rPr>
        <w:t xml:space="preserve">Fair Value Measurements on a Recurring Basis - </w:t>
      </w:r>
      <w:r>
        <w:rPr>
          <w:rFonts w:ascii="Arial" w:cs="Arial" w:eastAsia="Arial" w:hAnsi="Arial"/>
          <w:sz w:val="19"/>
          <w:szCs w:val="19"/>
          <w:color w:val="auto"/>
        </w:rPr>
        <w:t>The following table summarizes the Company’s financial assets and liabilities measured at fair</w:t>
      </w:r>
      <w:r>
        <w:rPr>
          <w:rFonts w:ascii="Arial" w:cs="Arial" w:eastAsia="Arial" w:hAnsi="Arial"/>
          <w:sz w:val="19"/>
          <w:szCs w:val="19"/>
          <w:i w:val="1"/>
          <w:iCs w:val="1"/>
          <w:color w:val="auto"/>
        </w:rPr>
        <w:t xml:space="preserve"> </w:t>
      </w:r>
      <w:r>
        <w:rPr>
          <w:rFonts w:ascii="Arial" w:cs="Arial" w:eastAsia="Arial" w:hAnsi="Arial"/>
          <w:sz w:val="19"/>
          <w:szCs w:val="19"/>
          <w:color w:val="auto"/>
        </w:rPr>
        <w:t>value by hierarchy level on a recurring basis as of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25, 2022</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5"/>
              </w:rPr>
              <w:t>DECEMBER 26, 2021</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36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8"/>
              </w:rPr>
              <w:t>LEVEL 1</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40"/>
              <w:spacing w:after="0"/>
              <w:rPr>
                <w:sz w:val="20"/>
                <w:szCs w:val="20"/>
                <w:color w:val="auto"/>
              </w:rPr>
            </w:pPr>
            <w:r>
              <w:rPr>
                <w:rFonts w:ascii="Arial" w:cs="Arial" w:eastAsia="Arial" w:hAnsi="Arial"/>
                <w:sz w:val="15"/>
                <w:szCs w:val="15"/>
                <w:color w:val="auto"/>
              </w:rPr>
              <w:t>Cash equivalents: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Fixed income funds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6,714</w:t>
            </w:r>
          </w:p>
        </w:tc>
        <w:tc>
          <w:tcPr>
            <w:tcW w:w="300" w:type="dxa"/>
            <w:vAlign w:val="bottom"/>
            <w:gridSpan w:val="3"/>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360" w:type="dxa"/>
            <w:vAlign w:val="bottom"/>
          </w:tcPr>
          <w:p>
            <w:pPr>
              <w:ind w:left="220"/>
              <w:spacing w:after="0"/>
              <w:rPr>
                <w:sz w:val="20"/>
                <w:szCs w:val="20"/>
                <w:color w:val="auto"/>
              </w:rPr>
            </w:pPr>
            <w:r>
              <w:rPr>
                <w:rFonts w:ascii="Arial" w:cs="Arial" w:eastAsia="Arial" w:hAnsi="Arial"/>
                <w:sz w:val="15"/>
                <w:szCs w:val="15"/>
                <w:color w:val="auto"/>
              </w:rPr>
              <w:t>Money market funds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10,254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10,254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9,039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9,039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Restricted cash equivalents: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Money market funds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 recurring fair value measurements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17,225</w:t>
            </w:r>
          </w:p>
        </w:tc>
        <w:tc>
          <w:tcPr>
            <w:tcW w:w="300" w:type="dxa"/>
            <w:vAlign w:val="bottom"/>
            <w:gridSpan w:val="3"/>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40"/>
              <w:spacing w:after="0"/>
              <w:rPr>
                <w:sz w:val="20"/>
                <w:szCs w:val="20"/>
                <w:color w:val="auto"/>
              </w:rPr>
            </w:pPr>
            <w:r>
              <w:rPr>
                <w:rFonts w:ascii="Arial" w:cs="Arial" w:eastAsia="Arial" w:hAnsi="Arial"/>
                <w:sz w:val="15"/>
                <w:szCs w:val="15"/>
                <w:color w:val="auto"/>
              </w:rPr>
              <w:t>Accrued and other current liabilities: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Derivative instruments - interest rate swaps</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3,056</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Fair value of each class of financial instrument is determined based on the following:</w:t>
      </w:r>
    </w:p>
    <w:p>
      <w:pPr>
        <w:spacing w:after="0" w:line="124" w:lineRule="exact"/>
        <w:rPr>
          <w:sz w:val="20"/>
          <w:szCs w:val="20"/>
          <w:color w:val="auto"/>
        </w:rPr>
      </w:pPr>
    </w:p>
    <w:p>
      <w:pPr>
        <w:ind w:left="20"/>
        <w:spacing w:after="0"/>
        <w:tabs>
          <w:tab w:leader="none" w:pos="2440" w:val="left"/>
        </w:tabs>
        <w:rPr>
          <w:sz w:val="20"/>
          <w:szCs w:val="20"/>
          <w:color w:val="auto"/>
        </w:rPr>
      </w:pPr>
      <w:r>
        <w:rPr>
          <w:rFonts w:ascii="Arial" w:cs="Arial" w:eastAsia="Arial" w:hAnsi="Arial"/>
          <w:sz w:val="14"/>
          <w:szCs w:val="14"/>
          <w:b w:val="1"/>
          <w:bCs w:val="1"/>
          <w:color w:val="auto"/>
        </w:rPr>
        <w:t>FINANCIAL INSTRUMENT</w:t>
      </w:r>
      <w:r>
        <w:rPr>
          <w:sz w:val="20"/>
          <w:szCs w:val="20"/>
          <w:color w:val="auto"/>
        </w:rPr>
        <w:tab/>
      </w:r>
      <w:r>
        <w:rPr>
          <w:rFonts w:ascii="Arial" w:cs="Arial" w:eastAsia="Arial" w:hAnsi="Arial"/>
          <w:sz w:val="13"/>
          <w:szCs w:val="13"/>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7138670" cy="2457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73" w:lineRule="exact"/>
        <w:rPr>
          <w:sz w:val="20"/>
          <w:szCs w:val="20"/>
          <w:color w:val="auto"/>
        </w:rPr>
      </w:pPr>
    </w:p>
    <w:p>
      <w:pPr>
        <w:ind w:left="20"/>
        <w:spacing w:after="0" w:line="247" w:lineRule="auto"/>
        <w:rPr>
          <w:sz w:val="20"/>
          <w:szCs w:val="20"/>
          <w:color w:val="auto"/>
        </w:rPr>
      </w:pPr>
      <w:r>
        <w:rPr>
          <w:rFonts w:ascii="Arial" w:cs="Arial" w:eastAsia="Arial" w:hAnsi="Arial"/>
          <w:sz w:val="15"/>
          <w:szCs w:val="15"/>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Carrying value approximates fair value because maturities are less than three months.</w:t>
      </w:r>
    </w:p>
    <w:p>
      <w:pPr>
        <w:spacing w:after="0" w:line="206" w:lineRule="exact"/>
        <w:rPr>
          <w:sz w:val="20"/>
          <w:szCs w:val="20"/>
          <w:color w:val="auto"/>
        </w:rPr>
      </w:pPr>
    </w:p>
    <w:p>
      <w:pPr>
        <w:sectPr>
          <w:pgSz w:w="11900" w:h="16838" w:orient="portrait"/>
          <w:cols w:equalWidth="0" w:num="2">
            <w:col w:w="1980" w:space="480"/>
            <w:col w:w="8780"/>
          </w:cols>
          <w:pgMar w:left="320" w:top="122" w:right="339" w:bottom="1440" w:gutter="0" w:footer="0" w:header="0"/>
          <w:type w:val="continuous"/>
        </w:sectPr>
      </w:pPr>
    </w:p>
    <w:p>
      <w:pPr>
        <w:ind w:left="20"/>
        <w:spacing w:after="0"/>
        <w:tabs>
          <w:tab w:leader="none" w:pos="2440" w:val="left"/>
        </w:tabs>
        <w:rPr>
          <w:sz w:val="20"/>
          <w:szCs w:val="20"/>
          <w:color w:val="auto"/>
        </w:rPr>
      </w:pPr>
      <w:r>
        <w:rPr>
          <w:rFonts w:ascii="Arial" w:cs="Arial" w:eastAsia="Arial" w:hAnsi="Arial"/>
          <w:sz w:val="15"/>
          <w:szCs w:val="15"/>
          <w:color w:val="auto"/>
        </w:rPr>
        <w:t>Derivative instruments</w:t>
      </w:r>
      <w:r>
        <w:rPr>
          <w:sz w:val="20"/>
          <w:szCs w:val="20"/>
          <w:color w:val="auto"/>
        </w:rPr>
        <w:tab/>
      </w:r>
      <w:r>
        <w:rPr>
          <w:rFonts w:ascii="Arial" w:cs="Arial" w:eastAsia="Arial" w:hAnsi="Arial"/>
          <w:sz w:val="14"/>
          <w:szCs w:val="14"/>
          <w:color w:val="auto"/>
        </w:rPr>
        <w:t>The Company’s derivative instruments include interest rate swaps. Fair value measurements are based on the contractual terms of the</w:t>
      </w:r>
    </w:p>
    <w:p>
      <w:pPr>
        <w:ind w:left="2460"/>
        <w:spacing w:after="0"/>
        <w:rPr>
          <w:sz w:val="20"/>
          <w:szCs w:val="20"/>
          <w:color w:val="auto"/>
        </w:rPr>
      </w:pPr>
      <w:r>
        <w:rPr>
          <w:rFonts w:ascii="Arial" w:cs="Arial" w:eastAsia="Arial" w:hAnsi="Arial"/>
          <w:sz w:val="13"/>
          <w:szCs w:val="13"/>
          <w:color w:val="auto"/>
        </w:rPr>
        <w:t>derivatives and use observable market-based inputs. The interest rate swaps are valued using a discounted cash flow analysis on the expected</w:t>
      </w:r>
    </w:p>
    <w:p>
      <w:pPr>
        <w:ind w:left="2460"/>
        <w:spacing w:after="0" w:line="238" w:lineRule="auto"/>
        <w:rPr>
          <w:sz w:val="20"/>
          <w:szCs w:val="20"/>
          <w:color w:val="auto"/>
        </w:rPr>
      </w:pPr>
      <w:r>
        <w:rPr>
          <w:rFonts w:ascii="Arial" w:cs="Arial" w:eastAsia="Arial" w:hAnsi="Arial"/>
          <w:sz w:val="14"/>
          <w:szCs w:val="14"/>
          <w:color w:val="auto"/>
        </w:rPr>
        <w:t>cash flows of each derivative using observable inputs including interest rate curves and credit spreads. The Company also considers its own</w:t>
      </w:r>
    </w:p>
    <w:p>
      <w:pPr>
        <w:ind w:left="2460"/>
        <w:spacing w:after="0" w:line="231" w:lineRule="auto"/>
        <w:rPr>
          <w:sz w:val="20"/>
          <w:szCs w:val="20"/>
          <w:color w:val="auto"/>
        </w:rPr>
      </w:pPr>
      <w:r>
        <w:rPr>
          <w:rFonts w:ascii="Arial" w:cs="Arial" w:eastAsia="Arial" w:hAnsi="Arial"/>
          <w:sz w:val="14"/>
          <w:szCs w:val="14"/>
          <w:color w:val="auto"/>
        </w:rPr>
        <w:t>nonperformance risk and the respective counterparty’s nonperformance risk in the fair value measurements. As of December 26, 2021, the</w:t>
      </w:r>
    </w:p>
    <w:p>
      <w:pPr>
        <w:ind w:left="2460"/>
        <w:spacing w:after="0"/>
        <w:rPr>
          <w:sz w:val="20"/>
          <w:szCs w:val="20"/>
          <w:color w:val="auto"/>
        </w:rPr>
      </w:pPr>
      <w:r>
        <w:rPr>
          <w:rFonts w:ascii="Arial" w:cs="Arial" w:eastAsia="Arial" w:hAnsi="Arial"/>
          <w:sz w:val="15"/>
          <w:szCs w:val="15"/>
          <w:color w:val="auto"/>
        </w:rPr>
        <w:t>Company has determined that the credit valuation adjustments are not significant to the overall valuation of its derivatives.</w:t>
      </w:r>
    </w:p>
    <w:p>
      <w:pPr>
        <w:spacing w:after="0" w:line="31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Fair Value Measurements on a Nonrecurring Basis - </w:t>
      </w:r>
      <w:r>
        <w:rPr>
          <w:rFonts w:ascii="Arial" w:cs="Arial" w:eastAsia="Arial" w:hAnsi="Arial"/>
          <w:sz w:val="19"/>
          <w:szCs w:val="19"/>
          <w:color w:val="auto"/>
        </w:rPr>
        <w:t>Assets and liabilities that are measured at fair value on a nonrecurring basis relate primarily to</w:t>
      </w:r>
      <w:r>
        <w:rPr>
          <w:rFonts w:ascii="Arial" w:cs="Arial" w:eastAsia="Arial" w:hAnsi="Arial"/>
          <w:sz w:val="19"/>
          <w:szCs w:val="19"/>
          <w:i w:val="1"/>
          <w:iCs w:val="1"/>
          <w:color w:val="auto"/>
        </w:rPr>
        <w:t xml:space="preserve"> </w:t>
      </w:r>
      <w:r>
        <w:rPr>
          <w:rFonts w:ascii="Arial" w:cs="Arial" w:eastAsia="Arial" w:hAnsi="Arial"/>
          <w:sz w:val="19"/>
          <w:szCs w:val="19"/>
          <w:color w:val="auto"/>
        </w:rPr>
        <w:t>property, fixtures and equipment, operating lease right-of-use assets, goodwill and other intangible assets, which are remeasured when carrying value exceeds fair value. Carrying value after impairment approximates fair value. The following table summarizes the Company’s assets measured at fair value by hierarchy level on a nonrecurring basis for the period indicated: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80" w:type="dxa"/>
            <w:vAlign w:val="bottom"/>
            <w:gridSpan w:val="4"/>
          </w:tcPr>
          <w:p>
            <w:pPr>
              <w:jc w:val="right"/>
              <w:ind w:right="1005"/>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93"/>
        </w:trPr>
        <w:tc>
          <w:tcPr>
            <w:tcW w:w="7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80" w:type="dxa"/>
            <w:vAlign w:val="bottom"/>
            <w:gridSpan w:val="4"/>
          </w:tcPr>
          <w:p>
            <w:pPr>
              <w:jc w:val="right"/>
              <w:ind w:right="1305"/>
              <w:spacing w:after="0"/>
              <w:rPr>
                <w:sz w:val="20"/>
                <w:szCs w:val="20"/>
                <w:color w:val="auto"/>
              </w:rPr>
            </w:pPr>
            <w:r>
              <w:rPr>
                <w:rFonts w:ascii="Arial" w:cs="Arial" w:eastAsia="Arial" w:hAnsi="Arial"/>
                <w:sz w:val="14"/>
                <w:szCs w:val="14"/>
                <w:b w:val="1"/>
                <w:bCs w:val="1"/>
                <w:color w:val="auto"/>
              </w:rPr>
              <w:t>SEPTEMBER 26, 2021</w:t>
            </w:r>
          </w:p>
        </w:tc>
        <w:tc>
          <w:tcPr>
            <w:tcW w:w="0" w:type="dxa"/>
            <w:vAlign w:val="bottom"/>
          </w:tcPr>
          <w:p>
            <w:pPr>
              <w:spacing w:after="0"/>
              <w:rPr>
                <w:sz w:val="1"/>
                <w:szCs w:val="1"/>
                <w:color w:val="auto"/>
              </w:rPr>
            </w:pPr>
          </w:p>
        </w:tc>
      </w:tr>
      <w:tr>
        <w:trPr>
          <w:trHeight w:val="30"/>
        </w:trPr>
        <w:tc>
          <w:tcPr>
            <w:tcW w:w="7120" w:type="dxa"/>
            <w:vAlign w:val="bottom"/>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7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6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REMAINING CARRYING VALUE</w:t>
            </w:r>
          </w:p>
        </w:tc>
        <w:tc>
          <w:tcPr>
            <w:tcW w:w="160" w:type="dxa"/>
            <w:vAlign w:val="bottom"/>
          </w:tcPr>
          <w:p>
            <w:pPr>
              <w:spacing w:after="0"/>
              <w:rPr>
                <w:sz w:val="11"/>
                <w:szCs w:val="11"/>
                <w:color w:val="auto"/>
              </w:rPr>
            </w:pPr>
          </w:p>
        </w:tc>
        <w:tc>
          <w:tcPr>
            <w:tcW w:w="1700" w:type="dxa"/>
            <w:vAlign w:val="bottom"/>
            <w:vMerge w:val="restart"/>
          </w:tcPr>
          <w:p>
            <w:pPr>
              <w:jc w:val="right"/>
              <w:ind w:right="145"/>
              <w:spacing w:after="0"/>
              <w:rPr>
                <w:sz w:val="20"/>
                <w:szCs w:val="20"/>
                <w:color w:val="auto"/>
              </w:rPr>
            </w:pPr>
            <w:r>
              <w:rPr>
                <w:rFonts w:ascii="Arial" w:cs="Arial" w:eastAsia="Arial" w:hAnsi="Arial"/>
                <w:sz w:val="14"/>
                <w:szCs w:val="14"/>
                <w:b w:val="1"/>
                <w:bCs w:val="1"/>
                <w:color w:val="auto"/>
              </w:rPr>
              <w:t>TOTAL IMPAIRMENT</w:t>
            </w:r>
          </w:p>
        </w:tc>
        <w:tc>
          <w:tcPr>
            <w:tcW w:w="0" w:type="dxa"/>
            <w:vAlign w:val="bottom"/>
          </w:tcPr>
          <w:p>
            <w:pPr>
              <w:spacing w:after="0"/>
              <w:rPr>
                <w:sz w:val="1"/>
                <w:szCs w:val="1"/>
                <w:color w:val="auto"/>
              </w:rPr>
            </w:pPr>
          </w:p>
        </w:tc>
      </w:tr>
      <w:tr>
        <w:trPr>
          <w:trHeight w:val="183"/>
        </w:trPr>
        <w:tc>
          <w:tcPr>
            <w:tcW w:w="712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927"/>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19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Property, fixtures and equipment</w:t>
            </w:r>
          </w:p>
        </w:tc>
        <w:tc>
          <w:tcPr>
            <w:tcW w:w="5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8,928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7,260</w:t>
            </w:r>
          </w:p>
        </w:tc>
        <w:tc>
          <w:tcPr>
            <w:tcW w:w="0" w:type="dxa"/>
            <w:vAlign w:val="bottom"/>
          </w:tcPr>
          <w:p>
            <w:pPr>
              <w:spacing w:after="0"/>
              <w:rPr>
                <w:sz w:val="1"/>
                <w:szCs w:val="1"/>
                <w:color w:val="auto"/>
              </w:rPr>
            </w:pPr>
          </w:p>
        </w:tc>
      </w:tr>
      <w:tr>
        <w:trPr>
          <w:trHeight w:val="228"/>
        </w:trPr>
        <w:tc>
          <w:tcPr>
            <w:tcW w:w="7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8,726</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All asset carrying values measured using discounted cash flow models (Level 3).</w:t>
      </w:r>
    </w:p>
    <w:p>
      <w:pPr>
        <w:spacing w:after="0" w:line="23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i w:val="1"/>
          <w:iCs w:val="1"/>
          <w:color w:val="auto"/>
        </w:rPr>
        <w:t xml:space="preserve">Interim Disclosures about Fair Value of Financial Instruments - </w:t>
      </w:r>
      <w:r>
        <w:rPr>
          <w:rFonts w:ascii="Arial" w:cs="Arial" w:eastAsia="Arial" w:hAnsi="Arial"/>
          <w:sz w:val="18"/>
          <w:szCs w:val="18"/>
          <w:color w:val="auto"/>
        </w:rPr>
        <w:t>The Company’s non-derivative financial instruments consist of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accounts payable and current and long-term debt. The fair values of cash equivalents, accounts receivable and accounts payable approximate their carrying amounts reported on its Consolidated Balance Sheets due to their short duration.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6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25, 2022</w:t>
            </w:r>
          </w:p>
        </w:tc>
        <w:tc>
          <w:tcPr>
            <w:tcW w:w="420" w:type="dxa"/>
            <w:vAlign w:val="bottom"/>
          </w:tcPr>
          <w:p>
            <w:pPr>
              <w:spacing w:after="0"/>
              <w:rPr>
                <w:sz w:val="15"/>
                <w:szCs w:val="15"/>
                <w:color w:val="auto"/>
              </w:rPr>
            </w:pPr>
          </w:p>
        </w:tc>
        <w:tc>
          <w:tcPr>
            <w:tcW w:w="2340" w:type="dxa"/>
            <w:vAlign w:val="bottom"/>
            <w:gridSpan w:val="4"/>
          </w:tcPr>
          <w:p>
            <w:pPr>
              <w:jc w:val="right"/>
              <w:ind w:right="646"/>
              <w:spacing w:after="0"/>
              <w:rPr>
                <w:sz w:val="20"/>
                <w:szCs w:val="20"/>
                <w:color w:val="auto"/>
              </w:rPr>
            </w:pPr>
            <w:r>
              <w:rPr>
                <w:rFonts w:ascii="Arial" w:cs="Arial" w:eastAsia="Arial" w:hAnsi="Arial"/>
                <w:sz w:val="14"/>
                <w:szCs w:val="14"/>
                <w:b w:val="1"/>
                <w:bCs w:val="1"/>
                <w:color w:val="auto"/>
              </w:rPr>
              <w:t>DECEMBER 26, 2021</w:t>
            </w:r>
          </w:p>
        </w:tc>
        <w:tc>
          <w:tcPr>
            <w:tcW w:w="0" w:type="dxa"/>
            <w:vAlign w:val="bottom"/>
          </w:tcPr>
          <w:p>
            <w:pPr>
              <w:spacing w:after="0"/>
              <w:rPr>
                <w:sz w:val="1"/>
                <w:szCs w:val="1"/>
                <w:color w:val="auto"/>
              </w:rPr>
            </w:pPr>
          </w:p>
        </w:tc>
      </w:tr>
      <w:tr>
        <w:trPr>
          <w:trHeight w:val="30"/>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86"/>
              <w:spacing w:after="0" w:line="133" w:lineRule="exact"/>
              <w:rPr>
                <w:sz w:val="20"/>
                <w:szCs w:val="20"/>
                <w:color w:val="auto"/>
              </w:rPr>
            </w:pPr>
            <w:r>
              <w:rPr>
                <w:rFonts w:ascii="Arial" w:cs="Arial" w:eastAsia="Arial" w:hAnsi="Arial"/>
                <w:sz w:val="14"/>
                <w:szCs w:val="14"/>
                <w:b w:val="1"/>
                <w:bCs w:val="1"/>
                <w:color w:val="auto"/>
                <w:w w:val="99"/>
              </w:rPr>
              <w:t>FAIR VALUE</w:t>
            </w:r>
          </w:p>
        </w:tc>
        <w:tc>
          <w:tcPr>
            <w:tcW w:w="100" w:type="dxa"/>
            <w:vAlign w:val="bottom"/>
          </w:tcPr>
          <w:p>
            <w:pPr>
              <w:spacing w:after="0"/>
              <w:rPr>
                <w:sz w:val="11"/>
                <w:szCs w:val="11"/>
                <w:color w:val="auto"/>
              </w:rPr>
            </w:pPr>
          </w:p>
        </w:tc>
        <w:tc>
          <w:tcPr>
            <w:tcW w:w="14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66"/>
              <w:spacing w:after="0" w:line="133"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620" w:type="dxa"/>
            <w:vAlign w:val="bottom"/>
            <w:vMerge w:val="continue"/>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LEVEL 2</w:t>
            </w:r>
          </w:p>
        </w:tc>
        <w:tc>
          <w:tcPr>
            <w:tcW w:w="144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306"/>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Secured Credit Facility:</w:t>
            </w:r>
          </w:p>
        </w:tc>
        <w:tc>
          <w:tcPr>
            <w:tcW w:w="4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140"/>
              <w:spacing w:after="0"/>
              <w:rPr>
                <w:sz w:val="20"/>
                <w:szCs w:val="20"/>
                <w:color w:val="auto"/>
              </w:rPr>
            </w:pPr>
            <w:r>
              <w:rPr>
                <w:rFonts w:ascii="Arial" w:cs="Arial" w:eastAsia="Arial" w:hAnsi="Arial"/>
                <w:sz w:val="15"/>
                <w:szCs w:val="15"/>
                <w:color w:val="auto"/>
              </w:rPr>
              <w:t>Term loan A</w:t>
            </w:r>
          </w:p>
        </w:tc>
        <w:tc>
          <w:tcPr>
            <w:tcW w:w="400" w:type="dxa"/>
            <w:vAlign w:val="bottom"/>
          </w:tcPr>
          <w:p>
            <w:pPr>
              <w:ind w:left="2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195,000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190,125</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Revolving credit facility</w:t>
            </w:r>
          </w:p>
        </w:tc>
        <w:tc>
          <w:tcPr>
            <w:tcW w:w="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409,500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76,926</w:t>
            </w:r>
          </w:p>
        </w:tc>
        <w:tc>
          <w:tcPr>
            <w:tcW w:w="0" w:type="dxa"/>
            <w:vAlign w:val="bottom"/>
          </w:tcPr>
          <w:p>
            <w:pPr>
              <w:spacing w:after="0"/>
              <w:rPr>
                <w:sz w:val="1"/>
                <w:szCs w:val="1"/>
                <w:color w:val="auto"/>
              </w:rPr>
            </w:pPr>
          </w:p>
        </w:tc>
      </w:tr>
      <w:tr>
        <w:trPr>
          <w:trHeight w:val="203"/>
        </w:trPr>
        <w:tc>
          <w:tcPr>
            <w:tcW w:w="5620" w:type="dxa"/>
            <w:vAlign w:val="bottom"/>
          </w:tcPr>
          <w:p>
            <w:pPr>
              <w:ind w:left="40"/>
              <w:spacing w:after="0"/>
              <w:rPr>
                <w:sz w:val="20"/>
                <w:szCs w:val="20"/>
                <w:color w:val="auto"/>
              </w:rPr>
            </w:pPr>
            <w:r>
              <w:rPr>
                <w:rFonts w:ascii="Arial" w:cs="Arial" w:eastAsia="Arial" w:hAnsi="Arial"/>
                <w:sz w:val="15"/>
                <w:szCs w:val="15"/>
                <w:color w:val="auto"/>
              </w:rPr>
              <w:t>2025 Notes</w:t>
            </w:r>
          </w:p>
        </w:tc>
        <w:tc>
          <w:tcPr>
            <w:tcW w:w="400" w:type="dxa"/>
            <w:vAlign w:val="bottom"/>
          </w:tcPr>
          <w:p>
            <w:pPr>
              <w:ind w:left="2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105,000</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178,869</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230,000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447,615</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2029 Notes</w:t>
            </w:r>
          </w:p>
        </w:tc>
        <w:tc>
          <w:tcPr>
            <w:tcW w:w="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252,471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304,395</w:t>
            </w: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6"/>
          <w:szCs w:val="16"/>
          <w:color w:val="auto"/>
        </w:rPr>
        <w:t>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3"/>
          </w:tcPr>
          <w:p>
            <w:pPr>
              <w:ind w:left="560"/>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4"/>
          </w:tcPr>
          <w:p>
            <w:pPr>
              <w:jc w:val="right"/>
              <w:ind w:right="545"/>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5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860" w:type="dxa"/>
            <w:vAlign w:val="bottom"/>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25, 2022</w:t>
            </w: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SEPTEMBER 26, 2021</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25, 2022</w:t>
            </w: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5"/>
              <w:spacing w:after="0"/>
              <w:rPr>
                <w:sz w:val="20"/>
                <w:szCs w:val="20"/>
                <w:color w:val="auto"/>
              </w:rPr>
            </w:pPr>
            <w:r>
              <w:rPr>
                <w:rFonts w:ascii="Arial" w:cs="Arial" w:eastAsia="Arial" w:hAnsi="Arial"/>
                <w:sz w:val="14"/>
                <w:szCs w:val="14"/>
                <w:b w:val="1"/>
                <w:bCs w:val="1"/>
                <w:color w:val="auto"/>
                <w:w w:val="92"/>
              </w:rPr>
              <w:t>SEPTEMBER 26, 2021</w:t>
            </w:r>
          </w:p>
        </w:tc>
        <w:tc>
          <w:tcPr>
            <w:tcW w:w="0" w:type="dxa"/>
            <w:vAlign w:val="bottom"/>
          </w:tcPr>
          <w:p>
            <w:pPr>
              <w:spacing w:after="0"/>
              <w:rPr>
                <w:sz w:val="1"/>
                <w:szCs w:val="1"/>
                <w:color w:val="auto"/>
              </w:rPr>
            </w:pPr>
          </w:p>
        </w:tc>
      </w:tr>
      <w:tr>
        <w:trPr>
          <w:trHeight w:val="20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before provision (benefit) for income taxes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38,613</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82,092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184,562</w:t>
            </w: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rPr>
                <w:sz w:val="20"/>
                <w:szCs w:val="20"/>
                <w:color w:val="auto"/>
              </w:rPr>
            </w:pPr>
            <w:r>
              <w:rPr>
                <w:rFonts w:ascii="Arial" w:cs="Arial" w:eastAsia="Arial" w:hAnsi="Arial"/>
                <w:sz w:val="15"/>
                <w:szCs w:val="15"/>
                <w:color w:val="auto"/>
              </w:rPr>
              <w:t>Provision (benefit)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106"/>
              <w:spacing w:after="0"/>
              <w:rPr>
                <w:sz w:val="20"/>
                <w:szCs w:val="20"/>
                <w:color w:val="auto"/>
              </w:rPr>
            </w:pPr>
            <w:r>
              <w:rPr>
                <w:rFonts w:ascii="Arial" w:cs="Arial" w:eastAsia="Arial" w:hAnsi="Arial"/>
                <w:sz w:val="15"/>
                <w:szCs w:val="15"/>
                <w:color w:val="auto"/>
              </w:rPr>
              <w:t>5,563</w:t>
            </w:r>
          </w:p>
        </w:tc>
        <w:tc>
          <w:tcPr>
            <w:tcW w:w="10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(4,454)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126"/>
              <w:spacing w:after="0"/>
              <w:rPr>
                <w:sz w:val="20"/>
                <w:szCs w:val="20"/>
                <w:color w:val="auto"/>
              </w:rPr>
            </w:pPr>
            <w:r>
              <w:rPr>
                <w:rFonts w:ascii="Arial" w:cs="Arial" w:eastAsia="Arial" w:hAnsi="Arial"/>
                <w:sz w:val="15"/>
                <w:szCs w:val="15"/>
                <w:color w:val="auto"/>
              </w:rPr>
              <w:t>33,028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105"/>
              <w:spacing w:after="0"/>
              <w:rPr>
                <w:sz w:val="20"/>
                <w:szCs w:val="20"/>
                <w:color w:val="auto"/>
              </w:rPr>
            </w:pPr>
            <w:r>
              <w:rPr>
                <w:rFonts w:ascii="Arial" w:cs="Arial" w:eastAsia="Arial" w:hAnsi="Arial"/>
                <w:sz w:val="15"/>
                <w:szCs w:val="15"/>
                <w:color w:val="auto"/>
              </w:rPr>
              <w:t>24,827</w:t>
            </w: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Effective income tax rate</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3"/>
              <w:spacing w:after="0"/>
              <w:rPr>
                <w:sz w:val="20"/>
                <w:szCs w:val="20"/>
                <w:color w:val="auto"/>
              </w:rPr>
            </w:pPr>
            <w:r>
              <w:rPr>
                <w:rFonts w:ascii="Arial" w:cs="Arial" w:eastAsia="Arial" w:hAnsi="Arial"/>
                <w:sz w:val="15"/>
                <w:szCs w:val="15"/>
                <w:color w:val="auto"/>
              </w:rPr>
              <w:t>(NM)</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13.5 %</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NM Not meaningful.</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provision for income taxes for the thirteen weeks ended September 25, 2022 increased primarily due to higher pre-tax book income across the Company’s U.S. and international subsidiaries. The benefit for income taxes for the thirteen weeks ended September 26, 2021 includes the impact of changes to the estimate of the forecasted full-year effective tax rate relative to prior quarters in 2021.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effective income tax rate for the thirty-nine weeks ended September 25, 2022 increased by 26.7 percentage points as compared to the thirty-nine weeks ended September 26, 2021. The increase was primarily due to the non-deductible losses associated with the 2025 Notes Partial Repurchase recorded during the thirty-nine weeks ended September 25, 2022.</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On September 16, 2022, the Company’s Brazilian subsidiary was granted a preliminary injunction granting it eligibility to benefit from a recent law in Brazil that established several emergency actions by the government to offset the economic effects of the COVID-19 pandemic for the tourism and events sector. The new law introduced a 100% exemption from Brazilian corporate income tax (IRPJ and CSLL) and federal value-added taxes (PIS and COFINS) for a period of 5 years. The injunction was issued as part of an ongoing lawsuit initiated by the Company’s Brazilian subsidiary due to the uncertainty regarding the restaurant industry’s eligibility for this exemption. The Company has not recognized a financial impact for the thirteen-week period ended September 25, 2022 as the Company continues to evaluate the exemption, the uncertainty and impacts of the injunction, and the best courses of action moving forward.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 restaurant company employer may claim a credit against its federal income taxes for FICA taxes paid on certain tipped wages (the “FICA tax credit”). The level of FICA tax credits is primarily driven by U.S. Restaurant sales and is not impacted by costs incurred that may reduce pre-tax income.</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effective income tax rate for the thirteen weeks ended September 25, 2022 was lower than the Company’s blended federal and state statutory rate of approximately 26% primarily due to the benefit of FICA tax credits on certain tipped wages.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The effective income tax rate for the thirty-nine weeks ended September 25, 2022 was higher than the statutory rate primarily due to the non-deductible losses associated with the 2025 Notes Partial Repurchase recorded during the thirty-nine weeks ended September 25, 2022.</w:t>
      </w:r>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effective income tax rates for the thirteen and thirty-nine weeks ended September 26, 2021 were lower than the statutory rate primarily due to the benefit of FICA tax credits on certain tipped wages.</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On December 28, 2021, the U.S. Treasury and the Internal Revenue Service released final regulations that, among other things, provide guidance on several aspects of the foreign tax credit rules. As part of the guidance issued, these regulations change longstanding foreign tax credit regulations that now make foreign taxes paid to certain countries no longer creditable in the United States. The Company expects that a portion of post-2022 foreign taxes paid will not be creditable in the United States. Furthermore, the impact of these regulations will result in the utilization of existing prior year foreign tax credit carryforwards for which the Company had previously recorded a valuation allowance. The valuation allowance related to the credits expected to be utilized has been released during the thirty-nine weeks ended September 25, 2022.</w:t>
      </w:r>
    </w:p>
    <w:p>
      <w:pPr>
        <w:spacing w:after="0" w:line="18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7"/>
          <w:szCs w:val="17"/>
          <w:color w:val="auto"/>
        </w:rPr>
        <w:t>Commitments and Contingencies</w:t>
      </w:r>
    </w:p>
    <w:p>
      <w:pPr>
        <w:spacing w:after="0" w:line="24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i w:val="1"/>
          <w:iCs w:val="1"/>
          <w:color w:val="auto"/>
        </w:rPr>
        <w:t xml:space="preserve">Litigation and Other Matters </w:t>
      </w:r>
      <w:r>
        <w:rPr>
          <w:rFonts w:ascii="Arial" w:cs="Arial" w:eastAsia="Arial" w:hAnsi="Arial"/>
          <w:sz w:val="17"/>
          <w:szCs w:val="17"/>
          <w:color w:val="auto"/>
        </w:rPr>
        <w:t>- The Company is subject to legal proceedings, claims and liabilities, such as liquor liability, slip and fall cases, wage-and-hour and other employment-related litigation, which arise in the ordinary course of business. A reserve is recorded when it is both: (i) probable that a loss has occurred and (ii) the amount of loss can be reasonably estimated. There may be instances in which an exposure to loss exceeds the recorded reserve. The Company evaluates, on a quarterly basis, developments in legal proceedings that could cause an increase or decrease in the amount of the reserve that has been previously recorded, or a revision to the disclosed estimated range of possible losses, as applicable.</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legal proceedings range from cases brought by a single plaintiff to threatened class actions with many putative class members. While some matters pending against the Company specify the damages claimed by the plaintiff or class, many seek unspecified amounts or are at very early stages of the legal process. Even when the amount of damages claimed against the Company are stated, the claimed amount may be exaggerated, unsupported or unrelated to possible outcomes, and as such, are not meaningful indicators of the Company’s potential liability or financial exposure. As a result, some matters have not yet progressed sufficiently through discovery or development of important factual information and legal issues to enable the Company to estimate an amount of loss or a range of possible loss.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Company recorded reserves of $8.6 million and $7.1 million for certain of its outstanding legal proceedings as of September 25, 2022 and December 26, 2021, respectively, within Accrued and other current liabilities and Other long-term liabilities on its Consolidated Balance Sheets. While the Company believes that additional losses beyond these accruals are reasonably possible, it cannot estimate a possible loss contingency or range of reasonably possible loss contingencies beyond these accruals.</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intends to defend itself in legal matters. Some of these matters may be covered, at least in part, by insurance if they exceed specified retention or deductible amounts. However, it is possible that claims may be denied by the Company’s insurance carriers, the Company may be required by its insurance carriers to contribute to the payment of claims, or the Company’s insurance coverage may not continue to be available on acceptable terms or in sufficient amounts. The Company records receivables from third party insurers when recovery has been determined to be probable. The Company believes that the ultimate determination of liability in connection with legal claims pending against the Company, if any, in excess of amounts already provided for such matters in the consolidated financial statements, will not have a material adverse effect on its business, annual results of operations, liquidity or financial position. However, it is possible that the Company’s business, results of operations,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jc w:val="both"/>
        <w:ind w:right="20"/>
        <w:spacing w:after="0" w:line="278" w:lineRule="auto"/>
        <w:rPr>
          <w:sz w:val="20"/>
          <w:szCs w:val="20"/>
          <w:color w:val="auto"/>
        </w:rPr>
      </w:pPr>
      <w:r>
        <w:rPr>
          <w:rFonts w:ascii="Arial" w:cs="Arial" w:eastAsia="Arial" w:hAnsi="Arial"/>
          <w:sz w:val="19"/>
          <w:szCs w:val="19"/>
          <w:color w:val="auto"/>
        </w:rPr>
        <w:t>liquidity, or financial condition could be materially affected in a particular future reporting period by the unfavorable resolution of one or more matters or contingencies during such period.</w:t>
      </w:r>
    </w:p>
    <w:p>
      <w:pPr>
        <w:spacing w:after="0" w:line="177"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i w:val="1"/>
          <w:iCs w:val="1"/>
          <w:color w:val="auto"/>
        </w:rPr>
        <w:t xml:space="preserve">Lease Guarantees </w:t>
      </w:r>
      <w:r>
        <w:rPr>
          <w:rFonts w:ascii="Arial" w:cs="Arial" w:eastAsia="Arial" w:hAnsi="Arial"/>
          <w:sz w:val="17"/>
          <w:szCs w:val="17"/>
          <w:color w:val="auto"/>
        </w:rPr>
        <w:t>- The Company assigned its interest, and is contingently liable, under certain real estate leases. These leases have varying terms,</w:t>
      </w:r>
      <w:r>
        <w:rPr>
          <w:rFonts w:ascii="Arial" w:cs="Arial" w:eastAsia="Arial" w:hAnsi="Arial"/>
          <w:sz w:val="17"/>
          <w:szCs w:val="17"/>
          <w:i w:val="1"/>
          <w:iCs w:val="1"/>
          <w:color w:val="auto"/>
        </w:rPr>
        <w:t xml:space="preserve"> </w:t>
      </w:r>
      <w:r>
        <w:rPr>
          <w:rFonts w:ascii="Arial" w:cs="Arial" w:eastAsia="Arial" w:hAnsi="Arial"/>
          <w:sz w:val="17"/>
          <w:szCs w:val="17"/>
          <w:color w:val="auto"/>
        </w:rPr>
        <w:t>the latest of which expires in 2032. As of September 25, 2022, the undiscounted payments that the Company could be required to make in the event of non-payment by the primary lessees was approximately $22.4 million. The present value of these potential payments discounted at the Company’s incremental borrowing rate as of September 25, 2022 was approximately $15.7 million. In the event of default, the indemnity clauses in the Company’s purchase and sale agreements generally govern its ability to pursue and recover damages incurred. As of September 25, 2022 and December 26, 2021, the Company’s recorded contingent lease liability was $7.5 million and $8.7 million, respectively.</w:t>
      </w:r>
    </w:p>
    <w:p>
      <w:pPr>
        <w:spacing w:after="0" w:line="186"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i w:val="1"/>
          <w:iCs w:val="1"/>
          <w:color w:val="auto"/>
        </w:rPr>
        <w:t xml:space="preserve">Royalty Termination </w:t>
      </w:r>
      <w:r>
        <w:rPr>
          <w:rFonts w:ascii="Arial" w:cs="Arial" w:eastAsia="Arial" w:hAnsi="Arial"/>
          <w:sz w:val="17"/>
          <w:szCs w:val="17"/>
          <w:color w:val="auto"/>
        </w:rPr>
        <w:t>- In August 2021, wholly-owned subsidiaries of the Company entered into the Purchase and Sale of Royalty Payment Stream</w:t>
      </w:r>
      <w:r>
        <w:rPr>
          <w:rFonts w:ascii="Arial" w:cs="Arial" w:eastAsia="Arial" w:hAnsi="Arial"/>
          <w:sz w:val="17"/>
          <w:szCs w:val="17"/>
          <w:i w:val="1"/>
          <w:iCs w:val="1"/>
          <w:color w:val="auto"/>
        </w:rPr>
        <w:t xml:space="preserve"> </w:t>
      </w:r>
      <w:r>
        <w:rPr>
          <w:rFonts w:ascii="Arial" w:cs="Arial" w:eastAsia="Arial" w:hAnsi="Arial"/>
          <w:sz w:val="17"/>
          <w:szCs w:val="17"/>
          <w:color w:val="auto"/>
        </w:rPr>
        <w:t>and Termination of Royalty Agreement (the “Royalty Termination Agreement”) with the Carrabba’s Italian Grill founders (the “Carrabba’s Founders”), pursuant to which the Company’s obligation to pay future royalties on U.S. Carrabba’s Italian Grill restaurant sales and lump sum royalty fees on Carrabba’s Italian Grill (and Abbraccio) restaurants opened outside the U.S. was terminated. Upon execution of the Royalty Termination Agreement, the Company made a cash payment of $61.9 million to the Carrabba’s Founders, which was recorded in Other restaurant operating expense in its Consolidated Statements of Operations and Comprehensive Income during the thirteen weeks ended September 26, 2021.</w:t>
      </w:r>
    </w:p>
    <w:p>
      <w:pPr>
        <w:spacing w:after="0" w:line="17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7"/>
          <w:szCs w:val="17"/>
          <w:color w:val="auto"/>
        </w:rPr>
        <w:t>Segment Reporting</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 summary of reporting segments: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00" w:type="dxa"/>
            <w:vAlign w:val="bottom"/>
          </w:tcPr>
          <w:p>
            <w:pPr>
              <w:spacing w:after="0"/>
              <w:rPr>
                <w:sz w:val="15"/>
                <w:szCs w:val="15"/>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30"/>
        </w:trPr>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26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U.S.</w:t>
            </w:r>
          </w:p>
        </w:tc>
        <w:tc>
          <w:tcPr>
            <w:tcW w:w="100" w:type="dxa"/>
            <w:vAlign w:val="bottom"/>
            <w:tcBorders>
              <w:right w:val="single" w:sz="8" w:color="auto"/>
            </w:tcBorders>
            <w:shd w:val="clear" w:color="auto" w:fill="CCEEFF"/>
          </w:tcPr>
          <w:p>
            <w:pPr>
              <w:spacing w:after="0"/>
              <w:rPr>
                <w:sz w:val="20"/>
                <w:szCs w:val="20"/>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right w:val="single" w:sz="8" w:color="auto"/>
            </w:tcBorders>
            <w:shd w:val="clear" w:color="auto" w:fill="CCEEFF"/>
          </w:tcPr>
          <w:p>
            <w:pPr>
              <w:spacing w:after="0"/>
              <w:rPr>
                <w:sz w:val="20"/>
                <w:szCs w:val="20"/>
                <w:color w:val="auto"/>
              </w:rPr>
            </w:pPr>
          </w:p>
        </w:tc>
        <w:tc>
          <w:tcPr>
            <w:tcW w:w="382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660" w:type="dxa"/>
            <w:vAlign w:val="bottom"/>
            <w:tcBorders>
              <w:left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Carrabba’s Italian Grill</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United States of America</w:t>
            </w: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right w:val="single" w:sz="8" w:color="auto"/>
            </w:tcBorders>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45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Bonefish Grill</w:t>
            </w:r>
          </w:p>
        </w:tc>
        <w:tc>
          <w:tcPr>
            <w:tcW w:w="100" w:type="dxa"/>
            <w:vAlign w:val="bottom"/>
            <w:tcBorders>
              <w:right w:val="single" w:sz="8" w:color="auto"/>
            </w:tcBorders>
            <w:shd w:val="clear" w:color="auto" w:fill="CCEEFF"/>
          </w:tcPr>
          <w:p>
            <w:pPr>
              <w:spacing w:after="0"/>
              <w:rPr>
                <w:sz w:val="8"/>
                <w:szCs w:val="8"/>
                <w:color w:val="auto"/>
              </w:rPr>
            </w:pPr>
          </w:p>
        </w:tc>
        <w:tc>
          <w:tcPr>
            <w:tcW w:w="38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660" w:type="dxa"/>
            <w:vAlign w:val="bottom"/>
            <w:tcBorders>
              <w:left w:val="single" w:sz="8" w:color="auto"/>
              <w:right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580" w:type="dxa"/>
            <w:vAlign w:val="bottom"/>
            <w:tcBorders>
              <w:right w:val="single" w:sz="8" w:color="auto"/>
            </w:tcBorders>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38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Fleming’s Prime Steakhouse &amp; Wine Bar</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International</w:t>
            </w: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 Hong Kong/China</w:t>
            </w: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Carrabba’s Italian Grill (Abbraccio)</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5"/>
                <w:szCs w:val="15"/>
                <w:color w:val="auto"/>
              </w:rPr>
              <w:t>_________________</w:t>
            </w:r>
          </w:p>
        </w:tc>
        <w:tc>
          <w:tcPr>
            <w:tcW w:w="10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Includes franchise locations.</w:t>
      </w:r>
    </w:p>
    <w:p>
      <w:pPr>
        <w:spacing w:after="0" w:line="232" w:lineRule="exact"/>
        <w:rPr>
          <w:sz w:val="20"/>
          <w:szCs w:val="20"/>
          <w:color w:val="auto"/>
        </w:rPr>
      </w:pPr>
    </w:p>
    <w:p>
      <w:pPr>
        <w:jc w:val="both"/>
        <w:ind w:right="20"/>
        <w:spacing w:after="0" w:line="292" w:lineRule="auto"/>
        <w:rPr>
          <w:sz w:val="20"/>
          <w:szCs w:val="20"/>
          <w:color w:val="auto"/>
        </w:rPr>
      </w:pPr>
      <w:r>
        <w:rPr>
          <w:rFonts w:ascii="Arial" w:cs="Arial" w:eastAsia="Arial" w:hAnsi="Arial"/>
          <w:sz w:val="17"/>
          <w:szCs w:val="17"/>
          <w:color w:val="auto"/>
        </w:rPr>
        <w:t xml:space="preserve">Segment accounting policies are the same as those described in Note 2 -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in the Company’s Annual Report on Form 10-K for the year ended December 26, 2021.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certain insurance expenses and certain bonus expenses.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summary of Total revenues by segment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320" w:type="dxa"/>
            <w:vAlign w:val="bottom"/>
          </w:tcPr>
          <w:p>
            <w:pPr>
              <w:spacing w:after="0"/>
              <w:rPr>
                <w:sz w:val="15"/>
                <w:szCs w:val="15"/>
                <w:color w:val="auto"/>
              </w:rPr>
            </w:pPr>
          </w:p>
        </w:tc>
        <w:tc>
          <w:tcPr>
            <w:tcW w:w="270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gridSpan w:val="3"/>
          </w:tcPr>
          <w:p>
            <w:pPr>
              <w:spacing w:after="0"/>
              <w:rPr>
                <w:sz w:val="2"/>
                <w:szCs w:val="2"/>
                <w:color w:val="auto"/>
              </w:rPr>
            </w:pPr>
          </w:p>
        </w:tc>
        <w:tc>
          <w:tcPr>
            <w:tcW w:w="154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120" w:type="dxa"/>
            <w:vAlign w:val="bottom"/>
            <w:vMerge w:val="continue"/>
          </w:tcPr>
          <w:p>
            <w:pPr>
              <w:spacing w:after="0"/>
              <w:rPr>
                <w:sz w:val="17"/>
                <w:szCs w:val="17"/>
                <w:color w:val="auto"/>
              </w:rPr>
            </w:pPr>
          </w:p>
        </w:tc>
        <w:tc>
          <w:tcPr>
            <w:tcW w:w="15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80" w:type="dxa"/>
            <w:vAlign w:val="bottom"/>
          </w:tcPr>
          <w:p>
            <w:pPr>
              <w:spacing w:after="0"/>
              <w:rPr>
                <w:sz w:val="17"/>
                <w:szCs w:val="17"/>
                <w:color w:val="auto"/>
              </w:rPr>
            </w:pP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0" w:type="dxa"/>
            <w:vAlign w:val="bottom"/>
          </w:tcPr>
          <w:p>
            <w:pPr>
              <w:spacing w:after="0"/>
              <w:rPr>
                <w:sz w:val="1"/>
                <w:szCs w:val="1"/>
                <w:color w:val="auto"/>
              </w:rPr>
            </w:pPr>
          </w:p>
        </w:tc>
      </w:tr>
      <w:tr>
        <w:trPr>
          <w:trHeight w:val="19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3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rPr>
                <w:sz w:val="20"/>
                <w:szCs w:val="20"/>
                <w:color w:val="auto"/>
              </w:rPr>
            </w:pPr>
            <w:r>
              <w:rPr>
                <w:rFonts w:ascii="Arial" w:cs="Arial" w:eastAsia="Arial" w:hAnsi="Arial"/>
                <w:sz w:val="15"/>
                <w:szCs w:val="15"/>
                <w:color w:val="auto"/>
              </w:rPr>
              <w:t>U.S.</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922,521</w:t>
            </w:r>
          </w:p>
        </w:tc>
        <w:tc>
          <w:tcPr>
            <w:tcW w:w="100" w:type="dxa"/>
            <w:vAlign w:val="bottom"/>
          </w:tcPr>
          <w:p>
            <w:pPr>
              <w:spacing w:after="0"/>
              <w:rPr>
                <w:sz w:val="17"/>
                <w:szCs w:val="17"/>
                <w:color w:val="auto"/>
              </w:rPr>
            </w:pP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912,733</w:t>
            </w:r>
          </w:p>
        </w:tc>
        <w:tc>
          <w:tcPr>
            <w:tcW w:w="80" w:type="dxa"/>
            <w:vAlign w:val="bottom"/>
          </w:tcPr>
          <w:p>
            <w:pPr>
              <w:spacing w:after="0"/>
              <w:rPr>
                <w:sz w:val="17"/>
                <w:szCs w:val="17"/>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2,957,555</w:t>
            </w:r>
          </w:p>
        </w:tc>
        <w:tc>
          <w:tcPr>
            <w:tcW w:w="100" w:type="dxa"/>
            <w:vAlign w:val="bottom"/>
          </w:tcPr>
          <w:p>
            <w:pPr>
              <w:spacing w:after="0"/>
              <w:rPr>
                <w:sz w:val="17"/>
                <w:szCs w:val="17"/>
                <w:color w:val="auto"/>
              </w:rPr>
            </w:pP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2,820,709</w:t>
            </w:r>
          </w:p>
        </w:tc>
        <w:tc>
          <w:tcPr>
            <w:tcW w:w="0" w:type="dxa"/>
            <w:vAlign w:val="bottom"/>
          </w:tcPr>
          <w:p>
            <w:pPr>
              <w:spacing w:after="0"/>
              <w:rPr>
                <w:sz w:val="1"/>
                <w:szCs w:val="1"/>
                <w:color w:val="auto"/>
              </w:rPr>
            </w:pPr>
          </w:p>
        </w:tc>
      </w:tr>
      <w:tr>
        <w:trPr>
          <w:trHeight w:val="215"/>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133,242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97,730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363,905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254,593</w:t>
            </w:r>
          </w:p>
        </w:tc>
        <w:tc>
          <w:tcPr>
            <w:tcW w:w="0" w:type="dxa"/>
            <w:vAlign w:val="bottom"/>
          </w:tcPr>
          <w:p>
            <w:pPr>
              <w:spacing w:after="0"/>
              <w:rPr>
                <w:sz w:val="1"/>
                <w:szCs w:val="1"/>
                <w:color w:val="auto"/>
              </w:rPr>
            </w:pPr>
          </w:p>
        </w:tc>
      </w:tr>
      <w:tr>
        <w:trPr>
          <w:trHeight w:val="206"/>
        </w:trPr>
        <w:tc>
          <w:tcPr>
            <w:tcW w:w="5120" w:type="dxa"/>
            <w:vAlign w:val="bottom"/>
          </w:tcPr>
          <w:p>
            <w:pPr>
              <w:ind w:left="440"/>
              <w:spacing w:after="0"/>
              <w:rPr>
                <w:sz w:val="20"/>
                <w:szCs w:val="20"/>
                <w:color w:val="auto"/>
              </w:rPr>
            </w:pPr>
            <w:r>
              <w:rPr>
                <w:rFonts w:ascii="Arial" w:cs="Arial" w:eastAsia="Arial" w:hAnsi="Arial"/>
                <w:sz w:val="15"/>
                <w:szCs w:val="15"/>
                <w:color w:val="auto"/>
              </w:rPr>
              <w:t>Total revenues</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1,055,763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1,010,463</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3,321,460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3,075,302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(UNAUDITED) - Continued</w:t>
      </w:r>
    </w:p>
    <w:p>
      <w:pPr>
        <w:spacing w:after="0" w:line="315"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The following table is a reconciliation of segment income from operations to Income before provision (benefit) for income taxes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gridSpan w:val="3"/>
          </w:tcPr>
          <w:p>
            <w:pPr>
              <w:spacing w:after="0"/>
              <w:rPr>
                <w:sz w:val="2"/>
                <w:szCs w:val="2"/>
                <w:color w:val="auto"/>
              </w:rPr>
            </w:pPr>
          </w:p>
        </w:tc>
        <w:tc>
          <w:tcPr>
            <w:tcW w:w="154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120" w:type="dxa"/>
            <w:vAlign w:val="bottom"/>
            <w:vMerge w:val="continue"/>
          </w:tcPr>
          <w:p>
            <w:pPr>
              <w:spacing w:after="0"/>
              <w:rPr>
                <w:sz w:val="17"/>
                <w:szCs w:val="17"/>
                <w:color w:val="auto"/>
              </w:rPr>
            </w:pPr>
          </w:p>
        </w:tc>
        <w:tc>
          <w:tcPr>
            <w:tcW w:w="15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80" w:type="dxa"/>
            <w:vAlign w:val="bottom"/>
          </w:tcPr>
          <w:p>
            <w:pPr>
              <w:spacing w:after="0"/>
              <w:rPr>
                <w:sz w:val="17"/>
                <w:szCs w:val="17"/>
                <w:color w:val="auto"/>
              </w:rPr>
            </w:pP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0" w:type="dxa"/>
            <w:vAlign w:val="bottom"/>
          </w:tcPr>
          <w:p>
            <w:pPr>
              <w:spacing w:after="0"/>
              <w:rPr>
                <w:sz w:val="1"/>
                <w:szCs w:val="1"/>
                <w:color w:val="auto"/>
              </w:rPr>
            </w:pPr>
          </w:p>
        </w:tc>
      </w:tr>
      <w:tr>
        <w:trPr>
          <w:trHeight w:val="19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Segment income from operations</w:t>
            </w:r>
          </w:p>
        </w:tc>
        <w:tc>
          <w:tcPr>
            <w:tcW w:w="3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40"/>
              <w:spacing w:after="0"/>
              <w:rPr>
                <w:sz w:val="20"/>
                <w:szCs w:val="20"/>
                <w:color w:val="auto"/>
              </w:rPr>
            </w:pPr>
            <w:r>
              <w:rPr>
                <w:rFonts w:ascii="Arial" w:cs="Arial" w:eastAsia="Arial" w:hAnsi="Arial"/>
                <w:sz w:val="15"/>
                <w:szCs w:val="15"/>
                <w:color w:val="auto"/>
              </w:rPr>
              <w:t>U.S.</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68,501</w:t>
            </w:r>
          </w:p>
        </w:tc>
        <w:tc>
          <w:tcPr>
            <w:tcW w:w="100" w:type="dxa"/>
            <w:vAlign w:val="bottom"/>
          </w:tcPr>
          <w:p>
            <w:pPr>
              <w:spacing w:after="0"/>
              <w:rPr>
                <w:sz w:val="17"/>
                <w:szCs w:val="17"/>
                <w:color w:val="auto"/>
              </w:rPr>
            </w:pPr>
          </w:p>
        </w:tc>
        <w:tc>
          <w:tcPr>
            <w:tcW w:w="880" w:type="dxa"/>
            <w:vAlign w:val="bottom"/>
          </w:tcPr>
          <w:p>
            <w:pPr>
              <w:jc w:val="right"/>
              <w:ind w:right="706"/>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47,294</w:t>
            </w:r>
          </w:p>
        </w:tc>
        <w:tc>
          <w:tcPr>
            <w:tcW w:w="80" w:type="dxa"/>
            <w:vAlign w:val="bottom"/>
          </w:tcPr>
          <w:p>
            <w:pPr>
              <w:spacing w:after="0"/>
              <w:rPr>
                <w:sz w:val="17"/>
                <w:szCs w:val="17"/>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305,347</w:t>
            </w:r>
          </w:p>
        </w:tc>
        <w:tc>
          <w:tcPr>
            <w:tcW w:w="100" w:type="dxa"/>
            <w:vAlign w:val="bottom"/>
          </w:tcPr>
          <w:p>
            <w:pPr>
              <w:spacing w:after="0"/>
              <w:rPr>
                <w:sz w:val="17"/>
                <w:szCs w:val="17"/>
                <w:color w:val="auto"/>
              </w:rPr>
            </w:pPr>
          </w:p>
        </w:tc>
        <w:tc>
          <w:tcPr>
            <w:tcW w:w="480" w:type="dxa"/>
            <w:vAlign w:val="bottom"/>
          </w:tcPr>
          <w:p>
            <w:pPr>
              <w:jc w:val="right"/>
              <w:ind w:right="306"/>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334,326</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15,849</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38,859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7,419</w:t>
            </w:r>
          </w:p>
        </w:tc>
        <w:tc>
          <w:tcPr>
            <w:tcW w:w="0" w:type="dxa"/>
            <w:vAlign w:val="bottom"/>
          </w:tcPr>
          <w:p>
            <w:pPr>
              <w:spacing w:after="0"/>
              <w:rPr>
                <w:sz w:val="1"/>
                <w:szCs w:val="1"/>
                <w:color w:val="auto"/>
              </w:rPr>
            </w:pPr>
          </w:p>
        </w:tc>
      </w:tr>
      <w:tr>
        <w:trPr>
          <w:trHeight w:val="189"/>
        </w:trPr>
        <w:tc>
          <w:tcPr>
            <w:tcW w:w="5120" w:type="dxa"/>
            <w:vAlign w:val="bottom"/>
          </w:tcPr>
          <w:p>
            <w:pPr>
              <w:ind w:left="320"/>
              <w:spacing w:after="0"/>
              <w:rPr>
                <w:sz w:val="20"/>
                <w:szCs w:val="20"/>
                <w:color w:val="auto"/>
              </w:rPr>
            </w:pPr>
            <w:r>
              <w:rPr>
                <w:rFonts w:ascii="Arial" w:cs="Arial" w:eastAsia="Arial" w:hAnsi="Arial"/>
                <w:sz w:val="15"/>
                <w:szCs w:val="15"/>
                <w:color w:val="auto"/>
              </w:rPr>
              <w:t>Total segment income from operations</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84,350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48,706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344,206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341,745</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Unallocated corporate operating expense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(33,041)</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(33,869)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(97,922)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(111,273)</w:t>
            </w:r>
          </w:p>
        </w:tc>
        <w:tc>
          <w:tcPr>
            <w:tcW w:w="0" w:type="dxa"/>
            <w:vAlign w:val="bottom"/>
          </w:tcPr>
          <w:p>
            <w:pPr>
              <w:spacing w:after="0"/>
              <w:rPr>
                <w:sz w:val="1"/>
                <w:szCs w:val="1"/>
                <w:color w:val="auto"/>
              </w:rPr>
            </w:pPr>
          </w:p>
        </w:tc>
      </w:tr>
      <w:tr>
        <w:trPr>
          <w:trHeight w:val="189"/>
        </w:trPr>
        <w:tc>
          <w:tcPr>
            <w:tcW w:w="5120" w:type="dxa"/>
            <w:vAlign w:val="bottom"/>
          </w:tcPr>
          <w:p>
            <w:pPr>
              <w:ind w:left="320"/>
              <w:spacing w:after="0"/>
              <w:rPr>
                <w:sz w:val="20"/>
                <w:szCs w:val="20"/>
                <w:color w:val="auto"/>
              </w:rPr>
            </w:pPr>
            <w:r>
              <w:rPr>
                <w:rFonts w:ascii="Arial" w:cs="Arial" w:eastAsia="Arial" w:hAnsi="Arial"/>
                <w:sz w:val="15"/>
                <w:szCs w:val="15"/>
                <w:color w:val="auto"/>
              </w:rPr>
              <w:t>Total income from operations</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51,309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14,837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246,284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230,472</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extinguishment and modification of debt</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(107,630)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(2,073)</w:t>
            </w:r>
          </w:p>
        </w:tc>
        <w:tc>
          <w:tcPr>
            <w:tcW w:w="0" w:type="dxa"/>
            <w:vAlign w:val="bottom"/>
          </w:tcPr>
          <w:p>
            <w:pPr>
              <w:spacing w:after="0"/>
              <w:rPr>
                <w:sz w:val="1"/>
                <w:szCs w:val="1"/>
                <w:color w:val="auto"/>
              </w:rPr>
            </w:pPr>
          </w:p>
        </w:tc>
      </w:tr>
      <w:tr>
        <w:trPr>
          <w:trHeight w:val="203"/>
        </w:trPr>
        <w:tc>
          <w:tcPr>
            <w:tcW w:w="5120" w:type="dxa"/>
            <w:vAlign w:val="bottom"/>
          </w:tcPr>
          <w:p>
            <w:pPr>
              <w:ind w:left="140"/>
              <w:spacing w:after="0"/>
              <w:rPr>
                <w:sz w:val="20"/>
                <w:szCs w:val="20"/>
                <w:color w:val="auto"/>
              </w:rPr>
            </w:pPr>
            <w:r>
              <w:rPr>
                <w:rFonts w:ascii="Arial" w:cs="Arial" w:eastAsia="Arial" w:hAnsi="Arial"/>
                <w:sz w:val="15"/>
                <w:szCs w:val="15"/>
                <w:color w:val="auto"/>
              </w:rPr>
              <w:t>Loss on fair value adjustment of derivatives, net</w:t>
            </w:r>
          </w:p>
        </w:tc>
        <w:tc>
          <w:tcPr>
            <w:tcW w:w="3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(17,685)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income, net</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Interest expense, net</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(12,696)</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(14,245)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(38,877)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(43,863)</w:t>
            </w:r>
          </w:p>
        </w:tc>
        <w:tc>
          <w:tcPr>
            <w:tcW w:w="0" w:type="dxa"/>
            <w:vAlign w:val="bottom"/>
          </w:tcPr>
          <w:p>
            <w:pPr>
              <w:spacing w:after="0"/>
              <w:rPr>
                <w:sz w:val="1"/>
                <w:szCs w:val="1"/>
                <w:color w:val="auto"/>
              </w:rPr>
            </w:pPr>
          </w:p>
        </w:tc>
      </w:tr>
      <w:tr>
        <w:trPr>
          <w:trHeight w:val="231"/>
        </w:trPr>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Income before provision (benefit) for income taxes</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38,613</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82,092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184,562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summary of Depreciation and amortization expense by segment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100" w:type="dxa"/>
            <w:vAlign w:val="bottom"/>
            <w:vMerge w:val="continue"/>
          </w:tcPr>
          <w:p>
            <w:pPr>
              <w:spacing w:after="0"/>
              <w:rPr>
                <w:sz w:val="17"/>
                <w:szCs w:val="17"/>
                <w:color w:val="auto"/>
              </w:rPr>
            </w:pP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00" w:type="dxa"/>
            <w:vAlign w:val="bottom"/>
          </w:tcPr>
          <w:p>
            <w:pPr>
              <w:spacing w:after="0"/>
              <w:rPr>
                <w:sz w:val="17"/>
                <w:szCs w:val="17"/>
                <w:color w:val="auto"/>
              </w:rPr>
            </w:pP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0" w:type="dxa"/>
            <w:vAlign w:val="bottom"/>
          </w:tcPr>
          <w:p>
            <w:pPr>
              <w:spacing w:after="0"/>
              <w:rPr>
                <w:sz w:val="1"/>
                <w:szCs w:val="1"/>
                <w:color w:val="auto"/>
              </w:rPr>
            </w:pPr>
          </w:p>
        </w:tc>
      </w:tr>
      <w:tr>
        <w:trPr>
          <w:trHeight w:val="19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3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220"/>
              <w:spacing w:after="0"/>
              <w:rPr>
                <w:sz w:val="20"/>
                <w:szCs w:val="20"/>
                <w:color w:val="auto"/>
              </w:rPr>
            </w:pPr>
            <w:r>
              <w:rPr>
                <w:rFonts w:ascii="Arial" w:cs="Arial" w:eastAsia="Arial" w:hAnsi="Arial"/>
                <w:sz w:val="15"/>
                <w:szCs w:val="15"/>
                <w:color w:val="auto"/>
              </w:rPr>
              <w:t>U.S.</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34,432</w:t>
            </w:r>
          </w:p>
        </w:tc>
        <w:tc>
          <w:tcPr>
            <w:tcW w:w="100" w:type="dxa"/>
            <w:vAlign w:val="bottom"/>
          </w:tcPr>
          <w:p>
            <w:pPr>
              <w:spacing w:after="0"/>
              <w:rPr>
                <w:sz w:val="17"/>
                <w:szCs w:val="17"/>
                <w:color w:val="auto"/>
              </w:rPr>
            </w:pPr>
          </w:p>
        </w:tc>
        <w:tc>
          <w:tcPr>
            <w:tcW w:w="900" w:type="dxa"/>
            <w:vAlign w:val="bottom"/>
          </w:tcPr>
          <w:p>
            <w:pPr>
              <w:jc w:val="right"/>
              <w:ind w:right="726"/>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33,422</w:t>
            </w:r>
          </w:p>
        </w:tc>
        <w:tc>
          <w:tcPr>
            <w:tcW w:w="100" w:type="dxa"/>
            <w:vAlign w:val="bottom"/>
          </w:tcPr>
          <w:p>
            <w:pPr>
              <w:spacing w:after="0"/>
              <w:rPr>
                <w:sz w:val="17"/>
                <w:szCs w:val="17"/>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102,735</w:t>
            </w:r>
          </w:p>
        </w:tc>
        <w:tc>
          <w:tcPr>
            <w:tcW w:w="100" w:type="dxa"/>
            <w:vAlign w:val="bottom"/>
          </w:tcPr>
          <w:p>
            <w:pPr>
              <w:spacing w:after="0"/>
              <w:rPr>
                <w:sz w:val="17"/>
                <w:szCs w:val="17"/>
                <w:color w:val="auto"/>
              </w:rPr>
            </w:pPr>
          </w:p>
        </w:tc>
        <w:tc>
          <w:tcPr>
            <w:tcW w:w="500" w:type="dxa"/>
            <w:vAlign w:val="bottom"/>
          </w:tcPr>
          <w:p>
            <w:pPr>
              <w:jc w:val="right"/>
              <w:ind w:right="32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100,645</w:t>
            </w: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17,438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17,128</w:t>
            </w:r>
          </w:p>
        </w:tc>
        <w:tc>
          <w:tcPr>
            <w:tcW w:w="0" w:type="dxa"/>
            <w:vAlign w:val="bottom"/>
          </w:tcPr>
          <w:p>
            <w:pPr>
              <w:spacing w:after="0"/>
              <w:rPr>
                <w:sz w:val="1"/>
                <w:szCs w:val="1"/>
                <w:color w:val="auto"/>
              </w:rPr>
            </w:pPr>
          </w:p>
        </w:tc>
      </w:tr>
      <w:tr>
        <w:trPr>
          <w:trHeight w:val="212"/>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Corporate</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1,857</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5,030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4,819</w:t>
            </w:r>
          </w:p>
        </w:tc>
        <w:tc>
          <w:tcPr>
            <w:tcW w:w="0" w:type="dxa"/>
            <w:vAlign w:val="bottom"/>
          </w:tcPr>
          <w:p>
            <w:pPr>
              <w:spacing w:after="0"/>
              <w:rPr>
                <w:sz w:val="1"/>
                <w:szCs w:val="1"/>
                <w:color w:val="auto"/>
              </w:rPr>
            </w:pPr>
          </w:p>
        </w:tc>
      </w:tr>
      <w:tr>
        <w:trPr>
          <w:trHeight w:val="231"/>
        </w:trPr>
        <w:tc>
          <w:tcPr>
            <w:tcW w:w="5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depreciation and amortization</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42,171</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40,827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125,203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122,592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w:t>
      </w: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Statement</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201" w:lineRule="exact"/>
        <w:rPr>
          <w:sz w:val="20"/>
          <w:szCs w:val="20"/>
          <w:color w:val="auto"/>
        </w:rPr>
      </w:pPr>
    </w:p>
    <w:p>
      <w:pPr>
        <w:ind w:left="620" w:hanging="617"/>
        <w:spacing w:after="0"/>
        <w:tabs>
          <w:tab w:leader="none" w:pos="6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Consumer reactions to public health and food safety issues;</w:t>
      </w:r>
    </w:p>
    <w:p>
      <w:pPr>
        <w:spacing w:after="0" w:line="245" w:lineRule="exact"/>
        <w:rPr>
          <w:rFonts w:ascii="Arial" w:cs="Arial" w:eastAsia="Arial" w:hAnsi="Arial"/>
          <w:sz w:val="19"/>
          <w:szCs w:val="19"/>
          <w:color w:val="auto"/>
        </w:rPr>
      </w:pPr>
    </w:p>
    <w:p>
      <w:pPr>
        <w:jc w:val="both"/>
        <w:ind w:left="620" w:hanging="617"/>
        <w:spacing w:after="0" w:line="259" w:lineRule="auto"/>
        <w:tabs>
          <w:tab w:leader="none" w:pos="619"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severity, extent and duration of the COVID-19 pandemic, its impacts on our business and results of operations, financial condition and liquidity, including any adverse impact on our stock price and on the other factors listed below, and the responses of domestic and foreign federal, state and local governments to the pandemic;</w:t>
      </w:r>
    </w:p>
    <w:p>
      <w:pPr>
        <w:spacing w:after="0" w:line="195" w:lineRule="exact"/>
        <w:rPr>
          <w:rFonts w:ascii="Arial" w:cs="Arial" w:eastAsia="Arial" w:hAnsi="Arial"/>
          <w:sz w:val="19"/>
          <w:szCs w:val="19"/>
          <w:color w:val="auto"/>
        </w:rPr>
      </w:pPr>
    </w:p>
    <w:p>
      <w:pPr>
        <w:ind w:left="620" w:hanging="617"/>
        <w:spacing w:after="0"/>
        <w:tabs>
          <w:tab w:leader="none" w:pos="6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Minimum wage increases, additional mandated employee benefits and fluctuations in the cost and availability of employees;</w:t>
      </w:r>
    </w:p>
    <w:p>
      <w:pPr>
        <w:spacing w:after="0" w:line="245" w:lineRule="exact"/>
        <w:rPr>
          <w:rFonts w:ascii="Arial" w:cs="Arial" w:eastAsia="Arial" w:hAnsi="Arial"/>
          <w:sz w:val="19"/>
          <w:szCs w:val="19"/>
          <w:color w:val="auto"/>
        </w:rPr>
      </w:pPr>
    </w:p>
    <w:p>
      <w:pPr>
        <w:ind w:left="620" w:hanging="617"/>
        <w:spacing w:after="0" w:line="278" w:lineRule="auto"/>
        <w:tabs>
          <w:tab w:leader="none" w:pos="609" w:val="left"/>
        </w:tabs>
        <w:numPr>
          <w:ilvl w:val="0"/>
          <w:numId w:val="28"/>
        </w:numPr>
        <w:rPr>
          <w:rFonts w:ascii="Arial" w:cs="Arial" w:eastAsia="Arial" w:hAnsi="Arial"/>
          <w:sz w:val="19"/>
          <w:szCs w:val="19"/>
          <w:color w:val="auto"/>
        </w:rPr>
      </w:pPr>
      <w:r>
        <w:rPr>
          <w:rFonts w:ascii="Arial" w:cs="Arial" w:eastAsia="Arial" w:hAnsi="Arial"/>
          <w:sz w:val="19"/>
          <w:szCs w:val="19"/>
          <w:color w:val="auto"/>
        </w:rPr>
        <w:t>Fluctuations in the price and availability of commodities, including supplier freight charges and restaurant distribution expenses, and other impacts of inflation;</w:t>
      </w:r>
    </w:p>
    <w:p>
      <w:pPr>
        <w:spacing w:after="0" w:line="177" w:lineRule="exact"/>
        <w:rPr>
          <w:rFonts w:ascii="Arial" w:cs="Arial" w:eastAsia="Arial" w:hAnsi="Arial"/>
          <w:sz w:val="19"/>
          <w:szCs w:val="19"/>
          <w:color w:val="auto"/>
        </w:rPr>
      </w:pPr>
    </w:p>
    <w:p>
      <w:pPr>
        <w:ind w:left="620" w:hanging="61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compete in the highly competitive restaurant industry with many well-established competitors and new market entrants;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ind w:left="620" w:hanging="617"/>
        <w:spacing w:after="0" w:line="278" w:lineRule="auto"/>
        <w:tabs>
          <w:tab w:leader="none" w:pos="609" w:val="left"/>
        </w:tabs>
        <w:numPr>
          <w:ilvl w:val="0"/>
          <w:numId w:val="29"/>
        </w:numPr>
        <w:rPr>
          <w:rFonts w:ascii="Arial" w:cs="Arial" w:eastAsia="Arial" w:hAnsi="Arial"/>
          <w:sz w:val="19"/>
          <w:szCs w:val="19"/>
          <w:color w:val="auto"/>
        </w:rPr>
      </w:pPr>
      <w:r>
        <w:rPr>
          <w:rFonts w:ascii="Arial" w:cs="Arial" w:eastAsia="Arial" w:hAnsi="Arial"/>
          <w:sz w:val="19"/>
          <w:szCs w:val="19"/>
          <w:color w:val="auto"/>
        </w:rPr>
        <w:t>Economic conditions and their effects on consumer confidence and discretionary spending, consumer traffic, the cost and availability of credit and interest rates;</w:t>
      </w:r>
    </w:p>
    <w:p>
      <w:pPr>
        <w:spacing w:after="0" w:line="177" w:lineRule="exact"/>
        <w:rPr>
          <w:rFonts w:ascii="Arial" w:cs="Arial" w:eastAsia="Arial" w:hAnsi="Arial"/>
          <w:sz w:val="19"/>
          <w:szCs w:val="19"/>
          <w:color w:val="auto"/>
        </w:rPr>
      </w:pPr>
    </w:p>
    <w:p>
      <w:pPr>
        <w:ind w:left="620" w:hanging="617"/>
        <w:spacing w:after="0"/>
        <w:tabs>
          <w:tab w:leader="none" w:pos="6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Our ability to recruit and retain high-quality leadership, restaurant-level management and team members;</w:t>
      </w:r>
    </w:p>
    <w:p>
      <w:pPr>
        <w:spacing w:after="0" w:line="245" w:lineRule="exact"/>
        <w:rPr>
          <w:rFonts w:ascii="Arial" w:cs="Arial" w:eastAsia="Arial" w:hAnsi="Arial"/>
          <w:sz w:val="19"/>
          <w:szCs w:val="19"/>
          <w:color w:val="auto"/>
        </w:rPr>
      </w:pPr>
    </w:p>
    <w:p>
      <w:pPr>
        <w:ind w:left="620" w:hanging="617"/>
        <w:spacing w:after="0" w:line="264" w:lineRule="auto"/>
        <w:tabs>
          <w:tab w:leader="none" w:pos="611" w:val="left"/>
        </w:tabs>
        <w:numPr>
          <w:ilvl w:val="0"/>
          <w:numId w:val="29"/>
        </w:numPr>
        <w:rPr>
          <w:rFonts w:ascii="Arial" w:cs="Arial" w:eastAsia="Arial" w:hAnsi="Arial"/>
          <w:sz w:val="19"/>
          <w:szCs w:val="19"/>
          <w:color w:val="auto"/>
        </w:rPr>
      </w:pPr>
      <w:r>
        <w:rPr>
          <w:rFonts w:ascii="Arial" w:cs="Arial" w:eastAsia="Arial" w:hAnsi="Arial"/>
          <w:sz w:val="19"/>
          <w:szCs w:val="19"/>
          <w:color w:val="auto"/>
        </w:rPr>
        <w:t>Our ability to preserve and grow the reputation and value of our brands, particularly in light of changes in consumer engagement with social media platforms and limited control with respect to the operations of our franchisees;</w:t>
      </w:r>
    </w:p>
    <w:p>
      <w:pPr>
        <w:spacing w:after="0" w:line="202" w:lineRule="exact"/>
        <w:rPr>
          <w:rFonts w:ascii="Arial" w:cs="Arial" w:eastAsia="Arial" w:hAnsi="Arial"/>
          <w:sz w:val="19"/>
          <w:szCs w:val="19"/>
          <w:color w:val="auto"/>
        </w:rPr>
      </w:pPr>
    </w:p>
    <w:p>
      <w:pPr>
        <w:ind w:left="620" w:hanging="617"/>
        <w:spacing w:after="0" w:line="278" w:lineRule="auto"/>
        <w:tabs>
          <w:tab w:leader="none" w:pos="609" w:val="left"/>
        </w:tabs>
        <w:numPr>
          <w:ilvl w:val="0"/>
          <w:numId w:val="29"/>
        </w:numPr>
        <w:rPr>
          <w:rFonts w:ascii="Arial" w:cs="Arial" w:eastAsia="Arial" w:hAnsi="Arial"/>
          <w:sz w:val="19"/>
          <w:szCs w:val="19"/>
          <w:color w:val="auto"/>
        </w:rPr>
      </w:pPr>
      <w:r>
        <w:rPr>
          <w:rFonts w:ascii="Arial" w:cs="Arial" w:eastAsia="Arial" w:hAnsi="Arial"/>
          <w:sz w:val="19"/>
          <w:szCs w:val="19"/>
          <w:color w:val="auto"/>
        </w:rPr>
        <w:t>Our ability to protect our information technology systems from interruption or security breach, including cyber security threats, and to protect consumer data and personal employee information;</w:t>
      </w:r>
    </w:p>
    <w:p>
      <w:pPr>
        <w:spacing w:after="0" w:line="177" w:lineRule="exact"/>
        <w:rPr>
          <w:rFonts w:ascii="Arial" w:cs="Arial" w:eastAsia="Arial" w:hAnsi="Arial"/>
          <w:sz w:val="19"/>
          <w:szCs w:val="19"/>
          <w:color w:val="auto"/>
        </w:rPr>
      </w:pPr>
    </w:p>
    <w:p>
      <w:pPr>
        <w:ind w:left="620" w:hanging="617"/>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Dependence on a limited number of suppliers and distributors to meet our beef, chicken and other major product supply needs;</w:t>
      </w:r>
    </w:p>
    <w:p>
      <w:pPr>
        <w:spacing w:after="0" w:line="257" w:lineRule="exact"/>
        <w:rPr>
          <w:rFonts w:ascii="Arial" w:cs="Arial" w:eastAsia="Arial" w:hAnsi="Arial"/>
          <w:sz w:val="18"/>
          <w:szCs w:val="18"/>
          <w:color w:val="auto"/>
        </w:rPr>
      </w:pPr>
    </w:p>
    <w:p>
      <w:pPr>
        <w:ind w:left="620" w:hanging="617"/>
        <w:spacing w:after="0" w:line="264" w:lineRule="auto"/>
        <w:tabs>
          <w:tab w:leader="none" w:pos="609"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effects of international economic, political and social conditions and legal systems on our foreign operations and on foreign currency exchange rates;</w:t>
      </w:r>
    </w:p>
    <w:p>
      <w:pPr>
        <w:spacing w:after="0" w:line="202" w:lineRule="exact"/>
        <w:rPr>
          <w:rFonts w:ascii="Arial" w:cs="Arial" w:eastAsia="Arial" w:hAnsi="Arial"/>
          <w:sz w:val="19"/>
          <w:szCs w:val="19"/>
          <w:color w:val="auto"/>
        </w:rPr>
      </w:pPr>
    </w:p>
    <w:p>
      <w:pPr>
        <w:ind w:left="620" w:hanging="617"/>
        <w:spacing w:after="0" w:line="307" w:lineRule="auto"/>
        <w:tabs>
          <w:tab w:leader="none" w:pos="6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comply with governmental laws and regulations, the costs of compliance with such laws and regulations and the effects of changes to applicable laws and regulations, including tax laws and unanticipated liabilities, and the impact of any litigation;</w:t>
      </w:r>
    </w:p>
    <w:p>
      <w:pPr>
        <w:spacing w:after="0" w:line="153" w:lineRule="exact"/>
        <w:rPr>
          <w:rFonts w:ascii="Arial" w:cs="Arial" w:eastAsia="Arial" w:hAnsi="Arial"/>
          <w:sz w:val="18"/>
          <w:szCs w:val="18"/>
          <w:color w:val="auto"/>
        </w:rPr>
      </w:pPr>
    </w:p>
    <w:p>
      <w:pPr>
        <w:ind w:left="620" w:hanging="617"/>
        <w:spacing w:after="0" w:line="278" w:lineRule="auto"/>
        <w:tabs>
          <w:tab w:leader="none" w:pos="611" w:val="left"/>
        </w:tabs>
        <w:numPr>
          <w:ilvl w:val="0"/>
          <w:numId w:val="29"/>
        </w:numPr>
        <w:rPr>
          <w:rFonts w:ascii="Arial" w:cs="Arial" w:eastAsia="Arial" w:hAnsi="Arial"/>
          <w:sz w:val="19"/>
          <w:szCs w:val="19"/>
          <w:color w:val="auto"/>
        </w:rPr>
      </w:pPr>
      <w:r>
        <w:rPr>
          <w:rFonts w:ascii="Arial" w:cs="Arial" w:eastAsia="Arial" w:hAnsi="Arial"/>
          <w:sz w:val="19"/>
          <w:szCs w:val="19"/>
          <w:color w:val="auto"/>
        </w:rPr>
        <w:t>Our ability to effectively respond to changes in patterns of consumer traffic, consumer tastes and dietary habits, including by maintaining relationships with third party delivery apps and services;</w:t>
      </w:r>
    </w:p>
    <w:p>
      <w:pPr>
        <w:spacing w:after="0" w:line="177" w:lineRule="exact"/>
        <w:rPr>
          <w:rFonts w:ascii="Arial" w:cs="Arial" w:eastAsia="Arial" w:hAnsi="Arial"/>
          <w:sz w:val="19"/>
          <w:szCs w:val="19"/>
          <w:color w:val="auto"/>
        </w:rPr>
      </w:pPr>
    </w:p>
    <w:p>
      <w:pPr>
        <w:jc w:val="both"/>
        <w:ind w:left="620" w:hanging="617"/>
        <w:spacing w:after="0" w:line="266" w:lineRule="auto"/>
        <w:tabs>
          <w:tab w:leader="none" w:pos="613" w:val="left"/>
        </w:tabs>
        <w:numPr>
          <w:ilvl w:val="0"/>
          <w:numId w:val="29"/>
        </w:numPr>
        <w:rPr>
          <w:rFonts w:ascii="Arial" w:cs="Arial" w:eastAsia="Arial" w:hAnsi="Arial"/>
          <w:sz w:val="19"/>
          <w:szCs w:val="19"/>
          <w:color w:val="auto"/>
        </w:rPr>
      </w:pPr>
      <w:r>
        <w:rPr>
          <w:rFonts w:ascii="Arial" w:cs="Arial" w:eastAsia="Arial" w:hAnsi="Arial"/>
          <w:sz w:val="19"/>
          <w:szCs w:val="19"/>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188" w:lineRule="exact"/>
        <w:rPr>
          <w:rFonts w:ascii="Arial" w:cs="Arial" w:eastAsia="Arial" w:hAnsi="Arial"/>
          <w:sz w:val="19"/>
          <w:szCs w:val="19"/>
          <w:color w:val="auto"/>
        </w:rPr>
      </w:pPr>
    </w:p>
    <w:p>
      <w:pPr>
        <w:ind w:left="620" w:hanging="617"/>
        <w:spacing w:after="0" w:line="278" w:lineRule="auto"/>
        <w:tabs>
          <w:tab w:leader="none" w:pos="612" w:val="left"/>
        </w:tabs>
        <w:numPr>
          <w:ilvl w:val="0"/>
          <w:numId w:val="29"/>
        </w:numPr>
        <w:rPr>
          <w:rFonts w:ascii="Arial" w:cs="Arial" w:eastAsia="Arial" w:hAnsi="Arial"/>
          <w:sz w:val="19"/>
          <w:szCs w:val="19"/>
          <w:color w:val="auto"/>
        </w:rPr>
      </w:pPr>
      <w:r>
        <w:rPr>
          <w:rFonts w:ascii="Arial" w:cs="Arial" w:eastAsia="Arial" w:hAnsi="Arial"/>
          <w:sz w:val="19"/>
          <w:szCs w:val="19"/>
          <w:color w:val="auto"/>
        </w:rPr>
        <w:t>Seasonal and periodic fluctuations in our results and the effects of significant adverse weather conditions and other disasters or unforeseen events;</w:t>
      </w:r>
    </w:p>
    <w:p>
      <w:pPr>
        <w:spacing w:after="0" w:line="177" w:lineRule="exact"/>
        <w:rPr>
          <w:rFonts w:ascii="Arial" w:cs="Arial" w:eastAsia="Arial" w:hAnsi="Arial"/>
          <w:sz w:val="19"/>
          <w:szCs w:val="19"/>
          <w:color w:val="auto"/>
        </w:rPr>
      </w:pPr>
    </w:p>
    <w:p>
      <w:pPr>
        <w:ind w:left="620" w:hanging="617"/>
        <w:spacing w:after="0" w:line="340" w:lineRule="auto"/>
        <w:tabs>
          <w:tab w:leader="none" w:pos="613"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effects of our leverage and restrictive covenants in our various credit facilities on our ability to raise additional capital to fund our operations, to make capital expenditures to invest in new or renovate restaurants and to react to changes in the economy or our industry;</w:t>
      </w:r>
    </w:p>
    <w:p>
      <w:pPr>
        <w:spacing w:after="0" w:line="129" w:lineRule="exact"/>
        <w:rPr>
          <w:rFonts w:ascii="Arial" w:cs="Arial" w:eastAsia="Arial" w:hAnsi="Arial"/>
          <w:sz w:val="17"/>
          <w:szCs w:val="17"/>
          <w:color w:val="auto"/>
        </w:rPr>
      </w:pPr>
    </w:p>
    <w:p>
      <w:pPr>
        <w:ind w:left="620" w:hanging="617"/>
        <w:spacing w:after="0" w:line="278" w:lineRule="auto"/>
        <w:tabs>
          <w:tab w:leader="none" w:pos="614"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Any impairment in the carrying value of our goodwill or other intangible or long-lived assets and its effect on our financial condition and results of operations; and</w:t>
      </w:r>
    </w:p>
    <w:p>
      <w:pPr>
        <w:spacing w:after="0" w:line="190" w:lineRule="exact"/>
        <w:rPr>
          <w:rFonts w:ascii="Arial" w:cs="Arial" w:eastAsia="Arial" w:hAnsi="Arial"/>
          <w:sz w:val="19"/>
          <w:szCs w:val="19"/>
          <w:color w:val="auto"/>
        </w:rPr>
      </w:pPr>
    </w:p>
    <w:p>
      <w:pPr>
        <w:ind w:left="620" w:hanging="61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Such other factors as discussed in Part I, Item IA. Risk Factors of our Annual Report on Form 10-K for the year ended December 26, 2021.</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We are one of the largest casual dining restaurant companies in the world with a portfolio of leading, differentiated restaurant concepts. As of September 25, 2022, we owned and operated 1,176 full-service restaurants and off-premises only kitchens and franchised 332 full-service restaurants and off-premises only kitchens across 47 states, Guam and 15 countries. We have four founder-inspired concepts: Outback Steakhouse, Carrabba’s Italian Grill, Bonefish Grill and Fleming’s Prime Steakhouse &amp; Wine Bar.</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Financial Highlights - </w:t>
      </w:r>
      <w:r>
        <w:rPr>
          <w:rFonts w:ascii="Arial" w:cs="Arial" w:eastAsia="Arial" w:hAnsi="Arial"/>
          <w:sz w:val="19"/>
          <w:szCs w:val="19"/>
          <w:color w:val="auto"/>
        </w:rPr>
        <w:t>Our financial highlights for the thirteen weeks ended September 25, 2022 include the following:</w:t>
      </w:r>
    </w:p>
    <w:p>
      <w:pPr>
        <w:spacing w:after="0" w:line="246" w:lineRule="exact"/>
        <w:rPr>
          <w:sz w:val="20"/>
          <w:szCs w:val="20"/>
          <w:color w:val="auto"/>
        </w:rPr>
      </w:pPr>
    </w:p>
    <w:p>
      <w:pPr>
        <w:ind w:left="620" w:hanging="307"/>
        <w:spacing w:after="0"/>
        <w:tabs>
          <w:tab w:leader="none" w:pos="6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U.S. combined and Outback Steakhouse comparable restaurant sales of 1.4% and 2.3%, respectively;</w:t>
      </w:r>
    </w:p>
    <w:p>
      <w:pPr>
        <w:spacing w:after="0" w:line="16" w:lineRule="exact"/>
        <w:rPr>
          <w:rFonts w:ascii="Arial" w:cs="Arial" w:eastAsia="Arial" w:hAnsi="Arial"/>
          <w:sz w:val="19"/>
          <w:szCs w:val="19"/>
          <w:color w:val="auto"/>
        </w:rPr>
      </w:pPr>
    </w:p>
    <w:p>
      <w:pPr>
        <w:ind w:left="620" w:hanging="307"/>
        <w:spacing w:after="0"/>
        <w:tabs>
          <w:tab w:leader="none" w:pos="6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Increase in Total revenues of 4.5%, as compared to the third quarter of 2021;</w:t>
      </w:r>
    </w:p>
    <w:p>
      <w:pPr>
        <w:spacing w:after="0" w:line="5" w:lineRule="exact"/>
        <w:rPr>
          <w:rFonts w:ascii="Arial" w:cs="Arial" w:eastAsia="Arial" w:hAnsi="Arial"/>
          <w:sz w:val="19"/>
          <w:szCs w:val="19"/>
          <w:color w:val="auto"/>
        </w:rPr>
      </w:pPr>
    </w:p>
    <w:p>
      <w:pPr>
        <w:ind w:left="620" w:hanging="307"/>
        <w:spacing w:after="0" w:line="247" w:lineRule="auto"/>
        <w:tabs>
          <w:tab w:leader="none" w:pos="609" w:val="left"/>
        </w:tabs>
        <w:numPr>
          <w:ilvl w:val="0"/>
          <w:numId w:val="30"/>
        </w:numPr>
        <w:rPr>
          <w:rFonts w:ascii="Arial" w:cs="Arial" w:eastAsia="Arial" w:hAnsi="Arial"/>
          <w:sz w:val="19"/>
          <w:szCs w:val="19"/>
          <w:color w:val="auto"/>
        </w:rPr>
      </w:pPr>
      <w:r>
        <w:rPr>
          <w:rFonts w:ascii="Arial" w:cs="Arial" w:eastAsia="Arial" w:hAnsi="Arial"/>
          <w:sz w:val="19"/>
          <w:szCs w:val="19"/>
          <w:color w:val="auto"/>
        </w:rPr>
        <w:t>Operating income and restaurant-level operating margins of 4.9% and 13.1%, respectively, as compared to 1.5% and 10.3%, respectively, for the third quarter of 2021;</w:t>
      </w:r>
    </w:p>
    <w:p>
      <w:pPr>
        <w:spacing w:after="0" w:line="1" w:lineRule="exact"/>
        <w:rPr>
          <w:rFonts w:ascii="Arial" w:cs="Arial" w:eastAsia="Arial" w:hAnsi="Arial"/>
          <w:sz w:val="19"/>
          <w:szCs w:val="19"/>
          <w:color w:val="auto"/>
        </w:rPr>
      </w:pPr>
    </w:p>
    <w:p>
      <w:pPr>
        <w:ind w:left="620" w:hanging="307"/>
        <w:spacing w:after="0"/>
        <w:tabs>
          <w:tab w:leader="none" w:pos="6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Operating income of $51.3 million, as compared to $14.8 million in the third quarter of 2021; and</w:t>
      </w:r>
    </w:p>
    <w:p>
      <w:pPr>
        <w:spacing w:after="0" w:line="13" w:lineRule="exact"/>
        <w:rPr>
          <w:rFonts w:ascii="Arial" w:cs="Arial" w:eastAsia="Arial" w:hAnsi="Arial"/>
          <w:sz w:val="19"/>
          <w:szCs w:val="19"/>
          <w:color w:val="auto"/>
        </w:rPr>
      </w:pPr>
    </w:p>
    <w:p>
      <w:pPr>
        <w:ind w:left="620" w:hanging="307"/>
        <w:spacing w:after="0"/>
        <w:tabs>
          <w:tab w:leader="none" w:pos="6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Diluted earnings per share of $0.34 as compared to $0.03 for the third quarter of 2021.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Key Financial Performance Indicators </w:t>
      </w:r>
      <w:r>
        <w:rPr>
          <w:rFonts w:ascii="Arial" w:cs="Arial" w:eastAsia="Arial" w:hAnsi="Arial"/>
          <w:sz w:val="17"/>
          <w:szCs w:val="17"/>
          <w:color w:val="auto"/>
        </w:rPr>
        <w:t>- Key measures that we use in evaluating our restaurants and assessing our business include the following:</w:t>
      </w:r>
    </w:p>
    <w:p>
      <w:pPr>
        <w:spacing w:after="0" w:line="269" w:lineRule="exact"/>
        <w:rPr>
          <w:sz w:val="20"/>
          <w:szCs w:val="20"/>
          <w:color w:val="auto"/>
        </w:rPr>
      </w:pPr>
    </w:p>
    <w:p>
      <w:pPr>
        <w:ind w:left="620" w:hanging="307"/>
        <w:spacing w:after="0" w:line="264" w:lineRule="auto"/>
        <w:tabs>
          <w:tab w:leader="none" w:pos="609"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 xml:space="preserve">Average restaurant unit volumes </w:t>
      </w:r>
      <w:r>
        <w:rPr>
          <w:rFonts w:ascii="Arial" w:cs="Arial" w:eastAsia="Arial" w:hAnsi="Arial"/>
          <w:sz w:val="19"/>
          <w:szCs w:val="19"/>
          <w:color w:val="auto"/>
        </w:rPr>
        <w:t>— average sales (excluding gift card breakage) per restaurant to measure changes in customer traffic,</w:t>
      </w:r>
      <w:r>
        <w:rPr>
          <w:rFonts w:ascii="Arial" w:cs="Arial" w:eastAsia="Arial" w:hAnsi="Arial"/>
          <w:sz w:val="19"/>
          <w:szCs w:val="19"/>
          <w:i w:val="1"/>
          <w:iCs w:val="1"/>
          <w:color w:val="auto"/>
        </w:rPr>
        <w:t xml:space="preserve"> </w:t>
      </w:r>
      <w:r>
        <w:rPr>
          <w:rFonts w:ascii="Arial" w:cs="Arial" w:eastAsia="Arial" w:hAnsi="Arial"/>
          <w:sz w:val="19"/>
          <w:szCs w:val="19"/>
          <w:color w:val="auto"/>
        </w:rPr>
        <w:t>pricing and development of the brand;</w:t>
      </w:r>
    </w:p>
    <w:p>
      <w:pPr>
        <w:spacing w:after="0" w:line="202" w:lineRule="exact"/>
        <w:rPr>
          <w:rFonts w:ascii="Arial" w:cs="Arial" w:eastAsia="Arial" w:hAnsi="Arial"/>
          <w:sz w:val="19"/>
          <w:szCs w:val="19"/>
          <w:color w:val="auto"/>
        </w:rPr>
      </w:pPr>
    </w:p>
    <w:p>
      <w:pPr>
        <w:jc w:val="both"/>
        <w:ind w:left="620" w:hanging="307"/>
        <w:spacing w:after="0" w:line="259" w:lineRule="auto"/>
        <w:tabs>
          <w:tab w:leader="none" w:pos="609" w:val="left"/>
        </w:tabs>
        <w:numPr>
          <w:ilvl w:val="0"/>
          <w:numId w:val="31"/>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Comparable restaurant sales </w:t>
      </w:r>
      <w:r>
        <w:rPr>
          <w:rFonts w:ascii="Arial" w:cs="Arial" w:eastAsia="Arial" w:hAnsi="Arial"/>
          <w:sz w:val="19"/>
          <w:szCs w:val="19"/>
          <w:color w:val="auto"/>
        </w:rPr>
        <w:t>— year-over-year comparison of the change in sales volumes (excluding gift card breakage) for Company-owned restaurants that are open 18 months or more in order to remove the impact of new restaurant openings in comparing the operations of existing restaurants;</w:t>
      </w:r>
    </w:p>
    <w:p>
      <w:pPr>
        <w:spacing w:after="0" w:line="207" w:lineRule="exact"/>
        <w:rPr>
          <w:rFonts w:ascii="Arial" w:cs="Arial" w:eastAsia="Arial" w:hAnsi="Arial"/>
          <w:sz w:val="19"/>
          <w:szCs w:val="19"/>
          <w:i w:val="1"/>
          <w:iCs w:val="1"/>
          <w:color w:val="auto"/>
        </w:rPr>
      </w:pPr>
    </w:p>
    <w:p>
      <w:pPr>
        <w:ind w:left="620" w:hanging="307"/>
        <w:spacing w:after="0" w:line="264" w:lineRule="auto"/>
        <w:tabs>
          <w:tab w:leader="none" w:pos="609"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 xml:space="preserve">System-wide sales </w:t>
      </w:r>
      <w:r>
        <w:rPr>
          <w:rFonts w:ascii="Arial" w:cs="Arial" w:eastAsia="Arial" w:hAnsi="Arial"/>
          <w:sz w:val="19"/>
          <w:szCs w:val="19"/>
          <w:color w:val="auto"/>
        </w:rPr>
        <w:t>— total restaurant sales volume for all Company-owned and franchise restaurants, regardless of ownership, to interpret</w:t>
      </w:r>
      <w:r>
        <w:rPr>
          <w:rFonts w:ascii="Arial" w:cs="Arial" w:eastAsia="Arial" w:hAnsi="Arial"/>
          <w:sz w:val="19"/>
          <w:szCs w:val="19"/>
          <w:i w:val="1"/>
          <w:iCs w:val="1"/>
          <w:color w:val="auto"/>
        </w:rPr>
        <w:t xml:space="preserve"> </w:t>
      </w:r>
      <w:r>
        <w:rPr>
          <w:rFonts w:ascii="Arial" w:cs="Arial" w:eastAsia="Arial" w:hAnsi="Arial"/>
          <w:sz w:val="19"/>
          <w:szCs w:val="19"/>
          <w:color w:val="auto"/>
        </w:rPr>
        <w:t>the overall health of our brands;</w:t>
      </w:r>
    </w:p>
    <w:p>
      <w:pPr>
        <w:spacing w:after="0" w:line="202" w:lineRule="exact"/>
        <w:rPr>
          <w:rFonts w:ascii="Arial" w:cs="Arial" w:eastAsia="Arial" w:hAnsi="Arial"/>
          <w:sz w:val="19"/>
          <w:szCs w:val="19"/>
          <w:color w:val="auto"/>
        </w:rPr>
      </w:pPr>
    </w:p>
    <w:p>
      <w:pPr>
        <w:ind w:left="620" w:hanging="307"/>
        <w:spacing w:after="0" w:line="264" w:lineRule="auto"/>
        <w:tabs>
          <w:tab w:leader="none" w:pos="609" w:val="left"/>
        </w:tabs>
        <w:numPr>
          <w:ilvl w:val="0"/>
          <w:numId w:val="31"/>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Restaurant-level operating margin, Income from operations, Net income and Diluted earnings per share </w:t>
      </w:r>
      <w:r>
        <w:rPr>
          <w:rFonts w:ascii="Arial" w:cs="Arial" w:eastAsia="Arial" w:hAnsi="Arial"/>
          <w:sz w:val="19"/>
          <w:szCs w:val="19"/>
          <w:color w:val="auto"/>
        </w:rPr>
        <w:t>— financial measures utilized to</w:t>
      </w:r>
      <w:r>
        <w:rPr>
          <w:rFonts w:ascii="Arial" w:cs="Arial" w:eastAsia="Arial" w:hAnsi="Arial"/>
          <w:sz w:val="19"/>
          <w:szCs w:val="19"/>
          <w:i w:val="1"/>
          <w:iCs w:val="1"/>
          <w:color w:val="auto"/>
        </w:rPr>
        <w:t xml:space="preserve"> </w:t>
      </w:r>
      <w:r>
        <w:rPr>
          <w:rFonts w:ascii="Arial" w:cs="Arial" w:eastAsia="Arial" w:hAnsi="Arial"/>
          <w:sz w:val="19"/>
          <w:szCs w:val="19"/>
          <w:color w:val="auto"/>
        </w:rPr>
        <w:t>evaluate our operating performance.</w:t>
      </w:r>
    </w:p>
    <w:p>
      <w:pPr>
        <w:spacing w:after="0" w:line="202" w:lineRule="exact"/>
        <w:rPr>
          <w:rFonts w:ascii="Arial" w:cs="Arial" w:eastAsia="Arial" w:hAnsi="Arial"/>
          <w:sz w:val="19"/>
          <w:szCs w:val="19"/>
          <w:i w:val="1"/>
          <w:iCs w:val="1"/>
          <w:color w:val="auto"/>
        </w:rPr>
      </w:pPr>
    </w:p>
    <w:p>
      <w:pPr>
        <w:jc w:val="both"/>
        <w:ind w:left="620"/>
        <w:spacing w:after="0" w:line="270" w:lineRule="auto"/>
        <w:rPr>
          <w:rFonts w:ascii="Arial" w:cs="Arial" w:eastAsia="Arial" w:hAnsi="Arial"/>
          <w:sz w:val="19"/>
          <w:szCs w:val="19"/>
          <w:i w:val="1"/>
          <w:iCs w:val="1"/>
          <w:color w:val="auto"/>
        </w:rPr>
      </w:pPr>
      <w:r>
        <w:rPr>
          <w:rFonts w:ascii="Arial" w:cs="Arial" w:eastAsia="Arial" w:hAnsi="Arial"/>
          <w:sz w:val="18"/>
          <w:szCs w:val="18"/>
          <w:color w:val="auto"/>
        </w:rPr>
        <w:t>Restaurant-level operating margin is a non-GAAP financial measure widely regarded in the industry as a useful metric to evaluate restaurant-level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expenses and Other restaurant operating expenses (including advertising expenses) represent, in each case as such items are reflected in our Consolidated Statements of Operations and Comprehensive Income. The following categories of our revenue and operating expenses are not included in restaurant-level operating margin because we do not consider them reflective of operating performance at the restaurant-level within a period:</w:t>
      </w:r>
    </w:p>
    <w:p>
      <w:pPr>
        <w:spacing w:after="0" w:line="187" w:lineRule="exact"/>
        <w:rPr>
          <w:rFonts w:ascii="Arial" w:cs="Arial" w:eastAsia="Arial" w:hAnsi="Arial"/>
          <w:sz w:val="19"/>
          <w:szCs w:val="19"/>
          <w:i w:val="1"/>
          <w:iCs w:val="1"/>
          <w:color w:val="auto"/>
        </w:rPr>
      </w:pPr>
    </w:p>
    <w:p>
      <w:pPr>
        <w:ind w:left="1240" w:hanging="618"/>
        <w:spacing w:after="0" w:line="256" w:lineRule="auto"/>
        <w:tabs>
          <w:tab w:leader="none" w:pos="1238" w:val="left"/>
        </w:tabs>
        <w:numPr>
          <w:ilvl w:val="1"/>
          <w:numId w:val="31"/>
        </w:numPr>
        <w:rPr>
          <w:rFonts w:ascii="Arial" w:cs="Arial" w:eastAsia="Arial" w:hAnsi="Arial"/>
          <w:sz w:val="19"/>
          <w:szCs w:val="19"/>
          <w:color w:val="auto"/>
        </w:rPr>
      </w:pPr>
      <w:r>
        <w:rPr>
          <w:rFonts w:ascii="Arial" w:cs="Arial" w:eastAsia="Arial" w:hAnsi="Arial"/>
          <w:sz w:val="19"/>
          <w:szCs w:val="19"/>
          <w:color w:val="auto"/>
        </w:rPr>
        <w:t>Franchise and other revenues which are earned primarily from franchise royalties and other non-food and beverage revenue streams, such as rental and sublease income;</w:t>
      </w:r>
    </w:p>
    <w:p>
      <w:pPr>
        <w:spacing w:after="0" w:line="1" w:lineRule="exact"/>
        <w:rPr>
          <w:rFonts w:ascii="Arial" w:cs="Arial" w:eastAsia="Arial" w:hAnsi="Arial"/>
          <w:sz w:val="19"/>
          <w:szCs w:val="19"/>
          <w:color w:val="auto"/>
        </w:rPr>
      </w:pPr>
    </w:p>
    <w:p>
      <w:pPr>
        <w:ind w:left="1240" w:hanging="618"/>
        <w:spacing w:after="0" w:line="250" w:lineRule="auto"/>
        <w:tabs>
          <w:tab w:leader="none" w:pos="1239" w:val="left"/>
        </w:tabs>
        <w:numPr>
          <w:ilvl w:val="1"/>
          <w:numId w:val="31"/>
        </w:numPr>
        <w:rPr>
          <w:rFonts w:ascii="Arial" w:cs="Arial" w:eastAsia="Arial" w:hAnsi="Arial"/>
          <w:sz w:val="19"/>
          <w:szCs w:val="19"/>
          <w:color w:val="auto"/>
        </w:rPr>
      </w:pPr>
      <w:r>
        <w:rPr>
          <w:rFonts w:ascii="Arial" w:cs="Arial" w:eastAsia="Arial" w:hAnsi="Arial"/>
          <w:sz w:val="19"/>
          <w:szCs w:val="19"/>
          <w:color w:val="auto"/>
        </w:rPr>
        <w:t>Depreciation and amortization which, although substantially all of which is related to restaurant-level assets, represent historical sunk costs rather than cash outlays for the restaurants;</w:t>
      </w:r>
    </w:p>
    <w:p>
      <w:pPr>
        <w:spacing w:after="0" w:line="1" w:lineRule="exact"/>
        <w:rPr>
          <w:rFonts w:ascii="Arial" w:cs="Arial" w:eastAsia="Arial" w:hAnsi="Arial"/>
          <w:sz w:val="19"/>
          <w:szCs w:val="19"/>
          <w:color w:val="auto"/>
        </w:rPr>
      </w:pPr>
    </w:p>
    <w:p>
      <w:pPr>
        <w:ind w:left="1240" w:hanging="618"/>
        <w:spacing w:after="0" w:line="255" w:lineRule="auto"/>
        <w:tabs>
          <w:tab w:leader="none" w:pos="12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General and administrative expense which includes primarily non-restaurant-level costs associated with support of the restaurants and other activities at our corporate offices; and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ind w:left="1220" w:hanging="598"/>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Asset impairment charges and restaurant closing costs which are not reflective of ongoing restaurant performance in a period.</w:t>
      </w:r>
    </w:p>
    <w:p>
      <w:pPr>
        <w:spacing w:after="0" w:line="257"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Restaurant-level operating margin excludes various expenses, as discussed above, that are essential to support the operations of our restaurants and may materially impact our Consolidated Statements of Operations and Comprehensive Income. As a result, restaurant-level operating margin is not indicative of our consolidated results of operations and is presented exclusively as a supplement to, and not a substitute for, Net income or Income from operations. In addition, our presentation of restaurant-level operating margin may not be comparable to similarly titled measures used by other companies in our industry;</w:t>
      </w:r>
    </w:p>
    <w:p>
      <w:pPr>
        <w:spacing w:after="0" w:line="198" w:lineRule="exact"/>
        <w:rPr>
          <w:sz w:val="20"/>
          <w:szCs w:val="20"/>
          <w:color w:val="auto"/>
        </w:rPr>
      </w:pPr>
    </w:p>
    <w:p>
      <w:pPr>
        <w:ind w:left="620" w:hanging="307"/>
        <w:spacing w:after="0"/>
        <w:tabs>
          <w:tab w:leader="none" w:pos="620"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Adjusted restaurant-level operating margin, Adjusted income from operations, Adjusted net income and Adjusted diluted earnings per share</w:t>
      </w:r>
    </w:p>
    <w:p>
      <w:pPr>
        <w:spacing w:after="0" w:line="39" w:lineRule="exact"/>
        <w:rPr>
          <w:rFonts w:ascii="Arial" w:cs="Arial" w:eastAsia="Arial" w:hAnsi="Arial"/>
          <w:sz w:val="17"/>
          <w:szCs w:val="17"/>
          <w:i w:val="1"/>
          <w:iCs w:val="1"/>
          <w:color w:val="auto"/>
        </w:rPr>
      </w:pPr>
    </w:p>
    <w:p>
      <w:pPr>
        <w:ind w:left="620"/>
        <w:spacing w:after="0"/>
        <w:rPr>
          <w:rFonts w:ascii="Arial" w:cs="Arial" w:eastAsia="Arial" w:hAnsi="Arial"/>
          <w:sz w:val="17"/>
          <w:szCs w:val="17"/>
          <w:i w:val="1"/>
          <w:iCs w:val="1"/>
          <w:color w:val="auto"/>
        </w:rPr>
      </w:pPr>
      <w:r>
        <w:rPr>
          <w:rFonts w:ascii="Arial" w:cs="Arial" w:eastAsia="Arial" w:hAnsi="Arial"/>
          <w:sz w:val="19"/>
          <w:szCs w:val="19"/>
          <w:color w:val="auto"/>
        </w:rPr>
        <w:t>— non-GAAP financial measures utilized to evaluate our operating performance.</w:t>
      </w:r>
    </w:p>
    <w:p>
      <w:pPr>
        <w:spacing w:after="0" w:line="217" w:lineRule="exact"/>
        <w:rPr>
          <w:sz w:val="20"/>
          <w:szCs w:val="20"/>
          <w:color w:val="auto"/>
        </w:rPr>
      </w:pPr>
    </w:p>
    <w:p>
      <w:pPr>
        <w:jc w:val="both"/>
        <w:ind w:left="620"/>
        <w:spacing w:after="0" w:line="288" w:lineRule="auto"/>
        <w:rPr>
          <w:sz w:val="20"/>
          <w:szCs w:val="20"/>
          <w:color w:val="auto"/>
        </w:rPr>
      </w:pPr>
      <w:r>
        <w:rPr>
          <w:rFonts w:ascii="Arial" w:cs="Arial" w:eastAsia="Arial" w:hAnsi="Arial"/>
          <w:sz w:val="17"/>
          <w:szCs w:val="17"/>
          <w:color w:val="auto"/>
        </w:rPr>
        <w:t>We believe that our use of these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evaluate our operating performance, allocate resources and administer employee incentive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Selected Operating Data - </w:t>
      </w:r>
      <w:r>
        <w:rPr>
          <w:rFonts w:ascii="Arial" w:cs="Arial" w:eastAsia="Arial" w:hAnsi="Arial"/>
          <w:sz w:val="18"/>
          <w:szCs w:val="18"/>
          <w:color w:val="auto"/>
        </w:rPr>
        <w:t>The table below presents the number of our full-service restaurants in operation as of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ind w:left="20"/>
              <w:spacing w:after="0"/>
              <w:rPr>
                <w:sz w:val="20"/>
                <w:szCs w:val="20"/>
                <w:color w:val="auto"/>
              </w:rPr>
            </w:pPr>
            <w:r>
              <w:rPr>
                <w:rFonts w:ascii="Arial" w:cs="Arial" w:eastAsia="Arial" w:hAnsi="Arial"/>
                <w:sz w:val="15"/>
                <w:szCs w:val="15"/>
                <w:b w:val="1"/>
                <w:bCs w:val="1"/>
                <w:color w:val="auto"/>
              </w:rPr>
              <w:t>Number of restaurants (at end of the period):</w:t>
            </w:r>
          </w:p>
        </w:tc>
        <w:tc>
          <w:tcPr>
            <w:tcW w:w="1980" w:type="dxa"/>
            <w:vAlign w:val="bottom"/>
            <w:gridSpan w:val="2"/>
          </w:tcPr>
          <w:p>
            <w:pPr>
              <w:ind w:left="260"/>
              <w:spacing w:after="0"/>
              <w:rPr>
                <w:sz w:val="20"/>
                <w:szCs w:val="20"/>
                <w:color w:val="auto"/>
              </w:rPr>
            </w:pPr>
            <w:r>
              <w:rPr>
                <w:rFonts w:ascii="Arial" w:cs="Arial" w:eastAsia="Arial" w:hAnsi="Arial"/>
                <w:sz w:val="14"/>
                <w:szCs w:val="14"/>
                <w:b w:val="1"/>
                <w:bCs w:val="1"/>
                <w:color w:val="auto"/>
              </w:rPr>
              <w:t>SEPTEMBER 25, 2022</w:t>
            </w:r>
          </w:p>
        </w:tc>
        <w:tc>
          <w:tcPr>
            <w:tcW w:w="1900" w:type="dxa"/>
            <w:vAlign w:val="bottom"/>
          </w:tcPr>
          <w:p>
            <w:pPr>
              <w:jc w:val="right"/>
              <w:ind w:right="183"/>
              <w:spacing w:after="0"/>
              <w:rPr>
                <w:sz w:val="20"/>
                <w:szCs w:val="20"/>
                <w:color w:val="auto"/>
              </w:rPr>
            </w:pPr>
            <w:r>
              <w:rPr>
                <w:rFonts w:ascii="Arial" w:cs="Arial" w:eastAsia="Arial" w:hAnsi="Arial"/>
                <w:sz w:val="14"/>
                <w:szCs w:val="14"/>
                <w:b w:val="1"/>
                <w:bCs w:val="1"/>
                <w:color w:val="auto"/>
              </w:rPr>
              <w:t>SEPTEMBER 26, 2021</w:t>
            </w:r>
          </w:p>
        </w:tc>
        <w:tc>
          <w:tcPr>
            <w:tcW w:w="0" w:type="dxa"/>
            <w:vAlign w:val="bottom"/>
          </w:tcPr>
          <w:p>
            <w:pPr>
              <w:spacing w:after="0"/>
              <w:rPr>
                <w:sz w:val="1"/>
                <w:szCs w:val="1"/>
                <w:color w:val="auto"/>
              </w:rPr>
            </w:pPr>
          </w:p>
        </w:tc>
      </w:tr>
      <w:tr>
        <w:trPr>
          <w:trHeight w:val="19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1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w:t>
            </w: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692</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694</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Carrabba’s Italian Grill</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Bonefish Grill</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12"/>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Franchised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Fleming’s Prime Steakhouse &amp; Wine Bar</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Company-owned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5"/>
                <w:szCs w:val="15"/>
                <w:color w:val="auto"/>
              </w:rPr>
              <w:t>Aussie Grill</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Company-owned (1)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1"/>
        </w:trPr>
        <w:tc>
          <w:tcPr>
            <w:tcW w:w="73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U.S. 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1,159</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1,166</w:t>
            </w:r>
          </w:p>
        </w:tc>
        <w:tc>
          <w:tcPr>
            <w:tcW w:w="0" w:type="dxa"/>
            <w:vAlign w:val="bottom"/>
          </w:tcPr>
          <w:p>
            <w:pPr>
              <w:spacing w:after="0"/>
              <w:rPr>
                <w:sz w:val="1"/>
                <w:szCs w:val="1"/>
                <w:color w:val="auto"/>
              </w:rPr>
            </w:pPr>
          </w:p>
        </w:tc>
      </w:tr>
      <w:tr>
        <w:trPr>
          <w:trHeight w:val="193"/>
        </w:trPr>
        <w:tc>
          <w:tcPr>
            <w:tcW w:w="7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International</w:t>
            </w: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Arial" w:cs="Arial" w:eastAsia="Arial" w:hAnsi="Arial"/>
                <w:sz w:val="15"/>
                <w:szCs w:val="15"/>
                <w:color w:val="auto"/>
              </w:rPr>
              <w:t>Company-owned</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Outback Steakhouse - Brazil (2)</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03"/>
        </w:trPr>
        <w:tc>
          <w:tcPr>
            <w:tcW w:w="7360" w:type="dxa"/>
            <w:vAlign w:val="bottom"/>
          </w:tcPr>
          <w:p>
            <w:pPr>
              <w:ind w:left="220"/>
              <w:spacing w:after="0"/>
              <w:rPr>
                <w:sz w:val="20"/>
                <w:szCs w:val="20"/>
                <w:color w:val="auto"/>
              </w:rPr>
            </w:pPr>
            <w:r>
              <w:rPr>
                <w:rFonts w:ascii="Arial" w:cs="Arial" w:eastAsia="Arial" w:hAnsi="Arial"/>
                <w:sz w:val="15"/>
                <w:szCs w:val="15"/>
                <w:color w:val="auto"/>
              </w:rPr>
              <w:t>Other (1)(2)(3)</w:t>
            </w:r>
          </w:p>
        </w:tc>
        <w:tc>
          <w:tcPr>
            <w:tcW w:w="188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20"/>
              <w:spacing w:after="0"/>
              <w:rPr>
                <w:sz w:val="20"/>
                <w:szCs w:val="20"/>
                <w:color w:val="auto"/>
              </w:rPr>
            </w:pPr>
            <w:r>
              <w:rPr>
                <w:rFonts w:ascii="Arial" w:cs="Arial" w:eastAsia="Arial" w:hAnsi="Arial"/>
                <w:sz w:val="15"/>
                <w:szCs w:val="15"/>
                <w:color w:val="auto"/>
              </w:rPr>
              <w:t>Outback Steakhouse - South Korea (1)</w:t>
            </w:r>
          </w:p>
        </w:tc>
        <w:tc>
          <w:tcPr>
            <w:tcW w:w="1880" w:type="dxa"/>
            <w:vAlign w:val="bottom"/>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226"/>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1"/>
        </w:trPr>
        <w:tc>
          <w:tcPr>
            <w:tcW w:w="7360" w:type="dxa"/>
            <w:vAlign w:val="bottom"/>
            <w:tcBorders>
              <w:bottom w:val="single" w:sz="8" w:color="CCEEFF"/>
            </w:tcBorders>
          </w:tcPr>
          <w:p>
            <w:pPr>
              <w:ind w:left="640"/>
              <w:spacing w:after="0"/>
              <w:rPr>
                <w:sz w:val="20"/>
                <w:szCs w:val="20"/>
                <w:color w:val="auto"/>
              </w:rPr>
            </w:pPr>
            <w:r>
              <w:rPr>
                <w:rFonts w:ascii="Arial" w:cs="Arial" w:eastAsia="Arial" w:hAnsi="Arial"/>
                <w:sz w:val="15"/>
                <w:szCs w:val="15"/>
                <w:color w:val="auto"/>
              </w:rPr>
              <w:t>International 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231"/>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System-wide 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1,462</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1,443</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5"/>
                <w:szCs w:val="15"/>
                <w:color w:val="auto"/>
              </w:rPr>
              <w:t>System-wide total - Company-owned</w:t>
            </w: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360" w:type="dxa"/>
            <w:vAlign w:val="bottom"/>
            <w:vMerge w:val="continue"/>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1,175</w:t>
            </w:r>
          </w:p>
        </w:tc>
        <w:tc>
          <w:tcPr>
            <w:tcW w:w="1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1,155</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System-wide total - Franchised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Previously presented restaurant counts as of September 26, 2021 have been adjusted to exclude off-premises only locations included in the table below.</w:t>
      </w:r>
    </w:p>
    <w:p>
      <w:pPr>
        <w:spacing w:after="0" w:line="11" w:lineRule="exact"/>
        <w:rPr>
          <w:rFonts w:ascii="Arial" w:cs="Arial" w:eastAsia="Arial" w:hAnsi="Arial"/>
          <w:sz w:val="15"/>
          <w:szCs w:val="15"/>
          <w:color w:val="auto"/>
        </w:rPr>
      </w:pPr>
    </w:p>
    <w:p>
      <w:pPr>
        <w:ind w:left="620" w:hanging="617"/>
        <w:spacing w:after="0" w:line="257" w:lineRule="auto"/>
        <w:tabs>
          <w:tab w:leader="none" w:pos="6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restaurant counts for Brazil, including Abbraccio restaurants within International Company-owned Other, are reported as of August 31, 2022 and 2021, respectively, to correspond with the balance sheet dates of this subsidiary.</w:t>
      </w:r>
    </w:p>
    <w:p>
      <w:pPr>
        <w:spacing w:after="0" w:line="1" w:lineRule="exact"/>
        <w:rPr>
          <w:rFonts w:ascii="Arial" w:cs="Arial" w:eastAsia="Arial" w:hAnsi="Arial"/>
          <w:sz w:val="15"/>
          <w:szCs w:val="15"/>
          <w:color w:val="auto"/>
        </w:rPr>
      </w:pPr>
    </w:p>
    <w:p>
      <w:pPr>
        <w:ind w:left="620" w:hanging="617"/>
        <w:spacing w:after="0" w:line="284" w:lineRule="auto"/>
        <w:tabs>
          <w:tab w:leader="none" w:pos="6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International Company-owned Other included two Aussie Grill locations as of September 25, 2022 and September 26, 2021. International Franchised Other included three Aussie Grill locations as of September 25, 2022 and September 26, 2021.</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presents the number of our off-premises only kitchens in operation as of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00" w:type="dxa"/>
            <w:vAlign w:val="bottom"/>
          </w:tcPr>
          <w:p>
            <w:pPr>
              <w:ind w:left="20"/>
              <w:spacing w:after="0"/>
              <w:rPr>
                <w:sz w:val="20"/>
                <w:szCs w:val="20"/>
                <w:color w:val="auto"/>
              </w:rPr>
            </w:pPr>
            <w:r>
              <w:rPr>
                <w:rFonts w:ascii="Arial" w:cs="Arial" w:eastAsia="Arial" w:hAnsi="Arial"/>
                <w:sz w:val="15"/>
                <w:szCs w:val="15"/>
                <w:b w:val="1"/>
                <w:bCs w:val="1"/>
                <w:color w:val="auto"/>
              </w:rPr>
              <w:t>Number of kitchens (at end of the period) (1):</w:t>
            </w:r>
          </w:p>
        </w:tc>
        <w:tc>
          <w:tcPr>
            <w:tcW w:w="202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25, 2022</w:t>
            </w:r>
          </w:p>
        </w:tc>
        <w:tc>
          <w:tcPr>
            <w:tcW w:w="1920" w:type="dxa"/>
            <w:vAlign w:val="bottom"/>
          </w:tcPr>
          <w:p>
            <w:pPr>
              <w:jc w:val="right"/>
              <w:ind w:right="204"/>
              <w:spacing w:after="0"/>
              <w:rPr>
                <w:sz w:val="20"/>
                <w:szCs w:val="20"/>
                <w:color w:val="auto"/>
              </w:rPr>
            </w:pPr>
            <w:r>
              <w:rPr>
                <w:rFonts w:ascii="Arial" w:cs="Arial" w:eastAsia="Arial" w:hAnsi="Arial"/>
                <w:sz w:val="14"/>
                <w:szCs w:val="14"/>
                <w:b w:val="1"/>
                <w:bCs w:val="1"/>
                <w:color w:val="auto"/>
              </w:rPr>
              <w:t>SEPTEMBER 26, 2021</w:t>
            </w:r>
          </w:p>
        </w:tc>
      </w:tr>
      <w:tr>
        <w:trPr>
          <w:trHeight w:val="193"/>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1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r>
      <w:tr>
        <w:trPr>
          <w:trHeight w:val="203"/>
        </w:trPr>
        <w:tc>
          <w:tcPr>
            <w:tcW w:w="7300" w:type="dxa"/>
            <w:vAlign w:val="bottom"/>
          </w:tcPr>
          <w:p>
            <w:pPr>
              <w:ind w:left="140"/>
              <w:spacing w:after="0"/>
              <w:rPr>
                <w:sz w:val="20"/>
                <w:szCs w:val="20"/>
                <w:color w:val="auto"/>
              </w:rPr>
            </w:pPr>
            <w:r>
              <w:rPr>
                <w:rFonts w:ascii="Arial" w:cs="Arial" w:eastAsia="Arial" w:hAnsi="Arial"/>
                <w:sz w:val="15"/>
                <w:szCs w:val="15"/>
                <w:color w:val="auto"/>
              </w:rPr>
              <w:t>Company-owned</w:t>
            </w:r>
          </w:p>
        </w:tc>
        <w:tc>
          <w:tcPr>
            <w:tcW w:w="19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9"/>
        </w:trPr>
        <w:tc>
          <w:tcPr>
            <w:tcW w:w="7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International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03"/>
        </w:trPr>
        <w:tc>
          <w:tcPr>
            <w:tcW w:w="7300" w:type="dxa"/>
            <w:vAlign w:val="bottom"/>
          </w:tcPr>
          <w:p>
            <w:pPr>
              <w:ind w:left="140"/>
              <w:spacing w:after="0"/>
              <w:rPr>
                <w:sz w:val="20"/>
                <w:szCs w:val="20"/>
                <w:color w:val="auto"/>
              </w:rPr>
            </w:pPr>
            <w:r>
              <w:rPr>
                <w:rFonts w:ascii="Arial" w:cs="Arial" w:eastAsia="Arial" w:hAnsi="Arial"/>
                <w:sz w:val="15"/>
                <w:szCs w:val="15"/>
                <w:color w:val="auto"/>
              </w:rPr>
              <w:t>Company-owned</w:t>
            </w:r>
          </w:p>
        </w:tc>
        <w:tc>
          <w:tcPr>
            <w:tcW w:w="2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9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16"/>
        </w:trPr>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Franchised - South Korea</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189"/>
        </w:trPr>
        <w:tc>
          <w:tcPr>
            <w:tcW w:w="7300" w:type="dxa"/>
            <w:vAlign w:val="bottom"/>
          </w:tcPr>
          <w:p>
            <w:pPr>
              <w:ind w:left="20"/>
              <w:spacing w:after="0"/>
              <w:rPr>
                <w:sz w:val="20"/>
                <w:szCs w:val="20"/>
                <w:color w:val="auto"/>
              </w:rPr>
            </w:pPr>
            <w:r>
              <w:rPr>
                <w:rFonts w:ascii="Arial" w:cs="Arial" w:eastAsia="Arial" w:hAnsi="Arial"/>
                <w:sz w:val="15"/>
                <w:szCs w:val="15"/>
                <w:color w:val="auto"/>
              </w:rPr>
              <w:t>System-wide 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r>
      <w:tr>
        <w:trPr>
          <w:trHeight w:val="21"/>
        </w:trPr>
        <w:tc>
          <w:tcPr>
            <w:tcW w:w="73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3" w:lineRule="exact"/>
        <w:rPr>
          <w:sz w:val="20"/>
          <w:szCs w:val="20"/>
          <w:color w:val="auto"/>
        </w:rPr>
      </w:pPr>
    </w:p>
    <w:p>
      <w:pPr>
        <w:ind w:left="620" w:hanging="617"/>
        <w:spacing w:after="0"/>
        <w:tabs>
          <w:tab w:leader="none" w:pos="6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Excludes virtual concepts that operate out of existing restaurants and sports venue locations.</w:t>
      </w:r>
    </w:p>
    <w:p>
      <w:pPr>
        <w:spacing w:after="0" w:line="200" w:lineRule="exact"/>
        <w:rPr>
          <w:rFonts w:ascii="Arial" w:cs="Arial" w:eastAsia="Arial" w:hAnsi="Arial"/>
          <w:sz w:val="15"/>
          <w:szCs w:val="15"/>
          <w:color w:val="auto"/>
        </w:rPr>
      </w:pPr>
    </w:p>
    <w:p>
      <w:pPr>
        <w:spacing w:after="0" w:line="368"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percentages of certain items in our Consolidated Statements of Operations in relation to Total revenues or</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Restaurant sales for the periods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60" w:type="dxa"/>
            <w:vAlign w:val="bottom"/>
          </w:tcPr>
          <w:p>
            <w:pPr>
              <w:spacing w:after="0"/>
              <w:rPr>
                <w:sz w:val="15"/>
                <w:szCs w:val="15"/>
                <w:color w:val="auto"/>
              </w:rPr>
            </w:pPr>
          </w:p>
        </w:tc>
        <w:tc>
          <w:tcPr>
            <w:tcW w:w="3280" w:type="dxa"/>
            <w:vAlign w:val="bottom"/>
            <w:gridSpan w:val="4"/>
          </w:tcPr>
          <w:p>
            <w:pPr>
              <w:ind w:left="700"/>
              <w:spacing w:after="0"/>
              <w:rPr>
                <w:sz w:val="20"/>
                <w:szCs w:val="20"/>
                <w:color w:val="auto"/>
              </w:rPr>
            </w:pPr>
            <w:r>
              <w:rPr>
                <w:rFonts w:ascii="Arial" w:cs="Arial" w:eastAsia="Arial" w:hAnsi="Arial"/>
                <w:sz w:val="14"/>
                <w:szCs w:val="14"/>
                <w:b w:val="1"/>
                <w:bCs w:val="1"/>
                <w:color w:val="auto"/>
              </w:rPr>
              <w:t>THIRTEEN WEEKS ENDED</w:t>
            </w:r>
          </w:p>
        </w:tc>
        <w:tc>
          <w:tcPr>
            <w:tcW w:w="320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THIRTY-NINE WEEKS ENDED</w:t>
            </w:r>
          </w:p>
        </w:tc>
      </w:tr>
      <w:tr>
        <w:trPr>
          <w:trHeight w:val="30"/>
        </w:trPr>
        <w:tc>
          <w:tcPr>
            <w:tcW w:w="47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206"/>
        </w:trPr>
        <w:tc>
          <w:tcPr>
            <w:tcW w:w="4760" w:type="dxa"/>
            <w:vAlign w:val="bottom"/>
          </w:tcPr>
          <w:p>
            <w:pPr>
              <w:spacing w:after="0"/>
              <w:rPr>
                <w:sz w:val="17"/>
                <w:szCs w:val="17"/>
                <w:color w:val="auto"/>
              </w:rPr>
            </w:pPr>
          </w:p>
        </w:tc>
        <w:tc>
          <w:tcPr>
            <w:tcW w:w="16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25, 2022</w:t>
            </w:r>
          </w:p>
        </w:tc>
        <w:tc>
          <w:tcPr>
            <w:tcW w:w="1540" w:type="dxa"/>
            <w:vAlign w:val="bottom"/>
            <w:tcBorders>
              <w:top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98"/>
              </w:rPr>
              <w:t>SEPTEMBER 26, 2021</w:t>
            </w:r>
          </w:p>
        </w:tc>
        <w:tc>
          <w:tcPr>
            <w:tcW w:w="100" w:type="dxa"/>
            <w:vAlign w:val="bottom"/>
          </w:tcPr>
          <w:p>
            <w:pPr>
              <w:spacing w:after="0"/>
              <w:rPr>
                <w:sz w:val="17"/>
                <w:szCs w:val="17"/>
                <w:color w:val="auto"/>
              </w:rPr>
            </w:pPr>
          </w:p>
        </w:tc>
        <w:tc>
          <w:tcPr>
            <w:tcW w:w="16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25, 2022</w:t>
            </w:r>
          </w:p>
        </w:tc>
        <w:tc>
          <w:tcPr>
            <w:tcW w:w="1540" w:type="dxa"/>
            <w:vAlign w:val="bottom"/>
            <w:tcBorders>
              <w:top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98"/>
              </w:rPr>
              <w:t>SEPTEMBER 26, 2021</w:t>
            </w:r>
          </w:p>
        </w:tc>
      </w:tr>
      <w:tr>
        <w:trPr>
          <w:trHeight w:val="19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03"/>
        </w:trPr>
        <w:tc>
          <w:tcPr>
            <w:tcW w:w="476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1540" w:type="dxa"/>
            <w:vAlign w:val="bottom"/>
          </w:tcPr>
          <w:p>
            <w:pPr>
              <w:jc w:val="right"/>
              <w:spacing w:after="0"/>
              <w:rPr>
                <w:sz w:val="20"/>
                <w:szCs w:val="20"/>
                <w:color w:val="auto"/>
              </w:rPr>
            </w:pPr>
            <w:r>
              <w:rPr>
                <w:rFonts w:ascii="Arial" w:cs="Arial" w:eastAsia="Arial" w:hAnsi="Arial"/>
                <w:sz w:val="15"/>
                <w:szCs w:val="15"/>
                <w:color w:val="auto"/>
              </w:rPr>
              <w:t>98.5 %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98.6 %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98.5 %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98.6 %</w:t>
            </w:r>
          </w:p>
        </w:tc>
      </w:tr>
      <w:tr>
        <w:trPr>
          <w:trHeight w:val="229"/>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15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1.4</w:t>
            </w:r>
          </w:p>
        </w:tc>
      </w:tr>
      <w:tr>
        <w:trPr>
          <w:trHeight w:val="189"/>
        </w:trPr>
        <w:tc>
          <w:tcPr>
            <w:tcW w:w="4760" w:type="dxa"/>
            <w:vAlign w:val="bottom"/>
          </w:tcPr>
          <w:p>
            <w:pPr>
              <w:ind w:left="760"/>
              <w:spacing w:after="0"/>
              <w:rPr>
                <w:sz w:val="20"/>
                <w:szCs w:val="20"/>
                <w:color w:val="auto"/>
              </w:rPr>
            </w:pPr>
            <w:r>
              <w:rPr>
                <w:rFonts w:ascii="Arial" w:cs="Arial" w:eastAsia="Arial" w:hAnsi="Arial"/>
                <w:sz w:val="15"/>
                <w:szCs w:val="15"/>
                <w:color w:val="auto"/>
              </w:rPr>
              <w:t>Total revenues</w:t>
            </w: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6"/>
                <w:szCs w:val="16"/>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6"/>
                <w:szCs w:val="16"/>
                <w:color w:val="auto"/>
              </w:rPr>
            </w:pPr>
          </w:p>
        </w:tc>
        <w:tc>
          <w:tcPr>
            <w:tcW w:w="1560" w:type="dxa"/>
            <w:vAlign w:val="bottom"/>
          </w:tcPr>
          <w:p>
            <w:pPr>
              <w:jc w:val="right"/>
              <w:ind w:right="123"/>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6"/>
                <w:szCs w:val="16"/>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100.0</w:t>
            </w: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 and expenses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3"/>
        </w:trPr>
        <w:tc>
          <w:tcPr>
            <w:tcW w:w="4760" w:type="dxa"/>
            <w:vAlign w:val="bottom"/>
          </w:tcPr>
          <w:p>
            <w:pPr>
              <w:ind w:left="140"/>
              <w:spacing w:after="0"/>
              <w:rPr>
                <w:sz w:val="20"/>
                <w:szCs w:val="20"/>
                <w:color w:val="auto"/>
              </w:rPr>
            </w:pPr>
            <w:r>
              <w:rPr>
                <w:rFonts w:ascii="Arial" w:cs="Arial" w:eastAsia="Arial" w:hAnsi="Arial"/>
                <w:sz w:val="15"/>
                <w:szCs w:val="15"/>
                <w:color w:val="auto"/>
              </w:rPr>
              <w:t>Food and beverage costs (1)</w:t>
            </w: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32.0</w:t>
            </w:r>
          </w:p>
        </w:tc>
        <w:tc>
          <w:tcPr>
            <w:tcW w:w="100" w:type="dxa"/>
            <w:vAlign w:val="bottom"/>
          </w:tcPr>
          <w:p>
            <w:pPr>
              <w:spacing w:after="0"/>
              <w:rPr>
                <w:sz w:val="17"/>
                <w:szCs w:val="17"/>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30.5</w:t>
            </w:r>
          </w:p>
        </w:tc>
        <w:tc>
          <w:tcPr>
            <w:tcW w:w="100" w:type="dxa"/>
            <w:vAlign w:val="bottom"/>
          </w:tcPr>
          <w:p>
            <w:pPr>
              <w:spacing w:after="0"/>
              <w:rPr>
                <w:sz w:val="17"/>
                <w:szCs w:val="17"/>
                <w:color w:val="auto"/>
              </w:rPr>
            </w:pPr>
          </w:p>
        </w:tc>
        <w:tc>
          <w:tcPr>
            <w:tcW w:w="1560" w:type="dxa"/>
            <w:vAlign w:val="bottom"/>
          </w:tcPr>
          <w:p>
            <w:pPr>
              <w:jc w:val="right"/>
              <w:ind w:right="123"/>
              <w:spacing w:after="0"/>
              <w:rPr>
                <w:sz w:val="20"/>
                <w:szCs w:val="20"/>
                <w:color w:val="auto"/>
              </w:rPr>
            </w:pPr>
            <w:r>
              <w:rPr>
                <w:rFonts w:ascii="Arial" w:cs="Arial" w:eastAsia="Arial" w:hAnsi="Arial"/>
                <w:sz w:val="15"/>
                <w:szCs w:val="15"/>
                <w:color w:val="auto"/>
              </w:rPr>
              <w:t>32.3</w:t>
            </w:r>
          </w:p>
        </w:tc>
        <w:tc>
          <w:tcPr>
            <w:tcW w:w="100" w:type="dxa"/>
            <w:vAlign w:val="bottom"/>
          </w:tcPr>
          <w:p>
            <w:pPr>
              <w:spacing w:after="0"/>
              <w:rPr>
                <w:sz w:val="17"/>
                <w:szCs w:val="17"/>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30.0</w:t>
            </w:r>
          </w:p>
        </w:tc>
      </w:tr>
      <w:tr>
        <w:trPr>
          <w:trHeight w:val="209"/>
        </w:trPr>
        <w:tc>
          <w:tcPr>
            <w:tcW w:w="4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Labor and other related (1)</w:t>
            </w: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29.1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29.1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28.2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28.4</w:t>
            </w:r>
          </w:p>
        </w:tc>
      </w:tr>
      <w:tr>
        <w:trPr>
          <w:trHeight w:val="203"/>
        </w:trPr>
        <w:tc>
          <w:tcPr>
            <w:tcW w:w="4760" w:type="dxa"/>
            <w:vAlign w:val="bottom"/>
          </w:tcPr>
          <w:p>
            <w:pPr>
              <w:ind w:left="140"/>
              <w:spacing w:after="0"/>
              <w:rPr>
                <w:sz w:val="20"/>
                <w:szCs w:val="20"/>
                <w:color w:val="auto"/>
              </w:rPr>
            </w:pPr>
            <w:r>
              <w:rPr>
                <w:rFonts w:ascii="Arial" w:cs="Arial" w:eastAsia="Arial" w:hAnsi="Arial"/>
                <w:sz w:val="15"/>
                <w:szCs w:val="15"/>
                <w:color w:val="auto"/>
              </w:rPr>
              <w:t>Other restaurant operating (1)</w:t>
            </w: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25.8</w:t>
            </w:r>
          </w:p>
        </w:tc>
        <w:tc>
          <w:tcPr>
            <w:tcW w:w="100" w:type="dxa"/>
            <w:vAlign w:val="bottom"/>
          </w:tcPr>
          <w:p>
            <w:pPr>
              <w:spacing w:after="0"/>
              <w:rPr>
                <w:sz w:val="17"/>
                <w:szCs w:val="17"/>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30.1</w:t>
            </w:r>
          </w:p>
        </w:tc>
        <w:tc>
          <w:tcPr>
            <w:tcW w:w="100" w:type="dxa"/>
            <w:vAlign w:val="bottom"/>
          </w:tcPr>
          <w:p>
            <w:pPr>
              <w:spacing w:after="0"/>
              <w:rPr>
                <w:sz w:val="17"/>
                <w:szCs w:val="17"/>
                <w:color w:val="auto"/>
              </w:rPr>
            </w:pPr>
          </w:p>
        </w:tc>
        <w:tc>
          <w:tcPr>
            <w:tcW w:w="1560" w:type="dxa"/>
            <w:vAlign w:val="bottom"/>
          </w:tcPr>
          <w:p>
            <w:pPr>
              <w:jc w:val="right"/>
              <w:ind w:right="123"/>
              <w:spacing w:after="0"/>
              <w:rPr>
                <w:sz w:val="20"/>
                <w:szCs w:val="20"/>
                <w:color w:val="auto"/>
              </w:rPr>
            </w:pPr>
            <w:r>
              <w:rPr>
                <w:rFonts w:ascii="Arial" w:cs="Arial" w:eastAsia="Arial" w:hAnsi="Arial"/>
                <w:sz w:val="15"/>
                <w:szCs w:val="15"/>
                <w:color w:val="auto"/>
              </w:rPr>
              <w:t>24.2</w:t>
            </w:r>
          </w:p>
        </w:tc>
        <w:tc>
          <w:tcPr>
            <w:tcW w:w="100" w:type="dxa"/>
            <w:vAlign w:val="bottom"/>
          </w:tcPr>
          <w:p>
            <w:pPr>
              <w:spacing w:after="0"/>
              <w:rPr>
                <w:sz w:val="17"/>
                <w:szCs w:val="17"/>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25.2</w:t>
            </w:r>
          </w:p>
        </w:tc>
      </w:tr>
      <w:tr>
        <w:trPr>
          <w:trHeight w:val="209"/>
        </w:trPr>
        <w:tc>
          <w:tcPr>
            <w:tcW w:w="4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4.0</w:t>
            </w:r>
          </w:p>
        </w:tc>
      </w:tr>
      <w:tr>
        <w:trPr>
          <w:trHeight w:val="203"/>
        </w:trPr>
        <w:tc>
          <w:tcPr>
            <w:tcW w:w="476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7"/>
                <w:szCs w:val="17"/>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7"/>
                <w:szCs w:val="17"/>
                <w:color w:val="auto"/>
              </w:rPr>
            </w:pPr>
          </w:p>
        </w:tc>
        <w:tc>
          <w:tcPr>
            <w:tcW w:w="1560" w:type="dxa"/>
            <w:vAlign w:val="bottom"/>
          </w:tcPr>
          <w:p>
            <w:pPr>
              <w:jc w:val="right"/>
              <w:ind w:right="123"/>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7"/>
                <w:szCs w:val="17"/>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5.9</w:t>
            </w:r>
          </w:p>
        </w:tc>
      </w:tr>
      <w:tr>
        <w:trPr>
          <w:trHeight w:val="202"/>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15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0.3</w:t>
            </w:r>
          </w:p>
        </w:tc>
      </w:tr>
      <w:tr>
        <w:trPr>
          <w:trHeight w:val="212"/>
        </w:trPr>
        <w:tc>
          <w:tcPr>
            <w:tcW w:w="476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rPr>
              <w:t>Total costs and expenses</w:t>
            </w:r>
          </w:p>
        </w:tc>
        <w:tc>
          <w:tcPr>
            <w:tcW w:w="15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95.1</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98.5</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92.6</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92.5</w:t>
            </w:r>
          </w:p>
        </w:tc>
      </w:tr>
      <w:tr>
        <w:trPr>
          <w:trHeight w:val="206"/>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4.9</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7.5</w:t>
            </w:r>
          </w:p>
        </w:tc>
      </w:tr>
      <w:tr>
        <w:trPr>
          <w:trHeight w:val="203"/>
        </w:trPr>
        <w:tc>
          <w:tcPr>
            <w:tcW w:w="4760" w:type="dxa"/>
            <w:vAlign w:val="bottom"/>
          </w:tcPr>
          <w:p>
            <w:pPr>
              <w:ind w:left="20"/>
              <w:spacing w:after="0"/>
              <w:rPr>
                <w:sz w:val="20"/>
                <w:szCs w:val="20"/>
                <w:color w:val="auto"/>
              </w:rPr>
            </w:pPr>
            <w:r>
              <w:rPr>
                <w:rFonts w:ascii="Arial" w:cs="Arial" w:eastAsia="Arial" w:hAnsi="Arial"/>
                <w:sz w:val="15"/>
                <w:szCs w:val="15"/>
                <w:color w:val="auto"/>
              </w:rPr>
              <w:t>Loss on extinguishment and modification of debt</w:t>
            </w:r>
          </w:p>
        </w:tc>
        <w:tc>
          <w:tcPr>
            <w:tcW w:w="16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83"/>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7"/>
                <w:szCs w:val="17"/>
                <w:color w:val="auto"/>
              </w:rPr>
            </w:pPr>
          </w:p>
        </w:tc>
        <w:tc>
          <w:tcPr>
            <w:tcW w:w="1540" w:type="dxa"/>
            <w:vAlign w:val="bottom"/>
          </w:tcPr>
          <w:p>
            <w:pPr>
              <w:jc w:val="right"/>
              <w:ind w:right="63"/>
              <w:spacing w:after="0"/>
              <w:rPr>
                <w:sz w:val="20"/>
                <w:szCs w:val="20"/>
                <w:color w:val="auto"/>
              </w:rPr>
            </w:pPr>
            <w:r>
              <w:rPr>
                <w:rFonts w:ascii="Arial" w:cs="Arial" w:eastAsia="Arial" w:hAnsi="Arial"/>
                <w:sz w:val="15"/>
                <w:szCs w:val="15"/>
                <w:color w:val="auto"/>
              </w:rPr>
              <w:t>(0.1)</w:t>
            </w: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fair value adjustment of derivatives, net</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r>
      <w:tr>
        <w:trPr>
          <w:trHeight w:val="203"/>
        </w:trPr>
        <w:tc>
          <w:tcPr>
            <w:tcW w:w="4760" w:type="dxa"/>
            <w:vAlign w:val="bottom"/>
          </w:tcPr>
          <w:p>
            <w:pPr>
              <w:ind w:left="20"/>
              <w:spacing w:after="0"/>
              <w:rPr>
                <w:sz w:val="20"/>
                <w:szCs w:val="20"/>
                <w:color w:val="auto"/>
              </w:rPr>
            </w:pPr>
            <w:r>
              <w:rPr>
                <w:rFonts w:ascii="Arial" w:cs="Arial" w:eastAsia="Arial" w:hAnsi="Arial"/>
                <w:sz w:val="15"/>
                <w:szCs w:val="15"/>
                <w:color w:val="auto"/>
              </w:rPr>
              <w:t>Other income, net</w:t>
            </w:r>
          </w:p>
        </w:tc>
        <w:tc>
          <w:tcPr>
            <w:tcW w:w="16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15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(1.4)</w:t>
            </w:r>
          </w:p>
        </w:tc>
      </w:tr>
      <w:tr>
        <w:trPr>
          <w:trHeight w:val="189"/>
        </w:trPr>
        <w:tc>
          <w:tcPr>
            <w:tcW w:w="4760" w:type="dxa"/>
            <w:vAlign w:val="bottom"/>
          </w:tcPr>
          <w:p>
            <w:pPr>
              <w:ind w:left="20"/>
              <w:spacing w:after="0"/>
              <w:rPr>
                <w:sz w:val="20"/>
                <w:szCs w:val="20"/>
                <w:color w:val="auto"/>
              </w:rPr>
            </w:pPr>
            <w:r>
              <w:rPr>
                <w:rFonts w:ascii="Arial" w:cs="Arial" w:eastAsia="Arial" w:hAnsi="Arial"/>
                <w:sz w:val="15"/>
                <w:szCs w:val="15"/>
                <w:color w:val="auto"/>
              </w:rPr>
              <w:t>Income before provision (benefit) for income taxes</w:t>
            </w: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6"/>
                <w:szCs w:val="16"/>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6"/>
                <w:szCs w:val="16"/>
                <w:color w:val="auto"/>
              </w:rPr>
            </w:pPr>
          </w:p>
        </w:tc>
        <w:tc>
          <w:tcPr>
            <w:tcW w:w="1560" w:type="dxa"/>
            <w:vAlign w:val="bottom"/>
          </w:tcPr>
          <w:p>
            <w:pPr>
              <w:jc w:val="right"/>
              <w:ind w:right="123"/>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6"/>
                <w:szCs w:val="16"/>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6.0</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(benefit) for income taxes</w:t>
            </w:r>
          </w:p>
        </w:tc>
        <w:tc>
          <w:tcPr>
            <w:tcW w:w="15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0.8</w:t>
            </w:r>
          </w:p>
        </w:tc>
      </w:tr>
      <w:tr>
        <w:trPr>
          <w:trHeight w:val="189"/>
        </w:trPr>
        <w:tc>
          <w:tcPr>
            <w:tcW w:w="47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540" w:type="dxa"/>
            <w:vAlign w:val="bottom"/>
          </w:tcPr>
          <w:p>
            <w:pPr>
              <w:jc w:val="right"/>
              <w:ind w:right="123"/>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6"/>
                <w:szCs w:val="16"/>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6"/>
                <w:szCs w:val="16"/>
                <w:color w:val="auto"/>
              </w:rPr>
            </w:pPr>
          </w:p>
        </w:tc>
        <w:tc>
          <w:tcPr>
            <w:tcW w:w="1560" w:type="dxa"/>
            <w:vAlign w:val="bottom"/>
          </w:tcPr>
          <w:p>
            <w:pPr>
              <w:jc w:val="right"/>
              <w:ind w:right="123"/>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1540" w:type="dxa"/>
            <w:vAlign w:val="bottom"/>
          </w:tcPr>
          <w:p>
            <w:pPr>
              <w:jc w:val="right"/>
              <w:ind w:right="103"/>
              <w:spacing w:after="0"/>
              <w:rPr>
                <w:sz w:val="20"/>
                <w:szCs w:val="20"/>
                <w:color w:val="auto"/>
              </w:rPr>
            </w:pPr>
            <w:r>
              <w:rPr>
                <w:rFonts w:ascii="Arial" w:cs="Arial" w:eastAsia="Arial" w:hAnsi="Arial"/>
                <w:sz w:val="15"/>
                <w:szCs w:val="15"/>
                <w:color w:val="auto"/>
              </w:rPr>
              <w:t>5.2</w:t>
            </w:r>
          </w:p>
        </w:tc>
      </w:tr>
      <w:tr>
        <w:trPr>
          <w:trHeight w:val="215"/>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Less: net income attributable to noncontrolling interests</w:t>
            </w:r>
          </w:p>
        </w:tc>
        <w:tc>
          <w:tcPr>
            <w:tcW w:w="15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0.2</w:t>
            </w:r>
          </w:p>
        </w:tc>
      </w:tr>
      <w:tr>
        <w:trPr>
          <w:trHeight w:val="206"/>
        </w:trPr>
        <w:tc>
          <w:tcPr>
            <w:tcW w:w="4760" w:type="dxa"/>
            <w:vAlign w:val="bottom"/>
          </w:tcPr>
          <w:p>
            <w:pPr>
              <w:ind w:left="20"/>
              <w:spacing w:after="0"/>
              <w:rPr>
                <w:sz w:val="20"/>
                <w:szCs w:val="20"/>
                <w:color w:val="auto"/>
              </w:rPr>
            </w:pPr>
            <w:r>
              <w:rPr>
                <w:rFonts w:ascii="Arial" w:cs="Arial" w:eastAsia="Arial" w:hAnsi="Arial"/>
                <w:sz w:val="15"/>
                <w:szCs w:val="15"/>
                <w:color w:val="auto"/>
              </w:rPr>
              <w:t>Net income attributable to Bloomin’ Brands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3.0 %</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0.3 %</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1.3 %</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5.0 %</w:t>
            </w:r>
          </w:p>
        </w:tc>
      </w:tr>
      <w:tr>
        <w:trPr>
          <w:trHeight w:val="20"/>
        </w:trPr>
        <w:tc>
          <w:tcPr>
            <w:tcW w:w="4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w:t>
      </w:r>
    </w:p>
    <w:p>
      <w:pPr>
        <w:spacing w:after="0" w:line="16" w:lineRule="exact"/>
        <w:rPr>
          <w:sz w:val="20"/>
          <w:szCs w:val="20"/>
          <w:color w:val="auto"/>
        </w:rPr>
      </w:pPr>
    </w:p>
    <w:p>
      <w:pPr>
        <w:ind w:left="620" w:hanging="617"/>
        <w:spacing w:after="0"/>
        <w:tabs>
          <w:tab w:leader="none" w:pos="6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As a percentage of Restaurant sales.</w:t>
      </w:r>
    </w:p>
    <w:p>
      <w:pPr>
        <w:ind w:left="620" w:hanging="617"/>
        <w:spacing w:after="0"/>
        <w:tabs>
          <w:tab w:leader="none" w:pos="6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Less than 1/10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of one percent of Total revenues.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REVENUES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Restaurant sales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Restaurant sales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18"/>
                <w:szCs w:val="18"/>
                <w:color w:val="auto"/>
              </w:rPr>
            </w:pPr>
          </w:p>
        </w:tc>
        <w:tc>
          <w:tcPr>
            <w:tcW w:w="2440" w:type="dxa"/>
            <w:vAlign w:val="bottom"/>
          </w:tcPr>
          <w:p>
            <w:pPr>
              <w:jc w:val="right"/>
              <w:ind w:right="264"/>
              <w:spacing w:after="0"/>
              <w:rPr>
                <w:sz w:val="20"/>
                <w:szCs w:val="20"/>
                <w:color w:val="auto"/>
              </w:rPr>
            </w:pPr>
            <w:r>
              <w:rPr>
                <w:rFonts w:ascii="Arial" w:cs="Arial" w:eastAsia="Arial" w:hAnsi="Arial"/>
                <w:sz w:val="14"/>
                <w:szCs w:val="14"/>
                <w:b w:val="1"/>
                <w:bCs w:val="1"/>
                <w:color w:val="auto"/>
              </w:rPr>
              <w:t>THIRTY-NINE WEEKS ENDED</w:t>
            </w:r>
          </w:p>
        </w:tc>
      </w:tr>
      <w:tr>
        <w:trPr>
          <w:trHeight w:val="20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September 26, 2021</w:t>
            </w: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996.7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3,031.4</w:t>
            </w:r>
          </w:p>
        </w:tc>
      </w:tr>
      <w:tr>
        <w:trPr>
          <w:trHeight w:val="203"/>
        </w:trPr>
        <w:tc>
          <w:tcPr>
            <w:tcW w:w="586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2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9"/>
        </w:trPr>
        <w:tc>
          <w:tcPr>
            <w:tcW w:w="5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Comparable restaurant sales (1)</w:t>
            </w: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212.6</w:t>
            </w:r>
          </w:p>
        </w:tc>
      </w:tr>
      <w:tr>
        <w:trPr>
          <w:trHeight w:val="203"/>
        </w:trPr>
        <w:tc>
          <w:tcPr>
            <w:tcW w:w="5860" w:type="dxa"/>
            <w:vAlign w:val="bottom"/>
          </w:tcPr>
          <w:p>
            <w:pPr>
              <w:ind w:left="320"/>
              <w:spacing w:after="0"/>
              <w:rPr>
                <w:sz w:val="20"/>
                <w:szCs w:val="20"/>
                <w:color w:val="auto"/>
              </w:rPr>
            </w:pPr>
            <w:r>
              <w:rPr>
                <w:rFonts w:ascii="Arial" w:cs="Arial" w:eastAsia="Arial" w:hAnsi="Arial"/>
                <w:sz w:val="15"/>
                <w:szCs w:val="15"/>
                <w:color w:val="auto"/>
              </w:rPr>
              <w:t>Restaurant openings (1)</w:t>
            </w:r>
          </w:p>
        </w:tc>
        <w:tc>
          <w:tcPr>
            <w:tcW w:w="26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Arial" w:cs="Arial" w:eastAsia="Arial" w:hAnsi="Arial"/>
                <w:sz w:val="15"/>
                <w:szCs w:val="15"/>
                <w:color w:val="auto"/>
              </w:rPr>
              <w:t>18.0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Pr>
          <w:p>
            <w:pPr>
              <w:jc w:val="right"/>
              <w:spacing w:after="0"/>
              <w:rPr>
                <w:sz w:val="20"/>
                <w:szCs w:val="20"/>
                <w:color w:val="auto"/>
              </w:rPr>
            </w:pPr>
            <w:r>
              <w:rPr>
                <w:rFonts w:ascii="Arial" w:cs="Arial" w:eastAsia="Arial" w:hAnsi="Arial"/>
                <w:sz w:val="15"/>
                <w:szCs w:val="15"/>
                <w:color w:val="auto"/>
              </w:rPr>
              <w:t>46.0</w:t>
            </w:r>
          </w:p>
        </w:tc>
      </w:tr>
      <w:tr>
        <w:trPr>
          <w:trHeight w:val="209"/>
        </w:trPr>
        <w:tc>
          <w:tcPr>
            <w:tcW w:w="58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Restaurant closures (1)</w:t>
            </w: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w:t>
            </w:r>
          </w:p>
        </w:tc>
      </w:tr>
      <w:tr>
        <w:trPr>
          <w:trHeight w:val="199"/>
        </w:trPr>
        <w:tc>
          <w:tcPr>
            <w:tcW w:w="58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Effect of foreign currency translation</w:t>
            </w:r>
          </w:p>
        </w:tc>
        <w:tc>
          <w:tcPr>
            <w:tcW w:w="2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r>
      <w:tr>
        <w:trPr>
          <w:trHeight w:val="231"/>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September 25, 2022</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1,040.4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3,272.9</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w:t>
      </w:r>
    </w:p>
    <w:p>
      <w:pPr>
        <w:spacing w:after="0" w:line="21" w:lineRule="exact"/>
        <w:rPr>
          <w:sz w:val="20"/>
          <w:szCs w:val="20"/>
          <w:color w:val="auto"/>
        </w:rPr>
      </w:pPr>
    </w:p>
    <w:p>
      <w:pPr>
        <w:ind w:left="620" w:hanging="617"/>
        <w:spacing w:after="0" w:line="284" w:lineRule="auto"/>
        <w:tabs>
          <w:tab w:leader="none" w:pos="6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Summation of quarterly changes for restaurant openings, closures and comparable restaurant sales will not total to annual amounts as the restaurants that meet the definition of each will differ each period based on when the restaurant opened or closed.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increase in Restaurant sales during the thirteen weeks ended September 25, 2022 was primarily due to higher comparable restaurant sales and the opening of 42 new restaurants not included in our comparable restaurant sales base. The increase in Restaurant sales was partially offset by the closure of 22 restaurants since June 27, 2021.</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increase in Restaurant sales during the thirty-nine weeks ended September 25, 2022 was primarily due to: (i) higher comparable restaurant sales, (ii) the opening of 54 new restaurants not included in our comparable restaurant sales base and (iii) the effect of foreign currency translation of the Brazilian Real relative to the U.S. dollar. The increase in Restaurant sales was partially offset by the closure of 25 restaurants since December 27, 2020.</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Average Restaurant Unit Volumes and Operating Weeks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average restaurant unit volumes and operating weeks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3"/>
          </w:tcPr>
          <w:p>
            <w:pPr>
              <w:jc w:val="right"/>
              <w:ind w:right="4"/>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20" w:type="dxa"/>
            <w:vAlign w:val="bottom"/>
            <w:gridSpan w:val="4"/>
          </w:tcPr>
          <w:p>
            <w:pPr>
              <w:jc w:val="right"/>
              <w:ind w:right="523"/>
              <w:spacing w:after="0"/>
              <w:rPr>
                <w:sz w:val="20"/>
                <w:szCs w:val="20"/>
                <w:color w:val="auto"/>
              </w:rPr>
            </w:pPr>
            <w:r>
              <w:rPr>
                <w:rFonts w:ascii="Arial" w:cs="Arial" w:eastAsia="Arial" w:hAnsi="Arial"/>
                <w:sz w:val="14"/>
                <w:szCs w:val="14"/>
                <w:b w:val="1"/>
                <w:bCs w:val="1"/>
                <w:color w:val="auto"/>
              </w:rPr>
              <w:t>THIRTY-NINE WEEKS ENDED</w:t>
            </w:r>
          </w:p>
        </w:tc>
      </w:tr>
      <w:tr>
        <w:trPr>
          <w:trHeight w:val="30"/>
        </w:trPr>
        <w:tc>
          <w:tcPr>
            <w:tcW w:w="486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1600" w:type="dxa"/>
            <w:vAlign w:val="bottom"/>
            <w:gridSpan w:val="3"/>
          </w:tcPr>
          <w:p>
            <w:pPr>
              <w:spacing w:after="0"/>
              <w:rPr>
                <w:sz w:val="2"/>
                <w:szCs w:val="2"/>
                <w:color w:val="auto"/>
              </w:rPr>
            </w:pPr>
          </w:p>
        </w:tc>
        <w:tc>
          <w:tcPr>
            <w:tcW w:w="15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6"/>
        </w:trPr>
        <w:tc>
          <w:tcPr>
            <w:tcW w:w="4860" w:type="dxa"/>
            <w:vAlign w:val="bottom"/>
          </w:tcPr>
          <w:p>
            <w:pPr>
              <w:spacing w:after="0"/>
              <w:rPr>
                <w:sz w:val="17"/>
                <w:szCs w:val="17"/>
                <w:color w:val="auto"/>
              </w:rPr>
            </w:pPr>
          </w:p>
        </w:tc>
        <w:tc>
          <w:tcPr>
            <w:tcW w:w="1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26, 2021</w:t>
            </w:r>
          </w:p>
        </w:tc>
        <w:tc>
          <w:tcPr>
            <w:tcW w:w="100" w:type="dxa"/>
            <w:vAlign w:val="bottom"/>
          </w:tcPr>
          <w:p>
            <w:pPr>
              <w:spacing w:after="0"/>
              <w:rPr>
                <w:sz w:val="17"/>
                <w:szCs w:val="17"/>
                <w:color w:val="auto"/>
              </w:rPr>
            </w:pPr>
          </w:p>
        </w:tc>
        <w:tc>
          <w:tcPr>
            <w:tcW w:w="158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92"/>
              </w:rPr>
              <w:t>SEPTEMBER 26, 2021</w:t>
            </w:r>
          </w:p>
        </w:tc>
      </w:tr>
      <w:tr>
        <w:trPr>
          <w:trHeight w:val="18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Average restaurant unit volumes (weekly):</w:t>
            </w:r>
          </w:p>
        </w:tc>
        <w:tc>
          <w:tcPr>
            <w:tcW w:w="3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r>
      <w:tr>
        <w:trPr>
          <w:trHeight w:val="203"/>
        </w:trPr>
        <w:tc>
          <w:tcPr>
            <w:tcW w:w="4860" w:type="dxa"/>
            <w:vAlign w:val="bottom"/>
          </w:tcPr>
          <w:p>
            <w:pPr>
              <w:ind w:left="140"/>
              <w:spacing w:after="0"/>
              <w:rPr>
                <w:sz w:val="20"/>
                <w:szCs w:val="20"/>
                <w:color w:val="auto"/>
              </w:rPr>
            </w:pPr>
            <w:r>
              <w:rPr>
                <w:rFonts w:ascii="Arial" w:cs="Arial" w:eastAsia="Arial" w:hAnsi="Arial"/>
                <w:sz w:val="15"/>
                <w:szCs w:val="15"/>
                <w:color w:val="auto"/>
              </w:rPr>
              <w:t>U.S.</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9"/>
        </w:trPr>
        <w:tc>
          <w:tcPr>
            <w:tcW w:w="48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Outback Steakhouse</w:t>
            </w: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72,834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74,163</w:t>
            </w:r>
          </w:p>
        </w:tc>
      </w:tr>
      <w:tr>
        <w:trPr>
          <w:trHeight w:val="203"/>
        </w:trPr>
        <w:tc>
          <w:tcPr>
            <w:tcW w:w="4860" w:type="dxa"/>
            <w:vAlign w:val="bottom"/>
          </w:tcPr>
          <w:p>
            <w:pPr>
              <w:ind w:left="220"/>
              <w:spacing w:after="0"/>
              <w:rPr>
                <w:sz w:val="20"/>
                <w:szCs w:val="20"/>
                <w:color w:val="auto"/>
              </w:rPr>
            </w:pPr>
            <w:r>
              <w:rPr>
                <w:rFonts w:ascii="Arial" w:cs="Arial" w:eastAsia="Arial" w:hAnsi="Arial"/>
                <w:sz w:val="15"/>
                <w:szCs w:val="15"/>
                <w:color w:val="auto"/>
              </w:rPr>
              <w:t>Carrabba’s Italian Grill</w:t>
            </w: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62,010</w:t>
            </w:r>
          </w:p>
        </w:tc>
        <w:tc>
          <w:tcPr>
            <w:tcW w:w="100" w:type="dxa"/>
            <w:vAlign w:val="bottom"/>
          </w:tcPr>
          <w:p>
            <w:pPr>
              <w:spacing w:after="0"/>
              <w:rPr>
                <w:sz w:val="17"/>
                <w:szCs w:val="17"/>
                <w:color w:val="auto"/>
              </w:rPr>
            </w:pPr>
          </w:p>
        </w:tc>
        <w:tc>
          <w:tcPr>
            <w:tcW w:w="920" w:type="dxa"/>
            <w:vAlign w:val="bottom"/>
          </w:tcPr>
          <w:p>
            <w:pPr>
              <w:jc w:val="right"/>
              <w:ind w:right="74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61,518</w:t>
            </w:r>
          </w:p>
        </w:tc>
        <w:tc>
          <w:tcPr>
            <w:tcW w:w="10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65,309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62,910</w:t>
            </w:r>
          </w:p>
        </w:tc>
      </w:tr>
      <w:tr>
        <w:trPr>
          <w:trHeight w:val="209"/>
        </w:trPr>
        <w:tc>
          <w:tcPr>
            <w:tcW w:w="48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Bonefish Grill</w:t>
            </w: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57,998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57,844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58,626</w:t>
            </w:r>
          </w:p>
        </w:tc>
      </w:tr>
      <w:tr>
        <w:trPr>
          <w:trHeight w:val="203"/>
        </w:trPr>
        <w:tc>
          <w:tcPr>
            <w:tcW w:w="4860" w:type="dxa"/>
            <w:vAlign w:val="bottom"/>
          </w:tcPr>
          <w:p>
            <w:pPr>
              <w:ind w:left="220"/>
              <w:spacing w:after="0"/>
              <w:rPr>
                <w:sz w:val="20"/>
                <w:szCs w:val="20"/>
                <w:color w:val="auto"/>
              </w:rPr>
            </w:pPr>
            <w:r>
              <w:rPr>
                <w:rFonts w:ascii="Arial" w:cs="Arial" w:eastAsia="Arial" w:hAnsi="Arial"/>
                <w:sz w:val="15"/>
                <w:szCs w:val="15"/>
                <w:color w:val="auto"/>
              </w:rPr>
              <w:t>Fleming’s Prime Steakhouse &amp; Wine Bar</w:t>
            </w: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97,053</w:t>
            </w:r>
          </w:p>
        </w:tc>
        <w:tc>
          <w:tcPr>
            <w:tcW w:w="100" w:type="dxa"/>
            <w:vAlign w:val="bottom"/>
          </w:tcPr>
          <w:p>
            <w:pPr>
              <w:spacing w:after="0"/>
              <w:rPr>
                <w:sz w:val="17"/>
                <w:szCs w:val="17"/>
                <w:color w:val="auto"/>
              </w:rPr>
            </w:pPr>
          </w:p>
        </w:tc>
        <w:tc>
          <w:tcPr>
            <w:tcW w:w="920" w:type="dxa"/>
            <w:vAlign w:val="bottom"/>
          </w:tcPr>
          <w:p>
            <w:pPr>
              <w:jc w:val="right"/>
              <w:ind w:right="74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95,777</w:t>
            </w:r>
          </w:p>
        </w:tc>
        <w:tc>
          <w:tcPr>
            <w:tcW w:w="10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109,112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94,064</w:t>
            </w:r>
          </w:p>
        </w:tc>
      </w:tr>
      <w:tr>
        <w:trPr>
          <w:trHeight w:val="209"/>
        </w:trPr>
        <w:tc>
          <w:tcPr>
            <w:tcW w:w="4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3"/>
        </w:trPr>
        <w:tc>
          <w:tcPr>
            <w:tcW w:w="4860" w:type="dxa"/>
            <w:vAlign w:val="bottom"/>
          </w:tcPr>
          <w:p>
            <w:pPr>
              <w:ind w:left="220"/>
              <w:spacing w:after="0"/>
              <w:rPr>
                <w:sz w:val="20"/>
                <w:szCs w:val="20"/>
                <w:color w:val="auto"/>
              </w:rPr>
            </w:pPr>
            <w:r>
              <w:rPr>
                <w:rFonts w:ascii="Arial" w:cs="Arial" w:eastAsia="Arial" w:hAnsi="Arial"/>
                <w:sz w:val="15"/>
                <w:szCs w:val="15"/>
                <w:color w:val="auto"/>
              </w:rPr>
              <w:t>Outback Steakhouse - Brazil (1)</w:t>
            </w: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60,711</w:t>
            </w:r>
          </w:p>
        </w:tc>
        <w:tc>
          <w:tcPr>
            <w:tcW w:w="100" w:type="dxa"/>
            <w:vAlign w:val="bottom"/>
          </w:tcPr>
          <w:p>
            <w:pPr>
              <w:spacing w:after="0"/>
              <w:rPr>
                <w:sz w:val="17"/>
                <w:szCs w:val="17"/>
                <w:color w:val="auto"/>
              </w:rPr>
            </w:pPr>
          </w:p>
        </w:tc>
        <w:tc>
          <w:tcPr>
            <w:tcW w:w="920" w:type="dxa"/>
            <w:vAlign w:val="bottom"/>
          </w:tcPr>
          <w:p>
            <w:pPr>
              <w:jc w:val="right"/>
              <w:ind w:right="74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49,841</w:t>
            </w:r>
          </w:p>
        </w:tc>
        <w:tc>
          <w:tcPr>
            <w:tcW w:w="10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58,722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40,848</w:t>
            </w: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weeks: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3"/>
        </w:trPr>
        <w:tc>
          <w:tcPr>
            <w:tcW w:w="4860" w:type="dxa"/>
            <w:vAlign w:val="bottom"/>
          </w:tcPr>
          <w:p>
            <w:pPr>
              <w:ind w:left="140"/>
              <w:spacing w:after="0"/>
              <w:rPr>
                <w:sz w:val="20"/>
                <w:szCs w:val="20"/>
                <w:color w:val="auto"/>
              </w:rPr>
            </w:pPr>
            <w:r>
              <w:rPr>
                <w:rFonts w:ascii="Arial" w:cs="Arial" w:eastAsia="Arial" w:hAnsi="Arial"/>
                <w:sz w:val="15"/>
                <w:szCs w:val="15"/>
                <w:color w:val="auto"/>
              </w:rPr>
              <w:t>U.S.</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9"/>
        </w:trPr>
        <w:tc>
          <w:tcPr>
            <w:tcW w:w="48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Outback Steakhouse</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22,089</w:t>
            </w:r>
          </w:p>
        </w:tc>
      </w:tr>
      <w:tr>
        <w:trPr>
          <w:trHeight w:val="203"/>
        </w:trPr>
        <w:tc>
          <w:tcPr>
            <w:tcW w:w="4860" w:type="dxa"/>
            <w:vAlign w:val="bottom"/>
          </w:tcPr>
          <w:p>
            <w:pPr>
              <w:ind w:left="220"/>
              <w:spacing w:after="0"/>
              <w:rPr>
                <w:sz w:val="20"/>
                <w:szCs w:val="20"/>
                <w:color w:val="auto"/>
              </w:rPr>
            </w:pPr>
            <w:r>
              <w:rPr>
                <w:rFonts w:ascii="Arial" w:cs="Arial" w:eastAsia="Arial" w:hAnsi="Arial"/>
                <w:sz w:val="15"/>
                <w:szCs w:val="15"/>
                <w:color w:val="auto"/>
              </w:rPr>
              <w:t>Carrabba’s Italian Grill</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2,576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2,587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7,741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7,761</w:t>
            </w:r>
          </w:p>
        </w:tc>
      </w:tr>
      <w:tr>
        <w:trPr>
          <w:trHeight w:val="209"/>
        </w:trPr>
        <w:tc>
          <w:tcPr>
            <w:tcW w:w="48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Bonefish Grill</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7,004</w:t>
            </w:r>
          </w:p>
        </w:tc>
      </w:tr>
      <w:tr>
        <w:trPr>
          <w:trHeight w:val="203"/>
        </w:trPr>
        <w:tc>
          <w:tcPr>
            <w:tcW w:w="4860" w:type="dxa"/>
            <w:vAlign w:val="bottom"/>
          </w:tcPr>
          <w:p>
            <w:pPr>
              <w:ind w:left="220"/>
              <w:spacing w:after="0"/>
              <w:rPr>
                <w:sz w:val="20"/>
                <w:szCs w:val="20"/>
                <w:color w:val="auto"/>
              </w:rPr>
            </w:pPr>
            <w:r>
              <w:rPr>
                <w:rFonts w:ascii="Arial" w:cs="Arial" w:eastAsia="Arial" w:hAnsi="Arial"/>
                <w:sz w:val="15"/>
                <w:szCs w:val="15"/>
                <w:color w:val="auto"/>
              </w:rPr>
              <w:t>Fleming’s Prime Steakhouse &amp; Wine Bar</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832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2,489</w:t>
            </w:r>
          </w:p>
        </w:tc>
      </w:tr>
      <w:tr>
        <w:trPr>
          <w:trHeight w:val="209"/>
        </w:trPr>
        <w:tc>
          <w:tcPr>
            <w:tcW w:w="48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1"/>
        </w:trPr>
        <w:tc>
          <w:tcPr>
            <w:tcW w:w="4860" w:type="dxa"/>
            <w:vAlign w:val="bottom"/>
          </w:tcPr>
          <w:p>
            <w:pPr>
              <w:ind w:left="220"/>
              <w:spacing w:after="0"/>
              <w:rPr>
                <w:sz w:val="20"/>
                <w:szCs w:val="20"/>
                <w:color w:val="auto"/>
              </w:rPr>
            </w:pPr>
            <w:r>
              <w:rPr>
                <w:rFonts w:ascii="Arial" w:cs="Arial" w:eastAsia="Arial" w:hAnsi="Arial"/>
                <w:sz w:val="15"/>
                <w:szCs w:val="15"/>
                <w:color w:val="auto"/>
              </w:rPr>
              <w:t>Outback Steakhouse - Brazil</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1,745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1,485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4,971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4,362</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line="266" w:lineRule="auto"/>
        <w:tabs>
          <w:tab w:leader="none" w:pos="6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Translated at average exchange rates of 5.18 and 5.15 for the thirteen weeks ended September 25, 2022 and September 26, 2021, respectively, and 5.16 and 5.27 for the thirty-nine weeks ended September 25, 2022 and September 26,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Comparable Restaurant Sales, Traffic and Average Check Per Person Increases (Decreases)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comparable restaurant sales, traffic and average check per person increases (decreases)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80" w:type="dxa"/>
            <w:vAlign w:val="bottom"/>
          </w:tcPr>
          <w:p>
            <w:pPr>
              <w:spacing w:after="0"/>
              <w:rPr>
                <w:sz w:val="15"/>
                <w:szCs w:val="15"/>
                <w:color w:val="auto"/>
              </w:rPr>
            </w:pPr>
          </w:p>
        </w:tc>
        <w:tc>
          <w:tcPr>
            <w:tcW w:w="3280" w:type="dxa"/>
            <w:vAlign w:val="bottom"/>
            <w:gridSpan w:val="4"/>
          </w:tcPr>
          <w:p>
            <w:pPr>
              <w:ind w:left="720"/>
              <w:spacing w:after="0"/>
              <w:rPr>
                <w:sz w:val="20"/>
                <w:szCs w:val="20"/>
                <w:color w:val="auto"/>
              </w:rPr>
            </w:pPr>
            <w:r>
              <w:rPr>
                <w:rFonts w:ascii="Arial" w:cs="Arial" w:eastAsia="Arial" w:hAnsi="Arial"/>
                <w:sz w:val="14"/>
                <w:szCs w:val="14"/>
                <w:b w:val="1"/>
                <w:bCs w:val="1"/>
                <w:color w:val="auto"/>
              </w:rPr>
              <w:t>THIRTEEN WEEKS ENDED</w:t>
            </w:r>
          </w:p>
        </w:tc>
        <w:tc>
          <w:tcPr>
            <w:tcW w:w="318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THIRTY-NINE WEEKS ENDED</w:t>
            </w:r>
          </w:p>
        </w:tc>
      </w:tr>
      <w:tr>
        <w:trPr>
          <w:trHeight w:val="30"/>
        </w:trPr>
        <w:tc>
          <w:tcPr>
            <w:tcW w:w="47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186"/>
        </w:trPr>
        <w:tc>
          <w:tcPr>
            <w:tcW w:w="4780" w:type="dxa"/>
            <w:vAlign w:val="bottom"/>
          </w:tcPr>
          <w:p>
            <w:pPr>
              <w:spacing w:after="0"/>
              <w:rPr>
                <w:sz w:val="16"/>
                <w:szCs w:val="16"/>
                <w:color w:val="auto"/>
              </w:rPr>
            </w:pPr>
          </w:p>
        </w:tc>
        <w:tc>
          <w:tcPr>
            <w:tcW w:w="16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25, 2022</w:t>
            </w:r>
          </w:p>
        </w:tc>
        <w:tc>
          <w:tcPr>
            <w:tcW w:w="1560" w:type="dxa"/>
            <w:vAlign w:val="bottom"/>
            <w:tcBorders>
              <w:top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98"/>
              </w:rPr>
              <w:t>SEPTEMBER 26, 2021</w:t>
            </w:r>
          </w:p>
        </w:tc>
        <w:tc>
          <w:tcPr>
            <w:tcW w:w="80" w:type="dxa"/>
            <w:vAlign w:val="bottom"/>
          </w:tcPr>
          <w:p>
            <w:pPr>
              <w:spacing w:after="0"/>
              <w:rPr>
                <w:sz w:val="16"/>
                <w:szCs w:val="16"/>
                <w:color w:val="auto"/>
              </w:rPr>
            </w:pPr>
          </w:p>
        </w:tc>
        <w:tc>
          <w:tcPr>
            <w:tcW w:w="16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25, 2022</w:t>
            </w:r>
          </w:p>
        </w:tc>
        <w:tc>
          <w:tcPr>
            <w:tcW w:w="1540" w:type="dxa"/>
            <w:vAlign w:val="bottom"/>
            <w:tcBorders>
              <w:top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98"/>
              </w:rPr>
              <w:t>SEPTEMBER 26, 2021</w:t>
            </w:r>
          </w:p>
        </w:tc>
      </w:tr>
      <w:tr>
        <w:trPr>
          <w:trHeight w:val="19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Year over year percentage change:</w:t>
            </w:r>
          </w:p>
        </w:tc>
        <w:tc>
          <w:tcPr>
            <w:tcW w:w="1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r>
      <w:tr>
        <w:trPr>
          <w:trHeight w:val="203"/>
        </w:trPr>
        <w:tc>
          <w:tcPr>
            <w:tcW w:w="4780" w:type="dxa"/>
            <w:vAlign w:val="bottom"/>
          </w:tcPr>
          <w:p>
            <w:pPr>
              <w:ind w:left="140"/>
              <w:spacing w:after="0"/>
              <w:rPr>
                <w:sz w:val="20"/>
                <w:szCs w:val="20"/>
                <w:color w:val="auto"/>
              </w:rPr>
            </w:pPr>
            <w:r>
              <w:rPr>
                <w:rFonts w:ascii="Arial" w:cs="Arial" w:eastAsia="Arial" w:hAnsi="Arial"/>
                <w:sz w:val="15"/>
                <w:szCs w:val="15"/>
                <w:color w:val="auto"/>
              </w:rPr>
              <w:t>Comparable restaurant sales (stores open 18 months or more):</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9"/>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(1)</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3"/>
        </w:trPr>
        <w:tc>
          <w:tcPr>
            <w:tcW w:w="4780" w:type="dxa"/>
            <w:vAlign w:val="bottom"/>
          </w:tcPr>
          <w:p>
            <w:pPr>
              <w:ind w:left="320"/>
              <w:spacing w:after="0"/>
              <w:rPr>
                <w:sz w:val="20"/>
                <w:szCs w:val="20"/>
                <w:color w:val="auto"/>
              </w:rPr>
            </w:pPr>
            <w:r>
              <w:rPr>
                <w:rFonts w:ascii="Arial" w:cs="Arial" w:eastAsia="Arial" w:hAnsi="Arial"/>
                <w:sz w:val="15"/>
                <w:szCs w:val="15"/>
                <w:color w:val="auto"/>
              </w:rPr>
              <w:t>Outback Steakhouse</w:t>
            </w:r>
          </w:p>
        </w:tc>
        <w:tc>
          <w:tcPr>
            <w:tcW w:w="1560" w:type="dxa"/>
            <w:vAlign w:val="bottom"/>
          </w:tcPr>
          <w:p>
            <w:pPr>
              <w:jc w:val="right"/>
              <w:spacing w:after="0"/>
              <w:rPr>
                <w:sz w:val="20"/>
                <w:szCs w:val="20"/>
                <w:color w:val="auto"/>
              </w:rPr>
            </w:pPr>
            <w:r>
              <w:rPr>
                <w:rFonts w:ascii="Arial" w:cs="Arial" w:eastAsia="Arial" w:hAnsi="Arial"/>
                <w:sz w:val="15"/>
                <w:szCs w:val="15"/>
                <w:color w:val="auto"/>
              </w:rPr>
              <w:t>2.3 %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18.3 %</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3.4 %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25.3 %</w:t>
            </w:r>
          </w:p>
        </w:tc>
      </w:tr>
      <w:tr>
        <w:trPr>
          <w:trHeight w:val="20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Carrabba’s Italian Grill</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28.8 %</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35.1 %</w:t>
            </w:r>
          </w:p>
        </w:tc>
      </w:tr>
      <w:tr>
        <w:trPr>
          <w:trHeight w:val="203"/>
        </w:trPr>
        <w:tc>
          <w:tcPr>
            <w:tcW w:w="4780" w:type="dxa"/>
            <w:vAlign w:val="bottom"/>
          </w:tcPr>
          <w:p>
            <w:pPr>
              <w:ind w:left="320"/>
              <w:spacing w:after="0"/>
              <w:rPr>
                <w:sz w:val="20"/>
                <w:szCs w:val="20"/>
                <w:color w:val="auto"/>
              </w:rPr>
            </w:pPr>
            <w:r>
              <w:rPr>
                <w:rFonts w:ascii="Arial" w:cs="Arial" w:eastAsia="Arial" w:hAnsi="Arial"/>
                <w:sz w:val="15"/>
                <w:szCs w:val="15"/>
                <w:color w:val="auto"/>
              </w:rPr>
              <w:t>Bonefish Grill</w:t>
            </w:r>
          </w:p>
        </w:tc>
        <w:tc>
          <w:tcPr>
            <w:tcW w:w="1560" w:type="dxa"/>
            <w:vAlign w:val="bottom"/>
          </w:tcPr>
          <w:p>
            <w:pPr>
              <w:jc w:val="right"/>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36.6 %</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5.9 %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41.2 %</w:t>
            </w:r>
          </w:p>
        </w:tc>
      </w:tr>
      <w:tr>
        <w:trPr>
          <w:trHeight w:val="20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Fleming’s Prime Steakhouse &amp; Wine Bar</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59.6 %</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56.9 %</w:t>
            </w:r>
          </w:p>
        </w:tc>
      </w:tr>
      <w:tr>
        <w:trPr>
          <w:trHeight w:val="203"/>
        </w:trPr>
        <w:tc>
          <w:tcPr>
            <w:tcW w:w="4780" w:type="dxa"/>
            <w:vAlign w:val="bottom"/>
          </w:tcPr>
          <w:p>
            <w:pPr>
              <w:ind w:left="320"/>
              <w:spacing w:after="0"/>
              <w:rPr>
                <w:sz w:val="20"/>
                <w:szCs w:val="20"/>
                <w:color w:val="auto"/>
              </w:rPr>
            </w:pPr>
            <w:r>
              <w:rPr>
                <w:rFonts w:ascii="Arial" w:cs="Arial" w:eastAsia="Arial" w:hAnsi="Arial"/>
                <w:sz w:val="15"/>
                <w:szCs w:val="15"/>
                <w:color w:val="auto"/>
              </w:rPr>
              <w:t>Combined U.S.</w:t>
            </w:r>
          </w:p>
        </w:tc>
        <w:tc>
          <w:tcPr>
            <w:tcW w:w="1560" w:type="dxa"/>
            <w:vAlign w:val="bottom"/>
          </w:tcPr>
          <w:p>
            <w:pPr>
              <w:jc w:val="right"/>
              <w:spacing w:after="0"/>
              <w:rPr>
                <w:sz w:val="20"/>
                <w:szCs w:val="20"/>
                <w:color w:val="auto"/>
              </w:rPr>
            </w:pPr>
            <w:r>
              <w:rPr>
                <w:rFonts w:ascii="Arial" w:cs="Arial" w:eastAsia="Arial" w:hAnsi="Arial"/>
                <w:sz w:val="15"/>
                <w:szCs w:val="15"/>
                <w:color w:val="auto"/>
              </w:rPr>
              <w:t>1.4 %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25.5 %</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4.8 %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31.4 %</w:t>
            </w:r>
          </w:p>
        </w:tc>
      </w:tr>
      <w:tr>
        <w:trPr>
          <w:trHeight w:val="209"/>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3"/>
        </w:trPr>
        <w:tc>
          <w:tcPr>
            <w:tcW w:w="4780" w:type="dxa"/>
            <w:vAlign w:val="bottom"/>
          </w:tcPr>
          <w:p>
            <w:pPr>
              <w:ind w:left="320"/>
              <w:spacing w:after="0"/>
              <w:rPr>
                <w:sz w:val="20"/>
                <w:szCs w:val="20"/>
                <w:color w:val="auto"/>
              </w:rPr>
            </w:pPr>
            <w:r>
              <w:rPr>
                <w:rFonts w:ascii="Arial" w:cs="Arial" w:eastAsia="Arial" w:hAnsi="Arial"/>
                <w:sz w:val="15"/>
                <w:szCs w:val="15"/>
                <w:color w:val="auto"/>
              </w:rPr>
              <w:t>Outback Steakhouse - Brazil (2)</w:t>
            </w:r>
          </w:p>
        </w:tc>
        <w:tc>
          <w:tcPr>
            <w:tcW w:w="1560" w:type="dxa"/>
            <w:vAlign w:val="bottom"/>
          </w:tcPr>
          <w:p>
            <w:pPr>
              <w:jc w:val="right"/>
              <w:spacing w:after="0"/>
              <w:rPr>
                <w:sz w:val="20"/>
                <w:szCs w:val="20"/>
                <w:color w:val="auto"/>
              </w:rPr>
            </w:pPr>
            <w:r>
              <w:rPr>
                <w:rFonts w:ascii="Arial" w:cs="Arial" w:eastAsia="Arial" w:hAnsi="Arial"/>
                <w:sz w:val="15"/>
                <w:szCs w:val="15"/>
                <w:color w:val="auto"/>
              </w:rPr>
              <w:t>30.1 %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109.8 %</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48.7 %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29.4 %</w:t>
            </w:r>
          </w:p>
        </w:tc>
      </w:tr>
      <w:tr>
        <w:trPr>
          <w:trHeight w:val="261"/>
        </w:trPr>
        <w:tc>
          <w:tcPr>
            <w:tcW w:w="47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03"/>
        </w:trPr>
        <w:tc>
          <w:tcPr>
            <w:tcW w:w="4780" w:type="dxa"/>
            <w:vAlign w:val="bottom"/>
          </w:tcPr>
          <w:p>
            <w:pPr>
              <w:ind w:left="140"/>
              <w:spacing w:after="0"/>
              <w:rPr>
                <w:sz w:val="20"/>
                <w:szCs w:val="20"/>
                <w:color w:val="auto"/>
              </w:rPr>
            </w:pPr>
            <w:r>
              <w:rPr>
                <w:rFonts w:ascii="Arial" w:cs="Arial" w:eastAsia="Arial" w:hAnsi="Arial"/>
                <w:sz w:val="15"/>
                <w:szCs w:val="15"/>
                <w:color w:val="auto"/>
              </w:rPr>
              <w:t>Traffic:</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9"/>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3"/>
        </w:trPr>
        <w:tc>
          <w:tcPr>
            <w:tcW w:w="4780" w:type="dxa"/>
            <w:vAlign w:val="bottom"/>
          </w:tcPr>
          <w:p>
            <w:pPr>
              <w:ind w:left="320"/>
              <w:spacing w:after="0"/>
              <w:rPr>
                <w:sz w:val="20"/>
                <w:szCs w:val="20"/>
                <w:color w:val="auto"/>
              </w:rPr>
            </w:pPr>
            <w:r>
              <w:rPr>
                <w:rFonts w:ascii="Arial" w:cs="Arial" w:eastAsia="Arial" w:hAnsi="Arial"/>
                <w:sz w:val="15"/>
                <w:szCs w:val="15"/>
                <w:color w:val="auto"/>
              </w:rPr>
              <w:t>Outback Steakhouse</w:t>
            </w:r>
          </w:p>
        </w:tc>
        <w:tc>
          <w:tcPr>
            <w:tcW w:w="1560" w:type="dxa"/>
            <w:vAlign w:val="bottom"/>
          </w:tcPr>
          <w:p>
            <w:pPr>
              <w:jc w:val="right"/>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14.8 %</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19.6 %</w:t>
            </w:r>
          </w:p>
        </w:tc>
      </w:tr>
      <w:tr>
        <w:trPr>
          <w:trHeight w:val="20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Carrabba’s Italian Grill</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27.1 %</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27.0 %</w:t>
            </w:r>
          </w:p>
        </w:tc>
      </w:tr>
      <w:tr>
        <w:trPr>
          <w:trHeight w:val="203"/>
        </w:trPr>
        <w:tc>
          <w:tcPr>
            <w:tcW w:w="4780" w:type="dxa"/>
            <w:vAlign w:val="bottom"/>
          </w:tcPr>
          <w:p>
            <w:pPr>
              <w:ind w:left="320"/>
              <w:spacing w:after="0"/>
              <w:rPr>
                <w:sz w:val="20"/>
                <w:szCs w:val="20"/>
                <w:color w:val="auto"/>
              </w:rPr>
            </w:pPr>
            <w:r>
              <w:rPr>
                <w:rFonts w:ascii="Arial" w:cs="Arial" w:eastAsia="Arial" w:hAnsi="Arial"/>
                <w:sz w:val="15"/>
                <w:szCs w:val="15"/>
                <w:color w:val="auto"/>
              </w:rPr>
              <w:t>Bonefish Grill</w:t>
            </w:r>
          </w:p>
        </w:tc>
        <w:tc>
          <w:tcPr>
            <w:tcW w:w="1560" w:type="dxa"/>
            <w:vAlign w:val="bottom"/>
          </w:tcPr>
          <w:p>
            <w:pPr>
              <w:jc w:val="right"/>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25.6 %</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23.4 %</w:t>
            </w:r>
          </w:p>
        </w:tc>
      </w:tr>
      <w:tr>
        <w:trPr>
          <w:trHeight w:val="20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Fleming’s Prime Steakhouse &amp; Wine Bar</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48.4 %</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38.1 %</w:t>
            </w:r>
          </w:p>
        </w:tc>
      </w:tr>
      <w:tr>
        <w:trPr>
          <w:trHeight w:val="203"/>
        </w:trPr>
        <w:tc>
          <w:tcPr>
            <w:tcW w:w="4780" w:type="dxa"/>
            <w:vAlign w:val="bottom"/>
          </w:tcPr>
          <w:p>
            <w:pPr>
              <w:ind w:left="320"/>
              <w:spacing w:after="0"/>
              <w:rPr>
                <w:sz w:val="20"/>
                <w:szCs w:val="20"/>
                <w:color w:val="auto"/>
              </w:rPr>
            </w:pPr>
            <w:r>
              <w:rPr>
                <w:rFonts w:ascii="Arial" w:cs="Arial" w:eastAsia="Arial" w:hAnsi="Arial"/>
                <w:sz w:val="15"/>
                <w:szCs w:val="15"/>
                <w:color w:val="auto"/>
              </w:rPr>
              <w:t>Combined U.S.</w:t>
            </w:r>
          </w:p>
        </w:tc>
        <w:tc>
          <w:tcPr>
            <w:tcW w:w="1560" w:type="dxa"/>
            <w:vAlign w:val="bottom"/>
          </w:tcPr>
          <w:p>
            <w:pPr>
              <w:jc w:val="right"/>
              <w:spacing w:after="0"/>
              <w:rPr>
                <w:sz w:val="20"/>
                <w:szCs w:val="20"/>
                <w:color w:val="auto"/>
              </w:rPr>
            </w:pPr>
            <w:r>
              <w:rPr>
                <w:rFonts w:ascii="Arial" w:cs="Arial" w:eastAsia="Arial" w:hAnsi="Arial"/>
                <w:sz w:val="15"/>
                <w:szCs w:val="15"/>
                <w:color w:val="auto"/>
              </w:rPr>
              <w:t>(7.2)%</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19.3 %</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21.9 %</w:t>
            </w:r>
          </w:p>
        </w:tc>
      </w:tr>
      <w:tr>
        <w:trPr>
          <w:trHeight w:val="209"/>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3"/>
        </w:trPr>
        <w:tc>
          <w:tcPr>
            <w:tcW w:w="4780" w:type="dxa"/>
            <w:vAlign w:val="bottom"/>
          </w:tcPr>
          <w:p>
            <w:pPr>
              <w:ind w:left="320"/>
              <w:spacing w:after="0"/>
              <w:rPr>
                <w:sz w:val="20"/>
                <w:szCs w:val="20"/>
                <w:color w:val="auto"/>
              </w:rPr>
            </w:pPr>
            <w:r>
              <w:rPr>
                <w:rFonts w:ascii="Arial" w:cs="Arial" w:eastAsia="Arial" w:hAnsi="Arial"/>
                <w:sz w:val="15"/>
                <w:szCs w:val="15"/>
                <w:color w:val="auto"/>
              </w:rPr>
              <w:t>Outback Steakhouse - Brazil</w:t>
            </w:r>
          </w:p>
        </w:tc>
        <w:tc>
          <w:tcPr>
            <w:tcW w:w="1560" w:type="dxa"/>
            <w:vAlign w:val="bottom"/>
          </w:tcPr>
          <w:p>
            <w:pPr>
              <w:jc w:val="right"/>
              <w:spacing w:after="0"/>
              <w:rPr>
                <w:sz w:val="20"/>
                <w:szCs w:val="20"/>
                <w:color w:val="auto"/>
              </w:rPr>
            </w:pPr>
            <w:r>
              <w:rPr>
                <w:rFonts w:ascii="Arial" w:cs="Arial" w:eastAsia="Arial" w:hAnsi="Arial"/>
                <w:sz w:val="15"/>
                <w:szCs w:val="15"/>
                <w:color w:val="auto"/>
              </w:rPr>
              <w:t>16.7 %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62.5 %</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32.1 %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25.2 %</w:t>
            </w:r>
          </w:p>
        </w:tc>
      </w:tr>
      <w:tr>
        <w:trPr>
          <w:trHeight w:val="261"/>
        </w:trPr>
        <w:tc>
          <w:tcPr>
            <w:tcW w:w="47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03"/>
        </w:trPr>
        <w:tc>
          <w:tcPr>
            <w:tcW w:w="4780" w:type="dxa"/>
            <w:vAlign w:val="bottom"/>
          </w:tcPr>
          <w:p>
            <w:pPr>
              <w:ind w:left="140"/>
              <w:spacing w:after="0"/>
              <w:rPr>
                <w:sz w:val="20"/>
                <w:szCs w:val="20"/>
                <w:color w:val="auto"/>
              </w:rPr>
            </w:pPr>
            <w:r>
              <w:rPr>
                <w:rFonts w:ascii="Arial" w:cs="Arial" w:eastAsia="Arial" w:hAnsi="Arial"/>
                <w:sz w:val="15"/>
                <w:szCs w:val="15"/>
                <w:color w:val="auto"/>
              </w:rPr>
              <w:t>Average check per person (3):</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9"/>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3"/>
        </w:trPr>
        <w:tc>
          <w:tcPr>
            <w:tcW w:w="4780" w:type="dxa"/>
            <w:vAlign w:val="bottom"/>
          </w:tcPr>
          <w:p>
            <w:pPr>
              <w:ind w:left="320"/>
              <w:spacing w:after="0"/>
              <w:rPr>
                <w:sz w:val="20"/>
                <w:szCs w:val="20"/>
                <w:color w:val="auto"/>
              </w:rPr>
            </w:pPr>
            <w:r>
              <w:rPr>
                <w:rFonts w:ascii="Arial" w:cs="Arial" w:eastAsia="Arial" w:hAnsi="Arial"/>
                <w:sz w:val="15"/>
                <w:szCs w:val="15"/>
                <w:color w:val="auto"/>
              </w:rPr>
              <w:t>Outback Steakhouse</w:t>
            </w:r>
          </w:p>
        </w:tc>
        <w:tc>
          <w:tcPr>
            <w:tcW w:w="1560" w:type="dxa"/>
            <w:vAlign w:val="bottom"/>
          </w:tcPr>
          <w:p>
            <w:pPr>
              <w:jc w:val="right"/>
              <w:spacing w:after="0"/>
              <w:rPr>
                <w:sz w:val="20"/>
                <w:szCs w:val="20"/>
                <w:color w:val="auto"/>
              </w:rPr>
            </w:pPr>
            <w:r>
              <w:rPr>
                <w:rFonts w:ascii="Arial" w:cs="Arial" w:eastAsia="Arial" w:hAnsi="Arial"/>
                <w:sz w:val="15"/>
                <w:szCs w:val="15"/>
                <w:color w:val="auto"/>
              </w:rPr>
              <w:t>9.1 %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3.5 %</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8.9 %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5.7 %</w:t>
            </w:r>
          </w:p>
        </w:tc>
      </w:tr>
      <w:tr>
        <w:trPr>
          <w:trHeight w:val="20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Carrabba’s Italian Grill</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1.7 %</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8.1 %</w:t>
            </w:r>
          </w:p>
        </w:tc>
      </w:tr>
      <w:tr>
        <w:trPr>
          <w:trHeight w:val="203"/>
        </w:trPr>
        <w:tc>
          <w:tcPr>
            <w:tcW w:w="4780" w:type="dxa"/>
            <w:vAlign w:val="bottom"/>
          </w:tcPr>
          <w:p>
            <w:pPr>
              <w:ind w:left="320"/>
              <w:spacing w:after="0"/>
              <w:rPr>
                <w:sz w:val="20"/>
                <w:szCs w:val="20"/>
                <w:color w:val="auto"/>
              </w:rPr>
            </w:pPr>
            <w:r>
              <w:rPr>
                <w:rFonts w:ascii="Arial" w:cs="Arial" w:eastAsia="Arial" w:hAnsi="Arial"/>
                <w:sz w:val="15"/>
                <w:szCs w:val="15"/>
                <w:color w:val="auto"/>
              </w:rPr>
              <w:t>Bonefish Grill</w:t>
            </w:r>
          </w:p>
        </w:tc>
        <w:tc>
          <w:tcPr>
            <w:tcW w:w="1560" w:type="dxa"/>
            <w:vAlign w:val="bottom"/>
          </w:tcPr>
          <w:p>
            <w:pPr>
              <w:jc w:val="right"/>
              <w:spacing w:after="0"/>
              <w:rPr>
                <w:sz w:val="20"/>
                <w:szCs w:val="20"/>
                <w:color w:val="auto"/>
              </w:rPr>
            </w:pPr>
            <w:r>
              <w:rPr>
                <w:rFonts w:ascii="Arial" w:cs="Arial" w:eastAsia="Arial" w:hAnsi="Arial"/>
                <w:sz w:val="15"/>
                <w:szCs w:val="15"/>
                <w:color w:val="auto"/>
              </w:rPr>
              <w:t>7.4 %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11.0 %</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9.2 %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17.8 %</w:t>
            </w:r>
          </w:p>
        </w:tc>
      </w:tr>
      <w:tr>
        <w:trPr>
          <w:trHeight w:val="209"/>
        </w:trPr>
        <w:tc>
          <w:tcPr>
            <w:tcW w:w="4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Fleming’s Prime Steakhouse &amp; Wine Bar</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11.2 %</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18.8 %</w:t>
            </w:r>
          </w:p>
        </w:tc>
      </w:tr>
      <w:tr>
        <w:trPr>
          <w:trHeight w:val="203"/>
        </w:trPr>
        <w:tc>
          <w:tcPr>
            <w:tcW w:w="4780" w:type="dxa"/>
            <w:vAlign w:val="bottom"/>
          </w:tcPr>
          <w:p>
            <w:pPr>
              <w:ind w:left="320"/>
              <w:spacing w:after="0"/>
              <w:rPr>
                <w:sz w:val="20"/>
                <w:szCs w:val="20"/>
                <w:color w:val="auto"/>
              </w:rPr>
            </w:pPr>
            <w:r>
              <w:rPr>
                <w:rFonts w:ascii="Arial" w:cs="Arial" w:eastAsia="Arial" w:hAnsi="Arial"/>
                <w:sz w:val="15"/>
                <w:szCs w:val="15"/>
                <w:color w:val="auto"/>
              </w:rPr>
              <w:t>Combined U.S.</w:t>
            </w:r>
          </w:p>
        </w:tc>
        <w:tc>
          <w:tcPr>
            <w:tcW w:w="1560" w:type="dxa"/>
            <w:vAlign w:val="bottom"/>
          </w:tcPr>
          <w:p>
            <w:pPr>
              <w:jc w:val="right"/>
              <w:spacing w:after="0"/>
              <w:rPr>
                <w:sz w:val="20"/>
                <w:szCs w:val="20"/>
                <w:color w:val="auto"/>
              </w:rPr>
            </w:pPr>
            <w:r>
              <w:rPr>
                <w:rFonts w:ascii="Arial" w:cs="Arial" w:eastAsia="Arial" w:hAnsi="Arial"/>
                <w:sz w:val="15"/>
                <w:szCs w:val="15"/>
                <w:color w:val="auto"/>
              </w:rPr>
              <w:t>8.6 %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6.2 %</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9.5 %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9.5 %</w:t>
            </w:r>
          </w:p>
        </w:tc>
      </w:tr>
      <w:tr>
        <w:trPr>
          <w:trHeight w:val="209"/>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International</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1"/>
        </w:trPr>
        <w:tc>
          <w:tcPr>
            <w:tcW w:w="4780" w:type="dxa"/>
            <w:vAlign w:val="bottom"/>
          </w:tcPr>
          <w:p>
            <w:pPr>
              <w:ind w:left="320"/>
              <w:spacing w:after="0"/>
              <w:rPr>
                <w:sz w:val="20"/>
                <w:szCs w:val="20"/>
                <w:color w:val="auto"/>
              </w:rPr>
            </w:pPr>
            <w:r>
              <w:rPr>
                <w:rFonts w:ascii="Arial" w:cs="Arial" w:eastAsia="Arial" w:hAnsi="Arial"/>
                <w:sz w:val="15"/>
                <w:szCs w:val="15"/>
                <w:color w:val="auto"/>
              </w:rPr>
              <w:t>Outback Steakhouse - Brazil</w:t>
            </w:r>
          </w:p>
        </w:tc>
        <w:tc>
          <w:tcPr>
            <w:tcW w:w="1560" w:type="dxa"/>
            <w:vAlign w:val="bottom"/>
          </w:tcPr>
          <w:p>
            <w:pPr>
              <w:jc w:val="right"/>
              <w:spacing w:after="0"/>
              <w:rPr>
                <w:sz w:val="20"/>
                <w:szCs w:val="20"/>
                <w:color w:val="auto"/>
              </w:rPr>
            </w:pPr>
            <w:r>
              <w:rPr>
                <w:rFonts w:ascii="Arial" w:cs="Arial" w:eastAsia="Arial" w:hAnsi="Arial"/>
                <w:sz w:val="15"/>
                <w:szCs w:val="15"/>
                <w:color w:val="auto"/>
              </w:rPr>
              <w:t>13.1 %</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45.5 %</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16.5 %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5.5 %</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Relocated restaurants closed more than 60 days are excluded from comparable restaurant sales until at least 18 months after reopening.</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Excludes the effect of fluctuations in foreign currency rates. Includes trading day impact from calendar period reporting.</w:t>
      </w:r>
    </w:p>
    <w:p>
      <w:pPr>
        <w:spacing w:after="0" w:line="11" w:lineRule="exact"/>
        <w:rPr>
          <w:rFonts w:ascii="Arial" w:cs="Arial" w:eastAsia="Arial" w:hAnsi="Arial"/>
          <w:sz w:val="15"/>
          <w:szCs w:val="15"/>
          <w:color w:val="auto"/>
        </w:rPr>
      </w:pPr>
    </w:p>
    <w:p>
      <w:pPr>
        <w:ind w:left="620" w:hanging="617"/>
        <w:spacing w:after="0"/>
        <w:tabs>
          <w:tab w:leader="none" w:pos="6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Includes the impact of menu pricing changes, product mix and discounts.</w:t>
      </w:r>
    </w:p>
    <w:p>
      <w:pPr>
        <w:spacing w:after="0" w:line="200" w:lineRule="exact"/>
        <w:rPr>
          <w:sz w:val="20"/>
          <w:szCs w:val="20"/>
          <w:color w:val="auto"/>
        </w:rPr>
      </w:pPr>
    </w:p>
    <w:p>
      <w:pPr>
        <w:spacing w:after="0" w:line="261"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The thirteen weeks ended December 25, 2022 will include the impact of Hurricane Ian which is estimated to be 0.3% to U.S. comparable sales and approximately $0.03 to diluted earnings per share, inclusive of storm-related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Franchise and other revenues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60" w:type="dxa"/>
            <w:vAlign w:val="bottom"/>
            <w:gridSpan w:val="3"/>
          </w:tcPr>
          <w:p>
            <w:pPr>
              <w:jc w:val="right"/>
              <w:ind w:right="106"/>
              <w:spacing w:after="0"/>
              <w:rPr>
                <w:sz w:val="20"/>
                <w:szCs w:val="20"/>
                <w:color w:val="auto"/>
              </w:rPr>
            </w:pPr>
            <w:r>
              <w:rPr>
                <w:rFonts w:ascii="Arial" w:cs="Arial" w:eastAsia="Arial" w:hAnsi="Arial"/>
                <w:sz w:val="14"/>
                <w:szCs w:val="14"/>
                <w:b w:val="1"/>
                <w:bCs w:val="1"/>
                <w:color w:val="auto"/>
              </w:rPr>
              <w:t>THIRTEEN WEEKS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40" w:type="dxa"/>
            <w:vAlign w:val="bottom"/>
            <w:gridSpan w:val="3"/>
          </w:tcPr>
          <w:p>
            <w:pPr>
              <w:jc w:val="right"/>
              <w:ind w:right="66"/>
              <w:spacing w:after="0"/>
              <w:rPr>
                <w:sz w:val="20"/>
                <w:szCs w:val="20"/>
                <w:color w:val="auto"/>
              </w:rPr>
            </w:pPr>
            <w:r>
              <w:rPr>
                <w:rFonts w:ascii="Arial" w:cs="Arial" w:eastAsia="Arial" w:hAnsi="Arial"/>
                <w:sz w:val="14"/>
                <w:szCs w:val="14"/>
                <w:b w:val="1"/>
                <w:bCs w:val="1"/>
                <w:color w:val="auto"/>
              </w:rPr>
              <w:t>THIRTY-NINE WEEKS ENDED</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640" w:type="dxa"/>
            <w:vAlign w:val="bottom"/>
            <w:gridSpan w:val="3"/>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840" w:type="dxa"/>
            <w:vAlign w:val="bottom"/>
            <w:vMerge w:val="continue"/>
          </w:tcPr>
          <w:p>
            <w:pPr>
              <w:spacing w:after="0"/>
              <w:rPr>
                <w:sz w:val="17"/>
                <w:szCs w:val="17"/>
                <w:color w:val="auto"/>
              </w:rPr>
            </w:pPr>
          </w:p>
        </w:tc>
        <w:tc>
          <w:tcPr>
            <w:tcW w:w="16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100" w:type="dxa"/>
            <w:vAlign w:val="bottom"/>
          </w:tcPr>
          <w:p>
            <w:pPr>
              <w:spacing w:after="0"/>
              <w:rPr>
                <w:sz w:val="17"/>
                <w:szCs w:val="17"/>
                <w:color w:val="auto"/>
              </w:rPr>
            </w:pPr>
          </w:p>
        </w:tc>
        <w:tc>
          <w:tcPr>
            <w:tcW w:w="16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0" w:type="dxa"/>
            <w:vAlign w:val="bottom"/>
          </w:tcPr>
          <w:p>
            <w:pPr>
              <w:spacing w:after="0"/>
              <w:rPr>
                <w:sz w:val="1"/>
                <w:szCs w:val="1"/>
                <w:color w:val="auto"/>
              </w:rPr>
            </w:pPr>
          </w:p>
        </w:tc>
      </w:tr>
      <w:tr>
        <w:trPr>
          <w:trHeight w:val="20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Franchise revenues</w:t>
            </w:r>
          </w:p>
        </w:tc>
        <w:tc>
          <w:tcPr>
            <w:tcW w:w="38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w:t>
            </w: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revenues (1)</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31"/>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38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48.6</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jc w:val="both"/>
        <w:ind w:left="620" w:hanging="617"/>
        <w:spacing w:after="0" w:line="268" w:lineRule="auto"/>
        <w:tabs>
          <w:tab w:leader="none" w:pos="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thirteen and thirty-nine weeks ended September 26, 2021 include an adjustment of $(3.2) million to reduce our initial recorded estimate and net $3.1 million benefit, respectively, from the recognition of recoverable PIS and COFINS taxes within other revenues recognized in connection with favorable court rulings in Brazil regarding the calculation methodology and taxable base for prior years.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COSTS AND EXPENSES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Food and beverage costs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0" w:type="dxa"/>
            <w:vAlign w:val="bottom"/>
            <w:gridSpan w:val="3"/>
          </w:tcPr>
          <w:p>
            <w:pPr>
              <w:spacing w:after="0"/>
              <w:rPr>
                <w:sz w:val="2"/>
                <w:szCs w:val="2"/>
                <w:color w:val="auto"/>
              </w:rPr>
            </w:pPr>
          </w:p>
        </w:tc>
        <w:tc>
          <w:tcPr>
            <w:tcW w:w="1600" w:type="dxa"/>
            <w:vAlign w:val="bottom"/>
            <w:gridSpan w:val="3"/>
          </w:tcPr>
          <w:p>
            <w:pPr>
              <w:spacing w:after="0"/>
              <w:rPr>
                <w:sz w:val="2"/>
                <w:szCs w:val="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60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060" w:type="dxa"/>
            <w:vAlign w:val="bottom"/>
            <w:vMerge w:val="restart"/>
          </w:tcPr>
          <w:p>
            <w:pPr>
              <w:jc w:val="right"/>
              <w:ind w:right="14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9"/>
        </w:trPr>
        <w:tc>
          <w:tcPr>
            <w:tcW w:w="2600" w:type="dxa"/>
            <w:vAlign w:val="bottom"/>
            <w:vMerge w:val="continue"/>
          </w:tcPr>
          <w:p>
            <w:pPr>
              <w:spacing w:after="0"/>
              <w:rPr>
                <w:sz w:val="17"/>
                <w:szCs w:val="17"/>
                <w:color w:val="auto"/>
              </w:rPr>
            </w:pPr>
          </w:p>
        </w:tc>
        <w:tc>
          <w:tcPr>
            <w:tcW w:w="1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332.9</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304.3</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1,056.8</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0"/>
              </w:rPr>
              <w:t>908.3</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00" w:type="dxa"/>
            <w:vAlign w:val="bottom"/>
          </w:tcPr>
          <w:p>
            <w:pPr>
              <w:ind w:left="140"/>
              <w:spacing w:after="0"/>
              <w:rPr>
                <w:sz w:val="20"/>
                <w:szCs w:val="20"/>
                <w:color w:val="auto"/>
              </w:rPr>
            </w:pPr>
            <w:r>
              <w:rPr>
                <w:rFonts w:ascii="Arial" w:cs="Arial" w:eastAsia="Arial" w:hAnsi="Arial"/>
                <w:sz w:val="15"/>
                <w:szCs w:val="15"/>
                <w:color w:val="auto"/>
              </w:rPr>
              <w:t>% of Restaurant sales</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32.0 %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30.5 %</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32.3 %</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30.0 %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2.3 %</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Food and beverage costs increased as a percentage of Restaurant sales during the thirteen weeks ended September 25, 2022 as compared to the thirteen weeks ended September 26, 2021 primarily due to 3.5% from commodity inflation and 0.5% from product mix. These increases were partially offset by decreases as a percentage of Restaurant sales of 2.2% from increases in average check per person, primarily driven by an increase in menu pricing, and 0.3% from the impact of certain cost saving initiatives.</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Food and beverage costs increased as a percentage of Restaurant sales during the thirty-nine weeks ended September 25, 2022 as compared to the thirty-nine weeks ended September 26, 2021 primarily due to 4.0% from commodity inflation, partially offset by a decrease as a percentage of Restaurant sales of 1.8% from increases in average check per person, primarily driven by an increase in menu pricing.</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In aggregate, menu pricing increases during 2022 have trailed the current level of commodity inflation.</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Labor and other related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600" w:type="dxa"/>
            <w:vAlign w:val="bottom"/>
            <w:vMerge w:val="restart"/>
          </w:tcPr>
          <w:p>
            <w:pPr>
              <w:jc w:val="right"/>
              <w:ind w:right="1366"/>
              <w:spacing w:after="0"/>
              <w:rPr>
                <w:sz w:val="20"/>
                <w:szCs w:val="20"/>
                <w:color w:val="auto"/>
              </w:rPr>
            </w:pPr>
            <w:r>
              <w:rPr>
                <w:rFonts w:ascii="Arial" w:cs="Arial" w:eastAsia="Arial" w:hAnsi="Arial"/>
                <w:sz w:val="14"/>
                <w:szCs w:val="14"/>
                <w:b w:val="1"/>
                <w:bCs w:val="1"/>
                <w:color w:val="auto"/>
                <w:w w:val="88"/>
              </w:rPr>
              <w:t>(dollars in millions)</w:t>
            </w:r>
          </w:p>
        </w:tc>
        <w:tc>
          <w:tcPr>
            <w:tcW w:w="1600" w:type="dxa"/>
            <w:vAlign w:val="bottom"/>
            <w:gridSpan w:val="3"/>
          </w:tcPr>
          <w:p>
            <w:pPr>
              <w:spacing w:after="0"/>
              <w:rPr>
                <w:sz w:val="2"/>
                <w:szCs w:val="2"/>
                <w:color w:val="auto"/>
              </w:rPr>
            </w:pPr>
          </w:p>
        </w:tc>
        <w:tc>
          <w:tcPr>
            <w:tcW w:w="1600" w:type="dxa"/>
            <w:vAlign w:val="bottom"/>
            <w:gridSpan w:val="3"/>
          </w:tcPr>
          <w:p>
            <w:pPr>
              <w:spacing w:after="0"/>
              <w:rPr>
                <w:sz w:val="2"/>
                <w:szCs w:val="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60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060" w:type="dxa"/>
            <w:vAlign w:val="bottom"/>
            <w:vMerge w:val="restart"/>
          </w:tcPr>
          <w:p>
            <w:pPr>
              <w:jc w:val="right"/>
              <w:ind w:right="14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9"/>
        </w:trPr>
        <w:tc>
          <w:tcPr>
            <w:tcW w:w="2600" w:type="dxa"/>
            <w:vAlign w:val="bottom"/>
            <w:vMerge w:val="continue"/>
          </w:tcPr>
          <w:p>
            <w:pPr>
              <w:spacing w:after="0"/>
              <w:rPr>
                <w:sz w:val="17"/>
                <w:szCs w:val="17"/>
                <w:color w:val="auto"/>
              </w:rPr>
            </w:pPr>
          </w:p>
        </w:tc>
        <w:tc>
          <w:tcPr>
            <w:tcW w:w="1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0" w:type="dxa"/>
            <w:vAlign w:val="bottom"/>
            <w:tcBorders>
              <w:top w:val="single" w:sz="8" w:color="CCEEFF"/>
            </w:tcBorders>
            <w:shd w:val="clear" w:color="auto" w:fill="CCEEFF"/>
          </w:tcPr>
          <w:p>
            <w:pPr>
              <w:jc w:val="right"/>
              <w:ind w:right="1066"/>
              <w:spacing w:after="0"/>
              <w:rPr>
                <w:sz w:val="20"/>
                <w:szCs w:val="20"/>
                <w:color w:val="auto"/>
              </w:rPr>
            </w:pPr>
            <w:r>
              <w:rPr>
                <w:rFonts w:ascii="Arial" w:cs="Arial" w:eastAsia="Arial" w:hAnsi="Arial"/>
                <w:sz w:val="15"/>
                <w:szCs w:val="15"/>
                <w:color w:val="auto"/>
                <w:w w:val="92"/>
              </w:rPr>
              <w:t>Labor and other related</w:t>
            </w: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303.2</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290.2</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924.5</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0"/>
              </w:rPr>
              <w:t>859.9</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00" w:type="dxa"/>
            <w:vAlign w:val="bottom"/>
          </w:tcPr>
          <w:p>
            <w:pPr>
              <w:jc w:val="right"/>
              <w:ind w:right="1046"/>
              <w:spacing w:after="0"/>
              <w:rPr>
                <w:sz w:val="20"/>
                <w:szCs w:val="20"/>
                <w:color w:val="auto"/>
              </w:rPr>
            </w:pPr>
            <w:r>
              <w:rPr>
                <w:rFonts w:ascii="Arial" w:cs="Arial" w:eastAsia="Arial" w:hAnsi="Arial"/>
                <w:sz w:val="15"/>
                <w:szCs w:val="15"/>
                <w:color w:val="auto"/>
                <w:w w:val="99"/>
              </w:rPr>
              <w:t>% of Restaurant sales</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29.1 %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29.1 %</w:t>
            </w:r>
          </w:p>
        </w:tc>
        <w:tc>
          <w:tcPr>
            <w:tcW w:w="120" w:type="dxa"/>
            <w:vAlign w:val="bottom"/>
          </w:tcPr>
          <w:p>
            <w:pPr>
              <w:spacing w:after="0"/>
              <w:rPr>
                <w:sz w:val="17"/>
                <w:szCs w:val="17"/>
                <w:color w:val="auto"/>
              </w:rPr>
            </w:pPr>
          </w:p>
        </w:tc>
        <w:tc>
          <w:tcPr>
            <w:tcW w:w="1160" w:type="dxa"/>
            <w:vAlign w:val="bottom"/>
            <w:gridSpan w:val="2"/>
          </w:tcPr>
          <w:p>
            <w:pPr>
              <w:ind w:left="700"/>
              <w:spacing w:after="0"/>
              <w:rPr>
                <w:sz w:val="20"/>
                <w:szCs w:val="20"/>
                <w:color w:val="auto"/>
              </w:rPr>
            </w:pPr>
            <w:r>
              <w:rPr>
                <w:rFonts w:ascii="Arial" w:cs="Arial" w:eastAsia="Arial" w:hAnsi="Arial"/>
                <w:sz w:val="15"/>
                <w:szCs w:val="15"/>
                <w:color w:val="auto"/>
              </w:rPr>
              <w:t>— %</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28.2 %</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28.4 %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Labor and other related expenses were flat as a percentage of Restaurant sales during the thirteen weeks ended September 25, 2022 as compared to the thirteen weeks ended September 26, 2021 primarily due to decreases of 1.7% from leveraging increased restaurant sales due to increases in average check per person and lapping the impact of COVID-19, primarily in Brazil. These decreases were partially offset by an increase as a percentage of Restaurant sales of 1.8% from higher labor costs primarily due to wage rate inflation.</w:t>
      </w:r>
    </w:p>
    <w:p>
      <w:pPr>
        <w:spacing w:after="0" w:line="19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Labor and other related expenses decreased as a percentage of Restaurant sales during the thirty-nine weeks ended September 25, 2022 as compared to the thirty-nine weeks ended September 26, 2021 primarily due to 2.0% from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jc w:val="both"/>
        <w:spacing w:after="0" w:line="340" w:lineRule="auto"/>
        <w:rPr>
          <w:sz w:val="20"/>
          <w:szCs w:val="20"/>
          <w:color w:val="auto"/>
        </w:rPr>
      </w:pPr>
      <w:r>
        <w:rPr>
          <w:rFonts w:ascii="Arial" w:cs="Arial" w:eastAsia="Arial" w:hAnsi="Arial"/>
          <w:sz w:val="17"/>
          <w:szCs w:val="17"/>
          <w:color w:val="auto"/>
        </w:rPr>
        <w:t>leveraging increased restaurant sales due to increases in average check per person and lapping the impact of COVID-19, primarily in Brazil. These decreases were offset by an increase as a percentage of Restaurant sales of 2.0% from higher labor cost primarily due to wage rate inflation.</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Other restaurant operating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0" w:type="dxa"/>
            <w:vAlign w:val="bottom"/>
            <w:gridSpan w:val="3"/>
          </w:tcPr>
          <w:p>
            <w:pPr>
              <w:spacing w:after="0"/>
              <w:rPr>
                <w:sz w:val="2"/>
                <w:szCs w:val="2"/>
                <w:color w:val="auto"/>
              </w:rPr>
            </w:pPr>
          </w:p>
        </w:tc>
        <w:tc>
          <w:tcPr>
            <w:tcW w:w="1600" w:type="dxa"/>
            <w:vAlign w:val="bottom"/>
            <w:gridSpan w:val="3"/>
          </w:tcPr>
          <w:p>
            <w:pPr>
              <w:spacing w:after="0"/>
              <w:rPr>
                <w:sz w:val="2"/>
                <w:szCs w:val="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60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060" w:type="dxa"/>
            <w:vAlign w:val="bottom"/>
            <w:vMerge w:val="restart"/>
          </w:tcPr>
          <w:p>
            <w:pPr>
              <w:jc w:val="right"/>
              <w:ind w:right="14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9"/>
        </w:trPr>
        <w:tc>
          <w:tcPr>
            <w:tcW w:w="2600" w:type="dxa"/>
            <w:vAlign w:val="bottom"/>
            <w:vMerge w:val="continue"/>
          </w:tcPr>
          <w:p>
            <w:pPr>
              <w:spacing w:after="0"/>
              <w:rPr>
                <w:sz w:val="17"/>
                <w:szCs w:val="17"/>
                <w:color w:val="auto"/>
              </w:rPr>
            </w:pPr>
          </w:p>
        </w:tc>
        <w:tc>
          <w:tcPr>
            <w:tcW w:w="1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267.9</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299.8</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790.6</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0"/>
              </w:rPr>
              <w:t>762.5</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00" w:type="dxa"/>
            <w:vAlign w:val="bottom"/>
          </w:tcPr>
          <w:p>
            <w:pPr>
              <w:ind w:left="140"/>
              <w:spacing w:after="0"/>
              <w:rPr>
                <w:sz w:val="20"/>
                <w:szCs w:val="20"/>
                <w:color w:val="auto"/>
              </w:rPr>
            </w:pPr>
            <w:r>
              <w:rPr>
                <w:rFonts w:ascii="Arial" w:cs="Arial" w:eastAsia="Arial" w:hAnsi="Arial"/>
                <w:sz w:val="15"/>
                <w:szCs w:val="15"/>
                <w:color w:val="auto"/>
              </w:rPr>
              <w:t>% of Restaurant sales</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25.8 %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30.1 %</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24.2 %</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25.2 %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spacing w:after="0" w:line="340" w:lineRule="auto"/>
        <w:rPr>
          <w:sz w:val="20"/>
          <w:szCs w:val="20"/>
          <w:color w:val="auto"/>
        </w:rPr>
      </w:pPr>
      <w:r>
        <w:rPr>
          <w:rFonts w:ascii="Arial" w:cs="Arial" w:eastAsia="Arial" w:hAnsi="Arial"/>
          <w:sz w:val="17"/>
          <w:szCs w:val="17"/>
          <w:color w:val="auto"/>
        </w:rPr>
        <w:t xml:space="preserve">During the thirteen weeks ended September 26, 2021, we entered into the Royalty Termination Agreement with the Carrabba’s Founders for $61.9 million in cash. See Note 15 -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of the Notes to Consolidated Financial Statements for additional details.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Other restaurant operating expenses decreased as a percentage of Restaurant sales during the thirteen weeks ended September 25, 2022 as compared to the thirteen weeks ended September 26, 2021 primarily due to 6.2% from lapping the Carrabba’s Italian Grill royalty termination and 0.9% from leveraging increased restaurant sales due to lapping the impact of COVID-19, primarily in Brazil, and increases in average check per person. These decreases were partially offset by increases as a percentage of Restaurant sales of 1.5% from higher operating expenses including utilities, primarily due to inflation, and 1.1% from higher advertising expense.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Other restaurant operating expenses decreased as a percentage of Restaurant sales during the thirty-nine weeks ended September 25, 2022 as compared to the thirty-nine weeks ended September 26, 2021 primarily due to 2.0% from lapping the Carrabba’s Italian Grill royalty termination, and 1.5% from leveraging increased restaurant sales due to increases in average check per person and lapping the impact of COVID-19, primarily in Brazil. These decreases were partially offset by increases as a percentage of Restaurant sales of 1.5% from higher operating expenses including utilities, primarily due to inflation, and 0.8% from higher advertising expense.</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General and administrative</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periods indicated: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8"/>
                <w:szCs w:val="18"/>
                <w:color w:val="auto"/>
              </w:rPr>
            </w:pPr>
          </w:p>
        </w:tc>
        <w:tc>
          <w:tcPr>
            <w:tcW w:w="2560" w:type="dxa"/>
            <w:vAlign w:val="bottom"/>
            <w:gridSpan w:val="2"/>
          </w:tcPr>
          <w:p>
            <w:pPr>
              <w:ind w:left="20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8"/>
                <w:szCs w:val="18"/>
                <w:color w:val="auto"/>
              </w:rPr>
            </w:pPr>
          </w:p>
        </w:tc>
        <w:tc>
          <w:tcPr>
            <w:tcW w:w="2500" w:type="dxa"/>
            <w:vAlign w:val="bottom"/>
          </w:tcPr>
          <w:p>
            <w:pPr>
              <w:jc w:val="right"/>
              <w:ind w:right="304"/>
              <w:spacing w:after="0"/>
              <w:rPr>
                <w:sz w:val="20"/>
                <w:szCs w:val="20"/>
                <w:color w:val="auto"/>
              </w:rPr>
            </w:pPr>
            <w:r>
              <w:rPr>
                <w:rFonts w:ascii="Arial" w:cs="Arial" w:eastAsia="Arial" w:hAnsi="Arial"/>
                <w:sz w:val="14"/>
                <w:szCs w:val="14"/>
                <w:b w:val="1"/>
                <w:bCs w:val="1"/>
                <w:color w:val="auto"/>
              </w:rPr>
              <w:t>THIRTY-NINE WEEKS ENDED</w:t>
            </w:r>
          </w:p>
        </w:tc>
      </w:tr>
      <w:tr>
        <w:trPr>
          <w:trHeight w:val="20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September 26, 2021</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182.6</w:t>
            </w:r>
          </w:p>
        </w:tc>
      </w:tr>
      <w:tr>
        <w:trPr>
          <w:trHeight w:val="203"/>
        </w:trPr>
        <w:tc>
          <w:tcPr>
            <w:tcW w:w="564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9"/>
        </w:trPr>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Employee stock-based compensation</w:t>
            </w: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r>
      <w:tr>
        <w:trPr>
          <w:trHeight w:val="203"/>
        </w:trPr>
        <w:tc>
          <w:tcPr>
            <w:tcW w:w="5640" w:type="dxa"/>
            <w:vAlign w:val="bottom"/>
          </w:tcPr>
          <w:p>
            <w:pPr>
              <w:ind w:left="320"/>
              <w:spacing w:after="0"/>
              <w:rPr>
                <w:sz w:val="20"/>
                <w:szCs w:val="20"/>
                <w:color w:val="auto"/>
              </w:rPr>
            </w:pPr>
            <w:r>
              <w:rPr>
                <w:rFonts w:ascii="Arial" w:cs="Arial" w:eastAsia="Arial" w:hAnsi="Arial"/>
                <w:sz w:val="15"/>
                <w:szCs w:val="15"/>
                <w:color w:val="auto"/>
              </w:rPr>
              <w:t>Incentive compensation</w:t>
            </w:r>
          </w:p>
        </w:tc>
        <w:tc>
          <w:tcPr>
            <w:tcW w:w="30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209"/>
        </w:trPr>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Compensation, benefits and payroll tax</w:t>
            </w: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r>
      <w:tr>
        <w:trPr>
          <w:trHeight w:val="203"/>
        </w:trPr>
        <w:tc>
          <w:tcPr>
            <w:tcW w:w="5640" w:type="dxa"/>
            <w:vAlign w:val="bottom"/>
          </w:tcPr>
          <w:p>
            <w:pPr>
              <w:ind w:left="320"/>
              <w:spacing w:after="0"/>
              <w:rPr>
                <w:sz w:val="20"/>
                <w:szCs w:val="20"/>
                <w:color w:val="auto"/>
              </w:rPr>
            </w:pPr>
            <w:r>
              <w:rPr>
                <w:rFonts w:ascii="Arial" w:cs="Arial" w:eastAsia="Arial" w:hAnsi="Arial"/>
                <w:sz w:val="15"/>
                <w:szCs w:val="15"/>
                <w:color w:val="auto"/>
              </w:rPr>
              <w:t>Travel and entertainment</w:t>
            </w:r>
          </w:p>
        </w:tc>
        <w:tc>
          <w:tcPr>
            <w:tcW w:w="30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15"/>
        </w:trPr>
        <w:tc>
          <w:tcPr>
            <w:tcW w:w="5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5640" w:type="dxa"/>
            <w:vAlign w:val="bottom"/>
          </w:tcPr>
          <w:p>
            <w:pPr>
              <w:ind w:left="20"/>
              <w:spacing w:after="0"/>
              <w:rPr>
                <w:sz w:val="20"/>
                <w:szCs w:val="20"/>
                <w:color w:val="auto"/>
              </w:rPr>
            </w:pPr>
            <w:r>
              <w:rPr>
                <w:rFonts w:ascii="Arial" w:cs="Arial" w:eastAsia="Arial" w:hAnsi="Arial"/>
                <w:sz w:val="15"/>
                <w:szCs w:val="15"/>
                <w:color w:val="auto"/>
              </w:rPr>
              <w:t>For the periods ended September 25, 2022</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174.0</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Provision for impaired assets and restaurant closings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40" w:type="dxa"/>
            <w:vAlign w:val="bottom"/>
            <w:gridSpan w:val="3"/>
          </w:tcPr>
          <w:p>
            <w:pPr>
              <w:jc w:val="right"/>
              <w:ind w:right="107"/>
              <w:spacing w:after="0"/>
              <w:rPr>
                <w:sz w:val="20"/>
                <w:szCs w:val="20"/>
                <w:color w:val="auto"/>
              </w:rPr>
            </w:pPr>
            <w:r>
              <w:rPr>
                <w:rFonts w:ascii="Arial" w:cs="Arial" w:eastAsia="Arial" w:hAnsi="Arial"/>
                <w:sz w:val="14"/>
                <w:szCs w:val="14"/>
                <w:b w:val="1"/>
                <w:bCs w:val="1"/>
                <w:color w:val="auto"/>
              </w:rPr>
              <w:t>THIRTEEN WEEKS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THIRTY-NINE WEEKS ENDED</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0" w:type="dxa"/>
            <w:vAlign w:val="bottom"/>
            <w:gridSpan w:val="3"/>
          </w:tcPr>
          <w:p>
            <w:pPr>
              <w:spacing w:after="0"/>
              <w:rPr>
                <w:sz w:val="2"/>
                <w:szCs w:val="2"/>
                <w:color w:val="auto"/>
              </w:rPr>
            </w:pPr>
          </w:p>
        </w:tc>
        <w:tc>
          <w:tcPr>
            <w:tcW w:w="15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1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right"/>
              <w:ind w:right="10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9"/>
        </w:trPr>
        <w:tc>
          <w:tcPr>
            <w:tcW w:w="2740" w:type="dxa"/>
            <w:vAlign w:val="bottom"/>
            <w:vMerge w:val="continue"/>
          </w:tcPr>
          <w:p>
            <w:pPr>
              <w:spacing w:after="0"/>
              <w:rPr>
                <w:sz w:val="17"/>
                <w:szCs w:val="17"/>
                <w:color w:val="auto"/>
              </w:rPr>
            </w:pPr>
          </w:p>
        </w:tc>
        <w:tc>
          <w:tcPr>
            <w:tcW w:w="160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SEPTEMBER 25, 2022</w:t>
            </w: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SEPTEMBER 25, 2022</w:t>
            </w: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b w:val="1"/>
                <w:bCs w:val="1"/>
                <w:color w:val="auto"/>
                <w:w w:val="92"/>
              </w:rPr>
              <w:t>SEPTEMBER 26, 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74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5"/>
                <w:szCs w:val="15"/>
                <w:color w:val="auto"/>
                <w:w w:val="91"/>
              </w:rPr>
              <w:t>Provision for impaired assets and restaurant</w:t>
            </w:r>
          </w:p>
        </w:tc>
        <w:tc>
          <w:tcPr>
            <w:tcW w:w="380" w:type="dxa"/>
            <w:vAlign w:val="bottom"/>
            <w:tcBorders>
              <w:top w:val="single" w:sz="8" w:color="auto"/>
            </w:tcBorders>
            <w:vMerge w:val="restart"/>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2.1</w:t>
            </w: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vMerge w:val="restart"/>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vMerge w:val="restart"/>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01"/>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closings</w:t>
            </w:r>
          </w:p>
        </w:tc>
        <w:tc>
          <w:tcPr>
            <w:tcW w:w="38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Impairment and closure charges during the periods presented resulted primarily from locations identified for closure.</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from operations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0" w:type="dxa"/>
            <w:vAlign w:val="bottom"/>
            <w:gridSpan w:val="3"/>
          </w:tcPr>
          <w:p>
            <w:pPr>
              <w:spacing w:after="0"/>
              <w:rPr>
                <w:sz w:val="2"/>
                <w:szCs w:val="2"/>
                <w:color w:val="auto"/>
              </w:rPr>
            </w:pPr>
          </w:p>
        </w:tc>
        <w:tc>
          <w:tcPr>
            <w:tcW w:w="16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160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9"/>
        </w:trPr>
        <w:tc>
          <w:tcPr>
            <w:tcW w:w="2600" w:type="dxa"/>
            <w:vAlign w:val="bottom"/>
            <w:vMerge w:val="continue"/>
          </w:tcPr>
          <w:p>
            <w:pPr>
              <w:spacing w:after="0"/>
              <w:rPr>
                <w:sz w:val="17"/>
                <w:szCs w:val="17"/>
                <w:color w:val="auto"/>
              </w:rPr>
            </w:pPr>
          </w:p>
        </w:tc>
        <w:tc>
          <w:tcPr>
            <w:tcW w:w="1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51.3</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14.8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36.5</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rPr>
              <w:t>246.3</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0"/>
              </w:rPr>
              <w:t>230.5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201"/>
        </w:trPr>
        <w:tc>
          <w:tcPr>
            <w:tcW w:w="2600" w:type="dxa"/>
            <w:vAlign w:val="bottom"/>
          </w:tcPr>
          <w:p>
            <w:pPr>
              <w:ind w:left="140"/>
              <w:spacing w:after="0"/>
              <w:rPr>
                <w:sz w:val="20"/>
                <w:szCs w:val="20"/>
                <w:color w:val="auto"/>
              </w:rPr>
            </w:pPr>
            <w:r>
              <w:rPr>
                <w:rFonts w:ascii="Arial" w:cs="Arial" w:eastAsia="Arial" w:hAnsi="Arial"/>
                <w:sz w:val="15"/>
                <w:szCs w:val="15"/>
                <w:color w:val="auto"/>
              </w:rPr>
              <w:t>% of Total revenues</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4.9 %</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3.4 %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7.4 %</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ind w:left="460"/>
              <w:spacing w:after="0"/>
              <w:rPr>
                <w:sz w:val="20"/>
                <w:szCs w:val="20"/>
                <w:color w:val="auto"/>
              </w:rPr>
            </w:pPr>
            <w:r>
              <w:rPr>
                <w:rFonts w:ascii="Arial" w:cs="Arial" w:eastAsia="Arial" w:hAnsi="Arial"/>
                <w:sz w:val="15"/>
                <w:szCs w:val="15"/>
                <w:color w:val="auto"/>
                <w:w w:val="94"/>
              </w:rPr>
              <w:t>(0.1)%</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increase in Income from operations generated during the thirteen weeks ended September 25, 2022 as compared to the thirteen weeks ended September 26, 2021 was primarily due to: (i) lapping the Carrabba’s Italian Grill royalty termination, (ii) increases in average check per person, (iii) lapping the impact of COVID-19, primarily in Brazil, and (iv) lower share-based and incentive compensation. These increases were partially offset by: (i) commodity inflation, (ii) higher labor cost primarily due to wage rate inflation, (iii) higher operating expenses including utilities, primarily due to inflation, and (iv) an increase in advertising costs.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increase in Income from operations generated during the thirty-nine weeks ended September 25, 2022 as compared to the thirty-nine weeks ended September 26, 2021 was primarily due to: (i) increases in average check per person, (ii) lapping the Carrabba’s Italian Grill royalty termination, (iii) lapping the impact of COVID-19, primarily in Brazil, and (iv) lower share-based and incentive compensation. These increases were partially offset by: (i) commodity inflation, (ii) higher labor cost primarily due to wage rate inflation, (iii) higher operating expenses including utilities, primarily due to inflation, and (iv) an increase in advertising costs.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Loss on extinguishment and modification of debt and Loss on fair value adjustment of derivatives, net</w:t>
      </w:r>
    </w:p>
    <w:p>
      <w:pPr>
        <w:spacing w:after="0" w:line="24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In connection with the 2025 Notes Partial Repurchase, we recognized a loss on extinguishment of debt of $104.7 million and a loss on fair value adjustment of derivatives, net, of $17.7 million during the thirty-nine weeks ended September 25, 2022.</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See Note 8 - </w:t>
      </w:r>
      <w:r>
        <w:rPr>
          <w:rFonts w:ascii="Arial" w:cs="Arial" w:eastAsia="Arial" w:hAnsi="Arial"/>
          <w:sz w:val="19"/>
          <w:szCs w:val="19"/>
          <w:i w:val="1"/>
          <w:iCs w:val="1"/>
          <w:color w:val="auto"/>
        </w:rPr>
        <w:t>Convertible Senior Notes</w:t>
      </w:r>
      <w:r>
        <w:rPr>
          <w:rFonts w:ascii="Arial" w:cs="Arial" w:eastAsia="Arial" w:hAnsi="Arial"/>
          <w:sz w:val="19"/>
          <w:szCs w:val="19"/>
          <w:color w:val="auto"/>
        </w:rPr>
        <w:t xml:space="preserve"> of the Notes to Consolidated Financial Statements for additional details.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Interest expense, net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8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THIRTEEN WEEKS ENDED</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THIRTY-NINE WEEKS ENDED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56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156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right"/>
              <w:ind w:right="10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9"/>
        </w:trPr>
        <w:tc>
          <w:tcPr>
            <w:tcW w:w="2940" w:type="dxa"/>
            <w:vAlign w:val="bottom"/>
            <w:vMerge w:val="continue"/>
          </w:tcPr>
          <w:p>
            <w:pPr>
              <w:spacing w:after="0"/>
              <w:rPr>
                <w:sz w:val="17"/>
                <w:szCs w:val="17"/>
                <w:color w:val="auto"/>
              </w:rPr>
            </w:pPr>
          </w:p>
        </w:tc>
        <w:tc>
          <w:tcPr>
            <w:tcW w:w="15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36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9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The decrease in Interest expense, net for the thirteen weeks ended September 25, 2022 as compared to the thirteen weeks ended September 26, 2021 was primarily due to: (i) the 2025 Notes Partial Repurchase in May 2022, (ii) repayment of the Term loan A in April 2022 and (iii) the impact of our April 2021 interest rate swap terminations. These decreases were partially offset by increases in interest expense from higher balances and interest rates on revolver debt.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jc w:val="both"/>
        <w:ind w:right="20"/>
        <w:spacing w:after="0" w:line="259" w:lineRule="auto"/>
        <w:rPr>
          <w:sz w:val="20"/>
          <w:szCs w:val="20"/>
          <w:color w:val="auto"/>
        </w:rPr>
      </w:pPr>
      <w:r>
        <w:rPr>
          <w:rFonts w:ascii="Arial" w:cs="Arial" w:eastAsia="Arial" w:hAnsi="Arial"/>
          <w:sz w:val="19"/>
          <w:szCs w:val="19"/>
          <w:color w:val="auto"/>
        </w:rPr>
        <w:t>The decrease in Interest expense, net for the thirty-nine weeks ended September 25, 2022 as compared to the thirty-nine weeks ended September 26, 2021 was primarily due to the repayment of Term loan A in April 2022 and the 2025 Notes Partial Repurchase in May 2022. These decreases were partially offset by increases from the issuance of the 2029 Notes in April 2021.</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Provision (benefit) for 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60" w:type="dxa"/>
            <w:vAlign w:val="bottom"/>
            <w:gridSpan w:val="3"/>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60" w:type="dxa"/>
            <w:vAlign w:val="bottom"/>
            <w:gridSpan w:val="3"/>
          </w:tcPr>
          <w:p>
            <w:pPr>
              <w:ind w:left="260"/>
              <w:spacing w:after="0"/>
              <w:rPr>
                <w:sz w:val="20"/>
                <w:szCs w:val="20"/>
                <w:color w:val="auto"/>
              </w:rPr>
            </w:pPr>
            <w:r>
              <w:rPr>
                <w:rFonts w:ascii="Arial" w:cs="Arial" w:eastAsia="Arial" w:hAnsi="Arial"/>
                <w:sz w:val="14"/>
                <w:szCs w:val="14"/>
                <w:b w:val="1"/>
                <w:bCs w:val="1"/>
                <w:color w:val="auto"/>
              </w:rPr>
              <w:t>THIRTY-NINE WEEKS ENDED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spacing w:after="0"/>
              <w:rPr>
                <w:sz w:val="2"/>
                <w:szCs w:val="2"/>
                <w:color w:val="auto"/>
              </w:rPr>
            </w:pPr>
          </w:p>
        </w:tc>
        <w:tc>
          <w:tcPr>
            <w:tcW w:w="15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1640" w:type="dxa"/>
            <w:vAlign w:val="bottom"/>
            <w:gridSpan w:val="3"/>
          </w:tcPr>
          <w:p>
            <w:pPr>
              <w:spacing w:after="0"/>
              <w:rPr>
                <w:sz w:val="2"/>
                <w:szCs w:val="2"/>
                <w:color w:val="auto"/>
              </w:rPr>
            </w:pPr>
          </w:p>
        </w:tc>
        <w:tc>
          <w:tcPr>
            <w:tcW w:w="16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restart"/>
          </w:tcPr>
          <w:p>
            <w:pPr>
              <w:jc w:val="right"/>
              <w:ind w:right="14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9"/>
        </w:trPr>
        <w:tc>
          <w:tcPr>
            <w:tcW w:w="2720" w:type="dxa"/>
            <w:vAlign w:val="bottom"/>
            <w:vMerge w:val="continue"/>
          </w:tcPr>
          <w:p>
            <w:pPr>
              <w:spacing w:after="0"/>
              <w:rPr>
                <w:sz w:val="17"/>
                <w:szCs w:val="17"/>
                <w:color w:val="auto"/>
              </w:rPr>
            </w:pPr>
          </w:p>
        </w:tc>
        <w:tc>
          <w:tcPr>
            <w:tcW w:w="16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26, 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25, 2022</w:t>
            </w:r>
          </w:p>
        </w:tc>
        <w:tc>
          <w:tcPr>
            <w:tcW w:w="1540" w:type="dxa"/>
            <w:vAlign w:val="bottom"/>
            <w:tcBorders>
              <w:top w:val="single" w:sz="8" w:color="auto"/>
            </w:tcBorders>
            <w:gridSpan w:val="2"/>
          </w:tcPr>
          <w:p>
            <w:pPr>
              <w:jc w:val="right"/>
              <w:ind w:right="23"/>
              <w:spacing w:after="0"/>
              <w:rPr>
                <w:sz w:val="20"/>
                <w:szCs w:val="20"/>
                <w:color w:val="auto"/>
              </w:rPr>
            </w:pPr>
            <w:r>
              <w:rPr>
                <w:rFonts w:ascii="Arial" w:cs="Arial" w:eastAsia="Arial" w:hAnsi="Arial"/>
                <w:sz w:val="14"/>
                <w:szCs w:val="14"/>
                <w:b w:val="1"/>
                <w:bCs w:val="1"/>
                <w:color w:val="auto"/>
                <w:w w:val="97"/>
              </w:rPr>
              <w:t>SEPTEMBER 26, 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72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5"/>
                <w:szCs w:val="15"/>
                <w:color w:val="auto"/>
              </w:rPr>
              <w:t>Income before provision (benefit) for</w:t>
            </w:r>
          </w:p>
        </w:tc>
        <w:tc>
          <w:tcPr>
            <w:tcW w:w="360" w:type="dxa"/>
            <w:vAlign w:val="bottom"/>
            <w:tcBorders>
              <w:top w:val="single" w:sz="8" w:color="auto"/>
            </w:tcBorders>
            <w:vMerge w:val="restart"/>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vMerge w:val="restart"/>
            <w:shd w:val="clear" w:color="auto" w:fill="CCEEFF"/>
          </w:tcPr>
          <w:p>
            <w:pPr>
              <w:jc w:val="right"/>
              <w:ind w:right="125"/>
              <w:spacing w:after="0"/>
              <w:rPr>
                <w:sz w:val="20"/>
                <w:szCs w:val="20"/>
                <w:color w:val="auto"/>
              </w:rPr>
            </w:pPr>
            <w:r>
              <w:rPr>
                <w:rFonts w:ascii="Arial" w:cs="Arial" w:eastAsia="Arial" w:hAnsi="Arial"/>
                <w:sz w:val="15"/>
                <w:szCs w:val="15"/>
                <w:color w:val="auto"/>
              </w:rPr>
              <w:t>38.6</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38.0</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vMerge w:val="restart"/>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vMerge w:val="restart"/>
            <w:shd w:val="clear" w:color="auto" w:fill="CCEEFF"/>
          </w:tcPr>
          <w:p>
            <w:pPr>
              <w:ind w:left="740"/>
              <w:spacing w:after="0"/>
              <w:rPr>
                <w:sz w:val="20"/>
                <w:szCs w:val="20"/>
                <w:color w:val="auto"/>
              </w:rPr>
            </w:pPr>
            <w:r>
              <w:rPr>
                <w:rFonts w:ascii="Arial" w:cs="Arial" w:eastAsia="Arial" w:hAnsi="Arial"/>
                <w:sz w:val="15"/>
                <w:szCs w:val="15"/>
                <w:color w:val="auto"/>
              </w:rPr>
              <w:t>82.1</w:t>
            </w: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vMerge w:val="restart"/>
            <w:shd w:val="clear" w:color="auto" w:fill="CCEEFF"/>
          </w:tcPr>
          <w:p>
            <w:pPr>
              <w:jc w:val="right"/>
              <w:ind w:right="786"/>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tcBorders>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95"/>
              </w:rPr>
              <w:t>184.6</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(102.5)</w:t>
            </w:r>
          </w:p>
        </w:tc>
        <w:tc>
          <w:tcPr>
            <w:tcW w:w="0" w:type="dxa"/>
            <w:vAlign w:val="bottom"/>
          </w:tcPr>
          <w:p>
            <w:pPr>
              <w:spacing w:after="0"/>
              <w:rPr>
                <w:sz w:val="1"/>
                <w:szCs w:val="1"/>
                <w:color w:val="auto"/>
              </w:rPr>
            </w:pPr>
          </w:p>
        </w:tc>
      </w:tr>
      <w:tr>
        <w:trPr>
          <w:trHeight w:val="201"/>
        </w:trPr>
        <w:tc>
          <w:tcPr>
            <w:tcW w:w="2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taxes</w:t>
            </w:r>
          </w:p>
        </w:tc>
        <w:tc>
          <w:tcPr>
            <w:tcW w:w="36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20"/>
              <w:spacing w:after="0"/>
              <w:rPr>
                <w:sz w:val="20"/>
                <w:szCs w:val="20"/>
                <w:color w:val="auto"/>
              </w:rPr>
            </w:pPr>
            <w:r>
              <w:rPr>
                <w:rFonts w:ascii="Arial" w:cs="Arial" w:eastAsia="Arial" w:hAnsi="Arial"/>
                <w:sz w:val="15"/>
                <w:szCs w:val="15"/>
                <w:color w:val="auto"/>
              </w:rPr>
              <w:t>Provision (benefit) for income taxes</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25"/>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7"/>
                <w:szCs w:val="17"/>
                <w:color w:val="auto"/>
              </w:rPr>
            </w:pPr>
          </w:p>
        </w:tc>
        <w:tc>
          <w:tcPr>
            <w:tcW w:w="900" w:type="dxa"/>
            <w:vAlign w:val="bottom"/>
          </w:tcPr>
          <w:p>
            <w:pPr>
              <w:ind w:left="2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7"/>
                <w:szCs w:val="17"/>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200" w:type="dxa"/>
            <w:vAlign w:val="bottom"/>
          </w:tcPr>
          <w:p>
            <w:pPr>
              <w:ind w:left="740"/>
              <w:spacing w:after="0"/>
              <w:rPr>
                <w:sz w:val="20"/>
                <w:szCs w:val="20"/>
                <w:color w:val="auto"/>
              </w:rPr>
            </w:pPr>
            <w:r>
              <w:rPr>
                <w:rFonts w:ascii="Arial" w:cs="Arial" w:eastAsia="Arial" w:hAnsi="Arial"/>
                <w:sz w:val="15"/>
                <w:szCs w:val="15"/>
                <w:color w:val="auto"/>
              </w:rPr>
              <w:t>33.0</w:t>
            </w:r>
          </w:p>
        </w:tc>
        <w:tc>
          <w:tcPr>
            <w:tcW w:w="100" w:type="dxa"/>
            <w:vAlign w:val="bottom"/>
          </w:tcPr>
          <w:p>
            <w:pPr>
              <w:spacing w:after="0"/>
              <w:rPr>
                <w:sz w:val="17"/>
                <w:szCs w:val="17"/>
                <w:color w:val="auto"/>
              </w:rPr>
            </w:pPr>
          </w:p>
        </w:tc>
        <w:tc>
          <w:tcPr>
            <w:tcW w:w="960" w:type="dxa"/>
            <w:vAlign w:val="bottom"/>
          </w:tcPr>
          <w:p>
            <w:pPr>
              <w:jc w:val="right"/>
              <w:ind w:right="786"/>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123"/>
              <w:spacing w:after="0"/>
              <w:rPr>
                <w:sz w:val="20"/>
                <w:szCs w:val="20"/>
                <w:color w:val="auto"/>
              </w:rPr>
            </w:pPr>
            <w:r>
              <w:rPr>
                <w:rFonts w:ascii="Arial" w:cs="Arial" w:eastAsia="Arial" w:hAnsi="Arial"/>
                <w:sz w:val="15"/>
                <w:szCs w:val="15"/>
                <w:color w:val="auto"/>
              </w:rPr>
              <w:t>24.8</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5"/>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Effective income tax rate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(NM)</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NM</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ind w:left="740"/>
              <w:spacing w:after="0"/>
              <w:rPr>
                <w:sz w:val="20"/>
                <w:szCs w:val="20"/>
                <w:color w:val="auto"/>
              </w:rPr>
            </w:pPr>
            <w:r>
              <w:rPr>
                <w:rFonts w:ascii="Arial" w:cs="Arial" w:eastAsia="Arial" w:hAnsi="Arial"/>
                <w:sz w:val="15"/>
                <w:szCs w:val="15"/>
                <w:color w:val="auto"/>
                <w:w w:val="94"/>
              </w:rPr>
              <w:t>40.2 %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26.7 %</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NM Not meaningful.</w:t>
      </w:r>
    </w:p>
    <w:p>
      <w:pPr>
        <w:spacing w:after="0" w:line="228" w:lineRule="exact"/>
        <w:rPr>
          <w:sz w:val="20"/>
          <w:szCs w:val="20"/>
          <w:color w:val="auto"/>
        </w:rPr>
      </w:pPr>
    </w:p>
    <w:p>
      <w:pPr>
        <w:jc w:val="both"/>
        <w:ind w:right="20"/>
        <w:spacing w:after="0" w:line="259" w:lineRule="auto"/>
        <w:rPr>
          <w:sz w:val="20"/>
          <w:szCs w:val="20"/>
          <w:color w:val="auto"/>
        </w:rPr>
      </w:pPr>
      <w:r>
        <w:rPr>
          <w:rFonts w:ascii="Arial" w:cs="Arial" w:eastAsia="Arial" w:hAnsi="Arial"/>
          <w:sz w:val="19"/>
          <w:szCs w:val="19"/>
          <w:color w:val="auto"/>
        </w:rPr>
        <w:t>The provision for income taxes for the thirteen weeks ended September 25, 2022 increased primarily due to higher pre-tax book income across our U.S. and international subsidiaries. The benefit for income taxes for the thirteen weeks ended September 26, 2021 includes the impact of changes to the estimate of the forecasted full-year effective tax rate relative to prior quarters in 2021.</w:t>
      </w:r>
    </w:p>
    <w:p>
      <w:pPr>
        <w:spacing w:after="0" w:line="195" w:lineRule="exact"/>
        <w:rPr>
          <w:sz w:val="20"/>
          <w:szCs w:val="20"/>
          <w:color w:val="auto"/>
        </w:rPr>
      </w:pPr>
    </w:p>
    <w:p>
      <w:pPr>
        <w:jc w:val="both"/>
        <w:ind w:right="20"/>
        <w:spacing w:after="0" w:line="266" w:lineRule="auto"/>
        <w:rPr>
          <w:sz w:val="20"/>
          <w:szCs w:val="20"/>
          <w:color w:val="auto"/>
        </w:rPr>
      </w:pPr>
      <w:r>
        <w:rPr>
          <w:rFonts w:ascii="Arial" w:cs="Arial" w:eastAsia="Arial" w:hAnsi="Arial"/>
          <w:sz w:val="19"/>
          <w:szCs w:val="19"/>
          <w:color w:val="auto"/>
        </w:rPr>
        <w:t>The effective income tax rate for the thirty-nine weeks ended September 25, 2022 increased by 26.7 percentage points as compared to the thirty-nine weeks ended September 26, 2021. The increase was primarily due to the non-deductible losses associated with the 2025 Notes Partial Repurchase recorded during the thirty-nine weeks ended September 25, 2022.</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SEGMENT PERFORMANCE</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 summary of reporting segments: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00" w:type="dxa"/>
            <w:vAlign w:val="bottom"/>
          </w:tcPr>
          <w:p>
            <w:pPr>
              <w:spacing w:after="0"/>
              <w:rPr>
                <w:sz w:val="15"/>
                <w:szCs w:val="15"/>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30"/>
        </w:trPr>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26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U.S.</w:t>
            </w:r>
          </w:p>
        </w:tc>
        <w:tc>
          <w:tcPr>
            <w:tcW w:w="100" w:type="dxa"/>
            <w:vAlign w:val="bottom"/>
            <w:tcBorders>
              <w:right w:val="single" w:sz="8" w:color="auto"/>
            </w:tcBorders>
            <w:shd w:val="clear" w:color="auto" w:fill="CCEEFF"/>
          </w:tcPr>
          <w:p>
            <w:pPr>
              <w:spacing w:after="0"/>
              <w:rPr>
                <w:sz w:val="20"/>
                <w:szCs w:val="20"/>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right w:val="single" w:sz="8" w:color="auto"/>
            </w:tcBorders>
            <w:shd w:val="clear" w:color="auto" w:fill="CCEEFF"/>
          </w:tcPr>
          <w:p>
            <w:pPr>
              <w:spacing w:after="0"/>
              <w:rPr>
                <w:sz w:val="20"/>
                <w:szCs w:val="20"/>
                <w:color w:val="auto"/>
              </w:rPr>
            </w:pPr>
          </w:p>
        </w:tc>
        <w:tc>
          <w:tcPr>
            <w:tcW w:w="382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660" w:type="dxa"/>
            <w:vAlign w:val="bottom"/>
            <w:tcBorders>
              <w:left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Carrabba’s Italian Grill</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United States of America</w:t>
            </w:r>
          </w:p>
        </w:tc>
        <w:tc>
          <w:tcPr>
            <w:tcW w:w="0" w:type="dxa"/>
            <w:vAlign w:val="bottom"/>
          </w:tcPr>
          <w:p>
            <w:pPr>
              <w:spacing w:after="0"/>
              <w:rPr>
                <w:sz w:val="1"/>
                <w:szCs w:val="1"/>
                <w:color w:val="auto"/>
              </w:rPr>
            </w:pPr>
          </w:p>
        </w:tc>
      </w:tr>
      <w:tr>
        <w:trPr>
          <w:trHeight w:val="103"/>
        </w:trPr>
        <w:tc>
          <w:tcPr>
            <w:tcW w:w="2660" w:type="dxa"/>
            <w:vAlign w:val="bottom"/>
            <w:tcBorders>
              <w:left w:val="single" w:sz="8" w:color="auto"/>
              <w:right w:val="single" w:sz="8" w:color="auto"/>
            </w:tcBorders>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45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5"/>
                <w:szCs w:val="15"/>
                <w:color w:val="auto"/>
              </w:rPr>
              <w:t>Bonefish Grill</w:t>
            </w:r>
          </w:p>
        </w:tc>
        <w:tc>
          <w:tcPr>
            <w:tcW w:w="100" w:type="dxa"/>
            <w:vAlign w:val="bottom"/>
            <w:tcBorders>
              <w:right w:val="single" w:sz="8" w:color="auto"/>
            </w:tcBorders>
            <w:shd w:val="clear" w:color="auto" w:fill="CCEEFF"/>
          </w:tcPr>
          <w:p>
            <w:pPr>
              <w:spacing w:after="0"/>
              <w:rPr>
                <w:sz w:val="8"/>
                <w:szCs w:val="8"/>
                <w:color w:val="auto"/>
              </w:rPr>
            </w:pPr>
          </w:p>
        </w:tc>
        <w:tc>
          <w:tcPr>
            <w:tcW w:w="38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660" w:type="dxa"/>
            <w:vAlign w:val="bottom"/>
            <w:tcBorders>
              <w:left w:val="single" w:sz="8" w:color="auto"/>
              <w:right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580" w:type="dxa"/>
            <w:vAlign w:val="bottom"/>
            <w:tcBorders>
              <w:right w:val="single" w:sz="8" w:color="auto"/>
            </w:tcBorders>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38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Fleming’s Prime Steakhouse &amp; Wine Bar</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bottom w:val="single" w:sz="8" w:color="auto"/>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International</w:t>
            </w: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Outback Steakhouse</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 Hong Kong/China</w:t>
            </w:r>
          </w:p>
        </w:tc>
        <w:tc>
          <w:tcPr>
            <w:tcW w:w="0" w:type="dxa"/>
            <w:vAlign w:val="bottom"/>
          </w:tcPr>
          <w:p>
            <w:pPr>
              <w:spacing w:after="0"/>
              <w:rPr>
                <w:sz w:val="1"/>
                <w:szCs w:val="1"/>
                <w:color w:val="auto"/>
              </w:rPr>
            </w:pPr>
          </w:p>
        </w:tc>
      </w:tr>
      <w:tr>
        <w:trPr>
          <w:trHeight w:val="238"/>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Carrabba’s Italian Grill (Abbraccio)</w:t>
            </w:r>
          </w:p>
        </w:tc>
        <w:tc>
          <w:tcPr>
            <w:tcW w:w="100" w:type="dxa"/>
            <w:vAlign w:val="bottom"/>
            <w:tcBorders>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Brazil</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5"/>
                <w:szCs w:val="15"/>
                <w:color w:val="auto"/>
              </w:rPr>
              <w:t>_________________</w:t>
            </w:r>
          </w:p>
        </w:tc>
        <w:tc>
          <w:tcPr>
            <w:tcW w:w="10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20" w:hanging="617"/>
        <w:spacing w:after="0"/>
        <w:tabs>
          <w:tab w:leader="none" w:pos="6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Includes franchise locations.</w:t>
      </w:r>
    </w:p>
    <w:p>
      <w:pPr>
        <w:spacing w:after="0" w:line="232" w:lineRule="exact"/>
        <w:rPr>
          <w:sz w:val="20"/>
          <w:szCs w:val="20"/>
          <w:color w:val="auto"/>
        </w:rPr>
      </w:pPr>
    </w:p>
    <w:p>
      <w:pPr>
        <w:jc w:val="both"/>
        <w:ind w:right="20"/>
        <w:spacing w:after="0" w:line="259" w:lineRule="auto"/>
        <w:rPr>
          <w:sz w:val="20"/>
          <w:szCs w:val="20"/>
          <w:color w:val="auto"/>
        </w:rPr>
      </w:pPr>
      <w:r>
        <w:rPr>
          <w:rFonts w:ascii="Arial" w:cs="Arial" w:eastAsia="Arial" w:hAnsi="Arial"/>
          <w:sz w:val="19"/>
          <w:szCs w:val="19"/>
          <w:color w:val="auto"/>
        </w:rPr>
        <w:t>Revenues for both segments include only transactions with customers and exclude intersegment revenues. Excluded from Income from operations for U.S. and international are certain legal and corporate costs not directly related to the performance of the segments, most stock-based compensation expenses, certain insurance expenses and certain bonus expenses.</w:t>
      </w:r>
    </w:p>
    <w:p>
      <w:pPr>
        <w:spacing w:after="0" w:line="195" w:lineRule="exact"/>
        <w:rPr>
          <w:sz w:val="20"/>
          <w:szCs w:val="20"/>
          <w:color w:val="auto"/>
        </w:rPr>
      </w:pPr>
    </w:p>
    <w:p>
      <w:pPr>
        <w:jc w:val="both"/>
        <w:ind w:right="20"/>
        <w:spacing w:after="0" w:line="278" w:lineRule="auto"/>
        <w:rPr>
          <w:sz w:val="20"/>
          <w:szCs w:val="20"/>
          <w:color w:val="auto"/>
        </w:rPr>
      </w:pPr>
      <w:r>
        <w:rPr>
          <w:rFonts w:ascii="Arial" w:cs="Arial" w:eastAsia="Arial" w:hAnsi="Arial"/>
          <w:sz w:val="19"/>
          <w:szCs w:val="19"/>
          <w:color w:val="auto"/>
        </w:rPr>
        <w:t xml:space="preserve">Refer to Note 16 </w:t>
      </w:r>
      <w:r>
        <w:rPr>
          <w:rFonts w:ascii="Arial" w:cs="Arial" w:eastAsia="Arial" w:hAnsi="Arial"/>
          <w:sz w:val="17"/>
          <w:szCs w:val="17"/>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Segment Reporting</w:t>
      </w:r>
      <w:r>
        <w:rPr>
          <w:rFonts w:ascii="Arial" w:cs="Arial" w:eastAsia="Arial" w:hAnsi="Arial"/>
          <w:sz w:val="19"/>
          <w:szCs w:val="19"/>
          <w:color w:val="auto"/>
        </w:rPr>
        <w:t xml:space="preserve"> of the Notes to Consolidated Financial Statements for reconciliations of segment income from operations to the consolidated operating results.</w:t>
      </w:r>
    </w:p>
    <w:p>
      <w:pPr>
        <w:spacing w:after="0" w:line="190" w:lineRule="exact"/>
        <w:rPr>
          <w:sz w:val="20"/>
          <w:szCs w:val="20"/>
          <w:color w:val="auto"/>
        </w:rPr>
      </w:pPr>
    </w:p>
    <w:p>
      <w:pPr>
        <w:jc w:val="both"/>
        <w:ind w:right="20"/>
        <w:spacing w:after="0" w:line="264" w:lineRule="auto"/>
        <w:rPr>
          <w:sz w:val="20"/>
          <w:szCs w:val="20"/>
          <w:color w:val="auto"/>
        </w:rPr>
      </w:pPr>
      <w:r>
        <w:rPr>
          <w:rFonts w:ascii="Arial" w:cs="Arial" w:eastAsia="Arial" w:hAnsi="Arial"/>
          <w:sz w:val="19"/>
          <w:szCs w:val="19"/>
          <w:color w:val="auto"/>
        </w:rPr>
        <w:t>Restaurant-level operating margin is widely regarded in the industry as a useful non-GAAP measure to evaluate restaurant-level operating efficiency and performance of ongoing restaurant-level operations, and we use it for these</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purposes, overall and particularly within our two segments. See the </w:t>
      </w:r>
      <w:r>
        <w:rPr>
          <w:rFonts w:ascii="Arial" w:cs="Arial" w:eastAsia="Arial" w:hAnsi="Arial"/>
          <w:sz w:val="19"/>
          <w:szCs w:val="19"/>
          <w:i w:val="1"/>
          <w:iCs w:val="1"/>
          <w:color w:val="auto"/>
        </w:rPr>
        <w:t>Overview-Key Financial Performance Indicators</w:t>
      </w:r>
      <w:r>
        <w:rPr>
          <w:rFonts w:ascii="Arial" w:cs="Arial" w:eastAsia="Arial" w:hAnsi="Arial"/>
          <w:sz w:val="19"/>
          <w:szCs w:val="19"/>
          <w:color w:val="auto"/>
        </w:rPr>
        <w:t xml:space="preserve"> and </w:t>
      </w:r>
      <w:r>
        <w:rPr>
          <w:rFonts w:ascii="Arial" w:cs="Arial" w:eastAsia="Arial" w:hAnsi="Arial"/>
          <w:sz w:val="19"/>
          <w:szCs w:val="19"/>
          <w:i w:val="1"/>
          <w:iCs w:val="1"/>
          <w:color w:val="auto"/>
        </w:rPr>
        <w:t>Non-GAAP Financial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Measures </w:t>
      </w:r>
      <w:r>
        <w:rPr>
          <w:rFonts w:ascii="Arial" w:cs="Arial" w:eastAsia="Arial" w:hAnsi="Arial"/>
          <w:sz w:val="19"/>
          <w:szCs w:val="19"/>
          <w:color w:val="auto"/>
        </w:rPr>
        <w:t>sections of Management’s Discussion and Analysis of Financial Condition and Results of Operations for additional details regarding the</w:t>
      </w:r>
      <w:r>
        <w:rPr>
          <w:rFonts w:ascii="Arial" w:cs="Arial" w:eastAsia="Arial" w:hAnsi="Arial"/>
          <w:sz w:val="19"/>
          <w:szCs w:val="19"/>
          <w:i w:val="1"/>
          <w:iCs w:val="1"/>
          <w:color w:val="auto"/>
        </w:rPr>
        <w:t xml:space="preserve"> </w:t>
      </w:r>
      <w:r>
        <w:rPr>
          <w:rFonts w:ascii="Arial" w:cs="Arial" w:eastAsia="Arial" w:hAnsi="Arial"/>
          <w:sz w:val="19"/>
          <w:szCs w:val="19"/>
          <w:color w:val="auto"/>
        </w:rPr>
        <w:t>calculation of restaurant-level operating margin.</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gridSpan w:val="4"/>
          </w:tcPr>
          <w:p>
            <w:pPr>
              <w:jc w:val="right"/>
              <w:ind w:right="52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40" w:type="dxa"/>
            <w:vAlign w:val="bottom"/>
            <w:gridSpan w:val="3"/>
          </w:tcPr>
          <w:p>
            <w:pPr>
              <w:spacing w:after="0"/>
              <w:rPr>
                <w:sz w:val="2"/>
                <w:szCs w:val="2"/>
                <w:color w:val="auto"/>
              </w:rPr>
            </w:pPr>
          </w:p>
        </w:tc>
        <w:tc>
          <w:tcPr>
            <w:tcW w:w="1660" w:type="dxa"/>
            <w:vAlign w:val="bottom"/>
            <w:gridSpan w:val="3"/>
          </w:tcPr>
          <w:p>
            <w:pPr>
              <w:spacing w:after="0"/>
              <w:rPr>
                <w:sz w:val="2"/>
                <w:szCs w:val="2"/>
                <w:color w:val="auto"/>
              </w:rPr>
            </w:pPr>
          </w:p>
        </w:tc>
        <w:tc>
          <w:tcPr>
            <w:tcW w:w="1640" w:type="dxa"/>
            <w:vAlign w:val="bottom"/>
            <w:gridSpan w:val="3"/>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780" w:type="dxa"/>
            <w:vAlign w:val="bottom"/>
            <w:vMerge w:val="continue"/>
          </w:tcPr>
          <w:p>
            <w:pPr>
              <w:spacing w:after="0"/>
              <w:rPr>
                <w:sz w:val="17"/>
                <w:szCs w:val="17"/>
                <w:color w:val="auto"/>
              </w:rPr>
            </w:pPr>
          </w:p>
        </w:tc>
        <w:tc>
          <w:tcPr>
            <w:tcW w:w="16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25, 2022</w:t>
            </w:r>
          </w:p>
        </w:tc>
        <w:tc>
          <w:tcPr>
            <w:tcW w:w="1560" w:type="dxa"/>
            <w:vAlign w:val="bottom"/>
            <w:tcBorders>
              <w:top w:val="single" w:sz="8" w:color="auto"/>
            </w:tcBorders>
            <w:gridSpan w:val="2"/>
          </w:tcPr>
          <w:p>
            <w:pPr>
              <w:jc w:val="right"/>
              <w:ind w:right="23"/>
              <w:spacing w:after="0"/>
              <w:rPr>
                <w:sz w:val="20"/>
                <w:szCs w:val="20"/>
                <w:color w:val="auto"/>
              </w:rPr>
            </w:pPr>
            <w:r>
              <w:rPr>
                <w:rFonts w:ascii="Arial" w:cs="Arial" w:eastAsia="Arial" w:hAnsi="Arial"/>
                <w:sz w:val="14"/>
                <w:szCs w:val="14"/>
                <w:b w:val="1"/>
                <w:bCs w:val="1"/>
                <w:color w:val="auto"/>
                <w:w w:val="98"/>
              </w:rPr>
              <w:t>SEPTEMBER 26, 2021</w:t>
            </w:r>
          </w:p>
        </w:tc>
        <w:tc>
          <w:tcPr>
            <w:tcW w:w="100" w:type="dxa"/>
            <w:vAlign w:val="bottom"/>
          </w:tcPr>
          <w:p>
            <w:pPr>
              <w:spacing w:after="0"/>
              <w:rPr>
                <w:sz w:val="17"/>
                <w:szCs w:val="17"/>
                <w:color w:val="auto"/>
              </w:rPr>
            </w:pPr>
          </w:p>
        </w:tc>
        <w:tc>
          <w:tcPr>
            <w:tcW w:w="16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0" w:type="dxa"/>
            <w:vAlign w:val="bottom"/>
          </w:tcPr>
          <w:p>
            <w:pPr>
              <w:spacing w:after="0"/>
              <w:rPr>
                <w:sz w:val="1"/>
                <w:szCs w:val="1"/>
                <w:color w:val="auto"/>
              </w:rPr>
            </w:pPr>
          </w:p>
        </w:tc>
      </w:tr>
      <w:tr>
        <w:trPr>
          <w:trHeight w:val="19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4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910,679</w:t>
            </w:r>
          </w:p>
        </w:tc>
        <w:tc>
          <w:tcPr>
            <w:tcW w:w="100" w:type="dxa"/>
            <w:vAlign w:val="bottom"/>
          </w:tcPr>
          <w:p>
            <w:pPr>
              <w:spacing w:after="0"/>
              <w:rPr>
                <w:sz w:val="17"/>
                <w:szCs w:val="17"/>
                <w:color w:val="auto"/>
              </w:rPr>
            </w:pPr>
          </w:p>
        </w:tc>
        <w:tc>
          <w:tcPr>
            <w:tcW w:w="840" w:type="dxa"/>
            <w:vAlign w:val="bottom"/>
          </w:tcPr>
          <w:p>
            <w:pPr>
              <w:jc w:val="right"/>
              <w:ind w:right="665"/>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23"/>
              <w:spacing w:after="0"/>
              <w:rPr>
                <w:sz w:val="20"/>
                <w:szCs w:val="20"/>
                <w:color w:val="auto"/>
              </w:rPr>
            </w:pPr>
            <w:r>
              <w:rPr>
                <w:rFonts w:ascii="Arial" w:cs="Arial" w:eastAsia="Arial" w:hAnsi="Arial"/>
                <w:sz w:val="15"/>
                <w:szCs w:val="15"/>
                <w:color w:val="auto"/>
                <w:w w:val="92"/>
              </w:rPr>
              <w:t>898,790</w:t>
            </w:r>
          </w:p>
        </w:tc>
        <w:tc>
          <w:tcPr>
            <w:tcW w:w="100" w:type="dxa"/>
            <w:vAlign w:val="bottom"/>
          </w:tcPr>
          <w:p>
            <w:pPr>
              <w:spacing w:after="0"/>
              <w:rPr>
                <w:sz w:val="17"/>
                <w:szCs w:val="17"/>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2,920,241</w:t>
            </w:r>
          </w:p>
        </w:tc>
        <w:tc>
          <w:tcPr>
            <w:tcW w:w="120" w:type="dxa"/>
            <w:vAlign w:val="bottom"/>
          </w:tcPr>
          <w:p>
            <w:pPr>
              <w:spacing w:after="0"/>
              <w:rPr>
                <w:sz w:val="17"/>
                <w:szCs w:val="17"/>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2,789,142</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11,842</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13,943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37,314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31,567</w:t>
            </w:r>
          </w:p>
        </w:tc>
        <w:tc>
          <w:tcPr>
            <w:tcW w:w="0" w:type="dxa"/>
            <w:vAlign w:val="bottom"/>
          </w:tcPr>
          <w:p>
            <w:pPr>
              <w:spacing w:after="0"/>
              <w:rPr>
                <w:sz w:val="1"/>
                <w:szCs w:val="1"/>
                <w:color w:val="auto"/>
              </w:rPr>
            </w:pPr>
          </w:p>
        </w:tc>
      </w:tr>
      <w:tr>
        <w:trPr>
          <w:trHeight w:val="185"/>
        </w:trPr>
        <w:tc>
          <w:tcPr>
            <w:tcW w:w="47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revenues</w:t>
            </w: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922,521</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2"/>
              </w:rPr>
              <w:t>912,733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2,957,555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2,820,709</w:t>
            </w:r>
          </w:p>
        </w:tc>
        <w:tc>
          <w:tcPr>
            <w:tcW w:w="0" w:type="dxa"/>
            <w:vAlign w:val="bottom"/>
          </w:tcPr>
          <w:p>
            <w:pPr>
              <w:spacing w:after="0"/>
              <w:rPr>
                <w:sz w:val="1"/>
                <w:szCs w:val="1"/>
                <w:color w:val="auto"/>
              </w:rPr>
            </w:pPr>
          </w:p>
        </w:tc>
      </w:tr>
      <w:tr>
        <w:trPr>
          <w:trHeight w:val="206"/>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Restaurant-level operating margin</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12.7 %</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15.2 %</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17.1 %</w:t>
            </w:r>
          </w:p>
        </w:tc>
        <w:tc>
          <w:tcPr>
            <w:tcW w:w="0" w:type="dxa"/>
            <w:vAlign w:val="bottom"/>
          </w:tcPr>
          <w:p>
            <w:pPr>
              <w:spacing w:after="0"/>
              <w:rPr>
                <w:sz w:val="1"/>
                <w:szCs w:val="1"/>
                <w:color w:val="auto"/>
              </w:rPr>
            </w:pPr>
          </w:p>
        </w:tc>
      </w:tr>
      <w:tr>
        <w:trPr>
          <w:trHeight w:val="203"/>
        </w:trPr>
        <w:tc>
          <w:tcPr>
            <w:tcW w:w="4780" w:type="dxa"/>
            <w:vAlign w:val="bottom"/>
          </w:tcPr>
          <w:p>
            <w:pPr>
              <w:ind w:left="140"/>
              <w:spacing w:after="0"/>
              <w:rPr>
                <w:sz w:val="20"/>
                <w:szCs w:val="20"/>
                <w:color w:val="auto"/>
              </w:rPr>
            </w:pPr>
            <w:r>
              <w:rPr>
                <w:rFonts w:ascii="Arial" w:cs="Arial" w:eastAsia="Arial" w:hAnsi="Arial"/>
                <w:sz w:val="15"/>
                <w:szCs w:val="15"/>
                <w:color w:val="auto"/>
              </w:rPr>
              <w:t>Income from operations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24"/>
              <w:spacing w:after="0"/>
              <w:rPr>
                <w:sz w:val="20"/>
                <w:szCs w:val="20"/>
                <w:color w:val="auto"/>
              </w:rPr>
            </w:pPr>
            <w:r>
              <w:rPr>
                <w:rFonts w:ascii="Arial" w:cs="Arial" w:eastAsia="Arial" w:hAnsi="Arial"/>
                <w:sz w:val="15"/>
                <w:szCs w:val="15"/>
                <w:color w:val="auto"/>
              </w:rPr>
              <w:t>68,501</w:t>
            </w:r>
          </w:p>
        </w:tc>
        <w:tc>
          <w:tcPr>
            <w:tcW w:w="100" w:type="dxa"/>
            <w:vAlign w:val="bottom"/>
          </w:tcPr>
          <w:p>
            <w:pPr>
              <w:spacing w:after="0"/>
              <w:rPr>
                <w:sz w:val="17"/>
                <w:szCs w:val="17"/>
                <w:color w:val="auto"/>
              </w:rPr>
            </w:pPr>
          </w:p>
        </w:tc>
        <w:tc>
          <w:tcPr>
            <w:tcW w:w="840" w:type="dxa"/>
            <w:vAlign w:val="bottom"/>
          </w:tcPr>
          <w:p>
            <w:pPr>
              <w:jc w:val="right"/>
              <w:ind w:right="665"/>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23"/>
              <w:spacing w:after="0"/>
              <w:rPr>
                <w:sz w:val="20"/>
                <w:szCs w:val="20"/>
                <w:color w:val="auto"/>
              </w:rPr>
            </w:pPr>
            <w:r>
              <w:rPr>
                <w:rFonts w:ascii="Arial" w:cs="Arial" w:eastAsia="Arial" w:hAnsi="Arial"/>
                <w:sz w:val="15"/>
                <w:szCs w:val="15"/>
                <w:color w:val="auto"/>
              </w:rPr>
              <w:t>47,294</w:t>
            </w:r>
          </w:p>
        </w:tc>
        <w:tc>
          <w:tcPr>
            <w:tcW w:w="100" w:type="dxa"/>
            <w:vAlign w:val="bottom"/>
          </w:tcPr>
          <w:p>
            <w:pPr>
              <w:spacing w:after="0"/>
              <w:rPr>
                <w:sz w:val="17"/>
                <w:szCs w:val="17"/>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04"/>
              <w:spacing w:after="0"/>
              <w:rPr>
                <w:sz w:val="20"/>
                <w:szCs w:val="20"/>
                <w:color w:val="auto"/>
              </w:rPr>
            </w:pPr>
            <w:r>
              <w:rPr>
                <w:rFonts w:ascii="Arial" w:cs="Arial" w:eastAsia="Arial" w:hAnsi="Arial"/>
                <w:sz w:val="15"/>
                <w:szCs w:val="15"/>
                <w:color w:val="auto"/>
              </w:rPr>
              <w:t>305,347</w:t>
            </w:r>
          </w:p>
        </w:tc>
        <w:tc>
          <w:tcPr>
            <w:tcW w:w="120" w:type="dxa"/>
            <w:vAlign w:val="bottom"/>
          </w:tcPr>
          <w:p>
            <w:pPr>
              <w:spacing w:after="0"/>
              <w:rPr>
                <w:sz w:val="17"/>
                <w:szCs w:val="17"/>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334,326</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income margin</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11.9 %</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Restaurant sales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U.S. segment Restaurant sales for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8"/>
                <w:szCs w:val="18"/>
                <w:color w:val="auto"/>
              </w:rPr>
            </w:pPr>
          </w:p>
        </w:tc>
        <w:tc>
          <w:tcPr>
            <w:tcW w:w="2620" w:type="dxa"/>
            <w:vAlign w:val="bottom"/>
            <w:gridSpan w:val="2"/>
          </w:tcPr>
          <w:p>
            <w:pPr>
              <w:ind w:left="160"/>
              <w:spacing w:after="0"/>
              <w:rPr>
                <w:sz w:val="20"/>
                <w:szCs w:val="20"/>
                <w:color w:val="auto"/>
              </w:rPr>
            </w:pPr>
            <w:r>
              <w:rPr>
                <w:rFonts w:ascii="Arial" w:cs="Arial" w:eastAsia="Arial" w:hAnsi="Arial"/>
                <w:sz w:val="14"/>
                <w:szCs w:val="14"/>
                <w:b w:val="1"/>
                <w:bCs w:val="1"/>
                <w:color w:val="auto"/>
              </w:rPr>
              <w:t>THIRTEEN WEEKS ENDED (1)</w:t>
            </w:r>
          </w:p>
        </w:tc>
        <w:tc>
          <w:tcPr>
            <w:tcW w:w="220" w:type="dxa"/>
            <w:vAlign w:val="bottom"/>
          </w:tcPr>
          <w:p>
            <w:pPr>
              <w:spacing w:after="0"/>
              <w:rPr>
                <w:sz w:val="18"/>
                <w:szCs w:val="18"/>
                <w:color w:val="auto"/>
              </w:rPr>
            </w:pPr>
          </w:p>
        </w:tc>
        <w:tc>
          <w:tcPr>
            <w:tcW w:w="2680" w:type="dxa"/>
            <w:vAlign w:val="bottom"/>
          </w:tcPr>
          <w:p>
            <w:pPr>
              <w:jc w:val="right"/>
              <w:ind w:right="304"/>
              <w:spacing w:after="0"/>
              <w:rPr>
                <w:sz w:val="20"/>
                <w:szCs w:val="20"/>
                <w:color w:val="auto"/>
              </w:rPr>
            </w:pPr>
            <w:r>
              <w:rPr>
                <w:rFonts w:ascii="Arial" w:cs="Arial" w:eastAsia="Arial" w:hAnsi="Arial"/>
                <w:sz w:val="14"/>
                <w:szCs w:val="14"/>
                <w:b w:val="1"/>
                <w:bCs w:val="1"/>
                <w:color w:val="auto"/>
              </w:rPr>
              <w:t>THIRTY-NINE WEEKS ENDED (1)</w:t>
            </w:r>
          </w:p>
        </w:tc>
      </w:tr>
      <w:tr>
        <w:trPr>
          <w:trHeight w:val="206"/>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September 26, 2021</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898.8</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2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2,789.1</w:t>
            </w:r>
          </w:p>
        </w:tc>
      </w:tr>
      <w:tr>
        <w:trPr>
          <w:trHeight w:val="203"/>
        </w:trPr>
        <w:tc>
          <w:tcPr>
            <w:tcW w:w="548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2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9"/>
        </w:trPr>
        <w:tc>
          <w:tcPr>
            <w:tcW w:w="5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Comparable restaurant sales</w:t>
            </w:r>
          </w:p>
        </w:tc>
        <w:tc>
          <w:tcPr>
            <w:tcW w:w="24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135.1</w:t>
            </w:r>
          </w:p>
        </w:tc>
      </w:tr>
      <w:tr>
        <w:trPr>
          <w:trHeight w:val="203"/>
        </w:trPr>
        <w:tc>
          <w:tcPr>
            <w:tcW w:w="5480" w:type="dxa"/>
            <w:vAlign w:val="bottom"/>
          </w:tcPr>
          <w:p>
            <w:pPr>
              <w:ind w:left="320"/>
              <w:spacing w:after="0"/>
              <w:rPr>
                <w:sz w:val="20"/>
                <w:szCs w:val="20"/>
                <w:color w:val="auto"/>
              </w:rPr>
            </w:pPr>
            <w:r>
              <w:rPr>
                <w:rFonts w:ascii="Arial" w:cs="Arial" w:eastAsia="Arial" w:hAnsi="Arial"/>
                <w:sz w:val="15"/>
                <w:szCs w:val="15"/>
                <w:color w:val="auto"/>
              </w:rPr>
              <w:t>Restaurant openings</w:t>
            </w:r>
          </w:p>
        </w:tc>
        <w:tc>
          <w:tcPr>
            <w:tcW w:w="24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7.3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Pr>
          <w:p>
            <w:pPr>
              <w:jc w:val="right"/>
              <w:spacing w:after="0"/>
              <w:rPr>
                <w:sz w:val="20"/>
                <w:szCs w:val="20"/>
                <w:color w:val="auto"/>
              </w:rPr>
            </w:pPr>
            <w:r>
              <w:rPr>
                <w:rFonts w:ascii="Arial" w:cs="Arial" w:eastAsia="Arial" w:hAnsi="Arial"/>
                <w:sz w:val="15"/>
                <w:szCs w:val="15"/>
                <w:color w:val="auto"/>
              </w:rPr>
              <w:t>20.7</w:t>
            </w:r>
          </w:p>
        </w:tc>
      </w:tr>
      <w:tr>
        <w:trPr>
          <w:trHeight w:val="202"/>
        </w:trPr>
        <w:tc>
          <w:tcPr>
            <w:tcW w:w="5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Restaurant closures</w:t>
            </w:r>
          </w:p>
        </w:tc>
        <w:tc>
          <w:tcPr>
            <w:tcW w:w="240" w:type="dxa"/>
            <w:vAlign w:val="bottom"/>
            <w:tcBorders>
              <w:bottom w:val="single" w:sz="8" w:color="auto"/>
            </w:tcBorders>
            <w:shd w:val="clear" w:color="auto" w:fill="CCEEFF"/>
          </w:tcPr>
          <w:p>
            <w:pPr>
              <w:spacing w:after="0"/>
              <w:rPr>
                <w:sz w:val="17"/>
                <w:szCs w:val="17"/>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w:t>
            </w:r>
          </w:p>
        </w:tc>
      </w:tr>
      <w:tr>
        <w:trPr>
          <w:trHeight w:val="206"/>
        </w:trPr>
        <w:tc>
          <w:tcPr>
            <w:tcW w:w="5480" w:type="dxa"/>
            <w:vAlign w:val="bottom"/>
          </w:tcPr>
          <w:p>
            <w:pPr>
              <w:ind w:left="20"/>
              <w:spacing w:after="0"/>
              <w:rPr>
                <w:sz w:val="20"/>
                <w:szCs w:val="20"/>
                <w:color w:val="auto"/>
              </w:rPr>
            </w:pPr>
            <w:r>
              <w:rPr>
                <w:rFonts w:ascii="Arial" w:cs="Arial" w:eastAsia="Arial" w:hAnsi="Arial"/>
                <w:sz w:val="15"/>
                <w:szCs w:val="15"/>
                <w:color w:val="auto"/>
              </w:rPr>
              <w:t>For the periods ended September 25, 2022</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910.7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2,920.2</w:t>
            </w: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w:t>
      </w:r>
    </w:p>
    <w:p>
      <w:pPr>
        <w:spacing w:after="0" w:line="22" w:lineRule="exact"/>
        <w:rPr>
          <w:sz w:val="20"/>
          <w:szCs w:val="20"/>
          <w:color w:val="auto"/>
        </w:rPr>
      </w:pPr>
    </w:p>
    <w:p>
      <w:pPr>
        <w:ind w:left="620" w:hanging="617"/>
        <w:spacing w:after="0" w:line="283" w:lineRule="auto"/>
        <w:tabs>
          <w:tab w:leader="none" w:pos="6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Summation of quarterly changes will not total to annual amounts as the restaurants that meet the definition of each change category will differ each period based on when the restaurant opened or closed.</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increase in U.S. Restaurant sales during the thirteen weeks ended September 25, 2022 was primarily due to higher comparable restaurant sales and the opening of 13 new restaurants not included in our comparable restaurant sales base. The increase was partially offset by the closure of 21 restaurants since June 27, 2021.</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increase in U.S. Restaurant sales during the thirty-nine weeks ended September 25, 2022 was primarily due to higher comparable restaurant sales and the opening of 16 new restaurants not included in our comparable restaurant sales base. The increase in U.S. Restaurant sales was partially offset by the closure of 24 restaurants since December 27, 2020.</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from operations</w:t>
      </w:r>
    </w:p>
    <w:p>
      <w:pPr>
        <w:spacing w:after="0" w:line="24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increase in U.S. Income from operations generated during the thirteen weeks ended September 25, 2022 as compared to the thirteen weeks ended September 26, 2021 was primarily due to lapping the Carrabba’s Italian Grill royalty termination and increases in average check per person. These increases were partially offset by: (i) commodity inflation, (ii) higher labor cost primarily due to wage rate inflation, (iii) higher operating expenses including utilities and (iv) higher advertising expense.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decrease in U.S. Income from operations generated during the thirty-nine weeks ended September 25, 2022 as compared to the thirty-nine weeks ended September 26, 2021 was primarily due to: (i) commodity inflation, (ii) higher labor cost primarily due to wage rate inflation, (iii) higher operating expenses including utilities and (iv) higher advertising expense. These decreases were partially offset by increases in average check per person and lapping the Carrabba’s Italian Grill royalty termination.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International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gridSpan w:val="5"/>
          </w:tcPr>
          <w:p>
            <w:pPr>
              <w:ind w:left="66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5"/>
                <w:szCs w:val="15"/>
                <w:color w:val="auto"/>
              </w:rPr>
            </w:pPr>
          </w:p>
        </w:tc>
        <w:tc>
          <w:tcPr>
            <w:tcW w:w="3200" w:type="dxa"/>
            <w:vAlign w:val="bottom"/>
            <w:gridSpan w:val="4"/>
          </w:tcPr>
          <w:p>
            <w:pPr>
              <w:jc w:val="right"/>
              <w:ind w:right="584"/>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52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25, 2022</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93"/>
              </w:rPr>
              <w:t>SEPTEMBER 26, 2021</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25, 2022</w:t>
            </w: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93"/>
              </w:rPr>
              <w:t>SEPTEMBER 26, 2021</w:t>
            </w:r>
          </w:p>
        </w:tc>
        <w:tc>
          <w:tcPr>
            <w:tcW w:w="0" w:type="dxa"/>
            <w:vAlign w:val="bottom"/>
          </w:tcPr>
          <w:p>
            <w:pPr>
              <w:spacing w:after="0"/>
              <w:rPr>
                <w:sz w:val="1"/>
                <w:szCs w:val="1"/>
                <w:color w:val="auto"/>
              </w:rPr>
            </w:pPr>
          </w:p>
        </w:tc>
      </w:tr>
      <w:tr>
        <w:trPr>
          <w:trHeight w:val="19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Restaurant sales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105"/>
              <w:spacing w:after="0"/>
              <w:rPr>
                <w:sz w:val="20"/>
                <w:szCs w:val="20"/>
                <w:color w:val="auto"/>
              </w:rPr>
            </w:pPr>
            <w:r>
              <w:rPr>
                <w:rFonts w:ascii="Arial" w:cs="Arial" w:eastAsia="Arial" w:hAnsi="Arial"/>
                <w:sz w:val="15"/>
                <w:szCs w:val="15"/>
                <w:color w:val="auto"/>
              </w:rPr>
              <w:t>129,696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97,928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125"/>
              <w:spacing w:after="0"/>
              <w:rPr>
                <w:sz w:val="20"/>
                <w:szCs w:val="20"/>
                <w:color w:val="auto"/>
              </w:rPr>
            </w:pPr>
            <w:r>
              <w:rPr>
                <w:rFonts w:ascii="Arial" w:cs="Arial" w:eastAsia="Arial" w:hAnsi="Arial"/>
                <w:sz w:val="15"/>
                <w:szCs w:val="15"/>
                <w:color w:val="auto"/>
              </w:rPr>
              <w:t>352,627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104"/>
              <w:spacing w:after="0"/>
              <w:rPr>
                <w:sz w:val="20"/>
                <w:szCs w:val="20"/>
                <w:color w:val="auto"/>
              </w:rPr>
            </w:pPr>
            <w:r>
              <w:rPr>
                <w:rFonts w:ascii="Arial" w:cs="Arial" w:eastAsia="Arial" w:hAnsi="Arial"/>
                <w:sz w:val="15"/>
                <w:szCs w:val="15"/>
                <w:color w:val="auto"/>
              </w:rPr>
              <w:t>242,254</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Franchise and other revenues</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3,546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(198)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11,278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12,339</w:t>
            </w:r>
          </w:p>
        </w:tc>
        <w:tc>
          <w:tcPr>
            <w:tcW w:w="0" w:type="dxa"/>
            <w:vAlign w:val="bottom"/>
          </w:tcPr>
          <w:p>
            <w:pPr>
              <w:spacing w:after="0"/>
              <w:rPr>
                <w:sz w:val="1"/>
                <w:szCs w:val="1"/>
                <w:color w:val="auto"/>
              </w:rPr>
            </w:pPr>
          </w:p>
        </w:tc>
      </w:tr>
      <w:tr>
        <w:trPr>
          <w:trHeight w:val="185"/>
        </w:trPr>
        <w:tc>
          <w:tcPr>
            <w:tcW w:w="45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133,242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97,730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363,905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254,593</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Restaurant-level operating margin</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10.7 %</w:t>
            </w:r>
          </w:p>
        </w:tc>
        <w:tc>
          <w:tcPr>
            <w:tcW w:w="0" w:type="dxa"/>
            <w:vAlign w:val="bottom"/>
          </w:tcPr>
          <w:p>
            <w:pPr>
              <w:spacing w:after="0"/>
              <w:rPr>
                <w:sz w:val="1"/>
                <w:szCs w:val="1"/>
                <w:color w:val="auto"/>
              </w:rPr>
            </w:pP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Income from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105"/>
              <w:spacing w:after="0"/>
              <w:rPr>
                <w:sz w:val="20"/>
                <w:szCs w:val="20"/>
                <w:color w:val="auto"/>
              </w:rPr>
            </w:pPr>
            <w:r>
              <w:rPr>
                <w:rFonts w:ascii="Arial" w:cs="Arial" w:eastAsia="Arial" w:hAnsi="Arial"/>
                <w:sz w:val="15"/>
                <w:szCs w:val="15"/>
                <w:color w:val="auto"/>
              </w:rPr>
              <w:t>15,849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1,412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125"/>
              <w:spacing w:after="0"/>
              <w:rPr>
                <w:sz w:val="20"/>
                <w:szCs w:val="20"/>
                <w:color w:val="auto"/>
              </w:rPr>
            </w:pPr>
            <w:r>
              <w:rPr>
                <w:rFonts w:ascii="Arial" w:cs="Arial" w:eastAsia="Arial" w:hAnsi="Arial"/>
                <w:sz w:val="15"/>
                <w:szCs w:val="15"/>
                <w:color w:val="auto"/>
              </w:rPr>
              <w:t>38,859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104"/>
              <w:spacing w:after="0"/>
              <w:rPr>
                <w:sz w:val="20"/>
                <w:szCs w:val="20"/>
                <w:color w:val="auto"/>
              </w:rPr>
            </w:pPr>
            <w:r>
              <w:rPr>
                <w:rFonts w:ascii="Arial" w:cs="Arial" w:eastAsia="Arial" w:hAnsi="Arial"/>
                <w:sz w:val="15"/>
                <w:szCs w:val="15"/>
                <w:color w:val="auto"/>
              </w:rPr>
              <w:t>7,419</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income margin</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2.9 %</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Restaurant sales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international segment Restaurant sales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8"/>
                <w:szCs w:val="18"/>
                <w:color w:val="auto"/>
              </w:rPr>
            </w:pPr>
          </w:p>
        </w:tc>
        <w:tc>
          <w:tcPr>
            <w:tcW w:w="2560" w:type="dxa"/>
            <w:vAlign w:val="bottom"/>
            <w:gridSpan w:val="2"/>
          </w:tcPr>
          <w:p>
            <w:pPr>
              <w:ind w:left="20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8"/>
                <w:szCs w:val="18"/>
                <w:color w:val="auto"/>
              </w:rPr>
            </w:pPr>
          </w:p>
        </w:tc>
        <w:tc>
          <w:tcPr>
            <w:tcW w:w="2500" w:type="dxa"/>
            <w:vAlign w:val="bottom"/>
          </w:tcPr>
          <w:p>
            <w:pPr>
              <w:jc w:val="right"/>
              <w:ind w:right="304"/>
              <w:spacing w:after="0"/>
              <w:rPr>
                <w:sz w:val="20"/>
                <w:szCs w:val="20"/>
                <w:color w:val="auto"/>
              </w:rPr>
            </w:pPr>
            <w:r>
              <w:rPr>
                <w:rFonts w:ascii="Arial" w:cs="Arial" w:eastAsia="Arial" w:hAnsi="Arial"/>
                <w:sz w:val="14"/>
                <w:szCs w:val="14"/>
                <w:b w:val="1"/>
                <w:bCs w:val="1"/>
                <w:color w:val="auto"/>
              </w:rPr>
              <w:t>THIRTY-NINE WEEKS ENDED</w:t>
            </w:r>
          </w:p>
        </w:tc>
      </w:tr>
      <w:tr>
        <w:trPr>
          <w:trHeight w:val="20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 the periods ended September 26, 2021</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242.3</w:t>
            </w:r>
          </w:p>
        </w:tc>
      </w:tr>
      <w:tr>
        <w:trPr>
          <w:trHeight w:val="203"/>
        </w:trPr>
        <w:tc>
          <w:tcPr>
            <w:tcW w:w="5640" w:type="dxa"/>
            <w:vAlign w:val="bottom"/>
          </w:tcPr>
          <w:p>
            <w:pPr>
              <w:ind w:left="20"/>
              <w:spacing w:after="0"/>
              <w:rPr>
                <w:sz w:val="20"/>
                <w:szCs w:val="20"/>
                <w:color w:val="auto"/>
              </w:rPr>
            </w:pPr>
            <w:r>
              <w:rPr>
                <w:rFonts w:ascii="Arial" w:cs="Arial" w:eastAsia="Arial" w:hAnsi="Arial"/>
                <w:sz w:val="15"/>
                <w:szCs w:val="15"/>
                <w:color w:val="auto"/>
              </w:rPr>
              <w:t>Change from:</w:t>
            </w:r>
          </w:p>
        </w:tc>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9"/>
        </w:trPr>
        <w:tc>
          <w:tcPr>
            <w:tcW w:w="5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Comparable restaurant sales (1)</w:t>
            </w:r>
          </w:p>
        </w:tc>
        <w:tc>
          <w:tcPr>
            <w:tcW w:w="30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w:t>
            </w:r>
          </w:p>
        </w:tc>
      </w:tr>
      <w:tr>
        <w:trPr>
          <w:trHeight w:val="203"/>
        </w:trPr>
        <w:tc>
          <w:tcPr>
            <w:tcW w:w="5640" w:type="dxa"/>
            <w:vAlign w:val="bottom"/>
          </w:tcPr>
          <w:p>
            <w:pPr>
              <w:ind w:left="320"/>
              <w:spacing w:after="0"/>
              <w:rPr>
                <w:sz w:val="20"/>
                <w:szCs w:val="20"/>
                <w:color w:val="auto"/>
              </w:rPr>
            </w:pPr>
            <w:r>
              <w:rPr>
                <w:rFonts w:ascii="Arial" w:cs="Arial" w:eastAsia="Arial" w:hAnsi="Arial"/>
                <w:sz w:val="15"/>
                <w:szCs w:val="15"/>
                <w:color w:val="auto"/>
              </w:rPr>
              <w:t>Restaurant openings (1)</w:t>
            </w:r>
          </w:p>
        </w:tc>
        <w:tc>
          <w:tcPr>
            <w:tcW w:w="30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5"/>
                <w:szCs w:val="15"/>
                <w:color w:val="auto"/>
              </w:rPr>
              <w:t>25.3</w:t>
            </w:r>
          </w:p>
        </w:tc>
      </w:tr>
      <w:tr>
        <w:trPr>
          <w:trHeight w:val="215"/>
        </w:trPr>
        <w:tc>
          <w:tcPr>
            <w:tcW w:w="5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Effect of foreign currency translation</w:t>
            </w:r>
          </w:p>
        </w:tc>
        <w:tc>
          <w:tcPr>
            <w:tcW w:w="30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w:t>
            </w:r>
          </w:p>
        </w:tc>
      </w:tr>
      <w:tr>
        <w:trPr>
          <w:trHeight w:val="206"/>
        </w:trPr>
        <w:tc>
          <w:tcPr>
            <w:tcW w:w="5640" w:type="dxa"/>
            <w:vAlign w:val="bottom"/>
          </w:tcPr>
          <w:p>
            <w:pPr>
              <w:ind w:left="20"/>
              <w:spacing w:after="0"/>
              <w:rPr>
                <w:sz w:val="20"/>
                <w:szCs w:val="20"/>
                <w:color w:val="auto"/>
              </w:rPr>
            </w:pPr>
            <w:r>
              <w:rPr>
                <w:rFonts w:ascii="Arial" w:cs="Arial" w:eastAsia="Arial" w:hAnsi="Arial"/>
                <w:sz w:val="15"/>
                <w:szCs w:val="15"/>
                <w:color w:val="auto"/>
              </w:rPr>
              <w:t>For the periods ended September 25, 2022</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352.7</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w:t>
      </w:r>
    </w:p>
    <w:p>
      <w:pPr>
        <w:spacing w:after="0" w:line="21" w:lineRule="exact"/>
        <w:rPr>
          <w:sz w:val="20"/>
          <w:szCs w:val="20"/>
          <w:color w:val="auto"/>
        </w:rPr>
      </w:pPr>
    </w:p>
    <w:p>
      <w:pPr>
        <w:ind w:left="620" w:hanging="617"/>
        <w:spacing w:after="0" w:line="284" w:lineRule="auto"/>
        <w:tabs>
          <w:tab w:leader="none" w:pos="6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Summation of quarterly changes for restaurant openings and comparable restaurant sales will not total to annual amounts as the restaurants that meet the definition of each will differ each period based on when the restaurant opened.</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increase in international Restaurant sales during the thirteen weeks ended September 25, 2022 was primarily due to higher comparable restaurant sales in Brazil and the opening of 29 new restaurants not included in our comparable restaurant sales base.</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increase in international Restaurant sales during the thirty-nine weeks ended September 25, 2022 was primarily due to: (i) higher comparable restaurant sales in Brazil, (ii) the opening of 38 new restaurants not included in our comparable restaurant sales base and (iii) the effect of foreign currency translation of the Brazilian Real relative to the U.S. dollar.</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from operations</w:t>
      </w:r>
    </w:p>
    <w:p>
      <w:pPr>
        <w:spacing w:after="0" w:line="246"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The increase in international Income from operations generated during the thirteen weeks ended September 25, 2022 as compared to the thirteen weeks ended September 26, 2021 was primarily due to: (i) the recovery of in-restaurant dining in Brazil and (ii) increases in average check per person. These increases were partially offset by decreases primarily due to: (i) product mix, (ii) labor inflation and (iii) commodity inflation.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increase in international Income from operations generated during the thirty-nine weeks ended September 25, 2022 as compared to the thirty-nine weeks ended September 26, 2021 was primarily due to: (i) the recovery of in-restaurant dining in Brazil and (ii) increases in average check per person. These increases were partially offset by decreases primarily due to commodity and labor inflation.</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Financial Measures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i w:val="1"/>
          <w:iCs w:val="1"/>
          <w:color w:val="auto"/>
        </w:rPr>
        <w:t xml:space="preserve">Consolidated restaurant-level operating income and adjusted restaurant-level operating income and corresponding margins non-GAAP reconciliations </w:t>
      </w:r>
      <w:r>
        <w:rPr>
          <w:rFonts w:ascii="Arial" w:cs="Arial" w:eastAsia="Arial" w:hAnsi="Arial"/>
          <w:sz w:val="18"/>
          <w:szCs w:val="18"/>
          <w:color w:val="auto"/>
        </w:rPr>
        <w:t>- The following table reconciles consolidated Income from operations and the corresponding margins to restaurant-level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adjusted restaurant-level operating income and the corresponding margins for the periods indicated: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Consolidated</w:t>
            </w:r>
          </w:p>
        </w:tc>
        <w:tc>
          <w:tcPr>
            <w:tcW w:w="120" w:type="dxa"/>
            <w:vAlign w:val="bottom"/>
          </w:tcPr>
          <w:p>
            <w:pPr>
              <w:spacing w:after="0"/>
              <w:rPr>
                <w:sz w:val="18"/>
                <w:szCs w:val="18"/>
                <w:color w:val="auto"/>
              </w:rPr>
            </w:pPr>
          </w:p>
        </w:tc>
        <w:tc>
          <w:tcPr>
            <w:tcW w:w="3300" w:type="dxa"/>
            <w:vAlign w:val="bottom"/>
            <w:gridSpan w:val="5"/>
          </w:tcPr>
          <w:p>
            <w:pPr>
              <w:ind w:left="66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8"/>
                <w:szCs w:val="18"/>
                <w:color w:val="auto"/>
              </w:rPr>
            </w:pPr>
          </w:p>
        </w:tc>
        <w:tc>
          <w:tcPr>
            <w:tcW w:w="3200" w:type="dxa"/>
            <w:vAlign w:val="bottom"/>
            <w:gridSpan w:val="4"/>
          </w:tcPr>
          <w:p>
            <w:pPr>
              <w:jc w:val="right"/>
              <w:ind w:right="583"/>
              <w:spacing w:after="0"/>
              <w:rPr>
                <w:sz w:val="20"/>
                <w:szCs w:val="20"/>
                <w:color w:val="auto"/>
              </w:rPr>
            </w:pPr>
            <w:r>
              <w:rPr>
                <w:rFonts w:ascii="Arial" w:cs="Arial" w:eastAsia="Arial" w:hAnsi="Arial"/>
                <w:sz w:val="14"/>
                <w:szCs w:val="14"/>
                <w:b w:val="1"/>
                <w:bCs w:val="1"/>
                <w:color w:val="auto"/>
              </w:rPr>
              <w:t>THIRTY-NINE WEEKS ENDED</w:t>
            </w:r>
          </w:p>
        </w:tc>
      </w:tr>
      <w:tr>
        <w:trPr>
          <w:trHeight w:val="199"/>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25, 2022</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93"/>
              </w:rPr>
              <w:t>SEPTEMBER 26, 2021</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25, 2022</w:t>
            </w: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93"/>
              </w:rPr>
              <w:t>SEPTEMBER 26, 2021</w:t>
            </w:r>
          </w:p>
        </w:tc>
      </w:tr>
      <w:tr>
        <w:trPr>
          <w:trHeight w:val="20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51,309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14,837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246,284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230,472</w:t>
            </w: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i w:val="1"/>
                <w:iCs w:val="1"/>
                <w:color w:val="auto"/>
              </w:rPr>
              <w:t>Operating income margin</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1.5 %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7.4 %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7.5 %</w:t>
            </w:r>
          </w:p>
        </w:tc>
      </w:tr>
      <w:tr>
        <w:trPr>
          <w:trHeight w:val="209"/>
        </w:trPr>
        <w:tc>
          <w:tcPr>
            <w:tcW w:w="4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Franchise and other revenues</w:t>
            </w: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15,388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13,745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48,592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03"/>
              <w:spacing w:after="0"/>
              <w:rPr>
                <w:sz w:val="20"/>
                <w:szCs w:val="20"/>
                <w:color w:val="auto"/>
              </w:rPr>
            </w:pPr>
            <w:r>
              <w:rPr>
                <w:rFonts w:ascii="Arial" w:cs="Arial" w:eastAsia="Arial" w:hAnsi="Arial"/>
                <w:sz w:val="15"/>
                <w:szCs w:val="15"/>
                <w:color w:val="auto"/>
              </w:rPr>
              <w:t>43,906</w:t>
            </w:r>
          </w:p>
        </w:tc>
      </w:tr>
      <w:tr>
        <w:trPr>
          <w:trHeight w:val="209"/>
        </w:trPr>
        <w:tc>
          <w:tcPr>
            <w:tcW w:w="4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Plus: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42,171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40,827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125,203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03"/>
              <w:spacing w:after="0"/>
              <w:rPr>
                <w:sz w:val="20"/>
                <w:szCs w:val="20"/>
                <w:color w:val="auto"/>
              </w:rPr>
            </w:pPr>
            <w:r>
              <w:rPr>
                <w:rFonts w:ascii="Arial" w:cs="Arial" w:eastAsia="Arial" w:hAnsi="Arial"/>
                <w:sz w:val="15"/>
                <w:szCs w:val="15"/>
                <w:color w:val="auto"/>
              </w:rPr>
              <w:t>122,592</w:t>
            </w:r>
          </w:p>
        </w:tc>
      </w:tr>
      <w:tr>
        <w:trPr>
          <w:trHeight w:val="209"/>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56,089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58,880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174,009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182,590</w:t>
            </w:r>
          </w:p>
        </w:tc>
      </w:tr>
      <w:tr>
        <w:trPr>
          <w:trHeight w:val="212"/>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2,067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1,585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4,099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8,962</w:t>
            </w:r>
          </w:p>
        </w:tc>
      </w:tr>
      <w:tr>
        <w:trPr>
          <w:trHeight w:val="22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Restaurant-level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136,248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102,384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501,003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500,710</w:t>
            </w:r>
          </w:p>
        </w:tc>
      </w:tr>
      <w:tr>
        <w:trPr>
          <w:trHeight w:val="189"/>
        </w:trPr>
        <w:tc>
          <w:tcPr>
            <w:tcW w:w="4520" w:type="dxa"/>
            <w:vAlign w:val="bottom"/>
          </w:tcPr>
          <w:p>
            <w:pPr>
              <w:ind w:left="120"/>
              <w:spacing w:after="0"/>
              <w:rPr>
                <w:sz w:val="20"/>
                <w:szCs w:val="20"/>
                <w:color w:val="auto"/>
              </w:rPr>
            </w:pPr>
            <w:r>
              <w:rPr>
                <w:rFonts w:ascii="Arial" w:cs="Arial" w:eastAsia="Arial" w:hAnsi="Arial"/>
                <w:sz w:val="15"/>
                <w:szCs w:val="15"/>
                <w:i w:val="1"/>
                <w:iCs w:val="1"/>
                <w:color w:val="auto"/>
              </w:rPr>
              <w:t>Restaurant-level operating margin</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13.1 %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10.3 %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15.3 %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16.5 %</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3"/>
        </w:trPr>
        <w:tc>
          <w:tcPr>
            <w:tcW w:w="4520" w:type="dxa"/>
            <w:vAlign w:val="bottom"/>
          </w:tcPr>
          <w:p>
            <w:pPr>
              <w:ind w:left="120"/>
              <w:spacing w:after="0"/>
              <w:rPr>
                <w:sz w:val="20"/>
                <w:szCs w:val="20"/>
                <w:color w:val="auto"/>
              </w:rPr>
            </w:pPr>
            <w:r>
              <w:rPr>
                <w:rFonts w:ascii="Arial" w:cs="Arial" w:eastAsia="Arial" w:hAnsi="Arial"/>
                <w:sz w:val="15"/>
                <w:szCs w:val="15"/>
                <w:color w:val="auto"/>
              </w:rPr>
              <w:t>Royalty termination expense (1)</w:t>
            </w:r>
          </w:p>
        </w:tc>
        <w:tc>
          <w:tcPr>
            <w:tcW w:w="120" w:type="dxa"/>
            <w:vAlign w:val="bottom"/>
          </w:tcPr>
          <w:p>
            <w:pPr>
              <w:spacing w:after="0"/>
              <w:rPr>
                <w:sz w:val="17"/>
                <w:szCs w:val="17"/>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61,880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500" w:type="dxa"/>
            <w:vAlign w:val="bottom"/>
          </w:tcPr>
          <w:p>
            <w:pPr>
              <w:jc w:val="right"/>
              <w:ind w:right="103"/>
              <w:spacing w:after="0"/>
              <w:rPr>
                <w:sz w:val="20"/>
                <w:szCs w:val="20"/>
                <w:color w:val="auto"/>
              </w:rPr>
            </w:pPr>
            <w:r>
              <w:rPr>
                <w:rFonts w:ascii="Arial" w:cs="Arial" w:eastAsia="Arial" w:hAnsi="Arial"/>
                <w:sz w:val="15"/>
                <w:szCs w:val="15"/>
                <w:color w:val="auto"/>
              </w:rPr>
              <w:t>61,880</w:t>
            </w:r>
          </w:p>
        </w:tc>
      </w:tr>
      <w:tr>
        <w:trPr>
          <w:trHeight w:val="215"/>
        </w:trPr>
        <w:tc>
          <w:tcPr>
            <w:tcW w:w="4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Legal and other matters (2)</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2,761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2,761</w:t>
            </w:r>
          </w:p>
        </w:tc>
      </w:tr>
      <w:tr>
        <w:trPr>
          <w:trHeight w:val="212"/>
        </w:trPr>
        <w:tc>
          <w:tcPr>
            <w:tcW w:w="4520" w:type="dxa"/>
            <w:vAlign w:val="bottom"/>
          </w:tcPr>
          <w:p>
            <w:pPr>
              <w:ind w:left="20"/>
              <w:spacing w:after="0"/>
              <w:rPr>
                <w:sz w:val="20"/>
                <w:szCs w:val="20"/>
                <w:color w:val="auto"/>
              </w:rPr>
            </w:pPr>
            <w:r>
              <w:rPr>
                <w:rFonts w:ascii="Arial" w:cs="Arial" w:eastAsia="Arial" w:hAnsi="Arial"/>
                <w:sz w:val="15"/>
                <w:szCs w:val="15"/>
                <w:color w:val="auto"/>
              </w:rPr>
              <w:t>Total restaurant-level operating income adjustments</w:t>
            </w:r>
          </w:p>
        </w:tc>
        <w:tc>
          <w:tcPr>
            <w:tcW w:w="12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64,641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500" w:type="dxa"/>
            <w:vAlign w:val="bottom"/>
          </w:tcPr>
          <w:p>
            <w:pPr>
              <w:jc w:val="right"/>
              <w:ind w:right="103"/>
              <w:spacing w:after="0"/>
              <w:rPr>
                <w:sz w:val="20"/>
                <w:szCs w:val="20"/>
                <w:color w:val="auto"/>
              </w:rPr>
            </w:pPr>
            <w:r>
              <w:rPr>
                <w:rFonts w:ascii="Arial" w:cs="Arial" w:eastAsia="Arial" w:hAnsi="Arial"/>
                <w:sz w:val="15"/>
                <w:szCs w:val="15"/>
                <w:color w:val="auto"/>
              </w:rPr>
              <w:t>64,641</w:t>
            </w:r>
          </w:p>
        </w:tc>
      </w:tr>
      <w:tr>
        <w:trPr>
          <w:trHeight w:val="226"/>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restaurant-level operating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136,248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167,025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501,003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565,351</w:t>
            </w:r>
          </w:p>
        </w:tc>
      </w:tr>
      <w:tr>
        <w:trPr>
          <w:trHeight w:val="186"/>
        </w:trPr>
        <w:tc>
          <w:tcPr>
            <w:tcW w:w="4520" w:type="dxa"/>
            <w:vAlign w:val="bottom"/>
          </w:tcPr>
          <w:p>
            <w:pPr>
              <w:ind w:left="120"/>
              <w:spacing w:after="0"/>
              <w:rPr>
                <w:sz w:val="20"/>
                <w:szCs w:val="20"/>
                <w:color w:val="auto"/>
              </w:rPr>
            </w:pPr>
            <w:r>
              <w:rPr>
                <w:rFonts w:ascii="Arial" w:cs="Arial" w:eastAsia="Arial" w:hAnsi="Arial"/>
                <w:sz w:val="15"/>
                <w:szCs w:val="15"/>
                <w:i w:val="1"/>
                <w:iCs w:val="1"/>
                <w:color w:val="auto"/>
              </w:rPr>
              <w:t>Adjusted restaurant-level operating margin</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13.1 %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16.8 %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15.3 %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18.6 %</w:t>
            </w:r>
          </w:p>
        </w:tc>
      </w:tr>
      <w:tr>
        <w:trPr>
          <w:trHeight w:val="271"/>
        </w:trPr>
        <w:tc>
          <w:tcPr>
            <w:tcW w:w="4520" w:type="dxa"/>
            <w:vAlign w:val="bottom"/>
          </w:tcPr>
          <w:p>
            <w:pPr>
              <w:spacing w:after="0"/>
              <w:rPr>
                <w:sz w:val="20"/>
                <w:szCs w:val="20"/>
                <w:color w:val="auto"/>
              </w:rPr>
            </w:pPr>
            <w:r>
              <w:rPr>
                <w:rFonts w:ascii="Arial" w:cs="Arial" w:eastAsia="Arial" w:hAnsi="Arial"/>
                <w:sz w:val="15"/>
                <w:szCs w:val="15"/>
                <w:color w:val="auto"/>
              </w:rPr>
              <w:t>_________________</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r>
    </w:tbl>
    <w:p>
      <w:pPr>
        <w:ind w:left="620" w:hanging="617"/>
        <w:spacing w:after="0" w:line="260" w:lineRule="auto"/>
        <w:tabs>
          <w:tab w:leader="none" w:pos="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 xml:space="preserve">Payment to the Carrabba’s Founders in connection with the Royalty Termination Agreement. See Note 15 -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 xml:space="preserve"> of the Notes to Consolidated Financial Statements for additional details regarding the Royalty Termination Agreement.</w:t>
      </w:r>
    </w:p>
    <w:p>
      <w:pPr>
        <w:jc w:val="both"/>
        <w:ind w:left="620" w:hanging="617"/>
        <w:spacing w:after="0" w:line="265" w:lineRule="auto"/>
        <w:tabs>
          <w:tab w:leader="none" w:pos="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thirteen and thirty-nine weeks ended September 26, 2021 include an accrual for Imposto sobre Serviços (“ISS”), a Brazilian municipal service tax, in connection with royalties from our Brazilian subsidiary over the past five years, including related penalties and interest, recorded within Other restaurant operating expense as a result of an unfavorable Brazilian Supreme Court ruling.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Segment adjusted restaurant-level operating margin non-GAAP reconciliations </w:t>
      </w:r>
      <w:r>
        <w:rPr>
          <w:rFonts w:ascii="Arial" w:cs="Arial" w:eastAsia="Arial" w:hAnsi="Arial"/>
          <w:sz w:val="19"/>
          <w:szCs w:val="19"/>
          <w:color w:val="auto"/>
        </w:rPr>
        <w:t>- The following tables reconcile segment Income from operations</w:t>
      </w:r>
      <w:r>
        <w:rPr>
          <w:rFonts w:ascii="Arial" w:cs="Arial" w:eastAsia="Arial" w:hAnsi="Arial"/>
          <w:sz w:val="19"/>
          <w:szCs w:val="19"/>
          <w:i w:val="1"/>
          <w:iCs w:val="1"/>
          <w:color w:val="auto"/>
        </w:rPr>
        <w:t xml:space="preserve"> </w:t>
      </w:r>
      <w:r>
        <w:rPr>
          <w:rFonts w:ascii="Arial" w:cs="Arial" w:eastAsia="Arial" w:hAnsi="Arial"/>
          <w:sz w:val="19"/>
          <w:szCs w:val="19"/>
          <w:color w:val="auto"/>
        </w:rPr>
        <w:t>and the corresponding margins to segment restaurant-level operating income and adjusted restaurant-level operating income and the corresponding margins for the periods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U.S.</w:t>
            </w:r>
          </w:p>
        </w:tc>
        <w:tc>
          <w:tcPr>
            <w:tcW w:w="120" w:type="dxa"/>
            <w:vAlign w:val="bottom"/>
          </w:tcPr>
          <w:p>
            <w:pPr>
              <w:spacing w:after="0"/>
              <w:rPr>
                <w:sz w:val="18"/>
                <w:szCs w:val="18"/>
                <w:color w:val="auto"/>
              </w:rPr>
            </w:pPr>
          </w:p>
        </w:tc>
        <w:tc>
          <w:tcPr>
            <w:tcW w:w="3300" w:type="dxa"/>
            <w:vAlign w:val="bottom"/>
            <w:gridSpan w:val="5"/>
          </w:tcPr>
          <w:p>
            <w:pPr>
              <w:ind w:left="66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8"/>
                <w:szCs w:val="18"/>
                <w:color w:val="auto"/>
              </w:rPr>
            </w:pPr>
          </w:p>
        </w:tc>
        <w:tc>
          <w:tcPr>
            <w:tcW w:w="3200" w:type="dxa"/>
            <w:vAlign w:val="bottom"/>
            <w:gridSpan w:val="4"/>
          </w:tcPr>
          <w:p>
            <w:pPr>
              <w:jc w:val="right"/>
              <w:ind w:right="583"/>
              <w:spacing w:after="0"/>
              <w:rPr>
                <w:sz w:val="20"/>
                <w:szCs w:val="20"/>
                <w:color w:val="auto"/>
              </w:rPr>
            </w:pPr>
            <w:r>
              <w:rPr>
                <w:rFonts w:ascii="Arial" w:cs="Arial" w:eastAsia="Arial" w:hAnsi="Arial"/>
                <w:sz w:val="14"/>
                <w:szCs w:val="14"/>
                <w:b w:val="1"/>
                <w:bCs w:val="1"/>
                <w:color w:val="auto"/>
              </w:rPr>
              <w:t>THIRTY-NINE WEEKS ENDED</w:t>
            </w:r>
          </w:p>
        </w:tc>
      </w:tr>
      <w:tr>
        <w:trPr>
          <w:trHeight w:val="199"/>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25, 2022</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93"/>
              </w:rPr>
              <w:t>SEPTEMBER 26, 2021</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25, 2022</w:t>
            </w: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93"/>
              </w:rPr>
              <w:t>SEPTEMBER 26, 2021</w:t>
            </w:r>
          </w:p>
        </w:tc>
      </w:tr>
      <w:tr>
        <w:trPr>
          <w:trHeight w:val="20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68,501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47,294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305,347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334,326</w:t>
            </w: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i w:val="1"/>
                <w:iCs w:val="1"/>
                <w:color w:val="auto"/>
              </w:rPr>
              <w:t>Operating income margin</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5.2 %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10.3 %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11.9 %</w:t>
            </w:r>
          </w:p>
        </w:tc>
      </w:tr>
      <w:tr>
        <w:trPr>
          <w:trHeight w:val="209"/>
        </w:trPr>
        <w:tc>
          <w:tcPr>
            <w:tcW w:w="4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Franchise and other revenues</w:t>
            </w: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11,842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13,943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37,314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03"/>
              <w:spacing w:after="0"/>
              <w:rPr>
                <w:sz w:val="20"/>
                <w:szCs w:val="20"/>
                <w:color w:val="auto"/>
              </w:rPr>
            </w:pPr>
            <w:r>
              <w:rPr>
                <w:rFonts w:ascii="Arial" w:cs="Arial" w:eastAsia="Arial" w:hAnsi="Arial"/>
                <w:sz w:val="15"/>
                <w:szCs w:val="15"/>
                <w:color w:val="auto"/>
              </w:rPr>
              <w:t>31,567</w:t>
            </w:r>
          </w:p>
        </w:tc>
      </w:tr>
      <w:tr>
        <w:trPr>
          <w:trHeight w:val="209"/>
        </w:trPr>
        <w:tc>
          <w:tcPr>
            <w:tcW w:w="4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Plus: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34,432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33,421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102,735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03"/>
              <w:spacing w:after="0"/>
              <w:rPr>
                <w:sz w:val="20"/>
                <w:szCs w:val="20"/>
                <w:color w:val="auto"/>
              </w:rPr>
            </w:pPr>
            <w:r>
              <w:rPr>
                <w:rFonts w:ascii="Arial" w:cs="Arial" w:eastAsia="Arial" w:hAnsi="Arial"/>
                <w:sz w:val="15"/>
                <w:szCs w:val="15"/>
                <w:color w:val="auto"/>
              </w:rPr>
              <w:t>100,645</w:t>
            </w:r>
          </w:p>
        </w:tc>
      </w:tr>
      <w:tr>
        <w:trPr>
          <w:trHeight w:val="209"/>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22,339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21,998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69,432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66,043</w:t>
            </w:r>
          </w:p>
        </w:tc>
      </w:tr>
      <w:tr>
        <w:trPr>
          <w:trHeight w:val="212"/>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2,068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1,539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2,317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8,678</w:t>
            </w:r>
          </w:p>
        </w:tc>
      </w:tr>
      <w:tr>
        <w:trPr>
          <w:trHeight w:val="22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Restaurant-level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115,498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90,309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442,517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478,125</w:t>
            </w:r>
          </w:p>
        </w:tc>
      </w:tr>
      <w:tr>
        <w:trPr>
          <w:trHeight w:val="189"/>
        </w:trPr>
        <w:tc>
          <w:tcPr>
            <w:tcW w:w="4520" w:type="dxa"/>
            <w:vAlign w:val="bottom"/>
          </w:tcPr>
          <w:p>
            <w:pPr>
              <w:ind w:left="120"/>
              <w:spacing w:after="0"/>
              <w:rPr>
                <w:sz w:val="20"/>
                <w:szCs w:val="20"/>
                <w:color w:val="auto"/>
              </w:rPr>
            </w:pPr>
            <w:r>
              <w:rPr>
                <w:rFonts w:ascii="Arial" w:cs="Arial" w:eastAsia="Arial" w:hAnsi="Arial"/>
                <w:sz w:val="15"/>
                <w:szCs w:val="15"/>
                <w:i w:val="1"/>
                <w:iCs w:val="1"/>
                <w:color w:val="auto"/>
              </w:rPr>
              <w:t>Restaurant-level operating margin</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10.0 %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15.2 %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17.1 %</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2"/>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Royalty termination expense (1)</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61,880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61,880</w:t>
            </w:r>
          </w:p>
        </w:tc>
      </w:tr>
      <w:tr>
        <w:trPr>
          <w:trHeight w:val="212"/>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restaurant-level operating income adjustments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61,880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61,880</w:t>
            </w:r>
          </w:p>
        </w:tc>
      </w:tr>
      <w:tr>
        <w:trPr>
          <w:trHeight w:val="212"/>
        </w:trPr>
        <w:tc>
          <w:tcPr>
            <w:tcW w:w="45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5"/>
                <w:szCs w:val="15"/>
                <w:color w:val="auto"/>
              </w:rPr>
              <w:t>Adjusted restaurant-level 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rPr>
              <w:t>115,498</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rPr>
              <w:t>152,189</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rPr>
              <w:t>442,517</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rPr>
              <w:t>540,005</w:t>
            </w:r>
          </w:p>
        </w:tc>
      </w:tr>
      <w:tr>
        <w:trPr>
          <w:trHeight w:val="206"/>
        </w:trPr>
        <w:tc>
          <w:tcPr>
            <w:tcW w:w="4520" w:type="dxa"/>
            <w:vAlign w:val="bottom"/>
            <w:shd w:val="clear" w:color="auto" w:fill="CCEEFF"/>
          </w:tcPr>
          <w:p>
            <w:pPr>
              <w:ind w:left="120"/>
              <w:spacing w:after="0"/>
              <w:rPr>
                <w:sz w:val="20"/>
                <w:szCs w:val="20"/>
                <w:color w:val="auto"/>
              </w:rPr>
            </w:pPr>
            <w:r>
              <w:rPr>
                <w:rFonts w:ascii="Arial" w:cs="Arial" w:eastAsia="Arial" w:hAnsi="Arial"/>
                <w:sz w:val="15"/>
                <w:szCs w:val="15"/>
                <w:i w:val="1"/>
                <w:iCs w:val="1"/>
                <w:color w:val="auto"/>
              </w:rPr>
              <w:t>Adjusted restaurant-level operating margin</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19.4 %</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460" w:hanging="457"/>
        <w:spacing w:after="0"/>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Payment to the Carrabba’s Founders in connection with the Royalty Termination Agreement.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International</w:t>
            </w:r>
          </w:p>
        </w:tc>
        <w:tc>
          <w:tcPr>
            <w:tcW w:w="120" w:type="dxa"/>
            <w:vAlign w:val="bottom"/>
          </w:tcPr>
          <w:p>
            <w:pPr>
              <w:spacing w:after="0"/>
              <w:rPr>
                <w:sz w:val="18"/>
                <w:szCs w:val="18"/>
                <w:color w:val="auto"/>
              </w:rPr>
            </w:pPr>
          </w:p>
        </w:tc>
        <w:tc>
          <w:tcPr>
            <w:tcW w:w="3300" w:type="dxa"/>
            <w:vAlign w:val="bottom"/>
            <w:gridSpan w:val="5"/>
          </w:tcPr>
          <w:p>
            <w:pPr>
              <w:ind w:left="66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8"/>
                <w:szCs w:val="18"/>
                <w:color w:val="auto"/>
              </w:rPr>
            </w:pPr>
          </w:p>
        </w:tc>
        <w:tc>
          <w:tcPr>
            <w:tcW w:w="3200" w:type="dxa"/>
            <w:vAlign w:val="bottom"/>
            <w:gridSpan w:val="4"/>
          </w:tcPr>
          <w:p>
            <w:pPr>
              <w:jc w:val="right"/>
              <w:ind w:right="583"/>
              <w:spacing w:after="0"/>
              <w:rPr>
                <w:sz w:val="20"/>
                <w:szCs w:val="20"/>
                <w:color w:val="auto"/>
              </w:rPr>
            </w:pPr>
            <w:r>
              <w:rPr>
                <w:rFonts w:ascii="Arial" w:cs="Arial" w:eastAsia="Arial" w:hAnsi="Arial"/>
                <w:sz w:val="14"/>
                <w:szCs w:val="14"/>
                <w:b w:val="1"/>
                <w:bCs w:val="1"/>
                <w:color w:val="auto"/>
              </w:rPr>
              <w:t>THIRTY-NINE WEEKS ENDED</w:t>
            </w:r>
          </w:p>
        </w:tc>
      </w:tr>
      <w:tr>
        <w:trPr>
          <w:trHeight w:val="199"/>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25, 2022</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93"/>
              </w:rPr>
              <w:t>SEPTEMBER 26, 2021</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25, 2022</w:t>
            </w: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93"/>
              </w:rPr>
              <w:t>SEPTEMBER 26, 2021</w:t>
            </w:r>
          </w:p>
        </w:tc>
      </w:tr>
      <w:tr>
        <w:trPr>
          <w:trHeight w:val="20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15,849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1,412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38,859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7,419</w:t>
            </w: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i w:val="1"/>
                <w:iCs w:val="1"/>
                <w:color w:val="auto"/>
              </w:rPr>
              <w:t>Operating income margin</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1.4 %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10.7 %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2.9 %</w:t>
            </w:r>
          </w:p>
        </w:tc>
      </w:tr>
      <w:tr>
        <w:trPr>
          <w:trHeight w:val="209"/>
        </w:trPr>
        <w:tc>
          <w:tcPr>
            <w:tcW w:w="4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Franchise and other revenues</w:t>
            </w: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3,546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63"/>
              <w:spacing w:after="0"/>
              <w:rPr>
                <w:sz w:val="20"/>
                <w:szCs w:val="20"/>
                <w:color w:val="auto"/>
              </w:rPr>
            </w:pPr>
            <w:r>
              <w:rPr>
                <w:rFonts w:ascii="Arial" w:cs="Arial" w:eastAsia="Arial" w:hAnsi="Arial"/>
                <w:sz w:val="15"/>
                <w:szCs w:val="15"/>
                <w:color w:val="auto"/>
              </w:rPr>
              <w:t>(198)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11,278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03"/>
              <w:spacing w:after="0"/>
              <w:rPr>
                <w:sz w:val="20"/>
                <w:szCs w:val="20"/>
                <w:color w:val="auto"/>
              </w:rPr>
            </w:pPr>
            <w:r>
              <w:rPr>
                <w:rFonts w:ascii="Arial" w:cs="Arial" w:eastAsia="Arial" w:hAnsi="Arial"/>
                <w:sz w:val="15"/>
                <w:szCs w:val="15"/>
                <w:color w:val="auto"/>
              </w:rPr>
              <w:t>12,339</w:t>
            </w:r>
          </w:p>
        </w:tc>
      </w:tr>
      <w:tr>
        <w:trPr>
          <w:trHeight w:val="209"/>
        </w:trPr>
        <w:tc>
          <w:tcPr>
            <w:tcW w:w="4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Plus: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3"/>
        </w:trPr>
        <w:tc>
          <w:tcPr>
            <w:tcW w:w="452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2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color w:val="auto"/>
              </w:rPr>
              <w:t>5,882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5,843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17,438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03"/>
              <w:spacing w:after="0"/>
              <w:rPr>
                <w:sz w:val="20"/>
                <w:szCs w:val="20"/>
                <w:color w:val="auto"/>
              </w:rPr>
            </w:pPr>
            <w:r>
              <w:rPr>
                <w:rFonts w:ascii="Arial" w:cs="Arial" w:eastAsia="Arial" w:hAnsi="Arial"/>
                <w:sz w:val="15"/>
                <w:szCs w:val="15"/>
                <w:color w:val="auto"/>
              </w:rPr>
              <w:t>17,128</w:t>
            </w:r>
          </w:p>
        </w:tc>
      </w:tr>
      <w:tr>
        <w:trPr>
          <w:trHeight w:val="209"/>
        </w:trPr>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5,060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16,087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13,781</w:t>
            </w:r>
          </w:p>
        </w:tc>
      </w:tr>
      <w:tr>
        <w:trPr>
          <w:trHeight w:val="212"/>
        </w:trPr>
        <w:tc>
          <w:tcPr>
            <w:tcW w:w="4520" w:type="dxa"/>
            <w:vAlign w:val="bottom"/>
          </w:tcPr>
          <w:p>
            <w:pPr>
              <w:ind w:left="140"/>
              <w:spacing w:after="0"/>
              <w:rPr>
                <w:sz w:val="20"/>
                <w:szCs w:val="20"/>
                <w:color w:val="auto"/>
              </w:rPr>
            </w:pPr>
            <w:r>
              <w:rPr>
                <w:rFonts w:ascii="Arial" w:cs="Arial" w:eastAsia="Arial" w:hAnsi="Arial"/>
                <w:sz w:val="15"/>
                <w:szCs w:val="15"/>
                <w:color w:val="auto"/>
              </w:rPr>
              <w:t>Provision for impaired assets and restaurant closings</w:t>
            </w:r>
          </w:p>
        </w:tc>
        <w:tc>
          <w:tcPr>
            <w:tcW w:w="12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80" w:type="dxa"/>
            <w:vAlign w:val="bottom"/>
          </w:tcPr>
          <w:p>
            <w:pPr>
              <w:jc w:val="right"/>
              <w:ind w:right="103"/>
              <w:spacing w:after="0"/>
              <w:rPr>
                <w:sz w:val="20"/>
                <w:szCs w:val="20"/>
                <w:color w:val="auto"/>
              </w:rPr>
            </w:pPr>
            <w:r>
              <w:rPr>
                <w:rFonts w:ascii="Arial" w:cs="Arial" w:eastAsia="Arial" w:hAnsi="Arial"/>
                <w:sz w:val="15"/>
                <w:szCs w:val="15"/>
                <w:color w:val="auto"/>
              </w:rPr>
              <w:t>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1,775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03"/>
              <w:spacing w:after="0"/>
              <w:rPr>
                <w:sz w:val="20"/>
                <w:szCs w:val="20"/>
                <w:color w:val="auto"/>
              </w:rPr>
            </w:pPr>
            <w:r>
              <w:rPr>
                <w:rFonts w:ascii="Arial" w:cs="Arial" w:eastAsia="Arial" w:hAnsi="Arial"/>
                <w:sz w:val="15"/>
                <w:szCs w:val="15"/>
                <w:color w:val="auto"/>
              </w:rPr>
              <w:t>27</w:t>
            </w:r>
          </w:p>
        </w:tc>
      </w:tr>
      <w:tr>
        <w:trPr>
          <w:trHeight w:val="226"/>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Restaurant-level operating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24,013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12,541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62,881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26,016</w:t>
            </w:r>
          </w:p>
        </w:tc>
      </w:tr>
      <w:tr>
        <w:trPr>
          <w:trHeight w:val="189"/>
        </w:trPr>
        <w:tc>
          <w:tcPr>
            <w:tcW w:w="4520" w:type="dxa"/>
            <w:vAlign w:val="bottom"/>
          </w:tcPr>
          <w:p>
            <w:pPr>
              <w:ind w:left="120"/>
              <w:spacing w:after="0"/>
              <w:rPr>
                <w:sz w:val="20"/>
                <w:szCs w:val="20"/>
                <w:color w:val="auto"/>
              </w:rPr>
            </w:pPr>
            <w:r>
              <w:rPr>
                <w:rFonts w:ascii="Arial" w:cs="Arial" w:eastAsia="Arial" w:hAnsi="Arial"/>
                <w:sz w:val="15"/>
                <w:szCs w:val="15"/>
                <w:i w:val="1"/>
                <w:iCs w:val="1"/>
                <w:color w:val="auto"/>
              </w:rPr>
              <w:t>Restaurant-level operating margin</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18.5 %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12.8 %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17.8 %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10.7 %</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2"/>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Legal and other matters (1)</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2,761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2,761</w:t>
            </w:r>
          </w:p>
        </w:tc>
      </w:tr>
      <w:tr>
        <w:trPr>
          <w:trHeight w:val="212"/>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restaurant-level operating income adjustments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2,761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2,761</w:t>
            </w:r>
          </w:p>
        </w:tc>
      </w:tr>
      <w:tr>
        <w:trPr>
          <w:trHeight w:val="212"/>
        </w:trPr>
        <w:tc>
          <w:tcPr>
            <w:tcW w:w="45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5"/>
                <w:szCs w:val="15"/>
                <w:color w:val="auto"/>
              </w:rPr>
              <w:t>Adjusted restaurant-level 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rPr>
              <w:t>24,013</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rPr>
              <w:t>15,302</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rPr>
              <w:t>62,881</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rPr>
              <w:t>28,777</w:t>
            </w:r>
          </w:p>
        </w:tc>
      </w:tr>
      <w:tr>
        <w:trPr>
          <w:trHeight w:val="206"/>
        </w:trPr>
        <w:tc>
          <w:tcPr>
            <w:tcW w:w="4520" w:type="dxa"/>
            <w:vAlign w:val="bottom"/>
            <w:shd w:val="clear" w:color="auto" w:fill="CCEEFF"/>
          </w:tcPr>
          <w:p>
            <w:pPr>
              <w:ind w:left="120"/>
              <w:spacing w:after="0"/>
              <w:rPr>
                <w:sz w:val="20"/>
                <w:szCs w:val="20"/>
                <w:color w:val="auto"/>
              </w:rPr>
            </w:pPr>
            <w:r>
              <w:rPr>
                <w:rFonts w:ascii="Arial" w:cs="Arial" w:eastAsia="Arial" w:hAnsi="Arial"/>
                <w:sz w:val="15"/>
                <w:szCs w:val="15"/>
                <w:i w:val="1"/>
                <w:iCs w:val="1"/>
                <w:color w:val="auto"/>
              </w:rPr>
              <w:t>Adjusted restaurant-level operating margin</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11.9 %</w:t>
            </w:r>
          </w:p>
        </w:tc>
      </w:tr>
      <w:tr>
        <w:trPr>
          <w:trHeight w:val="265"/>
        </w:trPr>
        <w:tc>
          <w:tcPr>
            <w:tcW w:w="4520" w:type="dxa"/>
            <w:vAlign w:val="bottom"/>
          </w:tcPr>
          <w:p>
            <w:pPr>
              <w:spacing w:after="0"/>
              <w:rPr>
                <w:sz w:val="20"/>
                <w:szCs w:val="20"/>
                <w:color w:val="auto"/>
              </w:rPr>
            </w:pPr>
            <w:r>
              <w:rPr>
                <w:rFonts w:ascii="Arial" w:cs="Arial" w:eastAsia="Arial" w:hAnsi="Arial"/>
                <w:sz w:val="15"/>
                <w:szCs w:val="15"/>
                <w:color w:val="auto"/>
              </w:rPr>
              <w:t>________________</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r>
    </w:tbl>
    <w:p>
      <w:pPr>
        <w:jc w:val="both"/>
        <w:ind w:left="460" w:hanging="457"/>
        <w:spacing w:after="0" w:line="265"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thirteen and thirty-nine weeks ended September 26, 2021 include an accrual for ISS, a Brazilian municipal service tax, in connection with royalties from our Brazilian subsidiary over the past five years, including related penalties and interest, recorded within Other restaurant operating expense as a result of an unfavorable Brazilian Supreme Court ruling.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spacing w:after="0" w:line="278" w:lineRule="auto"/>
        <w:rPr>
          <w:sz w:val="20"/>
          <w:szCs w:val="20"/>
          <w:color w:val="auto"/>
        </w:rPr>
      </w:pPr>
      <w:r>
        <w:rPr>
          <w:rFonts w:ascii="Arial" w:cs="Arial" w:eastAsia="Arial" w:hAnsi="Arial"/>
          <w:sz w:val="19"/>
          <w:szCs w:val="19"/>
          <w:i w:val="1"/>
          <w:iCs w:val="1"/>
          <w:color w:val="auto"/>
        </w:rPr>
        <w:t xml:space="preserve">Adjusted restaurant-level operating margin non-GAAP reconciliations (continued) - </w:t>
      </w:r>
      <w:r>
        <w:rPr>
          <w:rFonts w:ascii="Arial" w:cs="Arial" w:eastAsia="Arial" w:hAnsi="Arial"/>
          <w:sz w:val="19"/>
          <w:szCs w:val="19"/>
          <w:color w:val="auto"/>
        </w:rPr>
        <w:t>The following tables present the percentages of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operating cost financial statement line items in relation to Restaurant sales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9"/>
              </w:rPr>
              <w:t>THIRTEEN WEEKS ENDED</w:t>
            </w:r>
          </w:p>
        </w:tc>
        <w:tc>
          <w:tcPr>
            <w:tcW w:w="1640" w:type="dxa"/>
            <w:vAlign w:val="bottom"/>
          </w:tcPr>
          <w:p>
            <w:pPr>
              <w:spacing w:after="0"/>
              <w:rPr>
                <w:sz w:val="15"/>
                <w:szCs w:val="15"/>
                <w:color w:val="auto"/>
              </w:rPr>
            </w:pPr>
          </w:p>
        </w:tc>
      </w:tr>
      <w:tr>
        <w:trPr>
          <w:trHeight w:val="30"/>
        </w:trPr>
        <w:tc>
          <w:tcPr>
            <w:tcW w:w="4180" w:type="dxa"/>
            <w:vAlign w:val="bottom"/>
          </w:tcPr>
          <w:p>
            <w:pPr>
              <w:spacing w:after="0"/>
              <w:rPr>
                <w:sz w:val="2"/>
                <w:szCs w:val="2"/>
                <w:color w:val="auto"/>
              </w:rPr>
            </w:pPr>
          </w:p>
        </w:tc>
        <w:tc>
          <w:tcPr>
            <w:tcW w:w="3580" w:type="dxa"/>
            <w:vAlign w:val="bottom"/>
            <w:tcBorders>
              <w:bottom w:val="single" w:sz="8" w:color="auto"/>
            </w:tcBorders>
            <w:gridSpan w:val="4"/>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r>
      <w:tr>
        <w:trPr>
          <w:trHeight w:val="199"/>
        </w:trPr>
        <w:tc>
          <w:tcPr>
            <w:tcW w:w="4180" w:type="dxa"/>
            <w:vAlign w:val="bottom"/>
          </w:tcPr>
          <w:p>
            <w:pPr>
              <w:spacing w:after="0"/>
              <w:rPr>
                <w:sz w:val="17"/>
                <w:szCs w:val="17"/>
                <w:color w:val="auto"/>
              </w:rPr>
            </w:pPr>
          </w:p>
        </w:tc>
        <w:tc>
          <w:tcPr>
            <w:tcW w:w="3580" w:type="dxa"/>
            <w:vAlign w:val="bottom"/>
            <w:gridSpan w:val="4"/>
          </w:tcPr>
          <w:p>
            <w:pPr>
              <w:ind w:left="1060"/>
              <w:spacing w:after="0"/>
              <w:rPr>
                <w:sz w:val="20"/>
                <w:szCs w:val="20"/>
                <w:color w:val="auto"/>
              </w:rPr>
            </w:pPr>
            <w:r>
              <w:rPr>
                <w:rFonts w:ascii="Arial" w:cs="Arial" w:eastAsia="Arial" w:hAnsi="Arial"/>
                <w:sz w:val="14"/>
                <w:szCs w:val="14"/>
                <w:b w:val="1"/>
                <w:bCs w:val="1"/>
                <w:color w:val="auto"/>
              </w:rPr>
              <w:t>SEPTEMBER 25, 2022</w:t>
            </w:r>
          </w:p>
        </w:tc>
        <w:tc>
          <w:tcPr>
            <w:tcW w:w="3480" w:type="dxa"/>
            <w:vAlign w:val="bottom"/>
            <w:gridSpan w:val="3"/>
          </w:tcPr>
          <w:p>
            <w:pPr>
              <w:jc w:val="right"/>
              <w:ind w:right="984"/>
              <w:spacing w:after="0"/>
              <w:rPr>
                <w:sz w:val="20"/>
                <w:szCs w:val="20"/>
                <w:color w:val="auto"/>
              </w:rPr>
            </w:pPr>
            <w:r>
              <w:rPr>
                <w:rFonts w:ascii="Arial" w:cs="Arial" w:eastAsia="Arial" w:hAnsi="Arial"/>
                <w:sz w:val="14"/>
                <w:szCs w:val="14"/>
                <w:b w:val="1"/>
                <w:bCs w:val="1"/>
                <w:color w:val="auto"/>
              </w:rPr>
              <w:t>SEPTEMBER 26, 2021</w:t>
            </w:r>
          </w:p>
        </w:tc>
      </w:tr>
      <w:tr>
        <w:trPr>
          <w:trHeight w:val="206"/>
        </w:trPr>
        <w:tc>
          <w:tcPr>
            <w:tcW w:w="4180" w:type="dxa"/>
            <w:vAlign w:val="bottom"/>
          </w:tcPr>
          <w:p>
            <w:pPr>
              <w:spacing w:after="0"/>
              <w:rPr>
                <w:sz w:val="17"/>
                <w:szCs w:val="17"/>
                <w:color w:val="auto"/>
              </w:rPr>
            </w:pPr>
          </w:p>
        </w:tc>
        <w:tc>
          <w:tcPr>
            <w:tcW w:w="1860" w:type="dxa"/>
            <w:vAlign w:val="bottom"/>
            <w:tcBorders>
              <w:top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REPORTED</w:t>
            </w:r>
          </w:p>
        </w:tc>
        <w:tc>
          <w:tcPr>
            <w:tcW w:w="1600" w:type="dxa"/>
            <w:vAlign w:val="bottom"/>
            <w:tcBorders>
              <w:top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7"/>
                <w:szCs w:val="17"/>
                <w:color w:val="auto"/>
              </w:rPr>
            </w:pPr>
          </w:p>
        </w:tc>
        <w:tc>
          <w:tcPr>
            <w:tcW w:w="1840" w:type="dxa"/>
            <w:vAlign w:val="bottom"/>
            <w:tcBorders>
              <w:top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REPORTED</w:t>
            </w:r>
          </w:p>
        </w:tc>
        <w:tc>
          <w:tcPr>
            <w:tcW w:w="164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ADJUSTED (1)</w:t>
            </w:r>
          </w:p>
        </w:tc>
      </w:tr>
      <w:tr>
        <w:trPr>
          <w:trHeight w:val="199"/>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 sales</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06"/>
        </w:trPr>
        <w:tc>
          <w:tcPr>
            <w:tcW w:w="4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6"/>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32.0 %</w:t>
            </w: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30.5 %</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30.5 %</w:t>
            </w:r>
          </w:p>
        </w:tc>
      </w:tr>
      <w:tr>
        <w:trPr>
          <w:trHeight w:val="203"/>
        </w:trPr>
        <w:tc>
          <w:tcPr>
            <w:tcW w:w="4180" w:type="dxa"/>
            <w:vAlign w:val="bottom"/>
          </w:tcPr>
          <w:p>
            <w:pPr>
              <w:ind w:left="20"/>
              <w:spacing w:after="0"/>
              <w:rPr>
                <w:sz w:val="20"/>
                <w:szCs w:val="20"/>
                <w:color w:val="auto"/>
              </w:rPr>
            </w:pPr>
            <w:r>
              <w:rPr>
                <w:rFonts w:ascii="Arial" w:cs="Arial" w:eastAsia="Arial" w:hAnsi="Arial"/>
                <w:sz w:val="15"/>
                <w:szCs w:val="15"/>
                <w:color w:val="auto"/>
              </w:rPr>
              <w:t>Labor and other related</w:t>
            </w:r>
          </w:p>
        </w:tc>
        <w:tc>
          <w:tcPr>
            <w:tcW w:w="1760" w:type="dxa"/>
            <w:vAlign w:val="bottom"/>
          </w:tcPr>
          <w:p>
            <w:pPr>
              <w:jc w:val="right"/>
              <w:spacing w:after="0"/>
              <w:rPr>
                <w:sz w:val="20"/>
                <w:szCs w:val="20"/>
                <w:color w:val="auto"/>
              </w:rPr>
            </w:pPr>
            <w:r>
              <w:rPr>
                <w:rFonts w:ascii="Arial" w:cs="Arial" w:eastAsia="Arial" w:hAnsi="Arial"/>
                <w:sz w:val="15"/>
                <w:szCs w:val="15"/>
                <w:color w:val="auto"/>
              </w:rPr>
              <w:t>29.1 %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29.1 %</w:t>
            </w: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29.1 %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29.1 %</w:t>
            </w: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25.8 %</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23.6 %</w:t>
            </w:r>
          </w:p>
        </w:tc>
      </w:tr>
      <w:tr>
        <w:trPr>
          <w:trHeight w:val="206"/>
        </w:trPr>
        <w:tc>
          <w:tcPr>
            <w:tcW w:w="4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6"/>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Restaurant-level operating margin</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13.1 %</w:t>
            </w: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10.3 %</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16.8 %</w:t>
            </w:r>
          </w:p>
        </w:tc>
      </w:tr>
      <w:tr>
        <w:trPr>
          <w:trHeight w:val="375"/>
        </w:trPr>
        <w:tc>
          <w:tcPr>
            <w:tcW w:w="4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THIRTY-NINE WEEKS ENDED</w:t>
            </w:r>
          </w:p>
        </w:tc>
        <w:tc>
          <w:tcPr>
            <w:tcW w:w="1640" w:type="dxa"/>
            <w:vAlign w:val="bottom"/>
          </w:tcPr>
          <w:p>
            <w:pPr>
              <w:spacing w:after="0"/>
              <w:rPr>
                <w:sz w:val="24"/>
                <w:szCs w:val="24"/>
                <w:color w:val="auto"/>
              </w:rPr>
            </w:pPr>
          </w:p>
        </w:tc>
      </w:tr>
      <w:tr>
        <w:trPr>
          <w:trHeight w:val="30"/>
        </w:trPr>
        <w:tc>
          <w:tcPr>
            <w:tcW w:w="4180" w:type="dxa"/>
            <w:vAlign w:val="bottom"/>
          </w:tcPr>
          <w:p>
            <w:pPr>
              <w:spacing w:after="0"/>
              <w:rPr>
                <w:sz w:val="2"/>
                <w:szCs w:val="2"/>
                <w:color w:val="auto"/>
              </w:rPr>
            </w:pPr>
          </w:p>
        </w:tc>
        <w:tc>
          <w:tcPr>
            <w:tcW w:w="3580" w:type="dxa"/>
            <w:vAlign w:val="bottom"/>
            <w:tcBorders>
              <w:bottom w:val="single" w:sz="8" w:color="auto"/>
            </w:tcBorders>
            <w:gridSpan w:val="4"/>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r>
      <w:tr>
        <w:trPr>
          <w:trHeight w:val="199"/>
        </w:trPr>
        <w:tc>
          <w:tcPr>
            <w:tcW w:w="4180" w:type="dxa"/>
            <w:vAlign w:val="bottom"/>
          </w:tcPr>
          <w:p>
            <w:pPr>
              <w:spacing w:after="0"/>
              <w:rPr>
                <w:sz w:val="17"/>
                <w:szCs w:val="17"/>
                <w:color w:val="auto"/>
              </w:rPr>
            </w:pPr>
          </w:p>
        </w:tc>
        <w:tc>
          <w:tcPr>
            <w:tcW w:w="3580" w:type="dxa"/>
            <w:vAlign w:val="bottom"/>
            <w:gridSpan w:val="4"/>
          </w:tcPr>
          <w:p>
            <w:pPr>
              <w:ind w:left="1060"/>
              <w:spacing w:after="0"/>
              <w:rPr>
                <w:sz w:val="20"/>
                <w:szCs w:val="20"/>
                <w:color w:val="auto"/>
              </w:rPr>
            </w:pPr>
            <w:r>
              <w:rPr>
                <w:rFonts w:ascii="Arial" w:cs="Arial" w:eastAsia="Arial" w:hAnsi="Arial"/>
                <w:sz w:val="14"/>
                <w:szCs w:val="14"/>
                <w:b w:val="1"/>
                <w:bCs w:val="1"/>
                <w:color w:val="auto"/>
              </w:rPr>
              <w:t>SEPTEMBER 25, 2022</w:t>
            </w:r>
          </w:p>
        </w:tc>
        <w:tc>
          <w:tcPr>
            <w:tcW w:w="3480" w:type="dxa"/>
            <w:vAlign w:val="bottom"/>
            <w:gridSpan w:val="3"/>
          </w:tcPr>
          <w:p>
            <w:pPr>
              <w:jc w:val="right"/>
              <w:ind w:right="984"/>
              <w:spacing w:after="0"/>
              <w:rPr>
                <w:sz w:val="20"/>
                <w:szCs w:val="20"/>
                <w:color w:val="auto"/>
              </w:rPr>
            </w:pPr>
            <w:r>
              <w:rPr>
                <w:rFonts w:ascii="Arial" w:cs="Arial" w:eastAsia="Arial" w:hAnsi="Arial"/>
                <w:sz w:val="14"/>
                <w:szCs w:val="14"/>
                <w:b w:val="1"/>
                <w:bCs w:val="1"/>
                <w:color w:val="auto"/>
              </w:rPr>
              <w:t>SEPTEMBER 26, 2021</w:t>
            </w:r>
          </w:p>
        </w:tc>
      </w:tr>
      <w:tr>
        <w:trPr>
          <w:trHeight w:val="206"/>
        </w:trPr>
        <w:tc>
          <w:tcPr>
            <w:tcW w:w="4180" w:type="dxa"/>
            <w:vAlign w:val="bottom"/>
          </w:tcPr>
          <w:p>
            <w:pPr>
              <w:spacing w:after="0"/>
              <w:rPr>
                <w:sz w:val="17"/>
                <w:szCs w:val="17"/>
                <w:color w:val="auto"/>
              </w:rPr>
            </w:pPr>
          </w:p>
        </w:tc>
        <w:tc>
          <w:tcPr>
            <w:tcW w:w="1860" w:type="dxa"/>
            <w:vAlign w:val="bottom"/>
            <w:tcBorders>
              <w:top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REPORTED</w:t>
            </w:r>
          </w:p>
        </w:tc>
        <w:tc>
          <w:tcPr>
            <w:tcW w:w="1600" w:type="dxa"/>
            <w:vAlign w:val="bottom"/>
            <w:tcBorders>
              <w:top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7"/>
                <w:szCs w:val="17"/>
                <w:color w:val="auto"/>
              </w:rPr>
            </w:pPr>
          </w:p>
        </w:tc>
        <w:tc>
          <w:tcPr>
            <w:tcW w:w="1840" w:type="dxa"/>
            <w:vAlign w:val="bottom"/>
            <w:tcBorders>
              <w:top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REPORTED</w:t>
            </w:r>
          </w:p>
        </w:tc>
        <w:tc>
          <w:tcPr>
            <w:tcW w:w="164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ADJUSTED (1)</w:t>
            </w:r>
          </w:p>
        </w:tc>
      </w:tr>
      <w:tr>
        <w:trPr>
          <w:trHeight w:val="199"/>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Restaurant sales</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45"/>
        </w:trPr>
        <w:tc>
          <w:tcPr>
            <w:tcW w:w="4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06"/>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Food and beverage costs</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32.3 %</w:t>
            </w: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30.0 %</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30.0 %</w:t>
            </w:r>
          </w:p>
        </w:tc>
      </w:tr>
      <w:tr>
        <w:trPr>
          <w:trHeight w:val="203"/>
        </w:trPr>
        <w:tc>
          <w:tcPr>
            <w:tcW w:w="4180" w:type="dxa"/>
            <w:vAlign w:val="bottom"/>
          </w:tcPr>
          <w:p>
            <w:pPr>
              <w:ind w:left="20"/>
              <w:spacing w:after="0"/>
              <w:rPr>
                <w:sz w:val="20"/>
                <w:szCs w:val="20"/>
                <w:color w:val="auto"/>
              </w:rPr>
            </w:pPr>
            <w:r>
              <w:rPr>
                <w:rFonts w:ascii="Arial" w:cs="Arial" w:eastAsia="Arial" w:hAnsi="Arial"/>
                <w:sz w:val="15"/>
                <w:szCs w:val="15"/>
                <w:color w:val="auto"/>
              </w:rPr>
              <w:t>Labor and other related</w:t>
            </w:r>
          </w:p>
        </w:tc>
        <w:tc>
          <w:tcPr>
            <w:tcW w:w="1760" w:type="dxa"/>
            <w:vAlign w:val="bottom"/>
          </w:tcPr>
          <w:p>
            <w:pPr>
              <w:jc w:val="right"/>
              <w:spacing w:after="0"/>
              <w:rPr>
                <w:sz w:val="20"/>
                <w:szCs w:val="20"/>
                <w:color w:val="auto"/>
              </w:rPr>
            </w:pPr>
            <w:r>
              <w:rPr>
                <w:rFonts w:ascii="Arial" w:cs="Arial" w:eastAsia="Arial" w:hAnsi="Arial"/>
                <w:sz w:val="15"/>
                <w:szCs w:val="15"/>
                <w:color w:val="auto"/>
              </w:rPr>
              <w:t>28.2 %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28.2 %</w:t>
            </w: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28.4 %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28.4 %</w:t>
            </w: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restaurant operating</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24.2 %</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23.0 %</w:t>
            </w:r>
          </w:p>
        </w:tc>
      </w:tr>
      <w:tr>
        <w:trPr>
          <w:trHeight w:val="245"/>
        </w:trPr>
        <w:tc>
          <w:tcPr>
            <w:tcW w:w="4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06"/>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Restaurant-level operating margin</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15.3 %</w:t>
            </w: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16.5 %</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18.6 %</w:t>
            </w:r>
          </w:p>
        </w:tc>
      </w:tr>
      <w:tr>
        <w:trPr>
          <w:trHeight w:val="275"/>
        </w:trPr>
        <w:tc>
          <w:tcPr>
            <w:tcW w:w="4180" w:type="dxa"/>
            <w:vAlign w:val="bottom"/>
          </w:tcPr>
          <w:p>
            <w:pPr>
              <w:spacing w:after="0"/>
              <w:rPr>
                <w:sz w:val="20"/>
                <w:szCs w:val="20"/>
                <w:color w:val="auto"/>
              </w:rPr>
            </w:pPr>
            <w:r>
              <w:rPr>
                <w:rFonts w:ascii="Arial" w:cs="Arial" w:eastAsia="Arial" w:hAnsi="Arial"/>
                <w:sz w:val="15"/>
                <w:szCs w:val="15"/>
                <w:color w:val="auto"/>
              </w:rPr>
              <w:t>_________________</w:t>
            </w: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r>
    </w:tbl>
    <w:p>
      <w:pPr>
        <w:jc w:val="both"/>
        <w:ind w:left="620" w:hanging="617"/>
        <w:spacing w:after="0" w:line="268" w:lineRule="auto"/>
        <w:tabs>
          <w:tab w:leader="none" w:pos="6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 xml:space="preserve">See the </w:t>
      </w:r>
      <w:r>
        <w:rPr>
          <w:rFonts w:ascii="Arial" w:cs="Arial" w:eastAsia="Arial" w:hAnsi="Arial"/>
          <w:sz w:val="15"/>
          <w:szCs w:val="15"/>
          <w:i w:val="1"/>
          <w:iCs w:val="1"/>
          <w:color w:val="auto"/>
        </w:rPr>
        <w:t>Consolidated restaurant-level operating income and adjusted restaurant-level operating income and corresponding margins non-GAAP reconciliations</w:t>
      </w:r>
      <w:r>
        <w:rPr>
          <w:rFonts w:ascii="Arial" w:cs="Arial" w:eastAsia="Arial" w:hAnsi="Arial"/>
          <w:sz w:val="15"/>
          <w:szCs w:val="15"/>
          <w:color w:val="auto"/>
        </w:rPr>
        <w:t xml:space="preserve"> table above for details regarding the restaurant-level operating margin adjustments. All restaurant-level operating margin adjustments for the periods presented were recorded within Other restaurant operating expense.</w:t>
      </w:r>
    </w:p>
    <w:p>
      <w:pPr>
        <w:spacing w:after="0" w:line="188" w:lineRule="exact"/>
        <w:rPr>
          <w:sz w:val="20"/>
          <w:szCs w:val="20"/>
          <w:color w:val="auto"/>
        </w:rPr>
      </w:pPr>
    </w:p>
    <w:p>
      <w:pPr>
        <w:spacing w:after="0" w:line="278" w:lineRule="auto"/>
        <w:rPr>
          <w:sz w:val="20"/>
          <w:szCs w:val="20"/>
          <w:color w:val="auto"/>
        </w:rPr>
      </w:pPr>
      <w:r>
        <w:rPr>
          <w:rFonts w:ascii="Arial" w:cs="Arial" w:eastAsia="Arial" w:hAnsi="Arial"/>
          <w:sz w:val="19"/>
          <w:szCs w:val="19"/>
          <w:i w:val="1"/>
          <w:iCs w:val="1"/>
          <w:color w:val="auto"/>
        </w:rPr>
        <w:t xml:space="preserve">Adjusted income from operations non-GAAP reconciliations </w:t>
      </w:r>
      <w:r>
        <w:rPr>
          <w:rFonts w:ascii="Arial" w:cs="Arial" w:eastAsia="Arial" w:hAnsi="Arial"/>
          <w:sz w:val="19"/>
          <w:szCs w:val="19"/>
          <w:color w:val="auto"/>
        </w:rPr>
        <w:t>- The following table reconciles Income from operations and the corresponding</w:t>
      </w:r>
      <w:r>
        <w:rPr>
          <w:rFonts w:ascii="Arial" w:cs="Arial" w:eastAsia="Arial" w:hAnsi="Arial"/>
          <w:sz w:val="19"/>
          <w:szCs w:val="19"/>
          <w:i w:val="1"/>
          <w:iCs w:val="1"/>
          <w:color w:val="auto"/>
        </w:rPr>
        <w:t xml:space="preserve"> </w:t>
      </w:r>
      <w:r>
        <w:rPr>
          <w:rFonts w:ascii="Arial" w:cs="Arial" w:eastAsia="Arial" w:hAnsi="Arial"/>
          <w:sz w:val="19"/>
          <w:szCs w:val="19"/>
          <w:color w:val="auto"/>
        </w:rPr>
        <w:t>margins to adjusted income from operations and the corresponding margins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gridSpan w:val="5"/>
          </w:tcPr>
          <w:p>
            <w:pPr>
              <w:ind w:left="660"/>
              <w:spacing w:after="0"/>
              <w:rPr>
                <w:sz w:val="20"/>
                <w:szCs w:val="20"/>
                <w:color w:val="auto"/>
              </w:rPr>
            </w:pPr>
            <w:r>
              <w:rPr>
                <w:rFonts w:ascii="Arial" w:cs="Arial" w:eastAsia="Arial" w:hAnsi="Arial"/>
                <w:sz w:val="14"/>
                <w:szCs w:val="14"/>
                <w:b w:val="1"/>
                <w:bCs w:val="1"/>
                <w:color w:val="auto"/>
              </w:rPr>
              <w:t>THIRTEEN WEEKS ENDED</w:t>
            </w:r>
          </w:p>
        </w:tc>
        <w:tc>
          <w:tcPr>
            <w:tcW w:w="380" w:type="dxa"/>
            <w:vAlign w:val="bottom"/>
          </w:tcPr>
          <w:p>
            <w:pPr>
              <w:spacing w:after="0"/>
              <w:rPr>
                <w:sz w:val="15"/>
                <w:szCs w:val="15"/>
                <w:color w:val="auto"/>
              </w:rPr>
            </w:pPr>
          </w:p>
        </w:tc>
        <w:tc>
          <w:tcPr>
            <w:tcW w:w="2900" w:type="dxa"/>
            <w:vAlign w:val="bottom"/>
            <w:gridSpan w:val="4"/>
          </w:tcPr>
          <w:p>
            <w:pPr>
              <w:jc w:val="right"/>
              <w:ind w:right="584"/>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560" w:type="dxa"/>
            <w:vAlign w:val="bottom"/>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25, 2022</w:t>
            </w: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93"/>
              </w:rPr>
              <w:t>SEPTEMBER 26, 2021</w:t>
            </w:r>
          </w:p>
        </w:tc>
        <w:tc>
          <w:tcPr>
            <w:tcW w:w="100" w:type="dxa"/>
            <w:vAlign w:val="bottom"/>
          </w:tcPr>
          <w:p>
            <w:pPr>
              <w:spacing w:after="0"/>
              <w:rPr>
                <w:sz w:val="17"/>
                <w:szCs w:val="17"/>
                <w:color w:val="auto"/>
              </w:rPr>
            </w:pPr>
          </w:p>
        </w:tc>
        <w:tc>
          <w:tcPr>
            <w:tcW w:w="16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25, 2022</w:t>
            </w: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3"/>
              </w:rPr>
              <w:t>SEPTEMBER 26, 2021</w:t>
            </w:r>
          </w:p>
        </w:tc>
        <w:tc>
          <w:tcPr>
            <w:tcW w:w="0" w:type="dxa"/>
            <w:vAlign w:val="bottom"/>
          </w:tcPr>
          <w:p>
            <w:pPr>
              <w:spacing w:after="0"/>
              <w:rPr>
                <w:sz w:val="1"/>
                <w:szCs w:val="1"/>
                <w:color w:val="auto"/>
              </w:rPr>
            </w:pPr>
          </w:p>
        </w:tc>
      </w:tr>
      <w:tr>
        <w:trPr>
          <w:trHeight w:val="206"/>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51,309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14,837</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246,284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230,472</w:t>
            </w:r>
          </w:p>
        </w:tc>
        <w:tc>
          <w:tcPr>
            <w:tcW w:w="0" w:type="dxa"/>
            <w:vAlign w:val="bottom"/>
          </w:tcPr>
          <w:p>
            <w:pPr>
              <w:spacing w:after="0"/>
              <w:rPr>
                <w:sz w:val="1"/>
                <w:szCs w:val="1"/>
                <w:color w:val="auto"/>
              </w:rPr>
            </w:pPr>
          </w:p>
        </w:tc>
      </w:tr>
      <w:tr>
        <w:trPr>
          <w:trHeight w:val="203"/>
        </w:trPr>
        <w:tc>
          <w:tcPr>
            <w:tcW w:w="4560" w:type="dxa"/>
            <w:vAlign w:val="bottom"/>
          </w:tcPr>
          <w:p>
            <w:pPr>
              <w:ind w:left="140"/>
              <w:spacing w:after="0"/>
              <w:rPr>
                <w:sz w:val="20"/>
                <w:szCs w:val="20"/>
                <w:color w:val="auto"/>
              </w:rPr>
            </w:pPr>
            <w:r>
              <w:rPr>
                <w:rFonts w:ascii="Arial" w:cs="Arial" w:eastAsia="Arial" w:hAnsi="Arial"/>
                <w:sz w:val="15"/>
                <w:szCs w:val="15"/>
                <w:i w:val="1"/>
                <w:iCs w:val="1"/>
                <w:color w:val="auto"/>
              </w:rPr>
              <w:t>Operating income margin</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4.9 %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1.5 %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7.5 %</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140"/>
              <w:spacing w:after="0"/>
              <w:rPr>
                <w:sz w:val="20"/>
                <w:szCs w:val="20"/>
                <w:color w:val="auto"/>
              </w:rPr>
            </w:pPr>
            <w:r>
              <w:rPr>
                <w:rFonts w:ascii="Arial" w:cs="Arial" w:eastAsia="Arial" w:hAnsi="Arial"/>
                <w:sz w:val="15"/>
                <w:szCs w:val="15"/>
                <w:color w:val="auto"/>
              </w:rPr>
              <w:t>Total restaurant-level operating margin adjustments (1)</w:t>
            </w:r>
          </w:p>
        </w:tc>
        <w:tc>
          <w:tcPr>
            <w:tcW w:w="100" w:type="dxa"/>
            <w:vAlign w:val="bottom"/>
          </w:tcPr>
          <w:p>
            <w:pPr>
              <w:spacing w:after="0"/>
              <w:rPr>
                <w:sz w:val="17"/>
                <w:szCs w:val="17"/>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64,641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520" w:type="dxa"/>
            <w:vAlign w:val="bottom"/>
          </w:tcPr>
          <w:p>
            <w:pPr>
              <w:jc w:val="right"/>
              <w:ind w:right="104"/>
              <w:spacing w:after="0"/>
              <w:rPr>
                <w:sz w:val="20"/>
                <w:szCs w:val="20"/>
                <w:color w:val="auto"/>
              </w:rPr>
            </w:pPr>
            <w:r>
              <w:rPr>
                <w:rFonts w:ascii="Arial" w:cs="Arial" w:eastAsia="Arial" w:hAnsi="Arial"/>
                <w:sz w:val="15"/>
                <w:szCs w:val="15"/>
                <w:color w:val="auto"/>
              </w:rPr>
              <w:t>64,641</w:t>
            </w:r>
          </w:p>
        </w:tc>
        <w:tc>
          <w:tcPr>
            <w:tcW w:w="0" w:type="dxa"/>
            <w:vAlign w:val="bottom"/>
          </w:tcPr>
          <w:p>
            <w:pPr>
              <w:spacing w:after="0"/>
              <w:rPr>
                <w:sz w:val="1"/>
                <w:szCs w:val="1"/>
                <w:color w:val="auto"/>
              </w:rPr>
            </w:pPr>
          </w:p>
        </w:tc>
      </w:tr>
      <w:tr>
        <w:trPr>
          <w:trHeight w:val="202"/>
        </w:trPr>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Legal and other matters (2)</w:t>
            </w:r>
          </w:p>
        </w:tc>
        <w:tc>
          <w:tcPr>
            <w:tcW w:w="1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3,204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(3,133)</w:t>
            </w:r>
          </w:p>
        </w:tc>
        <w:tc>
          <w:tcPr>
            <w:tcW w:w="0" w:type="dxa"/>
            <w:vAlign w:val="bottom"/>
          </w:tcPr>
          <w:p>
            <w:pPr>
              <w:spacing w:after="0"/>
              <w:rPr>
                <w:sz w:val="1"/>
                <w:szCs w:val="1"/>
                <w:color w:val="auto"/>
              </w:rPr>
            </w:pPr>
          </w:p>
        </w:tc>
      </w:tr>
      <w:tr>
        <w:trPr>
          <w:trHeight w:val="212"/>
        </w:trPr>
        <w:tc>
          <w:tcPr>
            <w:tcW w:w="4560" w:type="dxa"/>
            <w:vAlign w:val="bottom"/>
          </w:tcPr>
          <w:p>
            <w:pPr>
              <w:ind w:left="20"/>
              <w:spacing w:after="0"/>
              <w:rPr>
                <w:sz w:val="20"/>
                <w:szCs w:val="20"/>
                <w:color w:val="auto"/>
              </w:rPr>
            </w:pPr>
            <w:r>
              <w:rPr>
                <w:rFonts w:ascii="Arial" w:cs="Arial" w:eastAsia="Arial" w:hAnsi="Arial"/>
                <w:sz w:val="15"/>
                <w:szCs w:val="15"/>
                <w:color w:val="auto"/>
              </w:rPr>
              <w:t>Total income from operations adjustments</w:t>
            </w:r>
          </w:p>
        </w:tc>
        <w:tc>
          <w:tcPr>
            <w:tcW w:w="10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67,845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520" w:type="dxa"/>
            <w:vAlign w:val="bottom"/>
          </w:tcPr>
          <w:p>
            <w:pPr>
              <w:jc w:val="right"/>
              <w:ind w:right="104"/>
              <w:spacing w:after="0"/>
              <w:rPr>
                <w:sz w:val="20"/>
                <w:szCs w:val="20"/>
                <w:color w:val="auto"/>
              </w:rPr>
            </w:pPr>
            <w:r>
              <w:rPr>
                <w:rFonts w:ascii="Arial" w:cs="Arial" w:eastAsia="Arial" w:hAnsi="Arial"/>
                <w:sz w:val="15"/>
                <w:szCs w:val="15"/>
                <w:color w:val="auto"/>
              </w:rPr>
              <w:t>61,508</w:t>
            </w: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income from operations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51,309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82,682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246,284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291,980</w:t>
            </w:r>
          </w:p>
        </w:tc>
        <w:tc>
          <w:tcPr>
            <w:tcW w:w="0" w:type="dxa"/>
            <w:vAlign w:val="bottom"/>
          </w:tcPr>
          <w:p>
            <w:pPr>
              <w:spacing w:after="0"/>
              <w:rPr>
                <w:sz w:val="1"/>
                <w:szCs w:val="1"/>
                <w:color w:val="auto"/>
              </w:rPr>
            </w:pPr>
          </w:p>
        </w:tc>
      </w:tr>
      <w:tr>
        <w:trPr>
          <w:trHeight w:val="186"/>
        </w:trPr>
        <w:tc>
          <w:tcPr>
            <w:tcW w:w="4560" w:type="dxa"/>
            <w:vAlign w:val="bottom"/>
          </w:tcPr>
          <w:p>
            <w:pPr>
              <w:ind w:left="140"/>
              <w:spacing w:after="0"/>
              <w:rPr>
                <w:sz w:val="20"/>
                <w:szCs w:val="20"/>
                <w:color w:val="auto"/>
              </w:rPr>
            </w:pPr>
            <w:r>
              <w:rPr>
                <w:rFonts w:ascii="Arial" w:cs="Arial" w:eastAsia="Arial" w:hAnsi="Arial"/>
                <w:sz w:val="15"/>
                <w:szCs w:val="15"/>
                <w:i w:val="1"/>
                <w:iCs w:val="1"/>
                <w:color w:val="auto"/>
              </w:rPr>
              <w:t>Adjusted operating income margin</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4.9 %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8.2 %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7.4 %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9.5 %</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w:t>
      </w:r>
    </w:p>
    <w:p>
      <w:pPr>
        <w:spacing w:after="0" w:line="20" w:lineRule="exact"/>
        <w:rPr>
          <w:sz w:val="20"/>
          <w:szCs w:val="20"/>
          <w:color w:val="auto"/>
        </w:rPr>
      </w:pPr>
    </w:p>
    <w:p>
      <w:pPr>
        <w:ind w:left="620" w:hanging="617"/>
        <w:spacing w:after="0" w:line="253" w:lineRule="auto"/>
        <w:tabs>
          <w:tab w:leader="none" w:pos="6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 xml:space="preserve">See the </w:t>
      </w:r>
      <w:r>
        <w:rPr>
          <w:rFonts w:ascii="Arial" w:cs="Arial" w:eastAsia="Arial" w:hAnsi="Arial"/>
          <w:sz w:val="15"/>
          <w:szCs w:val="15"/>
          <w:i w:val="1"/>
          <w:iCs w:val="1"/>
          <w:color w:val="auto"/>
        </w:rPr>
        <w:t>Consolidated restaurant-level operating income and adjusted restaurant-level operating income and corresponding margins non-GAAP reconciliations</w:t>
      </w:r>
      <w:r>
        <w:rPr>
          <w:rFonts w:ascii="Arial" w:cs="Arial" w:eastAsia="Arial" w:hAnsi="Arial"/>
          <w:sz w:val="15"/>
          <w:szCs w:val="15"/>
          <w:color w:val="auto"/>
        </w:rPr>
        <w:t xml:space="preserve"> table above for details regarding the restaurant-level operating income adjustments.</w:t>
      </w:r>
    </w:p>
    <w:p>
      <w:pPr>
        <w:ind w:left="620" w:hanging="617"/>
        <w:spacing w:after="0" w:line="280" w:lineRule="auto"/>
        <w:tabs>
          <w:tab w:leader="none" w:pos="6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thirteen and thirty-nine weeks ended September 26, 2021 include an adjustment to reduce our initial recorded estimate and net benefit, respectively, from the recognition of recoverable PIS and COFINS taxes, including accrued interest within other revenues as a result of favorable court rulings in Brazil.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spacing w:after="0" w:line="278" w:lineRule="auto"/>
        <w:rPr>
          <w:sz w:val="20"/>
          <w:szCs w:val="20"/>
          <w:color w:val="auto"/>
        </w:rPr>
      </w:pPr>
      <w:r>
        <w:rPr>
          <w:rFonts w:ascii="Arial" w:cs="Arial" w:eastAsia="Arial" w:hAnsi="Arial"/>
          <w:sz w:val="19"/>
          <w:szCs w:val="19"/>
          <w:i w:val="1"/>
          <w:iCs w:val="1"/>
          <w:color w:val="auto"/>
        </w:rPr>
        <w:t xml:space="preserve">Adjusted net income and Adjusted diluted earnings per share non-GAAP reconciliations </w:t>
      </w:r>
      <w:r>
        <w:rPr>
          <w:rFonts w:ascii="Arial" w:cs="Arial" w:eastAsia="Arial" w:hAnsi="Arial"/>
          <w:sz w:val="19"/>
          <w:szCs w:val="19"/>
          <w:color w:val="auto"/>
        </w:rPr>
        <w:t>- The following table reconciles Diluted net income</w:t>
      </w:r>
      <w:r>
        <w:rPr>
          <w:rFonts w:ascii="Arial" w:cs="Arial" w:eastAsia="Arial" w:hAnsi="Arial"/>
          <w:sz w:val="19"/>
          <w:szCs w:val="19"/>
          <w:i w:val="1"/>
          <w:iCs w:val="1"/>
          <w:color w:val="auto"/>
        </w:rPr>
        <w:t xml:space="preserve"> </w:t>
      </w:r>
      <w:r>
        <w:rPr>
          <w:rFonts w:ascii="Arial" w:cs="Arial" w:eastAsia="Arial" w:hAnsi="Arial"/>
          <w:sz w:val="19"/>
          <w:szCs w:val="19"/>
          <w:color w:val="auto"/>
        </w:rPr>
        <w:t>attributable to Bloomin’ Brands to adjusted net income and adjusted diluted earnings per share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4"/>
          </w:tcPr>
          <w:p>
            <w:pPr>
              <w:jc w:val="right"/>
              <w:ind w:right="50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60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900" w:type="dxa"/>
            <w:vAlign w:val="bottom"/>
            <w:vMerge w:val="continue"/>
          </w:tcPr>
          <w:p>
            <w:pPr>
              <w:spacing w:after="0"/>
              <w:rPr>
                <w:sz w:val="17"/>
                <w:szCs w:val="17"/>
                <w:color w:val="auto"/>
              </w:rPr>
            </w:pPr>
          </w:p>
        </w:tc>
        <w:tc>
          <w:tcPr>
            <w:tcW w:w="1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100" w:type="dxa"/>
            <w:vAlign w:val="bottom"/>
          </w:tcPr>
          <w:p>
            <w:pPr>
              <w:spacing w:after="0"/>
              <w:rPr>
                <w:sz w:val="17"/>
                <w:szCs w:val="17"/>
                <w:color w:val="auto"/>
              </w:rPr>
            </w:pP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92"/>
              </w:rPr>
              <w:t>SEPTEMBER 26, 2021</w:t>
            </w:r>
          </w:p>
        </w:tc>
        <w:tc>
          <w:tcPr>
            <w:tcW w:w="0" w:type="dxa"/>
            <w:vAlign w:val="bottom"/>
          </w:tcPr>
          <w:p>
            <w:pPr>
              <w:spacing w:after="0"/>
              <w:rPr>
                <w:sz w:val="1"/>
                <w:szCs w:val="1"/>
                <w:color w:val="auto"/>
              </w:rPr>
            </w:pPr>
          </w:p>
        </w:tc>
      </w:tr>
      <w:tr>
        <w:trPr>
          <w:trHeight w:val="206"/>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net income attributable to Bloomin’ Brands</w:t>
            </w: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31,986</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3,449</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43,862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155,316</w:t>
            </w:r>
          </w:p>
        </w:tc>
        <w:tc>
          <w:tcPr>
            <w:tcW w:w="0" w:type="dxa"/>
            <w:vAlign w:val="bottom"/>
          </w:tcPr>
          <w:p>
            <w:pPr>
              <w:spacing w:after="0"/>
              <w:rPr>
                <w:sz w:val="1"/>
                <w:szCs w:val="1"/>
                <w:color w:val="auto"/>
              </w:rPr>
            </w:pPr>
          </w:p>
        </w:tc>
      </w:tr>
      <w:tr>
        <w:trPr>
          <w:trHeight w:val="160"/>
        </w:trPr>
        <w:tc>
          <w:tcPr>
            <w:tcW w:w="4900" w:type="dxa"/>
            <w:vAlign w:val="bottom"/>
          </w:tcPr>
          <w:p>
            <w:pPr>
              <w:ind w:left="120"/>
              <w:spacing w:after="0" w:line="160" w:lineRule="exact"/>
              <w:rPr>
                <w:sz w:val="20"/>
                <w:szCs w:val="20"/>
                <w:color w:val="auto"/>
              </w:rPr>
            </w:pPr>
            <w:r>
              <w:rPr>
                <w:rFonts w:ascii="Arial" w:cs="Arial" w:eastAsia="Arial" w:hAnsi="Arial"/>
                <w:sz w:val="15"/>
                <w:szCs w:val="15"/>
                <w:color w:val="auto"/>
                <w:w w:val="95"/>
              </w:rPr>
              <w:t>Convertible senior notes if-converted method interest adjustment, net of tax</w:t>
            </w:r>
          </w:p>
        </w:tc>
        <w:tc>
          <w:tcPr>
            <w:tcW w:w="38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460</w:t>
            </w:r>
          </w:p>
        </w:tc>
        <w:tc>
          <w:tcPr>
            <w:tcW w:w="0" w:type="dxa"/>
            <w:vAlign w:val="bottom"/>
          </w:tcPr>
          <w:p>
            <w:pPr>
              <w:spacing w:after="0"/>
              <w:rPr>
                <w:sz w:val="1"/>
                <w:szCs w:val="1"/>
                <w:color w:val="auto"/>
              </w:rPr>
            </w:pPr>
          </w:p>
        </w:tc>
      </w:tr>
      <w:tr>
        <w:trPr>
          <w:trHeight w:val="194"/>
        </w:trPr>
        <w:tc>
          <w:tcPr>
            <w:tcW w:w="4900" w:type="dxa"/>
            <w:vAlign w:val="bottom"/>
          </w:tcPr>
          <w:p>
            <w:pPr>
              <w:ind w:left="120"/>
              <w:spacing w:after="0"/>
              <w:rPr>
                <w:sz w:val="20"/>
                <w:szCs w:val="20"/>
                <w:color w:val="auto"/>
              </w:rPr>
            </w:pPr>
            <w:r>
              <w:rPr>
                <w:rFonts w:ascii="Arial" w:cs="Arial" w:eastAsia="Arial" w:hAnsi="Arial"/>
                <w:sz w:val="15"/>
                <w:szCs w:val="15"/>
                <w:color w:val="auto"/>
              </w:rPr>
              <w:t>(1)</w:t>
            </w:r>
          </w:p>
        </w:tc>
        <w:tc>
          <w:tcPr>
            <w:tcW w:w="3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attributable to Bloomin’ Brands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154,856</w:t>
            </w:r>
          </w:p>
        </w:tc>
        <w:tc>
          <w:tcPr>
            <w:tcW w:w="0" w:type="dxa"/>
            <w:vAlign w:val="bottom"/>
          </w:tcPr>
          <w:p>
            <w:pPr>
              <w:spacing w:after="0"/>
              <w:rPr>
                <w:sz w:val="1"/>
                <w:szCs w:val="1"/>
                <w:color w:val="auto"/>
              </w:rPr>
            </w:pPr>
          </w:p>
        </w:tc>
      </w:tr>
      <w:tr>
        <w:trPr>
          <w:trHeight w:val="176"/>
        </w:trPr>
        <w:tc>
          <w:tcPr>
            <w:tcW w:w="490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from operations adjustments (2)</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67,845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61,508</w:t>
            </w:r>
          </w:p>
        </w:tc>
        <w:tc>
          <w:tcPr>
            <w:tcW w:w="0" w:type="dxa"/>
            <w:vAlign w:val="bottom"/>
          </w:tcPr>
          <w:p>
            <w:pPr>
              <w:spacing w:after="0"/>
              <w:rPr>
                <w:sz w:val="1"/>
                <w:szCs w:val="1"/>
                <w:color w:val="auto"/>
              </w:rPr>
            </w:pPr>
          </w:p>
        </w:tc>
      </w:tr>
      <w:tr>
        <w:trPr>
          <w:trHeight w:val="203"/>
        </w:trPr>
        <w:tc>
          <w:tcPr>
            <w:tcW w:w="4900" w:type="dxa"/>
            <w:vAlign w:val="bottom"/>
          </w:tcPr>
          <w:p>
            <w:pPr>
              <w:ind w:left="140"/>
              <w:spacing w:after="0"/>
              <w:rPr>
                <w:sz w:val="20"/>
                <w:szCs w:val="20"/>
                <w:color w:val="auto"/>
              </w:rPr>
            </w:pPr>
            <w:r>
              <w:rPr>
                <w:rFonts w:ascii="Arial" w:cs="Arial" w:eastAsia="Arial" w:hAnsi="Arial"/>
                <w:sz w:val="15"/>
                <w:szCs w:val="15"/>
                <w:color w:val="auto"/>
              </w:rPr>
              <w:t>Loss on extinguishment and modification of debt (3)</w:t>
            </w:r>
          </w:p>
        </w:tc>
        <w:tc>
          <w:tcPr>
            <w:tcW w:w="3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107,630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2,073</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Loss on fair value adjustment of derivatives, net (3)</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17,685</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900" w:type="dxa"/>
            <w:vAlign w:val="bottom"/>
          </w:tcPr>
          <w:p>
            <w:pPr>
              <w:ind w:left="20"/>
              <w:spacing w:after="0"/>
              <w:rPr>
                <w:sz w:val="20"/>
                <w:szCs w:val="20"/>
                <w:color w:val="auto"/>
              </w:rPr>
            </w:pPr>
            <w:r>
              <w:rPr>
                <w:rFonts w:ascii="Arial" w:cs="Arial" w:eastAsia="Arial" w:hAnsi="Arial"/>
                <w:sz w:val="15"/>
                <w:szCs w:val="15"/>
                <w:color w:val="auto"/>
              </w:rPr>
              <w:t>Total adjustments, before income taxes</w:t>
            </w:r>
          </w:p>
        </w:tc>
        <w:tc>
          <w:tcPr>
            <w:tcW w:w="3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67,845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125,315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63,581</w:t>
            </w:r>
          </w:p>
        </w:tc>
        <w:tc>
          <w:tcPr>
            <w:tcW w:w="0" w:type="dxa"/>
            <w:vAlign w:val="bottom"/>
          </w:tcPr>
          <w:p>
            <w:pPr>
              <w:spacing w:after="0"/>
              <w:rPr>
                <w:sz w:val="1"/>
                <w:szCs w:val="1"/>
                <w:color w:val="auto"/>
              </w:rPr>
            </w:pPr>
          </w:p>
        </w:tc>
      </w:tr>
      <w:tr>
        <w:trPr>
          <w:trHeight w:val="215"/>
        </w:trPr>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Adjustment to provision for income taxes (4)</w:t>
            </w: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(15,878)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(14,635)</w:t>
            </w: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Arial" w:cs="Arial" w:eastAsia="Arial" w:hAnsi="Arial"/>
                <w:sz w:val="15"/>
                <w:szCs w:val="15"/>
                <w:color w:val="auto"/>
              </w:rPr>
              <w:t>Net adjustments</w:t>
            </w:r>
          </w:p>
        </w:tc>
        <w:tc>
          <w:tcPr>
            <w:tcW w:w="3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51,967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126,637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48,946</w:t>
            </w:r>
          </w:p>
        </w:tc>
        <w:tc>
          <w:tcPr>
            <w:tcW w:w="0" w:type="dxa"/>
            <w:vAlign w:val="bottom"/>
          </w:tcPr>
          <w:p>
            <w:pPr>
              <w:spacing w:after="0"/>
              <w:rPr>
                <w:sz w:val="1"/>
                <w:szCs w:val="1"/>
                <w:color w:val="auto"/>
              </w:rPr>
            </w:pPr>
          </w:p>
        </w:tc>
      </w:tr>
      <w:tr>
        <w:trPr>
          <w:trHeight w:val="231"/>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net income</w:t>
            </w:r>
          </w:p>
        </w:tc>
        <w:tc>
          <w:tcPr>
            <w:tcW w:w="38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55,416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170,499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203,802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earnings per share</w:t>
            </w: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0.34</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00" w:type="dxa"/>
            <w:vAlign w:val="bottom"/>
          </w:tcPr>
          <w:p>
            <w:pPr>
              <w:ind w:left="20"/>
              <w:spacing w:after="0"/>
              <w:rPr>
                <w:sz w:val="20"/>
                <w:szCs w:val="20"/>
                <w:color w:val="auto"/>
              </w:rPr>
            </w:pPr>
            <w:r>
              <w:rPr>
                <w:rFonts w:ascii="Arial" w:cs="Arial" w:eastAsia="Arial" w:hAnsi="Arial"/>
                <w:sz w:val="15"/>
                <w:szCs w:val="15"/>
                <w:color w:val="auto"/>
              </w:rPr>
              <w:t>Adjusted diluted earnings per share (5)</w:t>
            </w: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0.35</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724"/>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20"/>
              <w:spacing w:after="0"/>
              <w:rPr>
                <w:sz w:val="20"/>
                <w:szCs w:val="20"/>
                <w:color w:val="auto"/>
              </w:rPr>
            </w:pPr>
            <w:r>
              <w:rPr>
                <w:rFonts w:ascii="Arial" w:cs="Arial" w:eastAsia="Arial" w:hAnsi="Arial"/>
                <w:sz w:val="15"/>
                <w:szCs w:val="15"/>
                <w:color w:val="auto"/>
              </w:rPr>
              <w:t>Diluted weighted average common shares outstanding</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94,736</w:t>
            </w: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107,783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99,609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109,410</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diluted weighted average common shares outstanding (5)</w:t>
            </w: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91,046</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97,307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92,877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97,110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_________________</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9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20" w:hanging="617"/>
        <w:spacing w:after="0" w:line="253" w:lineRule="auto"/>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Adjustment for interest expense related to the 2025 Notes weighted for the portion of the period prior to our election under the 2025 Notes indenture to settle the principal portion of the 2025 Notes in cash.</w:t>
      </w:r>
    </w:p>
    <w:p>
      <w:pPr>
        <w:ind w:left="620" w:hanging="617"/>
        <w:spacing w:after="0"/>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See the </w:t>
      </w:r>
      <w:r>
        <w:rPr>
          <w:rFonts w:ascii="Arial" w:cs="Arial" w:eastAsia="Arial" w:hAnsi="Arial"/>
          <w:sz w:val="15"/>
          <w:szCs w:val="15"/>
          <w:i w:val="1"/>
          <w:iCs w:val="1"/>
          <w:color w:val="auto"/>
        </w:rPr>
        <w:t>Adjusted income from operations non-GAAP reconciliations</w:t>
      </w:r>
      <w:r>
        <w:rPr>
          <w:rFonts w:ascii="Arial" w:cs="Arial" w:eastAsia="Arial" w:hAnsi="Arial"/>
          <w:sz w:val="15"/>
          <w:szCs w:val="15"/>
          <w:color w:val="auto"/>
        </w:rPr>
        <w:t xml:space="preserve"> table above for details regarding Income from operations adjustments.</w:t>
      </w:r>
    </w:p>
    <w:p>
      <w:pPr>
        <w:spacing w:after="0" w:line="17" w:lineRule="exact"/>
        <w:rPr>
          <w:rFonts w:ascii="Arial" w:cs="Arial" w:eastAsia="Arial" w:hAnsi="Arial"/>
          <w:sz w:val="15"/>
          <w:szCs w:val="15"/>
          <w:color w:val="auto"/>
        </w:rPr>
      </w:pPr>
    </w:p>
    <w:p>
      <w:pPr>
        <w:ind w:left="620" w:hanging="617"/>
        <w:spacing w:after="0" w:line="253" w:lineRule="auto"/>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The thirty-nine weeks ended September 25, 2022 include losses in connection with the 2025 Notes Partial Repurchase and Amended Credit Agreement. See Note 8 - </w:t>
      </w:r>
      <w:r>
        <w:rPr>
          <w:rFonts w:ascii="Arial" w:cs="Arial" w:eastAsia="Arial" w:hAnsi="Arial"/>
          <w:sz w:val="15"/>
          <w:szCs w:val="15"/>
          <w:i w:val="1"/>
          <w:iCs w:val="1"/>
          <w:color w:val="auto"/>
        </w:rPr>
        <w:t xml:space="preserve">Convertible Senior Notes </w:t>
      </w:r>
      <w:r>
        <w:rPr>
          <w:rFonts w:ascii="Arial" w:cs="Arial" w:eastAsia="Arial" w:hAnsi="Arial"/>
          <w:sz w:val="15"/>
          <w:szCs w:val="15"/>
          <w:color w:val="auto"/>
        </w:rPr>
        <w:t>and Note 7 -</w:t>
      </w:r>
      <w:r>
        <w:rPr>
          <w:rFonts w:ascii="Arial" w:cs="Arial" w:eastAsia="Arial" w:hAnsi="Arial"/>
          <w:sz w:val="15"/>
          <w:szCs w:val="15"/>
          <w:i w:val="1"/>
          <w:iCs w:val="1"/>
          <w:color w:val="auto"/>
        </w:rPr>
        <w:t xml:space="preserve"> Long-term Debt, Net</w:t>
      </w:r>
      <w:r>
        <w:rPr>
          <w:rFonts w:ascii="Arial" w:cs="Arial" w:eastAsia="Arial" w:hAnsi="Arial"/>
          <w:sz w:val="15"/>
          <w:szCs w:val="15"/>
          <w:color w:val="auto"/>
        </w:rPr>
        <w:t>, respectively, of the Notes to Consolidated Financial Statements for additional details.</w:t>
      </w:r>
    </w:p>
    <w:p>
      <w:pPr>
        <w:jc w:val="both"/>
        <w:ind w:left="620" w:hanging="617"/>
        <w:spacing w:after="0" w:line="261" w:lineRule="auto"/>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tax effect of non-GAAP adjustments were determined based on the nature of the underlying non-GAAP adjustments and their relevant jurisdictional tax rates. For the thirty-nine weeks ended September 25, 2022, the primary difference between the GAAP and adjusted effective income tax rates relate to certain non-deductible losses and other tax costs associated with the 2025 Notes Partial Repurchase.</w:t>
      </w:r>
    </w:p>
    <w:p>
      <w:pPr>
        <w:spacing w:after="0" w:line="1" w:lineRule="exact"/>
        <w:rPr>
          <w:rFonts w:ascii="Arial" w:cs="Arial" w:eastAsia="Arial" w:hAnsi="Arial"/>
          <w:sz w:val="15"/>
          <w:szCs w:val="15"/>
          <w:color w:val="auto"/>
        </w:rPr>
      </w:pPr>
    </w:p>
    <w:p>
      <w:pPr>
        <w:jc w:val="both"/>
        <w:ind w:left="620" w:hanging="617"/>
        <w:spacing w:after="0" w:line="287" w:lineRule="auto"/>
        <w:tabs>
          <w:tab w:leader="none" w:pos="6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Adjusted diluted weighted average common shares outstanding was calculated excluding the dilutive effect of 3,690 and 10,476 shares for the thirteen weeks ended September 25, 2022 and September 26, 2021, respectively, and 6,732 and 10,453 shares for the thirty-nine weeks ended September 25, 2022 and September 26, 2021, respectively, to be issued upon conversion of the 2025 Notes to satisfy the amount in excess of the principal since our convertible note hedge offsets the dilutive impact of the shares underlying the 2025 Notes. For the thirty-nine weeks ended September 26, 2021, adjusted diluted weighted average common shares outstanding was also calculated assuming our February 2021 election to settle the principal portion of the 2025 Notes in cash was in effect for the entire period.</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7"/>
          <w:szCs w:val="17"/>
          <w:i w:val="1"/>
          <w:iCs w:val="1"/>
          <w:color w:val="auto"/>
        </w:rPr>
        <w:t xml:space="preserve">System-Wide Sales - </w:t>
      </w:r>
      <w:r>
        <w:rPr>
          <w:rFonts w:ascii="Arial" w:cs="Arial" w:eastAsia="Arial" w:hAnsi="Arial"/>
          <w:sz w:val="17"/>
          <w:szCs w:val="17"/>
          <w:color w:val="auto"/>
        </w:rPr>
        <w:t>System-wide sales is a non-GAAP financial measure that includes sales of all restaurants operating under our brand names,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2 </w:t>
      </w:r>
      <w:r>
        <w:rPr>
          <w:rFonts w:ascii="Arial" w:cs="Arial" w:eastAsia="Arial" w:hAnsi="Arial"/>
          <w:sz w:val="15"/>
          <w:szCs w:val="15"/>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of the Notes to Consolidated Financial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following table provides a summary of sales of franchised restaurants for the periods indicated,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gridSpan w:val="3"/>
          </w:tcPr>
          <w:p>
            <w:pPr>
              <w:jc w:val="right"/>
              <w:ind w:right="86"/>
              <w:spacing w:after="0"/>
              <w:rPr>
                <w:sz w:val="20"/>
                <w:szCs w:val="20"/>
                <w:color w:val="auto"/>
              </w:rPr>
            </w:pPr>
            <w:r>
              <w:rPr>
                <w:rFonts w:ascii="Arial" w:cs="Arial" w:eastAsia="Arial" w:hAnsi="Arial"/>
                <w:sz w:val="14"/>
                <w:szCs w:val="14"/>
                <w:b w:val="1"/>
                <w:bCs w:val="1"/>
                <w:color w:val="auto"/>
              </w:rPr>
              <w:t>THIRTEEN WEEKS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3"/>
          </w:tcPr>
          <w:p>
            <w:pPr>
              <w:jc w:val="right"/>
              <w:ind w:right="46"/>
              <w:spacing w:after="0"/>
              <w:rPr>
                <w:sz w:val="20"/>
                <w:szCs w:val="20"/>
                <w:color w:val="auto"/>
              </w:rPr>
            </w:pPr>
            <w:r>
              <w:rPr>
                <w:rFonts w:ascii="Arial" w:cs="Arial" w:eastAsia="Arial" w:hAnsi="Arial"/>
                <w:sz w:val="14"/>
                <w:szCs w:val="14"/>
                <w:b w:val="1"/>
                <w:bCs w:val="1"/>
                <w:color w:val="auto"/>
              </w:rPr>
              <w:t>THIRTY-NINE WEEKS ENDED</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56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560" w:type="dxa"/>
            <w:vAlign w:val="bottom"/>
            <w:gridSpan w:val="3"/>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100" w:type="dxa"/>
            <w:vAlign w:val="bottom"/>
            <w:vMerge w:val="continue"/>
          </w:tcPr>
          <w:p>
            <w:pPr>
              <w:spacing w:after="0"/>
              <w:rPr>
                <w:sz w:val="17"/>
                <w:szCs w:val="17"/>
                <w:color w:val="auto"/>
              </w:rPr>
            </w:pP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100" w:type="dxa"/>
            <w:vAlign w:val="bottom"/>
          </w:tcPr>
          <w:p>
            <w:pPr>
              <w:spacing w:after="0"/>
              <w:rPr>
                <w:sz w:val="17"/>
                <w:szCs w:val="17"/>
                <w:color w:val="auto"/>
              </w:rPr>
            </w:pP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26, 2021</w:t>
            </w:r>
          </w:p>
        </w:tc>
        <w:tc>
          <w:tcPr>
            <w:tcW w:w="0" w:type="dxa"/>
            <w:vAlign w:val="bottom"/>
          </w:tcPr>
          <w:p>
            <w:pPr>
              <w:spacing w:after="0"/>
              <w:rPr>
                <w:sz w:val="1"/>
                <w:szCs w:val="1"/>
                <w:color w:val="auto"/>
              </w:rPr>
            </w:pPr>
          </w:p>
        </w:tc>
      </w:tr>
      <w:tr>
        <w:trPr>
          <w:trHeight w:val="19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w:t>
            </w:r>
          </w:p>
        </w:tc>
        <w:tc>
          <w:tcPr>
            <w:tcW w:w="3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40"/>
              <w:spacing w:after="0"/>
              <w:rPr>
                <w:sz w:val="20"/>
                <w:szCs w:val="20"/>
                <w:color w:val="auto"/>
              </w:rPr>
            </w:pPr>
            <w:r>
              <w:rPr>
                <w:rFonts w:ascii="Arial" w:cs="Arial" w:eastAsia="Arial" w:hAnsi="Arial"/>
                <w:sz w:val="15"/>
                <w:szCs w:val="15"/>
                <w:color w:val="auto"/>
              </w:rPr>
              <w:t>Outback Steakhouse</w:t>
            </w: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7"/>
                <w:szCs w:val="17"/>
                <w:color w:val="auto"/>
              </w:rPr>
            </w:pPr>
          </w:p>
        </w:tc>
        <w:tc>
          <w:tcPr>
            <w:tcW w:w="1000" w:type="dxa"/>
            <w:vAlign w:val="bottom"/>
          </w:tcPr>
          <w:p>
            <w:pPr>
              <w:jc w:val="right"/>
              <w:ind w:right="826"/>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17"/>
                <w:szCs w:val="17"/>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377</w:t>
            </w:r>
          </w:p>
        </w:tc>
        <w:tc>
          <w:tcPr>
            <w:tcW w:w="100" w:type="dxa"/>
            <w:vAlign w:val="bottom"/>
          </w:tcPr>
          <w:p>
            <w:pPr>
              <w:spacing w:after="0"/>
              <w:rPr>
                <w:sz w:val="17"/>
                <w:szCs w:val="17"/>
                <w:color w:val="auto"/>
              </w:rPr>
            </w:pPr>
          </w:p>
        </w:tc>
        <w:tc>
          <w:tcPr>
            <w:tcW w:w="1060" w:type="dxa"/>
            <w:vAlign w:val="bottom"/>
          </w:tcPr>
          <w:p>
            <w:pPr>
              <w:jc w:val="right"/>
              <w:ind w:right="886"/>
              <w:spacing w:after="0"/>
              <w:rPr>
                <w:sz w:val="20"/>
                <w:szCs w:val="20"/>
                <w:color w:val="auto"/>
              </w:rPr>
            </w:pPr>
            <w:r>
              <w:rPr>
                <w:rFonts w:ascii="Arial" w:cs="Arial" w:eastAsia="Arial" w:hAnsi="Arial"/>
                <w:sz w:val="15"/>
                <w:szCs w:val="15"/>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329</w:t>
            </w: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Carrabba’s Italian Grill</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12"/>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Bonefish Grill</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6"/>
        </w:trPr>
        <w:tc>
          <w:tcPr>
            <w:tcW w:w="51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U.S. total</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w:t>
            </w:r>
          </w:p>
        </w:tc>
        <w:tc>
          <w:tcPr>
            <w:tcW w:w="0" w:type="dxa"/>
            <w:vAlign w:val="bottom"/>
          </w:tcPr>
          <w:p>
            <w:pPr>
              <w:spacing w:after="0"/>
              <w:rPr>
                <w:sz w:val="1"/>
                <w:szCs w:val="1"/>
                <w:color w:val="auto"/>
              </w:rPr>
            </w:pPr>
          </w:p>
        </w:tc>
      </w:tr>
      <w:tr>
        <w:trPr>
          <w:trHeight w:val="203"/>
        </w:trPr>
        <w:tc>
          <w:tcPr>
            <w:tcW w:w="510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Outback Steakhouse - South Korea</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212"/>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(1)</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212"/>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International total</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0" w:type="dxa"/>
            <w:vAlign w:val="bottom"/>
          </w:tcPr>
          <w:p>
            <w:pPr>
              <w:spacing w:after="0"/>
              <w:rPr>
                <w:sz w:val="1"/>
                <w:szCs w:val="1"/>
                <w:color w:val="auto"/>
              </w:rPr>
            </w:pPr>
          </w:p>
        </w:tc>
      </w:tr>
      <w:tr>
        <w:trPr>
          <w:trHeight w:val="206"/>
        </w:trPr>
        <w:tc>
          <w:tcPr>
            <w:tcW w:w="5100" w:type="dxa"/>
            <w:vAlign w:val="bottom"/>
          </w:tcPr>
          <w:p>
            <w:pPr>
              <w:ind w:left="20"/>
              <w:spacing w:after="0"/>
              <w:rPr>
                <w:sz w:val="20"/>
                <w:szCs w:val="20"/>
                <w:color w:val="auto"/>
              </w:rPr>
            </w:pPr>
            <w:r>
              <w:rPr>
                <w:rFonts w:ascii="Arial" w:cs="Arial" w:eastAsia="Arial" w:hAnsi="Arial"/>
                <w:sz w:val="15"/>
                <w:szCs w:val="15"/>
                <w:color w:val="auto"/>
              </w:rPr>
              <w:t>Total franchise sales (2)</w:t>
            </w: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6"/>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729</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6"/>
              <w:spacing w:after="0"/>
              <w:rPr>
                <w:sz w:val="20"/>
                <w:szCs w:val="20"/>
                <w:color w:val="auto"/>
              </w:rPr>
            </w:pPr>
            <w:r>
              <w:rPr>
                <w:rFonts w:ascii="Arial" w:cs="Arial" w:eastAsia="Arial" w:hAnsi="Arial"/>
                <w:sz w:val="15"/>
                <w:szCs w:val="15"/>
                <w:color w:val="auto"/>
                <w:w w:val="95"/>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w:t>
      </w:r>
    </w:p>
    <w:p>
      <w:pPr>
        <w:spacing w:after="0" w:line="20" w:lineRule="exact"/>
        <w:rPr>
          <w:sz w:val="20"/>
          <w:szCs w:val="20"/>
          <w:color w:val="auto"/>
        </w:rPr>
      </w:pPr>
    </w:p>
    <w:p>
      <w:pPr>
        <w:ind w:left="620" w:hanging="617"/>
        <w:spacing w:after="0"/>
        <w:tabs>
          <w:tab w:leader="none" w:pos="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franchise sales for off-premises only kitchens in South Korea.</w:t>
      </w:r>
    </w:p>
    <w:p>
      <w:pPr>
        <w:spacing w:after="0" w:line="8" w:lineRule="exact"/>
        <w:rPr>
          <w:rFonts w:ascii="Arial" w:cs="Arial" w:eastAsia="Arial" w:hAnsi="Arial"/>
          <w:sz w:val="15"/>
          <w:szCs w:val="15"/>
          <w:color w:val="auto"/>
        </w:rPr>
      </w:pPr>
    </w:p>
    <w:p>
      <w:pPr>
        <w:ind w:left="620" w:hanging="617"/>
        <w:spacing w:after="0"/>
        <w:tabs>
          <w:tab w:leader="none" w:pos="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Franchise sales are not included in Total revenues in the Consolidated Statements of Operations and Comprehensive Income.</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Cash and Cash Equivalents</w:t>
      </w:r>
    </w:p>
    <w:p>
      <w:pPr>
        <w:spacing w:after="0" w:line="24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As of September 25, 2022, we had $90.7 million in cash and cash equivalents, of which $34.5 million was held by foreign affiliates. The international jurisdictions in which we have significant cash do not have any known restrictions that would prohibit repatriation.</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As of September 25, 2022, we had aggregate accumulated foreign earnings of approximately $28.6 million. This amount consisted primarily of historical earnings from 2017 and prior that were previously taxed in the U.S. under the 2017 Tax Cuts and Jobs Act and post-2017 foreign earnings, which we may repatriate to the U.S. without additional material U.S. federal income tax. These amounts are not considered indefinitely reinvested in our foreign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Borrowing Capacity and Debt Service</w:t>
      </w:r>
    </w:p>
    <w:p>
      <w:pPr>
        <w:spacing w:after="0" w:line="246" w:lineRule="exact"/>
        <w:rPr>
          <w:sz w:val="20"/>
          <w:szCs w:val="20"/>
          <w:color w:val="auto"/>
        </w:rPr>
      </w:pPr>
    </w:p>
    <w:p>
      <w:pPr>
        <w:spacing w:after="0" w:line="264" w:lineRule="auto"/>
        <w:rPr>
          <w:sz w:val="20"/>
          <w:szCs w:val="20"/>
          <w:color w:val="auto"/>
        </w:rPr>
      </w:pPr>
      <w:r>
        <w:rPr>
          <w:rFonts w:ascii="Arial" w:cs="Arial" w:eastAsia="Arial" w:hAnsi="Arial"/>
          <w:sz w:val="19"/>
          <w:szCs w:val="19"/>
          <w:i w:val="1"/>
          <w:iCs w:val="1"/>
          <w:color w:val="auto"/>
        </w:rPr>
        <w:t xml:space="preserve">Credit Facilities </w:t>
      </w:r>
      <w:r>
        <w:rPr>
          <w:rFonts w:ascii="Arial" w:cs="Arial" w:eastAsia="Arial" w:hAnsi="Arial"/>
          <w:sz w:val="19"/>
          <w:szCs w:val="19"/>
          <w:color w:val="auto"/>
        </w:rPr>
        <w:t>- Following is a summary of our outstanding credit facilities as of the dates indicated and principal payments and debt issuance</w:t>
      </w:r>
      <w:r>
        <w:rPr>
          <w:rFonts w:ascii="Arial" w:cs="Arial" w:eastAsia="Arial" w:hAnsi="Arial"/>
          <w:sz w:val="19"/>
          <w:szCs w:val="19"/>
          <w:i w:val="1"/>
          <w:iCs w:val="1"/>
          <w:color w:val="auto"/>
        </w:rPr>
        <w:t xml:space="preserve"> </w:t>
      </w:r>
      <w:r>
        <w:rPr>
          <w:rFonts w:ascii="Arial" w:cs="Arial" w:eastAsia="Arial" w:hAnsi="Arial"/>
          <w:sz w:val="19"/>
          <w:szCs w:val="19"/>
          <w:color w:val="auto"/>
        </w:rPr>
        <w:t>during the period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00" w:type="dxa"/>
            <w:vAlign w:val="bottom"/>
            <w:gridSpan w:val="5"/>
          </w:tcPr>
          <w:p>
            <w:pPr>
              <w:ind w:left="260"/>
              <w:spacing w:after="0"/>
              <w:rPr>
                <w:sz w:val="20"/>
                <w:szCs w:val="20"/>
                <w:color w:val="auto"/>
              </w:rPr>
            </w:pPr>
            <w:r>
              <w:rPr>
                <w:rFonts w:ascii="Arial" w:cs="Arial" w:eastAsia="Arial" w:hAnsi="Arial"/>
                <w:sz w:val="14"/>
                <w:szCs w:val="14"/>
                <w:b w:val="1"/>
                <w:bCs w:val="1"/>
                <w:color w:val="auto"/>
              </w:rPr>
              <w:t>SENIOR SECURED CREDIT FACILITY</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vMerge w:val="restart"/>
          </w:tcPr>
          <w:p>
            <w:pPr>
              <w:jc w:val="center"/>
              <w:ind w:right="46"/>
              <w:spacing w:after="0"/>
              <w:rPr>
                <w:sz w:val="20"/>
                <w:szCs w:val="20"/>
                <w:color w:val="auto"/>
              </w:rPr>
            </w:pPr>
            <w:r>
              <w:rPr>
                <w:rFonts w:ascii="Arial" w:cs="Arial" w:eastAsia="Arial" w:hAnsi="Arial"/>
                <w:sz w:val="14"/>
                <w:szCs w:val="14"/>
                <w:b w:val="1"/>
                <w:bCs w:val="1"/>
                <w:color w:val="auto"/>
                <w:w w:val="99"/>
              </w:rPr>
              <w:t>TOTAL CREDIT</w:t>
            </w:r>
          </w:p>
        </w:tc>
        <w:tc>
          <w:tcPr>
            <w:tcW w:w="0" w:type="dxa"/>
            <w:vAlign w:val="bottom"/>
          </w:tcPr>
          <w:p>
            <w:pPr>
              <w:spacing w:after="0"/>
              <w:rPr>
                <w:sz w:val="1"/>
                <w:szCs w:val="1"/>
                <w:color w:val="auto"/>
              </w:rPr>
            </w:pPr>
          </w:p>
        </w:tc>
      </w:tr>
      <w:tr>
        <w:trPr>
          <w:trHeight w:val="132"/>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1"/>
                <w:szCs w:val="11"/>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TERM LOAN A</w:t>
            </w:r>
          </w:p>
        </w:tc>
        <w:tc>
          <w:tcPr>
            <w:tcW w:w="100" w:type="dxa"/>
            <w:vAlign w:val="bottom"/>
          </w:tcPr>
          <w:p>
            <w:pPr>
              <w:spacing w:after="0"/>
              <w:rPr>
                <w:sz w:val="11"/>
                <w:szCs w:val="11"/>
                <w:color w:val="auto"/>
              </w:rPr>
            </w:pPr>
          </w:p>
        </w:tc>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REVOLVING FACILITY</w:t>
            </w:r>
          </w:p>
        </w:tc>
        <w:tc>
          <w:tcPr>
            <w:tcW w:w="200" w:type="dxa"/>
            <w:vAlign w:val="bottom"/>
          </w:tcPr>
          <w:p>
            <w:pPr>
              <w:spacing w:after="0"/>
              <w:rPr>
                <w:sz w:val="11"/>
                <w:szCs w:val="11"/>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2025 NOTES</w:t>
            </w:r>
          </w:p>
        </w:tc>
        <w:tc>
          <w:tcPr>
            <w:tcW w:w="200" w:type="dxa"/>
            <w:vAlign w:val="bottom"/>
          </w:tcPr>
          <w:p>
            <w:pPr>
              <w:spacing w:after="0"/>
              <w:rPr>
                <w:sz w:val="11"/>
                <w:szCs w:val="11"/>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2029 NOTES</w:t>
            </w:r>
          </w:p>
        </w:tc>
        <w:tc>
          <w:tcPr>
            <w:tcW w:w="1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46"/>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0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as of December 26, 2021</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195,000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80,000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230,000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300,000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center"/>
              <w:ind w:left="566"/>
              <w:spacing w:after="0"/>
              <w:rPr>
                <w:sz w:val="20"/>
                <w:szCs w:val="20"/>
                <w:color w:val="auto"/>
              </w:rPr>
            </w:pPr>
            <w:r>
              <w:rPr>
                <w:rFonts w:ascii="Arial" w:cs="Arial" w:eastAsia="Arial" w:hAnsi="Arial"/>
                <w:sz w:val="15"/>
                <w:szCs w:val="15"/>
                <w:color w:val="auto"/>
                <w:w w:val="92"/>
              </w:rPr>
              <w:t>805,000</w:t>
            </w: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rPr>
                <w:sz w:val="20"/>
                <w:szCs w:val="20"/>
                <w:color w:val="auto"/>
              </w:rPr>
            </w:pPr>
            <w:r>
              <w:rPr>
                <w:rFonts w:ascii="Arial" w:cs="Arial" w:eastAsia="Arial" w:hAnsi="Arial"/>
                <w:sz w:val="15"/>
                <w:szCs w:val="15"/>
                <w:color w:val="auto"/>
              </w:rPr>
              <w:t>2022 new debt</w:t>
            </w:r>
          </w:p>
        </w:tc>
        <w:tc>
          <w:tcPr>
            <w:tcW w:w="2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929,500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tcPr>
          <w:p>
            <w:pPr>
              <w:jc w:val="center"/>
              <w:ind w:left="566"/>
              <w:spacing w:after="0"/>
              <w:rPr>
                <w:sz w:val="20"/>
                <w:szCs w:val="20"/>
                <w:color w:val="auto"/>
              </w:rPr>
            </w:pPr>
            <w:r>
              <w:rPr>
                <w:rFonts w:ascii="Arial" w:cs="Arial" w:eastAsia="Arial" w:hAnsi="Arial"/>
                <w:sz w:val="15"/>
                <w:szCs w:val="15"/>
                <w:color w:val="auto"/>
                <w:w w:val="92"/>
              </w:rPr>
              <w:t>929,500</w:t>
            </w:r>
          </w:p>
        </w:tc>
        <w:tc>
          <w:tcPr>
            <w:tcW w:w="0" w:type="dxa"/>
            <w:vAlign w:val="bottom"/>
          </w:tcPr>
          <w:p>
            <w:pPr>
              <w:spacing w:after="0"/>
              <w:rPr>
                <w:sz w:val="1"/>
                <w:szCs w:val="1"/>
                <w:color w:val="auto"/>
              </w:rPr>
            </w:pPr>
          </w:p>
        </w:tc>
      </w:tr>
      <w:tr>
        <w:trPr>
          <w:trHeight w:val="215"/>
        </w:trPr>
        <w:tc>
          <w:tcPr>
            <w:tcW w:w="3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2022 payments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(195,000)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(589,500)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(125,000)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ind w:left="546"/>
              <w:spacing w:after="0"/>
              <w:rPr>
                <w:sz w:val="20"/>
                <w:szCs w:val="20"/>
                <w:color w:val="auto"/>
              </w:rPr>
            </w:pPr>
            <w:r>
              <w:rPr>
                <w:rFonts w:ascii="Arial" w:cs="Arial" w:eastAsia="Arial" w:hAnsi="Arial"/>
                <w:sz w:val="15"/>
                <w:szCs w:val="15"/>
                <w:color w:val="auto"/>
                <w:w w:val="93"/>
              </w:rPr>
              <w:t>(909,500)</w:t>
            </w:r>
          </w:p>
        </w:tc>
        <w:tc>
          <w:tcPr>
            <w:tcW w:w="0" w:type="dxa"/>
            <w:vAlign w:val="bottom"/>
          </w:tcPr>
          <w:p>
            <w:pPr>
              <w:spacing w:after="0"/>
              <w:rPr>
                <w:sz w:val="1"/>
                <w:szCs w:val="1"/>
                <w:color w:val="auto"/>
              </w:rPr>
            </w:pPr>
          </w:p>
        </w:tc>
      </w:tr>
      <w:tr>
        <w:trPr>
          <w:trHeight w:val="206"/>
        </w:trPr>
        <w:tc>
          <w:tcPr>
            <w:tcW w:w="3360" w:type="dxa"/>
            <w:vAlign w:val="bottom"/>
          </w:tcPr>
          <w:p>
            <w:pPr>
              <w:ind w:left="20"/>
              <w:spacing w:after="0"/>
              <w:rPr>
                <w:sz w:val="20"/>
                <w:szCs w:val="20"/>
                <w:color w:val="auto"/>
              </w:rPr>
            </w:pPr>
            <w:r>
              <w:rPr>
                <w:rFonts w:ascii="Arial" w:cs="Arial" w:eastAsia="Arial" w:hAnsi="Arial"/>
                <w:sz w:val="15"/>
                <w:szCs w:val="15"/>
                <w:color w:val="auto"/>
              </w:rPr>
              <w:t>Balance as of September 25, 2022</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420,000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04"/>
              <w:spacing w:after="0"/>
              <w:rPr>
                <w:sz w:val="20"/>
                <w:szCs w:val="20"/>
                <w:color w:val="auto"/>
              </w:rPr>
            </w:pPr>
            <w:r>
              <w:rPr>
                <w:rFonts w:ascii="Arial" w:cs="Arial" w:eastAsia="Arial" w:hAnsi="Arial"/>
                <w:sz w:val="15"/>
                <w:szCs w:val="15"/>
                <w:color w:val="auto"/>
              </w:rPr>
              <w:t>105,000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24"/>
              <w:spacing w:after="0"/>
              <w:rPr>
                <w:sz w:val="20"/>
                <w:szCs w:val="20"/>
                <w:color w:val="auto"/>
              </w:rPr>
            </w:pPr>
            <w:r>
              <w:rPr>
                <w:rFonts w:ascii="Arial" w:cs="Arial" w:eastAsia="Arial" w:hAnsi="Arial"/>
                <w:sz w:val="15"/>
                <w:szCs w:val="15"/>
                <w:color w:val="auto"/>
              </w:rPr>
              <w:t>300,000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center"/>
              <w:ind w:left="566"/>
              <w:spacing w:after="0"/>
              <w:rPr>
                <w:sz w:val="20"/>
                <w:szCs w:val="20"/>
                <w:color w:val="auto"/>
              </w:rPr>
            </w:pPr>
            <w:r>
              <w:rPr>
                <w:rFonts w:ascii="Arial" w:cs="Arial" w:eastAsia="Arial" w:hAnsi="Arial"/>
                <w:sz w:val="15"/>
                <w:szCs w:val="15"/>
                <w:color w:val="auto"/>
                <w:w w:val="92"/>
              </w:rPr>
              <w:t>825,000</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Arial" w:cs="Arial" w:eastAsia="Arial" w:hAnsi="Arial"/>
                <w:sz w:val="15"/>
                <w:szCs w:val="15"/>
                <w:color w:val="auto"/>
              </w:rPr>
              <w:t>Interest rates, as of September 25, 2022 (1)</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4.26 %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5.13 %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Principal maturity date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April 2026</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May 2025</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April 2029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20" w:lineRule="exact"/>
        <w:rPr>
          <w:sz w:val="20"/>
          <w:szCs w:val="20"/>
          <w:color w:val="auto"/>
        </w:rPr>
      </w:pPr>
    </w:p>
    <w:p>
      <w:pPr>
        <w:ind w:left="620" w:hanging="617"/>
        <w:spacing w:after="0"/>
        <w:tabs>
          <w:tab w:leader="none" w:pos="6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Interest rate for revolving credit facility represents the weighted average interest rate as of September 25, 2022.</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As of September 25, 2022, we had $560.0 million in available unused borrowing capacity under our revolving credit facility, net of letters of credit of $20.0 million.</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Credit Agreement Amendment - </w:t>
      </w:r>
      <w:r>
        <w:rPr>
          <w:rFonts w:ascii="Arial" w:cs="Arial" w:eastAsia="Arial" w:hAnsi="Arial"/>
          <w:sz w:val="18"/>
          <w:szCs w:val="18"/>
          <w:color w:val="auto"/>
        </w:rPr>
        <w:t>On April 26, 2022, we and OSI entered into the Amended Credit Agreement, which included an increase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revolving credit facility from $800.0 million to $1.0 billion and a transition from LIBOR to SOFR as the benchmark rate for purposes of calculating interest under the Senior Secured Credit Facility. At closing, an incremental $192.5 million was drawn on the revolving credit facility to fully repay the outstanding balance of Term loan A. Our total indebtedness remained unchanged as a result of the Amended Credit Agreement. The transition to SOFR did not materially impact the interest rate applied to our borrowings.</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 xml:space="preserve">See Note 7 - </w:t>
      </w:r>
      <w:r>
        <w:rPr>
          <w:rFonts w:ascii="Arial" w:cs="Arial" w:eastAsia="Arial" w:hAnsi="Arial"/>
          <w:sz w:val="19"/>
          <w:szCs w:val="19"/>
          <w:i w:val="1"/>
          <w:iCs w:val="1"/>
          <w:color w:val="auto"/>
        </w:rPr>
        <w:t>Long-term Debt, Net</w:t>
      </w:r>
      <w:r>
        <w:rPr>
          <w:rFonts w:ascii="Arial" w:cs="Arial" w:eastAsia="Arial" w:hAnsi="Arial"/>
          <w:sz w:val="19"/>
          <w:szCs w:val="19"/>
          <w:color w:val="auto"/>
        </w:rPr>
        <w:t xml:space="preserve"> of the Notes to Consolidated Financial Statements for additional details regarding the Amended Credit Agreement.</w:t>
      </w:r>
    </w:p>
    <w:p>
      <w:pPr>
        <w:spacing w:after="0" w:line="177"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 xml:space="preserve">Our Amended Credit Agreement contains various financial and non-financial covenants. A violation of these covenants could negatively impact our liquidity by restricting our ability to borrow under the revolving credit facility and cause an acceleration of the amounts due under the credit facilities. See Note 13 - </w:t>
      </w:r>
      <w:r>
        <w:rPr>
          <w:rFonts w:ascii="Arial" w:cs="Arial" w:eastAsia="Arial" w:hAnsi="Arial"/>
          <w:sz w:val="17"/>
          <w:szCs w:val="17"/>
          <w:i w:val="1"/>
          <w:iCs w:val="1"/>
          <w:color w:val="auto"/>
        </w:rPr>
        <w:t>Long-term Debt, Net</w:t>
      </w:r>
      <w:r>
        <w:rPr>
          <w:rFonts w:ascii="Arial" w:cs="Arial" w:eastAsia="Arial" w:hAnsi="Arial"/>
          <w:sz w:val="17"/>
          <w:szCs w:val="17"/>
          <w:color w:val="auto"/>
        </w:rPr>
        <w:t xml:space="preserve"> in our Annual Report on Form 10-K for the year ended December 26, 2021 for further information.</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As of September 25, 2022 and December 26, 2021, we were in compliance with our debt covenants. We believe that we will remain in compliance with our debt covenants during the next 12 months.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i w:val="1"/>
          <w:iCs w:val="1"/>
          <w:color w:val="auto"/>
        </w:rPr>
        <w:t xml:space="preserve">2025 Notes Partial Repurchase </w:t>
      </w:r>
      <w:r>
        <w:rPr>
          <w:rFonts w:ascii="Arial" w:cs="Arial" w:eastAsia="Arial" w:hAnsi="Arial"/>
          <w:sz w:val="19"/>
          <w:szCs w:val="19"/>
          <w:color w:val="auto"/>
        </w:rPr>
        <w:t>- On May 25, 2022, we and the Noteholders entered into the Exchange Agreements in which the Noteholders agreed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 exchange $125.0 million in aggregate principal amount of our outstanding 2025 Notes for $196.9 million in cash, plus accrued interest, and approximately 2.3 million shares of our common stock. </w:t>
      </w:r>
      <w:r>
        <w:rPr>
          <w:rFonts w:ascii="Arial" w:cs="Arial" w:eastAsia="Arial" w:hAnsi="Arial"/>
          <w:sz w:val="19"/>
          <w:szCs w:val="19"/>
          <w:color w:val="252525"/>
        </w:rPr>
        <w:t>In connection with the</w:t>
      </w:r>
      <w:r>
        <w:rPr>
          <w:rFonts w:ascii="Arial" w:cs="Arial" w:eastAsia="Arial" w:hAnsi="Arial"/>
          <w:sz w:val="19"/>
          <w:szCs w:val="19"/>
          <w:color w:val="auto"/>
        </w:rPr>
        <w:t xml:space="preserve"> 2025 Notes Partial Repurchase, we entered into the Note Hedge Early Termination Agreements and the Warrant Early Termination Agreements. Upon settlement, we received $131.9 million for the Note Hedge Early Termination Agreements and paid $114.8 million for the Warrant Early Termination Agreements during the thirty-nine weeks ended September 25, 2022.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See Note 8 - </w:t>
      </w:r>
      <w:r>
        <w:rPr>
          <w:rFonts w:ascii="Arial" w:cs="Arial" w:eastAsia="Arial" w:hAnsi="Arial"/>
          <w:sz w:val="19"/>
          <w:szCs w:val="19"/>
          <w:i w:val="1"/>
          <w:iCs w:val="1"/>
          <w:color w:val="auto"/>
        </w:rPr>
        <w:t>Convertible Senior Notes</w:t>
      </w:r>
      <w:r>
        <w:rPr>
          <w:rFonts w:ascii="Arial" w:cs="Arial" w:eastAsia="Arial" w:hAnsi="Arial"/>
          <w:sz w:val="19"/>
          <w:szCs w:val="19"/>
          <w:color w:val="auto"/>
        </w:rPr>
        <w:t xml:space="preserve"> of the Notes to Consolidated Financial Statements for additional details regarding the 2025 Notes Partial Repurchase and related Note Hedge Early Termination Agreements and Warrant Early Termination Agreements.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Use of Cash</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Cash flows generated from operating activities and availability under our revolving credit facility are our principal sources of liquidity, which we use for operating expenses, debt payments, share repurchases and dividend payments, development of new restaurants, remodeling or relocating older restaurants and investment in technology.</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Capital Expenditures </w:t>
      </w:r>
      <w:r>
        <w:rPr>
          <w:rFonts w:ascii="Arial" w:cs="Arial" w:eastAsia="Arial" w:hAnsi="Arial"/>
          <w:sz w:val="19"/>
          <w:szCs w:val="19"/>
          <w:color w:val="auto"/>
        </w:rPr>
        <w:t>- We estimate that our capital expenditures will total approximately $200 million to $210 million in 2022. The amount of</w:t>
      </w:r>
      <w:r>
        <w:rPr>
          <w:rFonts w:ascii="Arial" w:cs="Arial" w:eastAsia="Arial" w:hAnsi="Arial"/>
          <w:sz w:val="19"/>
          <w:szCs w:val="19"/>
          <w:i w:val="1"/>
          <w:iCs w:val="1"/>
          <w:color w:val="auto"/>
        </w:rPr>
        <w:t xml:space="preserve"> </w:t>
      </w:r>
      <w:r>
        <w:rPr>
          <w:rFonts w:ascii="Arial" w:cs="Arial" w:eastAsia="Arial" w:hAnsi="Arial"/>
          <w:sz w:val="19"/>
          <w:szCs w:val="19"/>
          <w:color w:val="auto"/>
        </w:rPr>
        <w:t>actual capital expenditures may be affected by general economic, financial, competitive, legislative and regulatory factors, among other things, including raw material constraints.</w:t>
      </w:r>
    </w:p>
    <w:p>
      <w:pPr>
        <w:spacing w:after="0" w:line="20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i w:val="1"/>
          <w:iCs w:val="1"/>
          <w:color w:val="auto"/>
        </w:rPr>
        <w:t xml:space="preserve">Dividends and Share Repurchases </w:t>
      </w:r>
      <w:r>
        <w:rPr>
          <w:rFonts w:ascii="Arial" w:cs="Arial" w:eastAsia="Arial" w:hAnsi="Arial"/>
          <w:sz w:val="18"/>
          <w:szCs w:val="18"/>
          <w:color w:val="auto"/>
        </w:rPr>
        <w:t>- In October 2022, our Board declared a quarterly cash dividend of $0.14 per share, payable on November 23,</w:t>
      </w:r>
      <w:r>
        <w:rPr>
          <w:rFonts w:ascii="Arial" w:cs="Arial" w:eastAsia="Arial" w:hAnsi="Arial"/>
          <w:sz w:val="18"/>
          <w:szCs w:val="18"/>
          <w:i w:val="1"/>
          <w:iCs w:val="1"/>
          <w:color w:val="auto"/>
        </w:rPr>
        <w:t xml:space="preserve"> </w:t>
      </w:r>
      <w:r>
        <w:rPr>
          <w:rFonts w:ascii="Arial" w:cs="Arial" w:eastAsia="Arial" w:hAnsi="Arial"/>
          <w:sz w:val="18"/>
          <w:szCs w:val="18"/>
          <w:color w:val="auto"/>
        </w:rPr>
        <w:t>2022. Future dividend payments are dependent on our earnings, financial condition, capital expenditure requirements, surplus and other factors that our Board considers relevant, as well as continued compliance with the financial covenants in our debt agreements.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On February 8, 2022, our Board approved the 2022 Share Repurchase Program under which we are authorized to repurchase up to $125.0 million of our outstanding common stock. The 2022 Share Repurchase Program will expire on August 9, 2023. As of September 25, 2022, we had $44.0 million remaining available for repurchase under the 2022 Share Repurchase Program.</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dividends and share repurchases from fiscal year 2015 through September 25,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DIVIDENDS PAID</w:t>
            </w:r>
          </w:p>
        </w:tc>
        <w:tc>
          <w:tcPr>
            <w:tcW w:w="1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SHARE REPURCHASES</w:t>
            </w:r>
          </w:p>
        </w:tc>
        <w:tc>
          <w:tcPr>
            <w:tcW w:w="360" w:type="dxa"/>
            <w:vAlign w:val="bottom"/>
          </w:tcPr>
          <w:p>
            <w:pPr>
              <w:spacing w:after="0"/>
              <w:rPr>
                <w:sz w:val="18"/>
                <w:szCs w:val="18"/>
                <w:color w:val="auto"/>
              </w:rPr>
            </w:pPr>
          </w:p>
        </w:tc>
        <w:tc>
          <w:tcPr>
            <w:tcW w:w="1380" w:type="dxa"/>
            <w:vAlign w:val="bottom"/>
          </w:tcPr>
          <w:p>
            <w:pPr>
              <w:jc w:val="right"/>
              <w:ind w:right="563"/>
              <w:spacing w:after="0"/>
              <w:rPr>
                <w:sz w:val="20"/>
                <w:szCs w:val="20"/>
                <w:color w:val="auto"/>
              </w:rPr>
            </w:pPr>
            <w:r>
              <w:rPr>
                <w:rFonts w:ascii="Arial" w:cs="Arial" w:eastAsia="Arial" w:hAnsi="Arial"/>
                <w:sz w:val="14"/>
                <w:szCs w:val="14"/>
                <w:b w:val="1"/>
                <w:bCs w:val="1"/>
                <w:color w:val="auto"/>
              </w:rPr>
              <w:t>TOTAL</w:t>
            </w:r>
          </w:p>
        </w:tc>
      </w:tr>
      <w:tr>
        <w:trPr>
          <w:trHeight w:val="206"/>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Fiscal year 2015</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169,999</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199,331</w:t>
            </w: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Fiscal year 2016</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31,379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309,887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341,266</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Fiscal year 2017</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272,736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303,724</w:t>
            </w: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Fiscal year 2018</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33,312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113,967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147,279</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Fiscal year 2019</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142,726</w:t>
            </w: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Fiscal year 2020</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17,480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17,480</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Fiscal year 2021</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5780" w:type="dxa"/>
            <w:vAlign w:val="bottom"/>
          </w:tcPr>
          <w:p>
            <w:pPr>
              <w:ind w:left="20"/>
              <w:spacing w:after="0"/>
              <w:rPr>
                <w:sz w:val="20"/>
                <w:szCs w:val="20"/>
                <w:color w:val="auto"/>
              </w:rPr>
            </w:pPr>
            <w:r>
              <w:rPr>
                <w:rFonts w:ascii="Arial" w:cs="Arial" w:eastAsia="Arial" w:hAnsi="Arial"/>
                <w:sz w:val="15"/>
                <w:szCs w:val="15"/>
                <w:color w:val="auto"/>
              </w:rPr>
              <w:t>First fiscal quarter 2022</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12,559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11,702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24,261</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Second fiscal quarter 2022</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48,167</w:t>
            </w:r>
          </w:p>
        </w:tc>
      </w:tr>
      <w:tr>
        <w:trPr>
          <w:trHeight w:val="212"/>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Third fiscal quarter 2022</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12,475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33,549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46,024</w:t>
            </w:r>
          </w:p>
        </w:tc>
      </w:tr>
      <w:tr>
        <w:trPr>
          <w:trHeight w:val="231"/>
        </w:trPr>
        <w:tc>
          <w:tcPr>
            <w:tcW w:w="5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(1)</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215,677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1,054,581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1,270,258</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w:t>
      </w:r>
    </w:p>
    <w:p>
      <w:pPr>
        <w:spacing w:after="0" w:line="20" w:lineRule="exact"/>
        <w:rPr>
          <w:sz w:val="20"/>
          <w:szCs w:val="20"/>
          <w:color w:val="auto"/>
        </w:rPr>
      </w:pPr>
    </w:p>
    <w:p>
      <w:pPr>
        <w:ind w:left="620" w:hanging="617"/>
        <w:spacing w:after="0"/>
        <w:tabs>
          <w:tab w:leader="none" w:pos="6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Subsequent to September 25, 2022, we repurchased $13.8 million of our common stock under a Rule 10b5-1 plan through October 28, 2022.</w:t>
      </w:r>
    </w:p>
    <w:p>
      <w:pPr>
        <w:spacing w:after="0" w:line="23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Deferred Compensation Programs - </w:t>
      </w:r>
      <w:r>
        <w:rPr>
          <w:rFonts w:ascii="Arial" w:cs="Arial" w:eastAsia="Arial" w:hAnsi="Arial"/>
          <w:sz w:val="18"/>
          <w:szCs w:val="18"/>
          <w:color w:val="auto"/>
        </w:rPr>
        <w:t>The deferred compensation obligation due to managing and chef partners was $5.2 million and $15.5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of September 25, 2022 and December 26, 2021, respectively. We invest in various corporate-owned life insurance policies, which are held within an irrevocable grantor or rabbi trust account for settlement of our obligations under the deferred compensation plans. The obligation for managing and chef partners’ deferred compensation was fully funded as of September 25, 2022.</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Summary of Cash Flows and Financial Condition</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Cash Flows </w:t>
      </w:r>
      <w:r>
        <w:rPr>
          <w:rFonts w:ascii="Arial" w:cs="Arial" w:eastAsia="Arial" w:hAnsi="Arial"/>
          <w:sz w:val="19"/>
          <w:szCs w:val="19"/>
          <w:color w:val="auto"/>
        </w:rPr>
        <w:t>- The following table presents a summary of our cash flows provided by (used in) operating, investing and financing activities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4"/>
          </w:tcPr>
          <w:p>
            <w:pPr>
              <w:jc w:val="right"/>
              <w:ind w:right="50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8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0" w:type="dxa"/>
            <w:vAlign w:val="bottom"/>
            <w:tcBorders>
              <w:bottom w:val="single" w:sz="8" w:color="auto"/>
            </w:tcBorders>
            <w:gridSpan w:val="3"/>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8120" w:type="dxa"/>
            <w:vAlign w:val="bottom"/>
            <w:vMerge w:val="continue"/>
          </w:tcPr>
          <w:p>
            <w:pPr>
              <w:spacing w:after="0"/>
              <w:rPr>
                <w:sz w:val="17"/>
                <w:szCs w:val="17"/>
                <w:color w:val="auto"/>
              </w:rPr>
            </w:pP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25, 2022</w:t>
            </w:r>
          </w:p>
        </w:tc>
        <w:tc>
          <w:tcPr>
            <w:tcW w:w="152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7"/>
              </w:rPr>
              <w:t>SEPTEMBER 26, 2021</w:t>
            </w:r>
          </w:p>
        </w:tc>
        <w:tc>
          <w:tcPr>
            <w:tcW w:w="0" w:type="dxa"/>
            <w:vAlign w:val="bottom"/>
          </w:tcPr>
          <w:p>
            <w:pPr>
              <w:spacing w:after="0"/>
              <w:rPr>
                <w:sz w:val="1"/>
                <w:szCs w:val="1"/>
                <w:color w:val="auto"/>
              </w:rPr>
            </w:pPr>
          </w:p>
        </w:tc>
      </w:tr>
      <w:tr>
        <w:trPr>
          <w:trHeight w:val="206"/>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292,579</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304,246</w:t>
            </w:r>
          </w:p>
        </w:tc>
        <w:tc>
          <w:tcPr>
            <w:tcW w:w="0" w:type="dxa"/>
            <w:vAlign w:val="bottom"/>
          </w:tcPr>
          <w:p>
            <w:pPr>
              <w:spacing w:after="0"/>
              <w:rPr>
                <w:sz w:val="1"/>
                <w:szCs w:val="1"/>
                <w:color w:val="auto"/>
              </w:rPr>
            </w:pPr>
          </w:p>
        </w:tc>
      </w:tr>
      <w:tr>
        <w:trPr>
          <w:trHeight w:val="203"/>
        </w:trPr>
        <w:tc>
          <w:tcPr>
            <w:tcW w:w="812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(121,455)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(69,085)</w:t>
            </w: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(170,760)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(265,192)</w:t>
            </w:r>
          </w:p>
        </w:tc>
        <w:tc>
          <w:tcPr>
            <w:tcW w:w="0" w:type="dxa"/>
            <w:vAlign w:val="bottom"/>
          </w:tcPr>
          <w:p>
            <w:pPr>
              <w:spacing w:after="0"/>
              <w:rPr>
                <w:sz w:val="1"/>
                <w:szCs w:val="1"/>
                <w:color w:val="auto"/>
              </w:rPr>
            </w:pPr>
          </w:p>
        </w:tc>
      </w:tr>
      <w:tr>
        <w:trPr>
          <w:trHeight w:val="199"/>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(29,824)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304"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 The decrease in net cash provided by operating activities during the thirty-nine weeks ended September 25, 2022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thirty-nine weeks ended September 26, 2021 was primarily due to the timing of operational payments and receipts and increased employee compensation payments, partially offset by lapping cash paid in connection with the Carrabba’s Italian Grill royalty termination during 2021.</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i w:val="1"/>
          <w:iCs w:val="1"/>
          <w:color w:val="auto"/>
        </w:rPr>
        <w:t xml:space="preserve">Investing activities - </w:t>
      </w:r>
      <w:r>
        <w:rPr>
          <w:rFonts w:ascii="Arial" w:cs="Arial" w:eastAsia="Arial" w:hAnsi="Arial"/>
          <w:sz w:val="19"/>
          <w:szCs w:val="19"/>
          <w:color w:val="auto"/>
        </w:rPr>
        <w:t>The increase in net cash used in investing activities during the thirty-nine weeks ended September 25, 2022 as compared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thirty-nine weeks ended September 26, 2021 was primarily due to higher capital expenditures.</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i w:val="1"/>
          <w:iCs w:val="1"/>
          <w:color w:val="auto"/>
        </w:rPr>
        <w:t xml:space="preserve">Financing activities - </w:t>
      </w:r>
      <w:r>
        <w:rPr>
          <w:rFonts w:ascii="Arial" w:cs="Arial" w:eastAsia="Arial" w:hAnsi="Arial"/>
          <w:sz w:val="19"/>
          <w:szCs w:val="19"/>
          <w:color w:val="auto"/>
        </w:rPr>
        <w:t>The decrease in net cash used in financing activities during the thirty-nine weeks ended September 25, 2022 as compared the</w:t>
      </w:r>
      <w:r>
        <w:rPr>
          <w:rFonts w:ascii="Arial" w:cs="Arial" w:eastAsia="Arial" w:hAnsi="Arial"/>
          <w:sz w:val="19"/>
          <w:szCs w:val="19"/>
          <w:i w:val="1"/>
          <w:iCs w:val="1"/>
          <w:color w:val="auto"/>
        </w:rPr>
        <w:t xml:space="preserve"> </w:t>
      </w:r>
      <w:r>
        <w:rPr>
          <w:rFonts w:ascii="Arial" w:cs="Arial" w:eastAsia="Arial" w:hAnsi="Arial"/>
          <w:sz w:val="19"/>
          <w:szCs w:val="19"/>
          <w:color w:val="auto"/>
        </w:rPr>
        <w:t>thirty-nine weeks ended September 26, 2021 was primarily due to net draws on the revolving credit facility during 2022, generally used to settle debt obligations in excess of the principal balance due in connection with the 2025 Notes Partial Repurchase, partially offset by the repurchase of common stock and payment of cash dividends on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Condition </w:t>
      </w:r>
      <w:r>
        <w:rPr>
          <w:rFonts w:ascii="Arial" w:cs="Arial" w:eastAsia="Arial" w:hAnsi="Arial"/>
          <w:sz w:val="18"/>
          <w:szCs w:val="18"/>
          <w:color w:val="auto"/>
        </w:rPr>
        <w:t>- Following is a summary of our current assets, current liabilities and working capital (deficit) as of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25, 2022</w:t>
            </w:r>
          </w:p>
        </w:tc>
        <w:tc>
          <w:tcPr>
            <w:tcW w:w="200" w:type="dxa"/>
            <w:vAlign w:val="bottom"/>
          </w:tcPr>
          <w:p>
            <w:pPr>
              <w:spacing w:after="0"/>
              <w:rPr>
                <w:sz w:val="18"/>
                <w:szCs w:val="18"/>
                <w:color w:val="auto"/>
              </w:rPr>
            </w:pPr>
          </w:p>
        </w:tc>
        <w:tc>
          <w:tcPr>
            <w:tcW w:w="1760" w:type="dxa"/>
            <w:vAlign w:val="bottom"/>
          </w:tcPr>
          <w:p>
            <w:pPr>
              <w:ind w:left="120"/>
              <w:spacing w:after="0"/>
              <w:rPr>
                <w:sz w:val="20"/>
                <w:szCs w:val="20"/>
                <w:color w:val="auto"/>
              </w:rPr>
            </w:pPr>
            <w:r>
              <w:rPr>
                <w:rFonts w:ascii="Arial" w:cs="Arial" w:eastAsia="Arial" w:hAnsi="Arial"/>
                <w:sz w:val="14"/>
                <w:szCs w:val="14"/>
                <w:b w:val="1"/>
                <w:bCs w:val="1"/>
                <w:color w:val="auto"/>
              </w:rPr>
              <w:t>DECEMBER 26, 2021</w:t>
            </w:r>
          </w:p>
        </w:tc>
      </w:tr>
      <w:tr>
        <w:trPr>
          <w:trHeight w:val="206"/>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center"/>
              <w:ind w:left="1065"/>
              <w:spacing w:after="0"/>
              <w:rPr>
                <w:sz w:val="20"/>
                <w:szCs w:val="20"/>
                <w:color w:val="auto"/>
              </w:rPr>
            </w:pPr>
            <w:r>
              <w:rPr>
                <w:rFonts w:ascii="Arial" w:cs="Arial" w:eastAsia="Arial" w:hAnsi="Arial"/>
                <w:sz w:val="15"/>
                <w:szCs w:val="15"/>
                <w:color w:val="auto"/>
                <w:w w:val="92"/>
              </w:rPr>
              <w:t>275,710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center"/>
              <w:ind w:left="1065"/>
              <w:spacing w:after="0"/>
              <w:rPr>
                <w:sz w:val="20"/>
                <w:szCs w:val="20"/>
                <w:color w:val="auto"/>
              </w:rPr>
            </w:pPr>
            <w:r>
              <w:rPr>
                <w:rFonts w:ascii="Arial" w:cs="Arial" w:eastAsia="Arial" w:hAnsi="Arial"/>
                <w:sz w:val="15"/>
                <w:szCs w:val="15"/>
                <w:color w:val="auto"/>
                <w:w w:val="92"/>
              </w:rPr>
              <w:t>352,792</w:t>
            </w:r>
          </w:p>
        </w:tc>
      </w:tr>
      <w:tr>
        <w:trPr>
          <w:trHeight w:val="21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1065"/>
              <w:spacing w:after="0"/>
              <w:rPr>
                <w:sz w:val="20"/>
                <w:szCs w:val="20"/>
                <w:color w:val="auto"/>
              </w:rPr>
            </w:pPr>
            <w:r>
              <w:rPr>
                <w:rFonts w:ascii="Arial" w:cs="Arial" w:eastAsia="Arial" w:hAnsi="Arial"/>
                <w:sz w:val="15"/>
                <w:szCs w:val="15"/>
                <w:color w:val="auto"/>
                <w:w w:val="92"/>
              </w:rPr>
              <w:t>911,322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1065"/>
              <w:spacing w:after="0"/>
              <w:rPr>
                <w:sz w:val="20"/>
                <w:szCs w:val="20"/>
                <w:color w:val="auto"/>
              </w:rPr>
            </w:pPr>
            <w:r>
              <w:rPr>
                <w:rFonts w:ascii="Arial" w:cs="Arial" w:eastAsia="Arial" w:hAnsi="Arial"/>
                <w:sz w:val="15"/>
                <w:szCs w:val="15"/>
                <w:color w:val="auto"/>
                <w:w w:val="92"/>
              </w:rPr>
              <w:t>984,625</w:t>
            </w:r>
          </w:p>
        </w:tc>
      </w:tr>
      <w:tr>
        <w:trPr>
          <w:trHeight w:val="231"/>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Working capital (deficit)</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center"/>
              <w:ind w:left="1045"/>
              <w:spacing w:after="0"/>
              <w:rPr>
                <w:sz w:val="20"/>
                <w:szCs w:val="20"/>
                <w:color w:val="auto"/>
              </w:rPr>
            </w:pPr>
            <w:r>
              <w:rPr>
                <w:rFonts w:ascii="Arial" w:cs="Arial" w:eastAsia="Arial" w:hAnsi="Arial"/>
                <w:sz w:val="15"/>
                <w:szCs w:val="15"/>
                <w:color w:val="auto"/>
                <w:w w:val="93"/>
              </w:rPr>
              <w:t>(635,612)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center"/>
              <w:ind w:left="1045"/>
              <w:spacing w:after="0"/>
              <w:rPr>
                <w:sz w:val="20"/>
                <w:szCs w:val="20"/>
                <w:color w:val="auto"/>
              </w:rPr>
            </w:pPr>
            <w:r>
              <w:rPr>
                <w:rFonts w:ascii="Arial" w:cs="Arial" w:eastAsia="Arial" w:hAnsi="Arial"/>
                <w:sz w:val="15"/>
                <w:szCs w:val="15"/>
                <w:color w:val="auto"/>
                <w:w w:val="93"/>
              </w:rPr>
              <w:t>(631,833)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Working capital (deficit) includes: (i) Unearned revenue primarily from unredeemed gift cards of $291.8 million and $398.8 million as of September 25, 2022 and December 26, 2021, respectively, and (ii) current operating lease liabilities of $181.4 million and $177.0 million as of September 25, 2022 and December 26, 2021,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Recently Issued Financial Accounting Standards</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For a description of recently issued Financial Accounting Standards that we adopted during the thirty-nine weeks ended September 25, 2022 and, that are applicable to us and likely to have material effect on our consolidated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BLOOMIN’ BRANDS,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MANAGEMENT’S DISCUSSION AND ANALYSIS OF</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315"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 xml:space="preserve">financial statements, but have not yet been adopted, see Note 1 - </w:t>
      </w:r>
      <w:r>
        <w:rPr>
          <w:rFonts w:ascii="Arial" w:cs="Arial" w:eastAsia="Arial" w:hAnsi="Arial"/>
          <w:sz w:val="19"/>
          <w:szCs w:val="19"/>
          <w:i w:val="1"/>
          <w:iCs w:val="1"/>
          <w:color w:val="auto"/>
        </w:rPr>
        <w:t>Description of the Business and Basis of Presentation</w:t>
      </w:r>
      <w:r>
        <w:rPr>
          <w:rFonts w:ascii="Arial" w:cs="Arial" w:eastAsia="Arial" w:hAnsi="Arial"/>
          <w:sz w:val="19"/>
          <w:szCs w:val="19"/>
          <w:color w:val="auto"/>
        </w:rPr>
        <w:t xml:space="preserve"> of the Notes to Consolidated Financial Statements of this Quarterly Report on Form 10-Q.</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Quantitative and Qualitative Disclosures about Market Risk</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We are exposed to market risk from changes in interest rates, changes in foreign currency exchange rates and changes in commodity prices. We believe that there have been no material changes in our market risk since December 26, 2021. See Part II, Item 7A., “Quantitative and Qualitative Disclosures about Market Risk,” in our Annual Report on Form 10-K for the year ended December 26, 2021 for further information regarding market risk.</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Controls and Procedures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Securities Exchange Act of 1934, as amended (the “Exchange Act”)) as of the end of the period covered by this report. Based on that evaluation, the Chief Executive Officer and Chief Financial Officer concluded that our disclosure controls and procedures were effective as of September 25, 2022.</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There have been no changes in our internal control over financial reporting (as defined in Rule 13a-15(f) under the Exchange Act) during the thirteen weeks ended September 25,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 OTHER INFORMATION</w:t>
      </w:r>
    </w:p>
    <w:p>
      <w:pPr>
        <w:spacing w:after="0" w:line="24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 xml:space="preserve">For a description of our legal proceedings, see Note 15 - </w:t>
      </w:r>
      <w:r>
        <w:rPr>
          <w:rFonts w:ascii="Arial" w:cs="Arial" w:eastAsia="Arial" w:hAnsi="Arial"/>
          <w:sz w:val="19"/>
          <w:szCs w:val="19"/>
          <w:i w:val="1"/>
          <w:iCs w:val="1"/>
          <w:color w:val="auto"/>
        </w:rPr>
        <w:t>Commitments and Contingencies</w:t>
      </w:r>
      <w:r>
        <w:rPr>
          <w:rFonts w:ascii="Arial" w:cs="Arial" w:eastAsia="Arial" w:hAnsi="Arial"/>
          <w:sz w:val="19"/>
          <w:szCs w:val="19"/>
          <w:color w:val="auto"/>
        </w:rPr>
        <w:t xml:space="preserve"> of the Notes to Consolidated Financial Statements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In addition to the other information discussed in this report, please consider the factors described in Part I, Item 1A., “Risk Factors,” in our 2021 Form 10-K which could materially affect our business, financial condition or future results. There have not been any material changes to the risk factors described in our 2021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sales of equity securities during the thirteen weeks ended September 25, 2022 that were not registered under the Securities Act.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purchases of common stock during the thirteen weeks ended September 25,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8"/>
              </w:rPr>
              <w:t>TOTAL 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APPROXIMATE DOLLAR</w:t>
            </w:r>
          </w:p>
        </w:tc>
        <w:tc>
          <w:tcPr>
            <w:tcW w:w="0" w:type="dxa"/>
            <w:vAlign w:val="bottom"/>
          </w:tcPr>
          <w:p>
            <w:pPr>
              <w:spacing w:after="0"/>
              <w:rPr>
                <w:sz w:val="1"/>
                <w:szCs w:val="1"/>
                <w:color w:val="auto"/>
              </w:rPr>
            </w:pPr>
          </w:p>
        </w:tc>
      </w:tr>
      <w:tr>
        <w:trPr>
          <w:trHeight w:val="132"/>
        </w:trPr>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SHARES PURCHASED AS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jc w:val="center"/>
              <w:ind w:right="28"/>
              <w:spacing w:after="0" w:line="133" w:lineRule="exact"/>
              <w:rPr>
                <w:sz w:val="20"/>
                <w:szCs w:val="20"/>
                <w:color w:val="auto"/>
              </w:rPr>
            </w:pPr>
            <w:r>
              <w:rPr>
                <w:rFonts w:ascii="Arial" w:cs="Arial" w:eastAsia="Arial" w:hAnsi="Arial"/>
                <w:sz w:val="14"/>
                <w:szCs w:val="14"/>
                <w:b w:val="1"/>
                <w:bCs w:val="1"/>
                <w:color w:val="auto"/>
                <w:w w:val="96"/>
              </w:rPr>
              <w:t>VALUE OF SHARES THAT</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PART OF PUBLICLY</w:t>
            </w:r>
          </w:p>
        </w:tc>
        <w:tc>
          <w:tcPr>
            <w:tcW w:w="100" w:type="dxa"/>
            <w:vAlign w:val="bottom"/>
          </w:tcPr>
          <w:p>
            <w:pPr>
              <w:spacing w:after="0"/>
              <w:rPr>
                <w:sz w:val="12"/>
                <w:szCs w:val="12"/>
                <w:color w:val="auto"/>
              </w:rPr>
            </w:pPr>
          </w:p>
        </w:tc>
        <w:tc>
          <w:tcPr>
            <w:tcW w:w="19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MAY YET BE PURCHASED</w:t>
            </w:r>
          </w:p>
        </w:tc>
        <w:tc>
          <w:tcPr>
            <w:tcW w:w="0" w:type="dxa"/>
            <w:vAlign w:val="bottom"/>
          </w:tcPr>
          <w:p>
            <w:pPr>
              <w:spacing w:after="0"/>
              <w:rPr>
                <w:sz w:val="1"/>
                <w:szCs w:val="1"/>
                <w:color w:val="auto"/>
              </w:rPr>
            </w:pPr>
          </w:p>
        </w:tc>
      </w:tr>
      <w:tr>
        <w:trPr>
          <w:trHeight w:val="138"/>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REPORTING PERIOD</w:t>
            </w:r>
          </w:p>
        </w:tc>
        <w:tc>
          <w:tcPr>
            <w:tcW w:w="100" w:type="dxa"/>
            <w:vAlign w:val="bottom"/>
            <w:vMerge w:val="restart"/>
          </w:tcPr>
          <w:p>
            <w:pPr>
              <w:spacing w:after="0"/>
              <w:rPr>
                <w:sz w:val="12"/>
                <w:szCs w:val="12"/>
                <w:color w:val="auto"/>
              </w:rPr>
            </w:pP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ANNOUNCED PLANS 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w w:val="97"/>
              </w:rPr>
              <w:t>UNDER THE PLANS OR</w:t>
            </w:r>
          </w:p>
        </w:tc>
        <w:tc>
          <w:tcPr>
            <w:tcW w:w="0" w:type="dxa"/>
            <w:vAlign w:val="bottom"/>
          </w:tcPr>
          <w:p>
            <w:pPr>
              <w:spacing w:after="0"/>
              <w:rPr>
                <w:sz w:val="1"/>
                <w:szCs w:val="1"/>
                <w:color w:val="auto"/>
              </w:rPr>
            </w:pPr>
          </w:p>
        </w:tc>
      </w:tr>
      <w:tr>
        <w:trPr>
          <w:trHeight w:val="206"/>
        </w:trPr>
        <w:tc>
          <w:tcPr>
            <w:tcW w:w="3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PROGRAMS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PROGRAMS (1)</w:t>
            </w:r>
          </w:p>
        </w:tc>
        <w:tc>
          <w:tcPr>
            <w:tcW w:w="0" w:type="dxa"/>
            <w:vAlign w:val="bottom"/>
          </w:tcPr>
          <w:p>
            <w:pPr>
              <w:spacing w:after="0"/>
              <w:rPr>
                <w:sz w:val="1"/>
                <w:szCs w:val="1"/>
                <w:color w:val="auto"/>
              </w:rPr>
            </w:pPr>
          </w:p>
        </w:tc>
      </w:tr>
      <w:tr>
        <w:trPr>
          <w:trHeight w:val="199"/>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June 27, 2022 through July 24, 2022</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712,969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17.32</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712,969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65,201,059</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5"/>
                <w:szCs w:val="15"/>
                <w:color w:val="auto"/>
              </w:rPr>
              <w:t>July 25, 2022 through August 21, 2022</w:t>
            </w:r>
          </w:p>
        </w:tc>
        <w:tc>
          <w:tcPr>
            <w:tcW w:w="1800" w:type="dxa"/>
            <w:vAlign w:val="bottom"/>
          </w:tcPr>
          <w:p>
            <w:pPr>
              <w:jc w:val="right"/>
              <w:spacing w:after="0"/>
              <w:rPr>
                <w:sz w:val="20"/>
                <w:szCs w:val="20"/>
                <w:color w:val="auto"/>
              </w:rPr>
            </w:pPr>
            <w:r>
              <w:rPr>
                <w:rFonts w:ascii="Arial" w:cs="Arial" w:eastAsia="Arial" w:hAnsi="Arial"/>
                <w:sz w:val="15"/>
                <w:szCs w:val="15"/>
                <w:color w:val="auto"/>
              </w:rPr>
              <w:t>493,395</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
              <w:spacing w:after="0"/>
              <w:rPr>
                <w:sz w:val="20"/>
                <w:szCs w:val="20"/>
                <w:color w:val="auto"/>
              </w:rPr>
            </w:pPr>
            <w:r>
              <w:rPr>
                <w:rFonts w:ascii="Arial" w:cs="Arial" w:eastAsia="Arial" w:hAnsi="Arial"/>
                <w:sz w:val="15"/>
                <w:szCs w:val="15"/>
                <w:color w:val="auto"/>
              </w:rPr>
              <w:t>20.68</w:t>
            </w: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493,395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820" w:type="dxa"/>
            <w:vAlign w:val="bottom"/>
          </w:tcPr>
          <w:p>
            <w:pPr>
              <w:jc w:val="right"/>
              <w:spacing w:after="0"/>
              <w:rPr>
                <w:sz w:val="20"/>
                <w:szCs w:val="20"/>
                <w:color w:val="auto"/>
              </w:rPr>
            </w:pPr>
            <w:r>
              <w:rPr>
                <w:rFonts w:ascii="Arial" w:cs="Arial" w:eastAsia="Arial" w:hAnsi="Arial"/>
                <w:sz w:val="15"/>
                <w:szCs w:val="15"/>
                <w:color w:val="auto"/>
              </w:rPr>
              <w:t>55,000,002</w:t>
            </w:r>
          </w:p>
        </w:tc>
        <w:tc>
          <w:tcPr>
            <w:tcW w:w="0" w:type="dxa"/>
            <w:vAlign w:val="bottom"/>
          </w:tcPr>
          <w:p>
            <w:pPr>
              <w:spacing w:after="0"/>
              <w:rPr>
                <w:sz w:val="1"/>
                <w:szCs w:val="1"/>
                <w:color w:val="auto"/>
              </w:rPr>
            </w:pPr>
          </w:p>
        </w:tc>
      </w:tr>
      <w:tr>
        <w:trPr>
          <w:trHeight w:val="215"/>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August 22, 2022 through September 25, 2022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540,337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20.36</w:t>
            </w: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540,337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44,000,185</w:t>
            </w:r>
          </w:p>
        </w:tc>
        <w:tc>
          <w:tcPr>
            <w:tcW w:w="0" w:type="dxa"/>
            <w:vAlign w:val="bottom"/>
          </w:tcPr>
          <w:p>
            <w:pPr>
              <w:spacing w:after="0"/>
              <w:rPr>
                <w:sz w:val="1"/>
                <w:szCs w:val="1"/>
                <w:color w:val="auto"/>
              </w:rPr>
            </w:pPr>
          </w:p>
        </w:tc>
      </w:tr>
      <w:tr>
        <w:trPr>
          <w:trHeight w:val="206"/>
        </w:trPr>
        <w:tc>
          <w:tcPr>
            <w:tcW w:w="3980" w:type="dxa"/>
            <w:vAlign w:val="bottom"/>
            <w:gridSpan w:val="2"/>
          </w:tcPr>
          <w:p>
            <w:pPr>
              <w:ind w:left="220"/>
              <w:spacing w:after="0"/>
              <w:rPr>
                <w:sz w:val="20"/>
                <w:szCs w:val="20"/>
                <w:color w:val="auto"/>
              </w:rPr>
            </w:pPr>
            <w:r>
              <w:rPr>
                <w:rFonts w:ascii="Arial" w:cs="Arial" w:eastAsia="Arial" w:hAnsi="Arial"/>
                <w:sz w:val="15"/>
                <w:szCs w:val="15"/>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1,746,701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1,746,701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5"/>
                <w:szCs w:val="15"/>
                <w:color w:val="auto"/>
              </w:rPr>
              <w:t>____________________</w:t>
            </w: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20" w:hanging="617"/>
        <w:spacing w:after="0" w:line="280" w:lineRule="auto"/>
        <w:tabs>
          <w:tab w:leader="none" w:pos="6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On February 8, 2022, our Board of Directors authorized the repurchase of $125.0 million of our outstanding common stock as announced in our press release issued on February 18, 2022 (the “2022 Share Repurchase Program”). The 2022 Share Repurchase Program will expire on August 9, 2023.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Exhibits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gridSpan w:val="2"/>
          </w:tcPr>
          <w:p>
            <w:pPr>
              <w:ind w:left="220"/>
              <w:spacing w:after="0"/>
              <w:rPr>
                <w:sz w:val="20"/>
                <w:szCs w:val="20"/>
                <w:color w:val="auto"/>
              </w:rPr>
            </w:pPr>
            <w:r>
              <w:rPr>
                <w:rFonts w:ascii="Arial" w:cs="Arial" w:eastAsia="Arial" w:hAnsi="Arial"/>
                <w:sz w:val="15"/>
                <w:szCs w:val="15"/>
                <w:b w:val="1"/>
                <w:bCs w:val="1"/>
                <w:color w:val="auto"/>
              </w:rPr>
              <w:t>EXHIBIT</w:t>
            </w: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80" w:type="dxa"/>
            <w:vAlign w:val="bottom"/>
            <w:gridSpan w:val="9"/>
            <w:vMerge w:val="restart"/>
          </w:tcPr>
          <w:p>
            <w:pPr>
              <w:ind w:left="640"/>
              <w:spacing w:after="0"/>
              <w:rPr>
                <w:sz w:val="20"/>
                <w:szCs w:val="20"/>
                <w:color w:val="auto"/>
              </w:rPr>
            </w:pPr>
            <w:r>
              <w:rPr>
                <w:rFonts w:ascii="Arial" w:cs="Arial" w:eastAsia="Arial" w:hAnsi="Arial"/>
                <w:sz w:val="15"/>
                <w:szCs w:val="15"/>
                <w:b w:val="1"/>
                <w:bCs w:val="1"/>
                <w:color w:val="auto"/>
              </w:rPr>
              <w:t>DESCRIPTION OF EXHIBITS</w:t>
            </w:r>
          </w:p>
        </w:tc>
        <w:tc>
          <w:tcPr>
            <w:tcW w:w="40" w:type="dxa"/>
            <w:vAlign w:val="bottom"/>
            <w:vMerge w:val="restart"/>
          </w:tcPr>
          <w:p>
            <w:pPr>
              <w:spacing w:after="0"/>
              <w:rPr>
                <w:sz w:val="14"/>
                <w:szCs w:val="14"/>
                <w:color w:val="auto"/>
              </w:rPr>
            </w:pPr>
          </w:p>
        </w:tc>
        <w:tc>
          <w:tcPr>
            <w:tcW w:w="3720" w:type="dxa"/>
            <w:vAlign w:val="bottom"/>
          </w:tcPr>
          <w:p>
            <w:pPr>
              <w:ind w:left="800"/>
              <w:spacing w:after="0"/>
              <w:rPr>
                <w:sz w:val="20"/>
                <w:szCs w:val="20"/>
                <w:color w:val="auto"/>
              </w:rPr>
            </w:pPr>
            <w:r>
              <w:rPr>
                <w:rFonts w:ascii="Arial" w:cs="Arial" w:eastAsia="Arial" w:hAnsi="Arial"/>
                <w:sz w:val="15"/>
                <w:szCs w:val="15"/>
                <w:b w:val="1"/>
                <w:bCs w:val="1"/>
                <w:color w:val="auto"/>
              </w:rPr>
              <w:t>FILINGS REFERENCED FOR</w:t>
            </w:r>
          </w:p>
        </w:tc>
        <w:tc>
          <w:tcPr>
            <w:tcW w:w="0" w:type="dxa"/>
            <w:vAlign w:val="bottom"/>
          </w:tcPr>
          <w:p>
            <w:pPr>
              <w:spacing w:after="0"/>
              <w:rPr>
                <w:sz w:val="1"/>
                <w:szCs w:val="1"/>
                <w:color w:val="auto"/>
              </w:rPr>
            </w:pPr>
          </w:p>
        </w:tc>
      </w:tr>
      <w:tr>
        <w:trPr>
          <w:trHeight w:val="212"/>
        </w:trPr>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NUMBER</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9"/>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3720" w:type="dxa"/>
            <w:vAlign w:val="bottom"/>
            <w:tcBorders>
              <w:bottom w:val="single" w:sz="8" w:color="auto"/>
            </w:tcBorders>
          </w:tcPr>
          <w:p>
            <w:pPr>
              <w:ind w:left="560"/>
              <w:spacing w:after="0"/>
              <w:rPr>
                <w:sz w:val="20"/>
                <w:szCs w:val="20"/>
                <w:color w:val="auto"/>
              </w:rPr>
            </w:pPr>
            <w:r>
              <w:rPr>
                <w:rFonts w:ascii="Arial" w:cs="Arial" w:eastAsia="Arial" w:hAnsi="Arial"/>
                <w:sz w:val="15"/>
                <w:szCs w:val="15"/>
                <w:b w:val="1"/>
                <w:bCs w:val="1"/>
                <w:color w:val="auto"/>
              </w:rPr>
              <w:t>INCORPORATION BY REFERENCE</w:t>
            </w:r>
          </w:p>
        </w:tc>
        <w:tc>
          <w:tcPr>
            <w:tcW w:w="0" w:type="dxa"/>
            <w:vAlign w:val="bottom"/>
          </w:tcPr>
          <w:p>
            <w:pPr>
              <w:spacing w:after="0"/>
              <w:rPr>
                <w:sz w:val="1"/>
                <w:szCs w:val="1"/>
                <w:color w:val="auto"/>
              </w:rPr>
            </w:pPr>
          </w:p>
        </w:tc>
      </w:tr>
      <w:tr>
        <w:trPr>
          <w:trHeight w:val="232"/>
        </w:trPr>
        <w:tc>
          <w:tcPr>
            <w:tcW w:w="1080" w:type="dxa"/>
            <w:vAlign w:val="bottom"/>
          </w:tcPr>
          <w:p>
            <w:pPr>
              <w:jc w:val="center"/>
              <w:spacing w:after="0"/>
              <w:rPr>
                <w:sz w:val="20"/>
                <w:szCs w:val="20"/>
                <w:color w:val="auto"/>
              </w:rPr>
            </w:pPr>
            <w:r>
              <w:rPr>
                <w:rFonts w:ascii="Arial" w:cs="Arial" w:eastAsia="Arial" w:hAnsi="Arial"/>
                <w:sz w:val="19"/>
                <w:szCs w:val="19"/>
                <w:color w:val="auto"/>
                <w:w w:val="94"/>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11"/>
          </w:tcPr>
          <w:p>
            <w:pPr>
              <w:spacing w:after="0"/>
              <w:rPr>
                <w:sz w:val="20"/>
                <w:szCs w:val="20"/>
                <w:color w:val="auto"/>
              </w:rPr>
            </w:pPr>
            <w:r>
              <w:rPr>
                <w:rFonts w:ascii="Arial" w:cs="Arial" w:eastAsia="Arial" w:hAnsi="Arial"/>
                <w:sz w:val="19"/>
                <w:szCs w:val="19"/>
                <w:color w:val="0000FF"/>
              </w:rPr>
              <w:t>Employment Offer Letter Agreement, dated as of August 4, 2022, between</w:t>
            </w:r>
          </w:p>
        </w:tc>
        <w:tc>
          <w:tcPr>
            <w:tcW w:w="3720" w:type="dxa"/>
            <w:vAlign w:val="bottom"/>
          </w:tcPr>
          <w:p>
            <w:pPr>
              <w:ind w:left="20"/>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20" w:type="dxa"/>
            <w:vAlign w:val="bottom"/>
            <w:tcBorders>
              <w:top w:val="single" w:sz="8" w:color="0000FF"/>
            </w:tcBorders>
            <w:gridSpan w:val="7"/>
          </w:tcPr>
          <w:p>
            <w:pPr>
              <w:spacing w:after="0" w:line="173" w:lineRule="exact"/>
              <w:rPr>
                <w:sz w:val="20"/>
                <w:szCs w:val="20"/>
                <w:color w:val="auto"/>
              </w:rPr>
            </w:pPr>
            <w:r>
              <w:rPr>
                <w:rFonts w:ascii="Arial" w:cs="Arial" w:eastAsia="Arial" w:hAnsi="Arial"/>
                <w:sz w:val="19"/>
                <w:szCs w:val="19"/>
                <w:color w:val="0000FF"/>
              </w:rPr>
              <w:t>Suzann Trevisan and Bloomin’ Brands, Inc.</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20" w:type="dxa"/>
            <w:vAlign w:val="bottom"/>
            <w:gridSpan w:val="11"/>
          </w:tcPr>
          <w:p>
            <w:pPr>
              <w:spacing w:after="0"/>
              <w:rPr>
                <w:sz w:val="20"/>
                <w:szCs w:val="20"/>
                <w:color w:val="auto"/>
              </w:rPr>
            </w:pPr>
            <w:r>
              <w:rPr>
                <w:rFonts w:ascii="Arial" w:cs="Arial" w:eastAsia="Arial" w:hAnsi="Arial"/>
                <w:sz w:val="19"/>
                <w:szCs w:val="19"/>
                <w:color w:val="0000FF"/>
                <w:w w:val="93"/>
              </w:rPr>
              <w:t>Certification of Chief Executive Officer pursuant to Section 302 of the Sarbanes-</w:t>
            </w:r>
          </w:p>
        </w:tc>
        <w:tc>
          <w:tcPr>
            <w:tcW w:w="3720" w:type="dxa"/>
            <w:vAlign w:val="bottom"/>
          </w:tcPr>
          <w:p>
            <w:pPr>
              <w:ind w:left="20"/>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0" w:type="dxa"/>
            <w:vAlign w:val="bottom"/>
            <w:tcBorders>
              <w:top w:val="single" w:sz="8" w:color="0000FF"/>
            </w:tcBorders>
            <w:gridSpan w:val="6"/>
          </w:tcPr>
          <w:p>
            <w:pPr>
              <w:spacing w:after="0" w:line="173" w:lineRule="exact"/>
              <w:rPr>
                <w:sz w:val="20"/>
                <w:szCs w:val="20"/>
                <w:color w:val="auto"/>
              </w:rPr>
            </w:pPr>
            <w:r>
              <w:rPr>
                <w:rFonts w:ascii="Arial" w:cs="Arial" w:eastAsia="Arial" w:hAnsi="Arial"/>
                <w:sz w:val="19"/>
                <w:szCs w:val="19"/>
                <w:color w:val="0000FF"/>
              </w:rPr>
              <w:t>Oxley Act of 2002</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20" w:type="dxa"/>
            <w:vAlign w:val="bottom"/>
            <w:gridSpan w:val="11"/>
          </w:tcPr>
          <w:p>
            <w:pPr>
              <w:spacing w:after="0"/>
              <w:rPr>
                <w:sz w:val="20"/>
                <w:szCs w:val="20"/>
                <w:color w:val="auto"/>
              </w:rPr>
            </w:pPr>
            <w:r>
              <w:rPr>
                <w:rFonts w:ascii="Arial" w:cs="Arial" w:eastAsia="Arial" w:hAnsi="Arial"/>
                <w:sz w:val="19"/>
                <w:szCs w:val="19"/>
                <w:color w:val="0000FF"/>
                <w:w w:val="94"/>
              </w:rPr>
              <w:t>Certification of Chief Financial Officer pursuant to Section 302 of the Sarbanes-</w:t>
            </w:r>
          </w:p>
        </w:tc>
        <w:tc>
          <w:tcPr>
            <w:tcW w:w="3720" w:type="dxa"/>
            <w:vAlign w:val="bottom"/>
          </w:tcPr>
          <w:p>
            <w:pPr>
              <w:ind w:left="20"/>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80" w:type="dxa"/>
            <w:vAlign w:val="bottom"/>
            <w:tcBorders>
              <w:top w:val="single" w:sz="8" w:color="0000FF"/>
            </w:tcBorders>
            <w:gridSpan w:val="5"/>
          </w:tcPr>
          <w:p>
            <w:pPr>
              <w:spacing w:after="0" w:line="173" w:lineRule="exact"/>
              <w:rPr>
                <w:sz w:val="20"/>
                <w:szCs w:val="20"/>
                <w:color w:val="auto"/>
              </w:rPr>
            </w:pPr>
            <w:r>
              <w:rPr>
                <w:rFonts w:ascii="Arial" w:cs="Arial" w:eastAsia="Arial" w:hAnsi="Arial"/>
                <w:sz w:val="19"/>
                <w:szCs w:val="19"/>
                <w:color w:val="0000FF"/>
              </w:rPr>
              <w:t>Oxley Act of 2002</w:t>
            </w: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20" w:type="dxa"/>
            <w:vAlign w:val="bottom"/>
            <w:gridSpan w:val="11"/>
          </w:tcPr>
          <w:p>
            <w:pPr>
              <w:spacing w:after="0"/>
              <w:rPr>
                <w:sz w:val="20"/>
                <w:szCs w:val="20"/>
                <w:color w:val="auto"/>
              </w:rPr>
            </w:pPr>
            <w:r>
              <w:rPr>
                <w:rFonts w:ascii="Arial" w:cs="Arial" w:eastAsia="Arial" w:hAnsi="Arial"/>
                <w:sz w:val="19"/>
                <w:szCs w:val="19"/>
                <w:color w:val="0000FF"/>
                <w:w w:val="96"/>
              </w:rPr>
              <w:t>Certification of Chief Executive Officer pursuant to 18 U.S.C. Section 1350, as</w:t>
            </w:r>
          </w:p>
        </w:tc>
        <w:tc>
          <w:tcPr>
            <w:tcW w:w="3720" w:type="dxa"/>
            <w:vAlign w:val="bottom"/>
          </w:tcPr>
          <w:p>
            <w:pPr>
              <w:ind w:left="20"/>
              <w:spacing w:after="0"/>
              <w:rPr>
                <w:sz w:val="20"/>
                <w:szCs w:val="20"/>
                <w:color w:val="auto"/>
              </w:rPr>
            </w:pPr>
            <w:r>
              <w:rPr>
                <w:rFonts w:ascii="Arial" w:cs="Arial" w:eastAsia="Arial" w:hAnsi="Arial"/>
                <w:sz w:val="19"/>
                <w:szCs w:val="19"/>
                <w:color w:val="auto"/>
              </w:rPr>
              <w:t>Furnished herewith</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tcBorders>
              <w:top w:val="single" w:sz="8" w:color="0000FF"/>
              <w:bottom w:val="single" w:sz="8" w:color="0000FF"/>
            </w:tcBorders>
            <w:gridSpan w:val="4"/>
          </w:tcPr>
          <w:p>
            <w:pPr>
              <w:spacing w:after="0" w:line="173" w:lineRule="exact"/>
              <w:rPr>
                <w:sz w:val="20"/>
                <w:szCs w:val="20"/>
                <w:color w:val="auto"/>
              </w:rPr>
            </w:pPr>
            <w:r>
              <w:rPr>
                <w:rFonts w:ascii="Arial" w:cs="Arial" w:eastAsia="Arial" w:hAnsi="Arial"/>
                <w:sz w:val="19"/>
                <w:szCs w:val="19"/>
                <w:color w:val="0000FF"/>
                <w:w w:val="90"/>
              </w:rPr>
              <w:t>adopted pursuant to Section 906 of the Sarbanes-Oxley Act of 2002 (1)</w:t>
            </w:r>
          </w:p>
        </w:tc>
        <w:tc>
          <w:tcPr>
            <w:tcW w:w="840" w:type="dxa"/>
            <w:vAlign w:val="bottom"/>
            <w:tcBorders>
              <w:top w:val="single" w:sz="8" w:color="0000FF"/>
            </w:tcBorders>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9"/>
                <w:szCs w:val="19"/>
                <w:color w:val="auto"/>
                <w:w w:val="86"/>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20" w:type="dxa"/>
            <w:vAlign w:val="bottom"/>
            <w:gridSpan w:val="11"/>
          </w:tcPr>
          <w:p>
            <w:pPr>
              <w:spacing w:after="0"/>
              <w:rPr>
                <w:sz w:val="20"/>
                <w:szCs w:val="20"/>
                <w:color w:val="auto"/>
              </w:rPr>
            </w:pPr>
            <w:r>
              <w:rPr>
                <w:rFonts w:ascii="Arial" w:cs="Arial" w:eastAsia="Arial" w:hAnsi="Arial"/>
                <w:sz w:val="19"/>
                <w:szCs w:val="19"/>
                <w:color w:val="0000FF"/>
                <w:w w:val="97"/>
              </w:rPr>
              <w:t>Certification of Chief Financial Officer pursuant to 18 U.S.C. Section 1350, as</w:t>
            </w:r>
          </w:p>
        </w:tc>
        <w:tc>
          <w:tcPr>
            <w:tcW w:w="3720" w:type="dxa"/>
            <w:vAlign w:val="bottom"/>
          </w:tcPr>
          <w:p>
            <w:pPr>
              <w:ind w:left="20"/>
              <w:spacing w:after="0"/>
              <w:rPr>
                <w:sz w:val="20"/>
                <w:szCs w:val="20"/>
                <w:color w:val="auto"/>
              </w:rPr>
            </w:pPr>
            <w:r>
              <w:rPr>
                <w:rFonts w:ascii="Arial" w:cs="Arial" w:eastAsia="Arial" w:hAnsi="Arial"/>
                <w:sz w:val="19"/>
                <w:szCs w:val="19"/>
                <w:color w:val="auto"/>
              </w:rPr>
              <w:t>Furnished herewith</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0" w:type="dxa"/>
            <w:vAlign w:val="bottom"/>
            <w:tcBorders>
              <w:top w:val="single" w:sz="8" w:color="0000FF"/>
              <w:bottom w:val="single" w:sz="8" w:color="0000FF"/>
            </w:tcBorders>
            <w:gridSpan w:val="3"/>
          </w:tcPr>
          <w:p>
            <w:pPr>
              <w:spacing w:after="0" w:line="173" w:lineRule="exact"/>
              <w:rPr>
                <w:sz w:val="20"/>
                <w:szCs w:val="20"/>
                <w:color w:val="auto"/>
              </w:rPr>
            </w:pPr>
            <w:r>
              <w:rPr>
                <w:rFonts w:ascii="Arial" w:cs="Arial" w:eastAsia="Arial" w:hAnsi="Arial"/>
                <w:sz w:val="19"/>
                <w:szCs w:val="19"/>
                <w:color w:val="0000FF"/>
                <w:w w:val="89"/>
              </w:rPr>
              <w:t>adopted pursuant to Section 906 of the Sarbanes-Oxley Act of 2002 (1)</w:t>
            </w:r>
          </w:p>
        </w:tc>
        <w:tc>
          <w:tcPr>
            <w:tcW w:w="840" w:type="dxa"/>
            <w:vAlign w:val="bottom"/>
            <w:tcBorders>
              <w:top w:val="single" w:sz="8" w:color="0000FF"/>
            </w:tcBorders>
            <w:gridSpan w:val="5"/>
          </w:tcPr>
          <w:p>
            <w:pPr>
              <w:spacing w:after="0"/>
              <w:rPr>
                <w:sz w:val="15"/>
                <w:szCs w:val="15"/>
                <w:color w:val="auto"/>
              </w:rPr>
            </w:pPr>
          </w:p>
        </w:tc>
        <w:tc>
          <w:tcPr>
            <w:tcW w:w="80" w:type="dxa"/>
            <w:vAlign w:val="bottom"/>
            <w:gridSpan w:val="3"/>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180" w:type="dxa"/>
            <w:vAlign w:val="bottom"/>
            <w:gridSpan w:val="2"/>
          </w:tcPr>
          <w:p>
            <w:pPr>
              <w:ind w:left="220"/>
              <w:spacing w:after="0"/>
              <w:rPr>
                <w:sz w:val="20"/>
                <w:szCs w:val="20"/>
                <w:color w:val="auto"/>
              </w:rPr>
            </w:pPr>
            <w:r>
              <w:rPr>
                <w:rFonts w:ascii="Arial" w:cs="Arial" w:eastAsia="Arial" w:hAnsi="Arial"/>
                <w:sz w:val="19"/>
                <w:szCs w:val="19"/>
                <w:color w:val="auto"/>
              </w:rPr>
              <w:t>101.INS</w:t>
            </w:r>
          </w:p>
        </w:tc>
        <w:tc>
          <w:tcPr>
            <w:tcW w:w="20" w:type="dxa"/>
            <w:vAlign w:val="bottom"/>
          </w:tcPr>
          <w:p>
            <w:pPr>
              <w:spacing w:after="0"/>
              <w:rPr>
                <w:sz w:val="24"/>
                <w:szCs w:val="24"/>
                <w:color w:val="auto"/>
              </w:rPr>
            </w:pPr>
          </w:p>
        </w:tc>
        <w:tc>
          <w:tcPr>
            <w:tcW w:w="6320" w:type="dxa"/>
            <w:vAlign w:val="bottom"/>
            <w:gridSpan w:val="11"/>
          </w:tcPr>
          <w:p>
            <w:pPr>
              <w:spacing w:after="0"/>
              <w:rPr>
                <w:sz w:val="20"/>
                <w:szCs w:val="20"/>
                <w:color w:val="auto"/>
              </w:rPr>
            </w:pPr>
            <w:r>
              <w:rPr>
                <w:rFonts w:ascii="Arial" w:cs="Arial" w:eastAsia="Arial" w:hAnsi="Arial"/>
                <w:sz w:val="19"/>
                <w:szCs w:val="19"/>
                <w:color w:val="auto"/>
              </w:rPr>
              <w:t>Inline XBRL Instance Document</w:t>
            </w:r>
          </w:p>
        </w:tc>
        <w:tc>
          <w:tcPr>
            <w:tcW w:w="3720" w:type="dxa"/>
            <w:vAlign w:val="bottom"/>
          </w:tcPr>
          <w:p>
            <w:pPr>
              <w:ind w:left="20"/>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97"/>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101.SCH</w:t>
            </w:r>
          </w:p>
        </w:tc>
        <w:tc>
          <w:tcPr>
            <w:tcW w:w="20" w:type="dxa"/>
            <w:vAlign w:val="bottom"/>
          </w:tcPr>
          <w:p>
            <w:pPr>
              <w:spacing w:after="0"/>
              <w:rPr>
                <w:sz w:val="24"/>
                <w:szCs w:val="24"/>
                <w:color w:val="auto"/>
              </w:rPr>
            </w:pPr>
          </w:p>
        </w:tc>
        <w:tc>
          <w:tcPr>
            <w:tcW w:w="6320" w:type="dxa"/>
            <w:vAlign w:val="bottom"/>
            <w:gridSpan w:val="11"/>
          </w:tcPr>
          <w:p>
            <w:pPr>
              <w:spacing w:after="0"/>
              <w:rPr>
                <w:sz w:val="20"/>
                <w:szCs w:val="20"/>
                <w:color w:val="auto"/>
              </w:rPr>
            </w:pPr>
            <w:r>
              <w:rPr>
                <w:rFonts w:ascii="Arial" w:cs="Arial" w:eastAsia="Arial" w:hAnsi="Arial"/>
                <w:sz w:val="19"/>
                <w:szCs w:val="19"/>
                <w:color w:val="auto"/>
              </w:rPr>
              <w:t>Inline XBRL Taxonomy Extension Schema Document</w:t>
            </w:r>
          </w:p>
        </w:tc>
        <w:tc>
          <w:tcPr>
            <w:tcW w:w="3720" w:type="dxa"/>
            <w:vAlign w:val="bottom"/>
          </w:tcPr>
          <w:p>
            <w:pPr>
              <w:ind w:left="20"/>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97"/>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101.CAL</w:t>
            </w:r>
          </w:p>
        </w:tc>
        <w:tc>
          <w:tcPr>
            <w:tcW w:w="20" w:type="dxa"/>
            <w:vAlign w:val="bottom"/>
          </w:tcPr>
          <w:p>
            <w:pPr>
              <w:spacing w:after="0"/>
              <w:rPr>
                <w:sz w:val="24"/>
                <w:szCs w:val="24"/>
                <w:color w:val="auto"/>
              </w:rPr>
            </w:pPr>
          </w:p>
        </w:tc>
        <w:tc>
          <w:tcPr>
            <w:tcW w:w="6320" w:type="dxa"/>
            <w:vAlign w:val="bottom"/>
            <w:gridSpan w:val="11"/>
          </w:tcPr>
          <w:p>
            <w:pPr>
              <w:spacing w:after="0"/>
              <w:rPr>
                <w:sz w:val="20"/>
                <w:szCs w:val="20"/>
                <w:color w:val="auto"/>
              </w:rPr>
            </w:pPr>
            <w:r>
              <w:rPr>
                <w:rFonts w:ascii="Arial" w:cs="Arial" w:eastAsia="Arial" w:hAnsi="Arial"/>
                <w:sz w:val="19"/>
                <w:szCs w:val="19"/>
                <w:color w:val="auto"/>
              </w:rPr>
              <w:t>Inline XBRL Taxonomy Extension Calculation Linkbase Document</w:t>
            </w:r>
          </w:p>
        </w:tc>
        <w:tc>
          <w:tcPr>
            <w:tcW w:w="3720" w:type="dxa"/>
            <w:vAlign w:val="bottom"/>
          </w:tcPr>
          <w:p>
            <w:pPr>
              <w:ind w:left="20"/>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97"/>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101.DEF</w:t>
            </w:r>
          </w:p>
        </w:tc>
        <w:tc>
          <w:tcPr>
            <w:tcW w:w="20" w:type="dxa"/>
            <w:vAlign w:val="bottom"/>
          </w:tcPr>
          <w:p>
            <w:pPr>
              <w:spacing w:after="0"/>
              <w:rPr>
                <w:sz w:val="24"/>
                <w:szCs w:val="24"/>
                <w:color w:val="auto"/>
              </w:rPr>
            </w:pPr>
          </w:p>
        </w:tc>
        <w:tc>
          <w:tcPr>
            <w:tcW w:w="6320" w:type="dxa"/>
            <w:vAlign w:val="bottom"/>
            <w:gridSpan w:val="11"/>
          </w:tcPr>
          <w:p>
            <w:pPr>
              <w:spacing w:after="0"/>
              <w:rPr>
                <w:sz w:val="20"/>
                <w:szCs w:val="20"/>
                <w:color w:val="auto"/>
              </w:rPr>
            </w:pPr>
            <w:r>
              <w:rPr>
                <w:rFonts w:ascii="Arial" w:cs="Arial" w:eastAsia="Arial" w:hAnsi="Arial"/>
                <w:sz w:val="19"/>
                <w:szCs w:val="19"/>
                <w:color w:val="auto"/>
              </w:rPr>
              <w:t>Inline XBRL Taxonomy Extension Definition Linkbase Document</w:t>
            </w:r>
          </w:p>
        </w:tc>
        <w:tc>
          <w:tcPr>
            <w:tcW w:w="3720" w:type="dxa"/>
            <w:vAlign w:val="bottom"/>
          </w:tcPr>
          <w:p>
            <w:pPr>
              <w:ind w:left="20"/>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97"/>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101.LAB</w:t>
            </w:r>
          </w:p>
        </w:tc>
        <w:tc>
          <w:tcPr>
            <w:tcW w:w="20" w:type="dxa"/>
            <w:vAlign w:val="bottom"/>
          </w:tcPr>
          <w:p>
            <w:pPr>
              <w:spacing w:after="0"/>
              <w:rPr>
                <w:sz w:val="24"/>
                <w:szCs w:val="24"/>
                <w:color w:val="auto"/>
              </w:rPr>
            </w:pPr>
          </w:p>
        </w:tc>
        <w:tc>
          <w:tcPr>
            <w:tcW w:w="6320" w:type="dxa"/>
            <w:vAlign w:val="bottom"/>
            <w:gridSpan w:val="11"/>
          </w:tcPr>
          <w:p>
            <w:pPr>
              <w:spacing w:after="0"/>
              <w:rPr>
                <w:sz w:val="20"/>
                <w:szCs w:val="20"/>
                <w:color w:val="auto"/>
              </w:rPr>
            </w:pPr>
            <w:r>
              <w:rPr>
                <w:rFonts w:ascii="Arial" w:cs="Arial" w:eastAsia="Arial" w:hAnsi="Arial"/>
                <w:sz w:val="19"/>
                <w:szCs w:val="19"/>
                <w:color w:val="auto"/>
              </w:rPr>
              <w:t>Inline XBRL Taxonomy Extension Label Linkbase Document</w:t>
            </w:r>
          </w:p>
        </w:tc>
        <w:tc>
          <w:tcPr>
            <w:tcW w:w="3720" w:type="dxa"/>
            <w:vAlign w:val="bottom"/>
          </w:tcPr>
          <w:p>
            <w:pPr>
              <w:ind w:left="20"/>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97"/>
        </w:trPr>
        <w:tc>
          <w:tcPr>
            <w:tcW w:w="1180" w:type="dxa"/>
            <w:vAlign w:val="bottom"/>
            <w:gridSpan w:val="2"/>
          </w:tcPr>
          <w:p>
            <w:pPr>
              <w:ind w:left="200"/>
              <w:spacing w:after="0"/>
              <w:rPr>
                <w:sz w:val="20"/>
                <w:szCs w:val="20"/>
                <w:color w:val="auto"/>
              </w:rPr>
            </w:pPr>
            <w:r>
              <w:rPr>
                <w:rFonts w:ascii="Arial" w:cs="Arial" w:eastAsia="Arial" w:hAnsi="Arial"/>
                <w:sz w:val="19"/>
                <w:szCs w:val="19"/>
                <w:color w:val="auto"/>
              </w:rPr>
              <w:t>101.PRE</w:t>
            </w:r>
          </w:p>
        </w:tc>
        <w:tc>
          <w:tcPr>
            <w:tcW w:w="20" w:type="dxa"/>
            <w:vAlign w:val="bottom"/>
          </w:tcPr>
          <w:p>
            <w:pPr>
              <w:spacing w:after="0"/>
              <w:rPr>
                <w:sz w:val="24"/>
                <w:szCs w:val="24"/>
                <w:color w:val="auto"/>
              </w:rPr>
            </w:pPr>
          </w:p>
        </w:tc>
        <w:tc>
          <w:tcPr>
            <w:tcW w:w="6320" w:type="dxa"/>
            <w:vAlign w:val="bottom"/>
            <w:gridSpan w:val="11"/>
          </w:tcPr>
          <w:p>
            <w:pPr>
              <w:spacing w:after="0"/>
              <w:rPr>
                <w:sz w:val="20"/>
                <w:szCs w:val="20"/>
                <w:color w:val="auto"/>
              </w:rPr>
            </w:pPr>
            <w:r>
              <w:rPr>
                <w:rFonts w:ascii="Arial" w:cs="Arial" w:eastAsia="Arial" w:hAnsi="Arial"/>
                <w:sz w:val="19"/>
                <w:szCs w:val="19"/>
                <w:color w:val="auto"/>
              </w:rPr>
              <w:t>Inline XBRL Taxonomy Extension Presentation Linkbase Document</w:t>
            </w:r>
          </w:p>
        </w:tc>
        <w:tc>
          <w:tcPr>
            <w:tcW w:w="3720" w:type="dxa"/>
            <w:vAlign w:val="bottom"/>
          </w:tcPr>
          <w:p>
            <w:pPr>
              <w:ind w:left="20"/>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49"/>
        </w:trPr>
        <w:tc>
          <w:tcPr>
            <w:tcW w:w="1080" w:type="dxa"/>
            <w:vAlign w:val="bottom"/>
          </w:tcPr>
          <w:p>
            <w:pPr>
              <w:jc w:val="center"/>
              <w:spacing w:after="0"/>
              <w:rPr>
                <w:sz w:val="20"/>
                <w:szCs w:val="20"/>
                <w:color w:val="auto"/>
              </w:rPr>
            </w:pPr>
            <w:r>
              <w:rPr>
                <w:rFonts w:ascii="Arial" w:cs="Arial" w:eastAsia="Arial" w:hAnsi="Arial"/>
                <w:sz w:val="19"/>
                <w:szCs w:val="19"/>
                <w:color w:val="auto"/>
                <w:w w:val="88"/>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20" w:type="dxa"/>
            <w:vAlign w:val="bottom"/>
            <w:gridSpan w:val="11"/>
          </w:tcPr>
          <w:p>
            <w:pPr>
              <w:spacing w:after="0"/>
              <w:rPr>
                <w:sz w:val="20"/>
                <w:szCs w:val="20"/>
                <w:color w:val="auto"/>
              </w:rPr>
            </w:pPr>
            <w:r>
              <w:rPr>
                <w:rFonts w:ascii="Arial" w:cs="Arial" w:eastAsia="Arial" w:hAnsi="Arial"/>
                <w:sz w:val="19"/>
                <w:szCs w:val="19"/>
                <w:color w:val="auto"/>
                <w:w w:val="98"/>
              </w:rPr>
              <w:t>Cover Page Interactive Data File (formatted as inline XBRL and contained in</w:t>
            </w:r>
          </w:p>
        </w:tc>
        <w:tc>
          <w:tcPr>
            <w:tcW w:w="3720" w:type="dxa"/>
            <w:vAlign w:val="bottom"/>
          </w:tcPr>
          <w:p>
            <w:pPr>
              <w:ind w:left="20"/>
              <w:spacing w:after="0"/>
              <w:rPr>
                <w:sz w:val="20"/>
                <w:szCs w:val="20"/>
                <w:color w:val="auto"/>
              </w:rPr>
            </w:pPr>
            <w:r>
              <w:rPr>
                <w:rFonts w:ascii="Arial" w:cs="Arial" w:eastAsia="Arial" w:hAnsi="Arial"/>
                <w:sz w:val="19"/>
                <w:szCs w:val="19"/>
                <w:color w:val="auto"/>
              </w:rPr>
              <w:t>Filed herewith</w:t>
            </w:r>
          </w:p>
        </w:tc>
        <w:tc>
          <w:tcPr>
            <w:tcW w:w="0" w:type="dxa"/>
            <w:vAlign w:val="bottom"/>
          </w:tcPr>
          <w:p>
            <w:pPr>
              <w:spacing w:after="0"/>
              <w:rPr>
                <w:sz w:val="1"/>
                <w:szCs w:val="1"/>
                <w:color w:val="auto"/>
              </w:rPr>
            </w:pPr>
          </w:p>
        </w:tc>
      </w:tr>
      <w:tr>
        <w:trPr>
          <w:trHeight w:val="240"/>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11"/>
          </w:tcPr>
          <w:p>
            <w:pPr>
              <w:spacing w:after="0"/>
              <w:rPr>
                <w:sz w:val="20"/>
                <w:szCs w:val="20"/>
                <w:color w:val="auto"/>
              </w:rPr>
            </w:pPr>
            <w:r>
              <w:rPr>
                <w:rFonts w:ascii="Arial" w:cs="Arial" w:eastAsia="Arial" w:hAnsi="Arial"/>
                <w:sz w:val="19"/>
                <w:szCs w:val="19"/>
                <w:color w:val="auto"/>
              </w:rPr>
              <w:t>Exhibit 101)</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0"/>
        <w:spacing w:after="0"/>
        <w:rPr>
          <w:sz w:val="20"/>
          <w:szCs w:val="20"/>
          <w:color w:val="auto"/>
        </w:rPr>
      </w:pPr>
      <w:r>
        <w:rPr>
          <w:rFonts w:ascii="Arial" w:cs="Arial" w:eastAsia="Arial" w:hAnsi="Arial"/>
          <w:sz w:val="19"/>
          <w:szCs w:val="19"/>
          <w:color w:val="auto"/>
        </w:rPr>
        <w:t>* Management contract or compensatory plan or arrangement required to be filed as an exhibit.</w:t>
      </w:r>
    </w:p>
    <w:p>
      <w:pPr>
        <w:spacing w:after="0" w:line="271" w:lineRule="exact"/>
        <w:rPr>
          <w:sz w:val="20"/>
          <w:szCs w:val="20"/>
          <w:color w:val="auto"/>
        </w:rPr>
      </w:pPr>
    </w:p>
    <w:p>
      <w:pPr>
        <w:jc w:val="both"/>
        <w:ind w:left="20" w:right="20"/>
        <w:spacing w:after="0" w:line="229" w:lineRule="auto"/>
        <w:tabs>
          <w:tab w:leader="none" w:pos="303"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241" w:lineRule="exact"/>
        <w:rPr>
          <w:sz w:val="20"/>
          <w:szCs w:val="20"/>
          <w:color w:val="auto"/>
        </w:rPr>
      </w:pPr>
    </w:p>
    <w:p>
      <w:pPr>
        <w:ind w:left="20"/>
        <w:spacing w:after="0"/>
        <w:tabs>
          <w:tab w:leader="none" w:pos="640" w:val="left"/>
          <w:tab w:leader="none" w:pos="4640" w:val="left"/>
        </w:tabs>
        <w:rPr>
          <w:sz w:val="20"/>
          <w:szCs w:val="20"/>
          <w:color w:val="auto"/>
        </w:rPr>
      </w:pPr>
      <w:r>
        <w:rPr>
          <w:rFonts w:ascii="Arial" w:cs="Arial" w:eastAsia="Arial" w:hAnsi="Arial"/>
          <w:sz w:val="19"/>
          <w:szCs w:val="19"/>
          <w:color w:val="auto"/>
        </w:rPr>
        <w:t>Date:</w:t>
        <w:tab/>
        <w:t>November 1, 2022</w:t>
      </w:r>
      <w:r>
        <w:rPr>
          <w:sz w:val="20"/>
          <w:szCs w:val="20"/>
          <w:color w:val="auto"/>
        </w:rPr>
        <w:tab/>
      </w:r>
      <w:r>
        <w:rPr>
          <w:rFonts w:ascii="Arial" w:cs="Arial" w:eastAsia="Arial" w:hAnsi="Arial"/>
          <w:sz w:val="18"/>
          <w:szCs w:val="18"/>
          <w:color w:val="auto"/>
        </w:rPr>
        <w:t>BLOOMIN’ BRANDS, INC.</w:t>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(Registrant)</w:t>
      </w:r>
    </w:p>
    <w:p>
      <w:pPr>
        <w:spacing w:after="0" w:line="130" w:lineRule="exact"/>
        <w:rPr>
          <w:sz w:val="20"/>
          <w:szCs w:val="20"/>
          <w:color w:val="auto"/>
        </w:rPr>
      </w:pPr>
    </w:p>
    <w:p>
      <w:pPr>
        <w:ind w:left="4660"/>
        <w:spacing w:after="0"/>
        <w:rPr>
          <w:sz w:val="20"/>
          <w:szCs w:val="20"/>
          <w:color w:val="auto"/>
        </w:rPr>
      </w:pPr>
      <w:r>
        <w:rPr>
          <w:rFonts w:ascii="Arial" w:cs="Arial" w:eastAsia="Arial" w:hAnsi="Arial"/>
          <w:sz w:val="19"/>
          <w:szCs w:val="19"/>
          <w:color w:val="auto"/>
        </w:rPr>
        <w:t>By: /s/ Philip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19050</wp:posOffset>
            </wp:positionV>
            <wp:extent cx="416687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66870" cy="16510"/>
                    </a:xfrm>
                    <a:prstGeom prst="rect">
                      <a:avLst/>
                    </a:prstGeom>
                    <a:noFill/>
                  </pic:spPr>
                </pic:pic>
              </a:graphicData>
            </a:graphic>
          </wp:anchor>
        </w:drawing>
      </w:r>
    </w:p>
    <w:p>
      <w:pPr>
        <w:spacing w:after="0" w:line="10"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Philip Pace</w:t>
      </w:r>
    </w:p>
    <w:p>
      <w:pPr>
        <w:ind w:left="5120"/>
        <w:spacing w:after="0" w:line="212" w:lineRule="auto"/>
        <w:rPr>
          <w:sz w:val="20"/>
          <w:szCs w:val="20"/>
          <w:color w:val="auto"/>
        </w:rPr>
      </w:pPr>
      <w:r>
        <w:rPr>
          <w:rFonts w:ascii="Arial" w:cs="Arial" w:eastAsia="Arial" w:hAnsi="Arial"/>
          <w:sz w:val="19"/>
          <w:szCs w:val="19"/>
          <w:color w:val="auto"/>
        </w:rPr>
        <w:t>Senior Vice President, Chief Accounting Officer</w:t>
      </w:r>
    </w:p>
    <w:p>
      <w:pPr>
        <w:ind w:left="5120"/>
        <w:spacing w:after="0"/>
        <w:rPr>
          <w:sz w:val="20"/>
          <w:szCs w:val="20"/>
          <w:color w:val="auto"/>
        </w:rPr>
      </w:pPr>
      <w:r>
        <w:rPr>
          <w:rFonts w:ascii="Arial" w:cs="Arial" w:eastAsia="Arial" w:hAnsi="Arial"/>
          <w:sz w:val="19"/>
          <w:szCs w:val="19"/>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page intentionally left blank]</w:t>
      </w:r>
    </w:p>
    <w:p>
      <w:pPr>
        <w:sectPr>
          <w:pgSz w:w="11900" w:h="16838" w:orient="portrait"/>
          <w:cols w:equalWidth="0" w:num="1">
            <w:col w:w="11240"/>
          </w:cols>
          <w:pgMar w:left="320" w:top="122"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1270</wp:posOffset>
            </wp:positionV>
            <wp:extent cx="523875" cy="8267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3875" cy="826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August 4, 2022</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Suzann Trevisan</w:t>
      </w:r>
    </w:p>
    <w:p>
      <w:pPr>
        <w:spacing w:after="0"/>
        <w:rPr>
          <w:sz w:val="20"/>
          <w:szCs w:val="20"/>
          <w:color w:val="auto"/>
        </w:rPr>
      </w:pPr>
      <w:r>
        <w:rPr>
          <w:rFonts w:ascii="Arial" w:cs="Arial" w:eastAsia="Arial" w:hAnsi="Arial"/>
          <w:sz w:val="19"/>
          <w:szCs w:val="19"/>
          <w:color w:val="auto"/>
        </w:rPr>
        <w:t>Via Electronic Mail</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Dear Suzann,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This letter agreement confirms the verbal offer extended to you by Bloomin’ Brands, Inc. (the “Company”) to serve as Senior Vice President, Chief</w:t>
      </w:r>
    </w:p>
    <w:p>
      <w:pPr>
        <w:spacing w:after="0" w:line="14"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Human Resources Officer, reporting to David Deno, Chief Executive Officer. Your effective date of appointment will be mutually agreed upon. The terms of your employment as Senior Vice President, Chief Human Resources Officer will be: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You will be employed by a subsidiary of the Company (the “Employer”) and your annual base salary will be $420,000 payable in equal bi-weekly installments.</w:t>
      </w:r>
    </w:p>
    <w:p>
      <w:pPr>
        <w:spacing w:after="0" w:line="173"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Within 10 days of your effective start date, the Company will provide a one-time cash sign-on bonus payment of $320,000, subject to required tax withholding. You will be required to repay the Company in full (100%) for this payment in the event you voluntarily leave the Company or are terminated for Cause prior to the one-year annual anniversary of your payment date.</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You will be eligible to participate in the Company’s annual bonus program and your target bonus shall be 70% of your base salary based on both Company performance against objectives as set forth in the Company bonus program and individual performance. You must remain employed by</w:t>
      </w:r>
    </w:p>
    <w:p>
      <w:pPr>
        <w:jc w:val="both"/>
        <w:spacing w:after="0" w:line="229" w:lineRule="auto"/>
        <w:rPr>
          <w:sz w:val="20"/>
          <w:szCs w:val="20"/>
          <w:color w:val="auto"/>
        </w:rPr>
      </w:pPr>
      <w:r>
        <w:rPr>
          <w:rFonts w:ascii="Arial" w:cs="Arial" w:eastAsia="Arial" w:hAnsi="Arial"/>
          <w:sz w:val="17"/>
          <w:szCs w:val="17"/>
          <w:color w:val="auto"/>
        </w:rPr>
        <w:t>the Employer through the payout date to receive the payout. For 2022 (paid in 2023), you will be paid a prorated target bonus from your effective start date during through the end of the 2022 Fiscal Year. The bonus payout will be calculated based upon the full-year 2022 Company performance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objectives and individual performance. Your Fiscal Year 2022 bonus will be paid out at no less than the prorated target bonus amount for Fiscal Year 2022.</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addition to your annual bonus, you will be eligible for an annual long-term incentive grant. Per the current long-term incentive plan, you shall be eligible for a target up to 75% of your base salary, which will be subject to Company and individual performance. The annual long-term incentive</w:t>
      </w:r>
    </w:p>
    <w:p>
      <w:pPr>
        <w:jc w:val="both"/>
        <w:spacing w:after="0" w:line="222" w:lineRule="auto"/>
        <w:rPr>
          <w:sz w:val="20"/>
          <w:szCs w:val="20"/>
          <w:color w:val="auto"/>
        </w:rPr>
      </w:pPr>
      <w:r>
        <w:rPr>
          <w:rFonts w:ascii="Arial" w:cs="Arial" w:eastAsia="Arial" w:hAnsi="Arial"/>
          <w:sz w:val="19"/>
          <w:szCs w:val="19"/>
          <w:color w:val="auto"/>
        </w:rPr>
        <w:t>award with a grant value of $315,000 in the form of performance restricted stock units and restricted stock units will be made during the Company’s standard annual award cycle in March of 2023.</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also issue you a one-time sign-on award with a grant date value of $550,000 in the form of restricted stock units on the first</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trading day of the month immediately following your effective start date. This grant will have standard vesting over three years, contingent on continued employment with the Company or the Employer. All grants are subject to the terms of our 2020 Omnibus Incentive Compensation Plan</w:t>
      </w:r>
    </w:p>
    <w:p>
      <w:pPr>
        <w:spacing w:after="0" w:line="238" w:lineRule="auto"/>
        <w:rPr>
          <w:sz w:val="20"/>
          <w:szCs w:val="20"/>
          <w:color w:val="auto"/>
        </w:rPr>
      </w:pPr>
      <w:r>
        <w:rPr>
          <w:rFonts w:ascii="Arial" w:cs="Arial" w:eastAsia="Arial" w:hAnsi="Arial"/>
          <w:sz w:val="17"/>
          <w:szCs w:val="17"/>
          <w:color w:val="auto"/>
        </w:rPr>
        <w:t>and Equity Award Policy (collectively, the “Plan”) and our standard award agreement. Our standard equity agreement includes a “double trigger”</w:t>
      </w:r>
    </w:p>
    <w:p>
      <w:pPr>
        <w:jc w:val="both"/>
        <w:spacing w:after="0" w:line="222" w:lineRule="auto"/>
        <w:rPr>
          <w:sz w:val="20"/>
          <w:szCs w:val="20"/>
          <w:color w:val="auto"/>
        </w:rPr>
      </w:pPr>
      <w:r>
        <w:rPr>
          <w:rFonts w:ascii="Arial" w:cs="Arial" w:eastAsia="Arial" w:hAnsi="Arial"/>
          <w:sz w:val="19"/>
          <w:szCs w:val="19"/>
          <w:color w:val="auto"/>
        </w:rPr>
        <w:t>provision to protect you in the event of a change-in-control. The details of the Plan and the form of grant agreement will be provided to you separately.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You will remain eligible to participate in the following benefits as applicable and in accordance with the terms of Company policy:</w:t>
      </w:r>
    </w:p>
    <w:p>
      <w:pPr>
        <w:spacing w:after="0" w:line="185" w:lineRule="exact"/>
        <w:rPr>
          <w:sz w:val="20"/>
          <w:szCs w:val="20"/>
          <w:color w:val="auto"/>
        </w:rPr>
      </w:pPr>
    </w:p>
    <w:p>
      <w:pPr>
        <w:ind w:left="1220" w:hanging="289"/>
        <w:spacing w:after="0"/>
        <w:tabs>
          <w:tab w:leader="none" w:pos="12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Medical Benefits Plan</w:t>
      </w:r>
    </w:p>
    <w:p>
      <w:pPr>
        <w:ind w:left="1220" w:hanging="289"/>
        <w:spacing w:after="0" w:line="212" w:lineRule="auto"/>
        <w:tabs>
          <w:tab w:leader="none" w:pos="12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Salaried Short-Term Disability Insurance</w:t>
      </w:r>
    </w:p>
    <w:p>
      <w:pPr>
        <w:ind w:left="1220" w:hanging="289"/>
        <w:spacing w:after="0"/>
        <w:tabs>
          <w:tab w:leader="none" w:pos="12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Salaried Long-Term Disability Insurance</w:t>
      </w:r>
    </w:p>
    <w:p>
      <w:pPr>
        <w:sectPr>
          <w:pgSz w:w="11900" w:h="16838" w:orient="portrait"/>
          <w:cols w:equalWidth="0" w:num="1">
            <w:col w:w="11240"/>
          </w:cols>
          <w:pgMar w:left="320" w:top="110" w:right="339" w:bottom="1440" w:gutter="0" w:footer="0" w:header="0"/>
        </w:sectPr>
      </w:pPr>
    </w:p>
    <w:bookmarkStart w:id="54" w:name="page55"/>
    <w:bookmarkEnd w:id="54"/>
    <w:p>
      <w:pPr>
        <w:spacing w:after="0" w:line="200" w:lineRule="exact"/>
        <w:rPr>
          <w:sz w:val="20"/>
          <w:szCs w:val="20"/>
          <w:color w:val="auto"/>
        </w:rPr>
      </w:pPr>
    </w:p>
    <w:p>
      <w:pPr>
        <w:spacing w:after="0" w:line="215" w:lineRule="exact"/>
        <w:rPr>
          <w:sz w:val="20"/>
          <w:szCs w:val="20"/>
          <w:color w:val="auto"/>
        </w:rPr>
      </w:pPr>
    </w:p>
    <w:p>
      <w:pPr>
        <w:ind w:left="1220" w:hanging="289"/>
        <w:spacing w:after="0"/>
        <w:tabs>
          <w:tab w:leader="none" w:pos="12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Company Paid Group Term Life Insurance</w:t>
      </w:r>
    </w:p>
    <w:p>
      <w:pPr>
        <w:ind w:left="1220" w:hanging="289"/>
        <w:spacing w:after="0" w:line="212" w:lineRule="auto"/>
        <w:tabs>
          <w:tab w:leader="none" w:pos="12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Company Paid Accidental Death and Dismemberment Insurance</w:t>
      </w:r>
    </w:p>
    <w:p>
      <w:pPr>
        <w:ind w:left="1220" w:hanging="289"/>
        <w:spacing w:after="0" w:line="212" w:lineRule="auto"/>
        <w:tabs>
          <w:tab w:leader="none" w:pos="12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Dental Benefits Plan</w:t>
      </w:r>
    </w:p>
    <w:p>
      <w:pPr>
        <w:ind w:left="1220" w:hanging="289"/>
        <w:spacing w:after="0" w:line="198" w:lineRule="auto"/>
        <w:tabs>
          <w:tab w:leader="none" w:pos="12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Vision Benefits Plan</w:t>
      </w:r>
    </w:p>
    <w:p>
      <w:pPr>
        <w:ind w:left="1220" w:hanging="289"/>
        <w:spacing w:after="0" w:line="212" w:lineRule="auto"/>
        <w:tabs>
          <w:tab w:leader="none" w:pos="12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Non-Qualified Deferred Compensation Plan</w:t>
      </w:r>
    </w:p>
    <w:p>
      <w:pPr>
        <w:ind w:left="1220" w:hanging="289"/>
        <w:spacing w:after="0"/>
        <w:tabs>
          <w:tab w:leader="none" w:pos="12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Restaurant Support Center (RSC) Paid Time Off (PTO)</w:t>
      </w:r>
    </w:p>
    <w:p>
      <w:pPr>
        <w:spacing w:after="0" w:line="178"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In the ordinary course of business, pay and benefit plans continue to evolve as business needs and laws change. To the extent the Company or the Employer determines it to be necessary or desirable to change or eliminate any of the plans or programs in which you participate, such changes will apply to you as they do to other similarly situated employees.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As a condition of your employment, please note the following:</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While it is our sincere hope and belief that our relationship will be mutually beneficial, the Company and the Employer do not offer employment for</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a specified term. Any statements made to you in this letter and in meetings should not be construed in any manner as a proposed contract for any such term. Both you and the Employer may terminate employment at any time, with or without prior notice, for any or no reason, and with 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without Cause (as defined on Schedule 1).</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As a further condition of your employment, you agree to the following:</w:t>
      </w:r>
    </w:p>
    <w:p>
      <w:pPr>
        <w:spacing w:after="0" w:line="194" w:lineRule="exact"/>
        <w:rPr>
          <w:sz w:val="20"/>
          <w:szCs w:val="20"/>
          <w:color w:val="auto"/>
        </w:rPr>
      </w:pPr>
    </w:p>
    <w:p>
      <w:pPr>
        <w:ind w:left="340" w:hanging="337"/>
        <w:spacing w:after="0"/>
        <w:tabs>
          <w:tab w:leader="none" w:pos="3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Restrictive Covenant - Non-competition</w:t>
      </w:r>
    </w:p>
    <w:p>
      <w:pPr>
        <w:spacing w:after="0" w:line="206" w:lineRule="exact"/>
        <w:rPr>
          <w:rFonts w:ascii="Arial" w:cs="Arial" w:eastAsia="Arial" w:hAnsi="Arial"/>
          <w:sz w:val="19"/>
          <w:szCs w:val="19"/>
          <w:color w:val="auto"/>
        </w:rPr>
      </w:pPr>
    </w:p>
    <w:p>
      <w:pPr>
        <w:jc w:val="both"/>
        <w:ind w:firstLine="204"/>
        <w:spacing w:after="0" w:line="241" w:lineRule="auto"/>
        <w:rPr>
          <w:rFonts w:ascii="Arial" w:cs="Arial" w:eastAsia="Arial" w:hAnsi="Arial"/>
          <w:sz w:val="19"/>
          <w:szCs w:val="19"/>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During Employment</w:t>
      </w:r>
      <w:r>
        <w:rPr>
          <w:rFonts w:ascii="Arial" w:cs="Arial" w:eastAsia="Arial" w:hAnsi="Arial"/>
          <w:sz w:val="17"/>
          <w:szCs w:val="17"/>
          <w:color w:val="auto"/>
        </w:rPr>
        <w:t>. You will devote one hundred percent (100%) of your full business time, attention, energies, and effort to the business affairs of the Employer and the Company. Except with the prior written consent of the Employer, during your employment with the Company or the Employer, you shall not, individually or jointly with others, directly or indirectly, whether for your own account or for that of any other person or entity, engage in or own or hold any ownership interest in any person or entity engaged in a full service restaurant business, and you shall not act as an officer, director, employee, partner, independent contractor, consultant, principal, agent, proprietor or in any other capacity for, nor lend any assistance (financial or otherwise) or cooperation to, any such person or entity. You shall not serve on the board of directors or advisory committee of any other company without the prior consent of the Employer, which consent shall not be unreasonably withheld.</w:t>
      </w:r>
    </w:p>
    <w:p>
      <w:pPr>
        <w:spacing w:after="0" w:line="185" w:lineRule="exact"/>
        <w:rPr>
          <w:rFonts w:ascii="Arial" w:cs="Arial" w:eastAsia="Arial" w:hAnsi="Arial"/>
          <w:sz w:val="19"/>
          <w:szCs w:val="19"/>
          <w:color w:val="auto"/>
        </w:rPr>
      </w:pPr>
    </w:p>
    <w:p>
      <w:pPr>
        <w:jc w:val="both"/>
        <w:ind w:firstLine="273"/>
        <w:spacing w:after="0" w:line="215" w:lineRule="auto"/>
        <w:rPr>
          <w:rFonts w:ascii="Arial" w:cs="Arial" w:eastAsia="Arial" w:hAnsi="Arial"/>
          <w:sz w:val="19"/>
          <w:szCs w:val="19"/>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Post Term.</w:t>
      </w:r>
      <w:r>
        <w:rPr>
          <w:rFonts w:ascii="Arial" w:cs="Arial" w:eastAsia="Arial" w:hAnsi="Arial"/>
          <w:sz w:val="19"/>
          <w:szCs w:val="19"/>
          <w:color w:val="auto"/>
        </w:rPr>
        <w:t xml:space="preserve"> Commencing on the termination of your employment with the Employer, you shall not, individually or jointly with others, directly or indirectly, whether for your own account or for that of any other person or entity, engage in or own or hold any ownership interest in any person or entity engaged in a full table service restaurant business and that is located or intended to be located anywhere within a radius of thirty (30) miles of any full table service restaurant owned or operated by the Company or the Employer, or any proposed full table service restaurant to be owned or operated by the Company or the Employer, and you shall not act as an officer, director, employee, partner, independent contractor, consultant, principal, agent, proprietor or in any other capacity for, nor lend any assistance (financial or otherwise) or cooperation to, any such person or entity for the time period specified below:</w:t>
      </w:r>
    </w:p>
    <w:p>
      <w:pPr>
        <w:spacing w:after="0" w:line="202" w:lineRule="exact"/>
        <w:rPr>
          <w:rFonts w:ascii="Arial" w:cs="Arial" w:eastAsia="Arial" w:hAnsi="Arial"/>
          <w:sz w:val="19"/>
          <w:szCs w:val="19"/>
          <w:color w:val="auto"/>
        </w:rPr>
      </w:pPr>
    </w:p>
    <w:p>
      <w:pPr>
        <w:ind w:left="620" w:right="80" w:firstLine="2"/>
        <w:spacing w:after="0" w:line="307" w:lineRule="auto"/>
        <w:tabs>
          <w:tab w:leader="none" w:pos="1047" w:val="left"/>
        </w:tabs>
        <w:numPr>
          <w:ilvl w:val="3"/>
          <w:numId w:val="58"/>
        </w:numPr>
        <w:rPr>
          <w:rFonts w:ascii="Arial" w:cs="Arial" w:eastAsia="Arial" w:hAnsi="Arial"/>
          <w:sz w:val="18"/>
          <w:szCs w:val="18"/>
          <w:color w:val="auto"/>
        </w:rPr>
      </w:pPr>
      <w:r>
        <w:rPr>
          <w:rFonts w:ascii="Arial" w:cs="Arial" w:eastAsia="Arial" w:hAnsi="Arial"/>
          <w:sz w:val="18"/>
          <w:szCs w:val="18"/>
          <w:color w:val="auto"/>
        </w:rPr>
        <w:t>If your employment with Employer ends as a result of a termination without Cause by the Employer, then for a continuous period equal to the period of time used for calculating the amount of severance paid to you upon termination, if 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36" w:lineRule="exact"/>
        <w:rPr>
          <w:sz w:val="20"/>
          <w:szCs w:val="20"/>
          <w:color w:val="auto"/>
        </w:rPr>
      </w:pPr>
    </w:p>
    <w:p>
      <w:pPr>
        <w:ind w:left="620" w:firstLine="2"/>
        <w:spacing w:after="0" w:line="231" w:lineRule="auto"/>
        <w:tabs>
          <w:tab w:leader="none" w:pos="1101" w:val="left"/>
        </w:tabs>
        <w:numPr>
          <w:ilvl w:val="0"/>
          <w:numId w:val="59"/>
        </w:numPr>
        <w:rPr>
          <w:rFonts w:ascii="Arial" w:cs="Arial" w:eastAsia="Arial" w:hAnsi="Arial"/>
          <w:sz w:val="19"/>
          <w:szCs w:val="19"/>
          <w:color w:val="auto"/>
        </w:rPr>
      </w:pPr>
      <w:r>
        <w:rPr>
          <w:rFonts w:ascii="Arial" w:cs="Arial" w:eastAsia="Arial" w:hAnsi="Arial"/>
          <w:sz w:val="19"/>
          <w:szCs w:val="19"/>
          <w:color w:val="auto"/>
        </w:rPr>
        <w:t>If your employment with the Employer ends as a result of your voluntary resignation or termination by the Employer for Cause, for a continuous period of one (1) year.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non-competition clause, restaurants owned or operated by the Company or the Employer shall include all restaurants owned or</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operated by the Company, the Employer, their subsidiaries, franchisees or affiliates and any successor entity to the Company, the Employer, their subsidiaries, franchisees or affiliates, and any entity in which the Company or the Employer, its subsidiaries or any of their affiliates has an interest,</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including but not limited to, an interest as a franchisor. The term “proposed restaurant” shall include all locations for which the Company, the Employer, or their franchisees or affiliates is conducting active, bona fide negotiations to secure a fee or leasehold interest with the intention of</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establishing a restaurant thereon.</w:t>
      </w:r>
    </w:p>
    <w:p>
      <w:pPr>
        <w:spacing w:after="0" w:line="191" w:lineRule="exact"/>
        <w:rPr>
          <w:sz w:val="20"/>
          <w:szCs w:val="20"/>
          <w:color w:val="auto"/>
        </w:rPr>
      </w:pPr>
    </w:p>
    <w:p>
      <w:pPr>
        <w:jc w:val="both"/>
        <w:ind w:firstLine="250"/>
        <w:spacing w:after="0" w:line="224" w:lineRule="auto"/>
        <w:tabs>
          <w:tab w:leader="none" w:pos="667"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Limitation</w:t>
      </w:r>
      <w:r>
        <w:rPr>
          <w:rFonts w:ascii="Arial" w:cs="Arial" w:eastAsia="Arial" w:hAnsi="Arial"/>
          <w:sz w:val="19"/>
          <w:szCs w:val="19"/>
          <w:color w:val="auto"/>
        </w:rPr>
        <w:t>. It shall not be a violation of this Non-competition clause for Employee to own a one percent (1%) or smaller interest in any corporation required to file periodic reports with the Securities and Exchange Commission pursuant to the Securities Exchange Act of 1934, as amended, or successor statute.</w:t>
      </w:r>
    </w:p>
    <w:p>
      <w:pPr>
        <w:spacing w:after="0" w:line="104" w:lineRule="exact"/>
        <w:rPr>
          <w:rFonts w:ascii="Arial" w:cs="Arial" w:eastAsia="Arial" w:hAnsi="Arial"/>
          <w:sz w:val="19"/>
          <w:szCs w:val="19"/>
          <w:color w:val="auto"/>
        </w:rPr>
      </w:pPr>
    </w:p>
    <w:p>
      <w:pPr>
        <w:ind w:left="340" w:hanging="337"/>
        <w:spacing w:after="0"/>
        <w:tabs>
          <w:tab w:leader="none" w:pos="340" w:val="left"/>
        </w:tabs>
        <w:numPr>
          <w:ilvl w:val="0"/>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Restrictive Covenant - Non-disclosure; Non-solicitation; Non-piracy</w:t>
      </w:r>
    </w:p>
    <w:p>
      <w:pPr>
        <w:spacing w:after="0" w:line="122" w:lineRule="exact"/>
        <w:rPr>
          <w:rFonts w:ascii="Arial" w:cs="Arial" w:eastAsia="Arial" w:hAnsi="Arial"/>
          <w:sz w:val="19"/>
          <w:szCs w:val="19"/>
          <w:color w:val="auto"/>
        </w:rPr>
      </w:pPr>
    </w:p>
    <w:p>
      <w:pPr>
        <w:jc w:val="both"/>
        <w:ind w:firstLine="622"/>
        <w:spacing w:after="0" w:line="227" w:lineRule="auto"/>
        <w:tabs>
          <w:tab w:leader="none" w:pos="1009" w:val="left"/>
        </w:tabs>
        <w:numPr>
          <w:ilvl w:val="2"/>
          <w:numId w:val="61"/>
        </w:numPr>
        <w:rPr>
          <w:rFonts w:ascii="Arial" w:cs="Arial" w:eastAsia="Arial" w:hAnsi="Arial"/>
          <w:sz w:val="18"/>
          <w:szCs w:val="18"/>
          <w:color w:val="auto"/>
        </w:rPr>
      </w:pPr>
      <w:r>
        <w:rPr>
          <w:rFonts w:ascii="Arial" w:cs="Arial" w:eastAsia="Arial" w:hAnsi="Arial"/>
          <w:sz w:val="18"/>
          <w:szCs w:val="18"/>
          <w:color w:val="auto"/>
        </w:rPr>
        <w:t>Except in the performance of your duties hereunder, at no time during your employment with the Company or the Employer, or at any time thereafter, shall you, individually or jointly with others, for your benefit of or for the benefit of 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your own.</w:t>
      </w:r>
    </w:p>
    <w:p>
      <w:pPr>
        <w:spacing w:after="0" w:line="109" w:lineRule="exact"/>
        <w:rPr>
          <w:rFonts w:ascii="Arial" w:cs="Arial" w:eastAsia="Arial" w:hAnsi="Arial"/>
          <w:sz w:val="18"/>
          <w:szCs w:val="18"/>
          <w:color w:val="auto"/>
        </w:rPr>
      </w:pPr>
    </w:p>
    <w:p>
      <w:pPr>
        <w:jc w:val="both"/>
        <w:ind w:firstLine="622"/>
        <w:spacing w:after="0" w:line="213" w:lineRule="auto"/>
        <w:tabs>
          <w:tab w:leader="none" w:pos="1026" w:val="left"/>
        </w:tabs>
        <w:numPr>
          <w:ilvl w:val="2"/>
          <w:numId w:val="61"/>
        </w:numPr>
        <w:rPr>
          <w:rFonts w:ascii="Arial" w:cs="Arial" w:eastAsia="Arial" w:hAnsi="Arial"/>
          <w:sz w:val="19"/>
          <w:szCs w:val="19"/>
          <w:color w:val="auto"/>
        </w:rPr>
      </w:pPr>
      <w:r>
        <w:rPr>
          <w:rFonts w:ascii="Arial" w:cs="Arial" w:eastAsia="Arial" w:hAnsi="Arial"/>
          <w:sz w:val="19"/>
          <w:szCs w:val="19"/>
          <w:color w:val="auto"/>
        </w:rPr>
        <w:t>Moreover, during your employment with the Employer and for two (2) years thereafter, except as is the result of a broad solicitation that is not targeting employees of the Employer, the Company or any of their franchisees or affiliates, you shall not offer employment to, or hire, any employee of the Employer, the Company or any of their franchisees or affiliates, or otherwise directly or indirectly solicit or induce any employee of the Employer, the Company or any of their franchisees or affiliates to terminate his or her employment with the Employer, the Company or any of their franchisees or affiliates; nor shall you act as an officer, director, employee, partner, independent contractor, consultant, principal, agent, proprietor, owner or part owner, or in any other capacity, of or for any person or entity that solicits or otherwise induces any employee of the Employer, the Company or any of their franchisees or affiliates to terminate his or her employment with the Employer, the Company or any of their franchisees or affiliates.</w:t>
      </w:r>
    </w:p>
    <w:p>
      <w:pPr>
        <w:spacing w:after="0" w:line="183" w:lineRule="exact"/>
        <w:rPr>
          <w:rFonts w:ascii="Arial" w:cs="Arial" w:eastAsia="Arial" w:hAnsi="Arial"/>
          <w:sz w:val="19"/>
          <w:szCs w:val="19"/>
          <w:color w:val="auto"/>
        </w:rPr>
      </w:pPr>
    </w:p>
    <w:p>
      <w:pPr>
        <w:jc w:val="both"/>
        <w:ind w:firstLine="3"/>
        <w:spacing w:after="0" w:line="242" w:lineRule="auto"/>
        <w:tabs>
          <w:tab w:leader="none" w:pos="356" w:val="left"/>
        </w:tabs>
        <w:numPr>
          <w:ilvl w:val="0"/>
          <w:numId w:val="61"/>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Restrictive Covenant - Company and Employer Property: Duty to Return.</w:t>
      </w:r>
      <w:r>
        <w:rPr>
          <w:rFonts w:ascii="Arial" w:cs="Arial" w:eastAsia="Arial" w:hAnsi="Arial"/>
          <w:sz w:val="17"/>
          <w:szCs w:val="17"/>
          <w:b w:val="1"/>
          <w:bCs w:val="1"/>
          <w:color w:val="auto"/>
        </w:rPr>
        <w:t xml:space="preserve"> </w:t>
      </w:r>
      <w:r>
        <w:rPr>
          <w:rFonts w:ascii="Arial" w:cs="Arial" w:eastAsia="Arial" w:hAnsi="Arial"/>
          <w:sz w:val="17"/>
          <w:szCs w:val="17"/>
          <w:color w:val="auto"/>
        </w:rPr>
        <w:t>All Employer and Company property and assets, including but</w:t>
      </w:r>
      <w:r>
        <w:rPr>
          <w:rFonts w:ascii="Arial" w:cs="Arial" w:eastAsia="Arial" w:hAnsi="Arial"/>
          <w:sz w:val="17"/>
          <w:szCs w:val="17"/>
          <w:b w:val="1"/>
          <w:bCs w:val="1"/>
          <w:color w:val="auto"/>
        </w:rPr>
        <w:t xml:space="preserve"> </w:t>
      </w:r>
      <w:r>
        <w:rPr>
          <w:rFonts w:ascii="Arial" w:cs="Arial" w:eastAsia="Arial" w:hAnsi="Arial"/>
          <w:sz w:val="17"/>
          <w:szCs w:val="17"/>
          <w:color w:val="auto"/>
        </w:rPr>
        <w:t>not limited to products, 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 textbooks, and all other like information or products, including but not limited to all copies, duplications, replications, and derivatives of such information or products, now in your possession or acquired by you while in the employ of the Employer shall be the exclusive property of the Employer and shall be returned to the Employer no later than the date of your last day of work with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230" w:lineRule="exact"/>
        <w:rPr>
          <w:sz w:val="20"/>
          <w:szCs w:val="20"/>
          <w:color w:val="auto"/>
        </w:rPr>
      </w:pPr>
    </w:p>
    <w:p>
      <w:pPr>
        <w:jc w:val="both"/>
        <w:ind w:firstLine="3"/>
        <w:spacing w:after="0" w:line="236" w:lineRule="auto"/>
        <w:tabs>
          <w:tab w:leader="none" w:pos="356" w:val="left"/>
        </w:tabs>
        <w:numPr>
          <w:ilvl w:val="0"/>
          <w:numId w:val="62"/>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Restrictive Covenant - Inventions, Ideas, Processes, and Designs.</w:t>
      </w:r>
      <w:r>
        <w:rPr>
          <w:rFonts w:ascii="Arial" w:cs="Arial" w:eastAsia="Arial" w:hAnsi="Arial"/>
          <w:sz w:val="17"/>
          <w:szCs w:val="17"/>
          <w:b w:val="1"/>
          <w:bCs w:val="1"/>
          <w:color w:val="auto"/>
        </w:rPr>
        <w:t xml:space="preserve"> </w:t>
      </w:r>
      <w:r>
        <w:rPr>
          <w:rFonts w:ascii="Arial" w:cs="Arial" w:eastAsia="Arial" w:hAnsi="Arial"/>
          <w:sz w:val="17"/>
          <w:szCs w:val="17"/>
          <w:color w:val="auto"/>
        </w:rPr>
        <w:t>All inventions, ideas, recipes, processes, programs, software and designs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all improvements) related to the business of the Employer or the Company shall be disclosed in writing promptly to the Employer, and shall be the sole and exclusive property of the Employer, if either (i) conceived, made or used by you during the course of the your employment with the Employer (whether or not actually conceived during regular business hours) or (ii) made or used by you for a period of six (6) months subsequent to the termination or expiration of such employment. Any invention, idea, recipe, process, program, software or design (including an improvement) shall be deemed “related to the business of the Employer or the Company” if (i) it was made with equipment, facilities or confidential information of the Employer or the Company, (ii) results from work performed by you for the Employer or the Company or (iii) pertains to the current business or demonstrably anticipated research or development work of the Employer or the Company. You shall cooperate with the Employer and its attorneys in the preparation of patent and copyright applications for such developments and, upon request, shall promptly assign all such inventions, ideas, recipes, processes and designs to the Employer. The decision to file for patent or copyright protection or to maintain such development as a trade secret shall be in the sole discretion of the Employer, and you shall be bound by such decision. You shall provide, on the back of this Agreement, a complete list of all inventions, ideas, recipes, processes and designs if any, patented or unpatented, copyrighted or non-copyrighted, including a brief description, that you made or conceived prior to your employment with the Employer, and that, therefore, are excluded from the scope of the employment with the Employer.</w:t>
      </w:r>
    </w:p>
    <w:p>
      <w:pPr>
        <w:spacing w:after="0" w:line="19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restrictive covenants contained in this agreement are given and made by you to induce the Employer to employ you and to enter into this Agreement with you, and you hereby acknowledge that employment with the Employer is valuable and sufficient consideration for these restrictive</w:t>
      </w:r>
    </w:p>
    <w:p>
      <w:pPr>
        <w:spacing w:after="0" w:line="238" w:lineRule="auto"/>
        <w:rPr>
          <w:sz w:val="20"/>
          <w:szCs w:val="20"/>
          <w:color w:val="auto"/>
        </w:rPr>
      </w:pPr>
      <w:r>
        <w:rPr>
          <w:rFonts w:ascii="Arial" w:cs="Arial" w:eastAsia="Arial" w:hAnsi="Arial"/>
          <w:sz w:val="17"/>
          <w:szCs w:val="17"/>
          <w:color w:val="auto"/>
        </w:rPr>
        <w:t>covenants. The restrictive covenants shall be construed as agreements independent of any other provision in this Agreement, and the existence of</w:t>
      </w:r>
    </w:p>
    <w:p>
      <w:pPr>
        <w:spacing w:after="0" w:line="229" w:lineRule="auto"/>
        <w:rPr>
          <w:sz w:val="20"/>
          <w:szCs w:val="20"/>
          <w:color w:val="auto"/>
        </w:rPr>
      </w:pPr>
      <w:r>
        <w:rPr>
          <w:rFonts w:ascii="Arial" w:cs="Arial" w:eastAsia="Arial" w:hAnsi="Arial"/>
          <w:sz w:val="17"/>
          <w:szCs w:val="17"/>
          <w:color w:val="auto"/>
        </w:rPr>
        <w:t>any claim or cause of action you may have against the Employer or the Company, whether predicated upon this Agreement or otherwise, shall not constitute a defense to the enforcement of any restrictive covenant. The refusal or failure of the Employer or the Company to enforce any restrictive</w:t>
      </w:r>
    </w:p>
    <w:p>
      <w:pPr>
        <w:spacing w:after="0" w:line="238" w:lineRule="auto"/>
        <w:rPr>
          <w:sz w:val="20"/>
          <w:szCs w:val="20"/>
          <w:color w:val="auto"/>
        </w:rPr>
      </w:pPr>
      <w:r>
        <w:rPr>
          <w:rFonts w:ascii="Arial" w:cs="Arial" w:eastAsia="Arial" w:hAnsi="Arial"/>
          <w:sz w:val="17"/>
          <w:szCs w:val="17"/>
          <w:color w:val="auto"/>
        </w:rPr>
        <w:t>covenant of this agreement (or any similar agreement) against any other employee, agent, or independent contractor, for any reason, shall not</w:t>
      </w:r>
    </w:p>
    <w:p>
      <w:pPr>
        <w:spacing w:after="0" w:line="222" w:lineRule="auto"/>
        <w:rPr>
          <w:sz w:val="20"/>
          <w:szCs w:val="20"/>
          <w:color w:val="auto"/>
        </w:rPr>
      </w:pPr>
      <w:r>
        <w:rPr>
          <w:rFonts w:ascii="Arial" w:cs="Arial" w:eastAsia="Arial" w:hAnsi="Arial"/>
          <w:sz w:val="19"/>
          <w:szCs w:val="19"/>
          <w:color w:val="auto"/>
        </w:rPr>
        <w:t>constitute a defense to the enforcement by the Employer or the Company of any such restrictive covenant, nor shall it give rise to any claim or cause of action by you against the Employer or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You agree that a breach of any of the restrictive covenants contained in this Agreement will cause irreparable injury to the Employer and the</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Company for which the remedy at law will be inadequate and would be difficult to ascertain and therefore, in the event of the breach or threatened breach of any such covenants, the Employer and the Company shall be entitled, in addition to any other rights and remedies it may have at law or in</w:t>
      </w:r>
    </w:p>
    <w:p>
      <w:pPr>
        <w:spacing w:after="0" w:line="238" w:lineRule="auto"/>
        <w:rPr>
          <w:sz w:val="20"/>
          <w:szCs w:val="20"/>
          <w:color w:val="auto"/>
        </w:rPr>
      </w:pPr>
      <w:r>
        <w:rPr>
          <w:rFonts w:ascii="Arial" w:cs="Arial" w:eastAsia="Arial" w:hAnsi="Arial"/>
          <w:sz w:val="17"/>
          <w:szCs w:val="17"/>
          <w:color w:val="auto"/>
        </w:rPr>
        <w:t>equity, to obtain an injunction to restrain you from any threatened or actual activities in violation of any such covenants. You hereby consent and</w:t>
      </w:r>
    </w:p>
    <w:p>
      <w:pPr>
        <w:spacing w:after="0" w:line="229" w:lineRule="auto"/>
        <w:rPr>
          <w:sz w:val="20"/>
          <w:szCs w:val="20"/>
          <w:color w:val="auto"/>
        </w:rPr>
      </w:pPr>
      <w:r>
        <w:rPr>
          <w:rFonts w:ascii="Arial" w:cs="Arial" w:eastAsia="Arial" w:hAnsi="Arial"/>
          <w:sz w:val="17"/>
          <w:szCs w:val="17"/>
          <w:color w:val="auto"/>
        </w:rPr>
        <w:t>agree that temporary and permanent injunctive relief may be granted in any proceedings that might be brought to enforce any such covenants without the necessity of proof of actual damages, and in the event the Employer or the Company does apply for such an injunction, you shall not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raise as a defense thereto that the Employer or the Company has an adequate remedy at law.</w:t>
      </w:r>
    </w:p>
    <w:p>
      <w:pPr>
        <w:spacing w:after="0" w:line="191"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For the avoidance of doubt, the termination of this agreement for any reason, shall not extinguish your obligations specified in these restrictive covenants.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ALL PARTIES TO THIS AGREEMENT KNOW AND UNDERSTAND THAT THEY HAVE A CONSTITUTIONAL RIGHT TO A JURY</w:t>
      </w:r>
    </w:p>
    <w:p>
      <w:pPr>
        <w:spacing w:after="0" w:line="234" w:lineRule="auto"/>
        <w:rPr>
          <w:sz w:val="20"/>
          <w:szCs w:val="20"/>
          <w:color w:val="auto"/>
        </w:rPr>
      </w:pPr>
      <w:r>
        <w:rPr>
          <w:rFonts w:ascii="Arial" w:cs="Arial" w:eastAsia="Arial" w:hAnsi="Arial"/>
          <w:sz w:val="18"/>
          <w:szCs w:val="18"/>
          <w:color w:val="auto"/>
        </w:rPr>
        <w:t>TRIAL. THE PARTIES ACKNOWLEDGE THAT ANY DISPUTE OR CONTROVERSY THAT MAY ARISE OUT OF THIS AGREEMENT OR YOUR EMPLOYMENT WITH EMPLOYER WILL INVOLVE COMPLICATED AND DIFFICULT FACTUAL AND LEGAL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23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PARTIES HEREBY IRREVOCABLY WAIVE ANY RIGHT TO TRIAL BY JURY IN ANY PROCEEDING ARISING OUT OF OR RELATING TO YOUR EMPLOYMENT WITH EMPLOYER, THIS AGREEMENT OR ANY OF THE CONTEMPLATED TRANSACTIONS,</w:t>
      </w:r>
    </w:p>
    <w:p>
      <w:pPr>
        <w:spacing w:after="0" w:line="224" w:lineRule="auto"/>
        <w:rPr>
          <w:sz w:val="20"/>
          <w:szCs w:val="20"/>
          <w:color w:val="auto"/>
        </w:rPr>
      </w:pPr>
      <w:r>
        <w:rPr>
          <w:rFonts w:ascii="Arial" w:cs="Arial" w:eastAsia="Arial" w:hAnsi="Arial"/>
          <w:sz w:val="18"/>
          <w:szCs w:val="18"/>
          <w:color w:val="auto"/>
        </w:rPr>
        <w:t>WHETHER NOW EXISTING OR HEREAFTER ARISING, AND WHETHER SOUNDING IN CONTRACT, TORT OR OTHERWISE. THE</w:t>
      </w:r>
    </w:p>
    <w:p>
      <w:pPr>
        <w:jc w:val="both"/>
        <w:spacing w:after="0" w:line="216" w:lineRule="auto"/>
        <w:rPr>
          <w:sz w:val="20"/>
          <w:szCs w:val="20"/>
          <w:color w:val="auto"/>
        </w:rPr>
      </w:pPr>
      <w:r>
        <w:rPr>
          <w:rFonts w:ascii="Arial" w:cs="Arial" w:eastAsia="Arial" w:hAnsi="Arial"/>
          <w:sz w:val="18"/>
          <w:szCs w:val="18"/>
          <w:color w:val="auto"/>
        </w:rPr>
        <w:t>PARTIES AGREE THAT ANY OF THEM MAY FILE A COPY OF THIS PARAGRAPH WITH ANY COURT AS WRITTEN EVIDENCE OF THE KNOWING, VOLUNTARY AND BARGAINED-FOR AGREEMENT AMONG THE PARTIES IRREVOCABLY TO WAIVE TRIAL BY</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JURY AND THAT ANY PROCEEDING WHATSOEVER BETWEEN THEM RELATING TO YOUR EMPLOYMENT WITH EMPLOYER, THIS AGREEMENT OR ANY OF THE CONTEMPLATED TRANSACTIONS SHALL INSTEAD BE TRIED IN A COURT OF COMPETENT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JURISDICTION BY A JUDGE SITTING WITHOUT A JURY.</w:t>
      </w:r>
    </w:p>
    <w:p>
      <w:pPr>
        <w:spacing w:after="0" w:line="19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PARTIES INTEND THAT THIS WAIVER OF THE RIGHT TO A JURY TRIAL BE AS BROAD AS POSSIBLE. BY THEIR SIGNATURES BELOW, THE PARTIES PROMISE, WARRANT AND REPRESENT THAT THEY WILL NOT PLEAD FOR, REQUEST OR</w:t>
      </w:r>
    </w:p>
    <w:p>
      <w:pPr>
        <w:spacing w:after="0"/>
        <w:rPr>
          <w:sz w:val="20"/>
          <w:szCs w:val="20"/>
          <w:color w:val="auto"/>
        </w:rPr>
      </w:pPr>
      <w:r>
        <w:rPr>
          <w:rFonts w:ascii="Arial" w:cs="Arial" w:eastAsia="Arial" w:hAnsi="Arial"/>
          <w:sz w:val="18"/>
          <w:szCs w:val="18"/>
          <w:color w:val="auto"/>
        </w:rPr>
        <w:t>OTHERWISE SEEK TO HAVE A JURY TO RESOLVE ANY AND ALL DISPUTES THAT MAY ARISE BY, BETWEEN OR AMONG THEM.</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You shall be responsible for the payment of all taxes applicable to payments or benefits received from the Employer or the Company. It is the intent of the Employer and the Company that the provisions of this agreement and all other plans and programs sponsored by the Employer and the</w:t>
      </w:r>
    </w:p>
    <w:p>
      <w:pPr>
        <w:spacing w:after="0" w:line="238" w:lineRule="auto"/>
        <w:rPr>
          <w:sz w:val="20"/>
          <w:szCs w:val="20"/>
          <w:color w:val="auto"/>
        </w:rPr>
      </w:pPr>
      <w:r>
        <w:rPr>
          <w:rFonts w:ascii="Arial" w:cs="Arial" w:eastAsia="Arial" w:hAnsi="Arial"/>
          <w:sz w:val="17"/>
          <w:szCs w:val="17"/>
          <w:color w:val="auto"/>
        </w:rPr>
        <w:t>Company be interpreted to comply in all respects with Internal Revenue Code Section 409A, however, the Employer and the Company shall have</w:t>
      </w:r>
    </w:p>
    <w:p>
      <w:pPr>
        <w:jc w:val="both"/>
        <w:spacing w:after="0" w:line="222" w:lineRule="auto"/>
        <w:rPr>
          <w:sz w:val="20"/>
          <w:szCs w:val="20"/>
          <w:color w:val="auto"/>
        </w:rPr>
      </w:pPr>
      <w:r>
        <w:rPr>
          <w:rFonts w:ascii="Arial" w:cs="Arial" w:eastAsia="Arial" w:hAnsi="Arial"/>
          <w:sz w:val="19"/>
          <w:szCs w:val="19"/>
          <w:color w:val="auto"/>
        </w:rPr>
        <w:t>no liability to you, or any of your successors or beneficiaries, in the event taxes, penalties or excise taxes may ultimately be determined to be applicable to any payment or benefit received by you or your successors or beneficiaries.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validity, interpretation, and performance of this agreement shall be governed, interpreted, and construed in accordance with the laws of the State of Florida without giving effect to the principles of comity or conflicts of laws thereof.</w:t>
      </w:r>
    </w:p>
    <w:p>
      <w:pPr>
        <w:spacing w:after="0" w:line="173"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This letter constitutes the full commitments which have been extended to you and shall supersede any prior agreements whether oral or written. However, this does not constitute a contract of employment for any period of time. Should you have any questions regarding these commitments or your ability to conform to Company policies and procedures, please let me know immediately.</w:t>
      </w:r>
    </w:p>
    <w:p>
      <w:pPr>
        <w:spacing w:after="0" w:line="174"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This offer of employment is contingent on the Company’s successful completion of a background check and professional references. If for any reason the background check or references do not meet the Company’s standards, in the Company’s sole discretion, the offer will be deemed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36" w:lineRule="exact"/>
        <w:rPr>
          <w:sz w:val="20"/>
          <w:szCs w:val="20"/>
          <w:color w:val="auto"/>
        </w:rPr>
      </w:pPr>
    </w:p>
    <w:p>
      <w:pPr>
        <w:spacing w:after="0" w:line="460" w:lineRule="auto"/>
        <w:rPr>
          <w:sz w:val="20"/>
          <w:szCs w:val="20"/>
          <w:color w:val="auto"/>
        </w:rPr>
      </w:pPr>
      <w:r>
        <w:rPr>
          <w:rFonts w:ascii="Arial" w:cs="Arial" w:eastAsia="Arial" w:hAnsi="Arial"/>
          <w:sz w:val="19"/>
          <w:szCs w:val="19"/>
          <w:color w:val="auto"/>
        </w:rPr>
        <w:t>By signing this offer, you indicate your acceptance of our offer. Please keep one original copy of this offer letter for your personal files. Congratulations!</w:t>
      </w:r>
    </w:p>
    <w:p>
      <w:pPr>
        <w:spacing w:after="0"/>
        <w:rPr>
          <w:sz w:val="20"/>
          <w:szCs w:val="20"/>
          <w:color w:val="auto"/>
        </w:rPr>
      </w:pPr>
      <w:r>
        <w:rPr>
          <w:rFonts w:ascii="Arial" w:cs="Arial" w:eastAsia="Arial" w:hAnsi="Arial"/>
          <w:sz w:val="19"/>
          <w:szCs w:val="19"/>
          <w:color w:val="auto"/>
        </w:rPr>
        <w:t>Sincerely,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 Pat Murtha</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Pat Murtha</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Executive Vice President, Flemings, International &amp; Human Resources</w:t>
      </w:r>
    </w:p>
    <w:p>
      <w:pPr>
        <w:spacing w:after="0"/>
        <w:rPr>
          <w:sz w:val="20"/>
          <w:szCs w:val="20"/>
          <w:color w:val="auto"/>
        </w:rPr>
      </w:pPr>
      <w:r>
        <w:rPr>
          <w:rFonts w:ascii="Arial" w:cs="Arial" w:eastAsia="Arial" w:hAnsi="Arial"/>
          <w:sz w:val="19"/>
          <w:szCs w:val="19"/>
          <w:color w:val="auto"/>
        </w:rPr>
        <w:t>Bloomin’ Brands,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I accept the above offer of employment and I understand the terms as set forth above.</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420" w:type="dxa"/>
            <w:vAlign w:val="bottom"/>
            <w:gridSpan w:val="2"/>
          </w:tcPr>
          <w:p>
            <w:pPr>
              <w:ind w:left="20"/>
              <w:spacing w:after="0"/>
              <w:rPr>
                <w:sz w:val="20"/>
                <w:szCs w:val="20"/>
                <w:color w:val="auto"/>
              </w:rPr>
            </w:pPr>
            <w:r>
              <w:rPr>
                <w:rFonts w:ascii="Arial" w:cs="Arial" w:eastAsia="Arial" w:hAnsi="Arial"/>
                <w:sz w:val="17"/>
                <w:szCs w:val="17"/>
                <w:b w:val="1"/>
                <w:bCs w:val="1"/>
                <w:color w:val="auto"/>
              </w:rPr>
              <w:t>/s/ Suzann Trevisan</w:t>
            </w:r>
          </w:p>
        </w:tc>
        <w:tc>
          <w:tcPr>
            <w:tcW w:w="3240" w:type="dxa"/>
            <w:vAlign w:val="bottom"/>
          </w:tcPr>
          <w:p>
            <w:pPr>
              <w:spacing w:after="0"/>
              <w:rPr>
                <w:sz w:val="20"/>
                <w:szCs w:val="20"/>
                <w:color w:val="auto"/>
              </w:rPr>
            </w:pPr>
            <w:r>
              <w:rPr>
                <w:rFonts w:ascii="Arial" w:cs="Arial" w:eastAsia="Arial" w:hAnsi="Arial"/>
                <w:sz w:val="17"/>
                <w:szCs w:val="17"/>
                <w:b w:val="1"/>
                <w:bCs w:val="1"/>
                <w:color w:val="auto"/>
              </w:rPr>
              <w:t>8/9/22</w:t>
            </w:r>
          </w:p>
        </w:tc>
      </w:tr>
      <w:tr>
        <w:trPr>
          <w:trHeight w:val="240"/>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9"/>
                <w:szCs w:val="19"/>
                <w:b w:val="1"/>
                <w:bCs w:val="1"/>
                <w:color w:val="auto"/>
              </w:rPr>
              <w:t>Suzann Trevisan</w:t>
            </w:r>
          </w:p>
        </w:tc>
        <w:tc>
          <w:tcPr>
            <w:tcW w:w="1100" w:type="dxa"/>
            <w:vAlign w:val="bottom"/>
          </w:tcPr>
          <w:p>
            <w:pPr>
              <w:spacing w:after="0"/>
              <w:rPr>
                <w:sz w:val="20"/>
                <w:szCs w:val="20"/>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9"/>
                <w:szCs w:val="19"/>
                <w:b w:val="1"/>
                <w:bCs w:val="1"/>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40"/>
          </w:cols>
          <w:pgMar w:left="320" w:top="1440" w:right="1339" w:bottom="1440" w:gutter="0" w:footer="0" w:header="0"/>
        </w:sectPr>
      </w:pPr>
    </w:p>
    <w:bookmarkStart w:id="59" w:name="page60"/>
    <w:bookmarkEnd w:id="59"/>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Schedule 1</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"Cause" shall be defined as:</w:t>
      </w:r>
    </w:p>
    <w:p>
      <w:pPr>
        <w:spacing w:after="0" w:line="207" w:lineRule="exact"/>
        <w:rPr>
          <w:sz w:val="20"/>
          <w:szCs w:val="20"/>
          <w:color w:val="auto"/>
        </w:rPr>
      </w:pPr>
    </w:p>
    <w:p>
      <w:pPr>
        <w:jc w:val="both"/>
        <w:ind w:left="620" w:hanging="307"/>
        <w:spacing w:after="0"/>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Your failure to perform the material duties required of you in a manner satisfactory to the Employer, in its reasonable discretion after the Employer follows the following procedures: (a) the Employer gives you a written notice (''Notice of Deficiency") which shall specify the deficiencies in your performance of duties; (b) you shall have a period of thirty (30) days, commencing on receipt of the Notice of Deficiency, in which to cure the deficiencies contained in the Notice of Deficiency; and (c) in the event you do not cure the deficiencies to the satisfaction of the Employer, in its reasonable discretion, within such thirty (30) day period (or if during such thirty (30) day period the Employer determines that you are not making reasonable, good faith efforts to cure the deficiencies to the reasonable satisfaction of the Employer), the Employer shall have the right to immediately terminate your employment for Cause. The provisions of this paragraph (1) may be invoked by the Employer any number of times and cure of deficiencies contained in any Notice of Deficiency shall not be construed as a waiver of this paragraph (1) nor prevent the Employer from issuing any subsequent Notices of Deficiency; or</w:t>
      </w:r>
    </w:p>
    <w:p>
      <w:pPr>
        <w:spacing w:after="0" w:line="174" w:lineRule="exact"/>
        <w:rPr>
          <w:rFonts w:ascii="Arial" w:cs="Arial" w:eastAsia="Arial" w:hAnsi="Arial"/>
          <w:sz w:val="17"/>
          <w:szCs w:val="17"/>
          <w:color w:val="auto"/>
        </w:rPr>
      </w:pPr>
    </w:p>
    <w:p>
      <w:pPr>
        <w:jc w:val="both"/>
        <w:ind w:left="620" w:hanging="307"/>
        <w:spacing w:after="0" w:line="229" w:lineRule="auto"/>
        <w:tabs>
          <w:tab w:leader="none" w:pos="6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willful dishonesty by you in your dealings with the Company, the Employer or their affiliates; your commission of fraud, negligence in the performance of your duties; insubordination; willful misconduct; or your conviction (or plea of guilty or nolo contendere), indictment or charge with respect to, any felony, or any other crime involving dishonesty or moral turpitude; or</w:t>
      </w:r>
    </w:p>
    <w:p>
      <w:pPr>
        <w:spacing w:after="0" w:line="173" w:lineRule="exact"/>
        <w:rPr>
          <w:rFonts w:ascii="Arial" w:cs="Arial" w:eastAsia="Arial" w:hAnsi="Arial"/>
          <w:sz w:val="19"/>
          <w:szCs w:val="19"/>
          <w:color w:val="auto"/>
        </w:rPr>
      </w:pPr>
    </w:p>
    <w:p>
      <w:pPr>
        <w:ind w:left="620" w:hanging="307"/>
        <w:spacing w:after="0"/>
        <w:tabs>
          <w:tab w:leader="none" w:pos="6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material violation of the restrictive covenants of this agreement; or</w:t>
      </w:r>
    </w:p>
    <w:p>
      <w:pPr>
        <w:spacing w:after="0" w:line="206" w:lineRule="exact"/>
        <w:rPr>
          <w:rFonts w:ascii="Arial" w:cs="Arial" w:eastAsia="Arial" w:hAnsi="Arial"/>
          <w:sz w:val="19"/>
          <w:szCs w:val="19"/>
          <w:color w:val="auto"/>
        </w:rPr>
      </w:pPr>
    </w:p>
    <w:p>
      <w:pPr>
        <w:jc w:val="both"/>
        <w:ind w:left="620" w:hanging="307"/>
        <w:spacing w:after="0" w:line="250" w:lineRule="auto"/>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material violation of any current or future material published policy of the Employer or its Affiliates (material published policies include, but are not limited to, the Employer's Employment Non-Discrimination and Non-Harassment Policy, Confidential Information Policy, Contract Policy, Gifts and Entertainment Policy, Disclosure and Communications Policy, Social Media Policy, Responsible Alcohol Policy, Insider Trading Policy, Stock Ownership Guidelines Policy, Code of Conduct, and Information Technology Security Policy); or</w:t>
      </w:r>
    </w:p>
    <w:p>
      <w:pPr>
        <w:spacing w:after="0" w:line="165" w:lineRule="exact"/>
        <w:rPr>
          <w:rFonts w:ascii="Arial" w:cs="Arial" w:eastAsia="Arial" w:hAnsi="Arial"/>
          <w:sz w:val="17"/>
          <w:szCs w:val="17"/>
          <w:color w:val="auto"/>
        </w:rPr>
      </w:pPr>
    </w:p>
    <w:p>
      <w:pPr>
        <w:ind w:left="620" w:hanging="307"/>
        <w:spacing w:after="0" w:line="238" w:lineRule="auto"/>
        <w:tabs>
          <w:tab w:leader="none" w:pos="6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For all purposes of this Agreement, termination for Cause shall be deemed to have occurred in the event of your resignation when, because of existing facts and circumstances, subsequent termination for Cause can be reasonably foreseen.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44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9"/>
          <w:szCs w:val="19"/>
          <w:b w:val="1"/>
          <w:bCs w:val="1"/>
          <w:color w:val="auto"/>
        </w:rPr>
        <w:t>Exhibit 31.1</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I, David J. Deno, certify that:</w:t>
      </w:r>
    </w:p>
    <w:p>
      <w:pPr>
        <w:spacing w:after="0" w:line="233" w:lineRule="exact"/>
        <w:rPr>
          <w:sz w:val="20"/>
          <w:szCs w:val="20"/>
          <w:color w:val="auto"/>
        </w:rPr>
      </w:pPr>
    </w:p>
    <w:p>
      <w:pPr>
        <w:ind w:left="540" w:hanging="537"/>
        <w:spacing w:after="0"/>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I have reviewed this Quarterly Report on Form 10-Q of Bloomin’ Brands, Inc.;</w:t>
      </w:r>
    </w:p>
    <w:p>
      <w:pPr>
        <w:spacing w:after="0" w:line="245" w:lineRule="exact"/>
        <w:rPr>
          <w:rFonts w:ascii="Arial" w:cs="Arial" w:eastAsia="Arial" w:hAnsi="Arial"/>
          <w:sz w:val="19"/>
          <w:szCs w:val="19"/>
          <w:color w:val="auto"/>
        </w:rPr>
      </w:pPr>
    </w:p>
    <w:p>
      <w:pPr>
        <w:jc w:val="both"/>
        <w:ind w:left="540" w:hanging="537"/>
        <w:spacing w:after="0" w:line="259" w:lineRule="auto"/>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9"/>
          <w:szCs w:val="19"/>
          <w:color w:val="auto"/>
        </w:rPr>
      </w:pPr>
    </w:p>
    <w:p>
      <w:pPr>
        <w:ind w:left="540" w:hanging="537"/>
        <w:spacing w:after="0" w:line="324"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7"/>
          <w:szCs w:val="17"/>
          <w:color w:val="auto"/>
        </w:rPr>
      </w:pPr>
    </w:p>
    <w:p>
      <w:pPr>
        <w:jc w:val="both"/>
        <w:ind w:left="540" w:hanging="537"/>
        <w:spacing w:after="0" w:line="282"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40"/>
        <w:spacing w:after="0"/>
        <w:rPr>
          <w:rFonts w:ascii="Arial" w:cs="Arial" w:eastAsia="Arial" w:hAnsi="Arial"/>
          <w:sz w:val="17"/>
          <w:szCs w:val="17"/>
          <w:color w:val="auto"/>
        </w:rPr>
      </w:pPr>
      <w:r>
        <w:rPr>
          <w:rFonts w:ascii="Arial" w:cs="Arial" w:eastAsia="Arial" w:hAnsi="Arial"/>
          <w:sz w:val="19"/>
          <w:szCs w:val="19"/>
          <w:color w:val="auto"/>
        </w:rPr>
        <w:t>13a-15(f) and 15d-15(f)) for the registrant and have:</w:t>
      </w:r>
    </w:p>
    <w:p>
      <w:pPr>
        <w:spacing w:after="0" w:line="237" w:lineRule="exact"/>
        <w:rPr>
          <w:rFonts w:ascii="Arial" w:cs="Arial" w:eastAsia="Arial" w:hAnsi="Arial"/>
          <w:sz w:val="17"/>
          <w:szCs w:val="17"/>
          <w:color w:val="auto"/>
        </w:rPr>
      </w:pPr>
    </w:p>
    <w:p>
      <w:pPr>
        <w:jc w:val="both"/>
        <w:ind w:left="1240" w:hanging="463"/>
        <w:spacing w:after="0" w:line="280" w:lineRule="auto"/>
        <w:tabs>
          <w:tab w:leader="none" w:pos="123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8"/>
          <w:szCs w:val="18"/>
          <w:color w:val="auto"/>
        </w:rPr>
      </w:pPr>
    </w:p>
    <w:p>
      <w:pPr>
        <w:jc w:val="both"/>
        <w:ind w:left="1240" w:hanging="463"/>
        <w:spacing w:after="0" w:line="266" w:lineRule="auto"/>
        <w:tabs>
          <w:tab w:leader="none" w:pos="1228" w:val="left"/>
        </w:tabs>
        <w:numPr>
          <w:ilvl w:val="1"/>
          <w:numId w:val="6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jc w:val="both"/>
        <w:ind w:left="1240" w:hanging="463"/>
        <w:spacing w:after="0" w:line="259" w:lineRule="auto"/>
        <w:tabs>
          <w:tab w:leader="none" w:pos="1230" w:val="left"/>
        </w:tabs>
        <w:numPr>
          <w:ilvl w:val="1"/>
          <w:numId w:val="64"/>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Arial" w:cs="Arial" w:eastAsia="Arial" w:hAnsi="Arial"/>
          <w:sz w:val="19"/>
          <w:szCs w:val="19"/>
          <w:color w:val="auto"/>
        </w:rPr>
      </w:pPr>
    </w:p>
    <w:p>
      <w:pPr>
        <w:jc w:val="both"/>
        <w:ind w:left="1240" w:hanging="463"/>
        <w:spacing w:after="0" w:line="280" w:lineRule="auto"/>
        <w:tabs>
          <w:tab w:leader="none" w:pos="122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jc w:val="both"/>
        <w:ind w:left="540" w:hanging="537"/>
        <w:spacing w:after="0" w:line="259" w:lineRule="auto"/>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9"/>
          <w:szCs w:val="19"/>
          <w:color w:val="auto"/>
        </w:rPr>
      </w:pPr>
    </w:p>
    <w:p>
      <w:pPr>
        <w:ind w:left="1240" w:hanging="463"/>
        <w:spacing w:after="0" w:line="340" w:lineRule="auto"/>
        <w:tabs>
          <w:tab w:leader="none" w:pos="123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7"/>
          <w:szCs w:val="17"/>
          <w:color w:val="auto"/>
        </w:rPr>
      </w:pPr>
    </w:p>
    <w:p>
      <w:pPr>
        <w:ind w:left="1240" w:hanging="463"/>
        <w:spacing w:after="0" w:line="264" w:lineRule="auto"/>
        <w:tabs>
          <w:tab w:leader="none" w:pos="1228" w:val="left"/>
        </w:tabs>
        <w:numPr>
          <w:ilvl w:val="1"/>
          <w:numId w:val="64"/>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660"/>
        <w:spacing w:after="0"/>
        <w:tabs>
          <w:tab w:leader="none" w:pos="1220" w:val="left"/>
          <w:tab w:leader="none" w:pos="4980" w:val="left"/>
        </w:tabs>
        <w:rPr>
          <w:sz w:val="20"/>
          <w:szCs w:val="20"/>
          <w:color w:val="auto"/>
        </w:rPr>
      </w:pPr>
      <w:r>
        <w:rPr>
          <w:rFonts w:ascii="Arial" w:cs="Arial" w:eastAsia="Arial" w:hAnsi="Arial"/>
          <w:sz w:val="19"/>
          <w:szCs w:val="19"/>
          <w:color w:val="auto"/>
        </w:rPr>
        <w:t>Date:</w:t>
        <w:tab/>
        <w:t>November 1, 2022</w:t>
      </w:r>
      <w:r>
        <w:rPr>
          <w:sz w:val="20"/>
          <w:szCs w:val="20"/>
          <w:color w:val="auto"/>
        </w:rPr>
        <w:tab/>
      </w:r>
      <w:r>
        <w:rPr>
          <w:rFonts w:ascii="Arial" w:cs="Arial" w:eastAsia="Arial" w:hAnsi="Arial"/>
          <w:sz w:val="17"/>
          <w:szCs w:val="17"/>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19050</wp:posOffset>
            </wp:positionV>
            <wp:extent cx="357759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77590" cy="16510"/>
                    </a:xfrm>
                    <a:prstGeom prst="rect">
                      <a:avLst/>
                    </a:prstGeom>
                    <a:noFill/>
                  </pic:spPr>
                </pic:pic>
              </a:graphicData>
            </a:graphic>
          </wp:anchor>
        </w:drawing>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David J. Deno</w:t>
      </w:r>
    </w:p>
    <w:p>
      <w:pPr>
        <w:spacing w:after="0" w:line="4"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Chief Executive Officer</w:t>
      </w:r>
    </w:p>
    <w:p>
      <w:pPr>
        <w:ind w:left="5000"/>
        <w:spacing w:after="0"/>
        <w:rPr>
          <w:sz w:val="20"/>
          <w:szCs w:val="20"/>
          <w:color w:val="auto"/>
        </w:rPr>
      </w:pPr>
      <w:r>
        <w:rPr>
          <w:rFonts w:ascii="Arial" w:cs="Arial" w:eastAsia="Arial" w:hAnsi="Arial"/>
          <w:sz w:val="19"/>
          <w:szCs w:val="19"/>
          <w:color w:val="auto"/>
        </w:rPr>
        <w:t>(Principal Executive Officer)</w:t>
      </w:r>
    </w:p>
    <w:p>
      <w:pPr>
        <w:sectPr>
          <w:pgSz w:w="11900" w:h="16838" w:orient="portrait"/>
          <w:cols w:equalWidth="0" w:num="1">
            <w:col w:w="11240"/>
          </w:cols>
          <w:pgMar w:left="320" w:top="349"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9"/>
          <w:szCs w:val="19"/>
          <w:b w:val="1"/>
          <w:bCs w:val="1"/>
          <w:color w:val="auto"/>
        </w:rPr>
        <w:t>Exhibit 31.2</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I, Christopher Meyer, certify that:</w:t>
      </w:r>
    </w:p>
    <w:p>
      <w:pPr>
        <w:spacing w:after="0" w:line="233" w:lineRule="exact"/>
        <w:rPr>
          <w:sz w:val="20"/>
          <w:szCs w:val="20"/>
          <w:color w:val="auto"/>
        </w:rPr>
      </w:pPr>
    </w:p>
    <w:p>
      <w:pPr>
        <w:ind w:left="540" w:hanging="537"/>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 have reviewed this Quarterly Report on Form 10-Q of Bloomin’ Brands, Inc.;</w:t>
      </w:r>
    </w:p>
    <w:p>
      <w:pPr>
        <w:spacing w:after="0" w:line="245" w:lineRule="exact"/>
        <w:rPr>
          <w:rFonts w:ascii="Arial" w:cs="Arial" w:eastAsia="Arial" w:hAnsi="Arial"/>
          <w:sz w:val="19"/>
          <w:szCs w:val="19"/>
          <w:color w:val="auto"/>
        </w:rPr>
      </w:pPr>
    </w:p>
    <w:p>
      <w:pPr>
        <w:jc w:val="both"/>
        <w:ind w:left="540" w:hanging="537"/>
        <w:spacing w:after="0" w:line="259" w:lineRule="auto"/>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9"/>
          <w:szCs w:val="19"/>
          <w:color w:val="auto"/>
        </w:rPr>
      </w:pPr>
    </w:p>
    <w:p>
      <w:pPr>
        <w:ind w:left="540" w:hanging="537"/>
        <w:spacing w:after="0" w:line="324" w:lineRule="auto"/>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7"/>
          <w:szCs w:val="17"/>
          <w:color w:val="auto"/>
        </w:rPr>
      </w:pPr>
    </w:p>
    <w:p>
      <w:pPr>
        <w:jc w:val="both"/>
        <w:ind w:left="540" w:hanging="537"/>
        <w:spacing w:after="0" w:line="282" w:lineRule="auto"/>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40"/>
        <w:spacing w:after="0"/>
        <w:rPr>
          <w:rFonts w:ascii="Arial" w:cs="Arial" w:eastAsia="Arial" w:hAnsi="Arial"/>
          <w:sz w:val="17"/>
          <w:szCs w:val="17"/>
          <w:color w:val="auto"/>
        </w:rPr>
      </w:pPr>
      <w:r>
        <w:rPr>
          <w:rFonts w:ascii="Arial" w:cs="Arial" w:eastAsia="Arial" w:hAnsi="Arial"/>
          <w:sz w:val="19"/>
          <w:szCs w:val="19"/>
          <w:color w:val="auto"/>
        </w:rPr>
        <w:t>13a-15(f) and 15d-15(f)) for the registrant and have:</w:t>
      </w:r>
    </w:p>
    <w:p>
      <w:pPr>
        <w:spacing w:after="0" w:line="237" w:lineRule="exact"/>
        <w:rPr>
          <w:rFonts w:ascii="Arial" w:cs="Arial" w:eastAsia="Arial" w:hAnsi="Arial"/>
          <w:sz w:val="17"/>
          <w:szCs w:val="17"/>
          <w:color w:val="auto"/>
        </w:rPr>
      </w:pPr>
    </w:p>
    <w:p>
      <w:pPr>
        <w:jc w:val="both"/>
        <w:ind w:left="1240" w:hanging="463"/>
        <w:spacing w:after="0" w:line="280" w:lineRule="auto"/>
        <w:tabs>
          <w:tab w:leader="none" w:pos="123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8"/>
          <w:szCs w:val="18"/>
          <w:color w:val="auto"/>
        </w:rPr>
      </w:pPr>
    </w:p>
    <w:p>
      <w:pPr>
        <w:jc w:val="both"/>
        <w:ind w:left="1240" w:hanging="463"/>
        <w:spacing w:after="0" w:line="266" w:lineRule="auto"/>
        <w:tabs>
          <w:tab w:leader="none" w:pos="1228" w:val="left"/>
        </w:tabs>
        <w:numPr>
          <w:ilvl w:val="1"/>
          <w:numId w:val="6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jc w:val="both"/>
        <w:ind w:left="1240" w:hanging="463"/>
        <w:spacing w:after="0" w:line="259" w:lineRule="auto"/>
        <w:tabs>
          <w:tab w:leader="none" w:pos="1230" w:val="left"/>
        </w:tabs>
        <w:numPr>
          <w:ilvl w:val="1"/>
          <w:numId w:val="65"/>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Arial" w:cs="Arial" w:eastAsia="Arial" w:hAnsi="Arial"/>
          <w:sz w:val="19"/>
          <w:szCs w:val="19"/>
          <w:color w:val="auto"/>
        </w:rPr>
      </w:pPr>
    </w:p>
    <w:p>
      <w:pPr>
        <w:jc w:val="both"/>
        <w:ind w:left="1240" w:hanging="463"/>
        <w:spacing w:after="0" w:line="280" w:lineRule="auto"/>
        <w:tabs>
          <w:tab w:leader="none" w:pos="122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jc w:val="both"/>
        <w:ind w:left="540" w:hanging="537"/>
        <w:spacing w:after="0" w:line="259" w:lineRule="auto"/>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9"/>
          <w:szCs w:val="19"/>
          <w:color w:val="auto"/>
        </w:rPr>
      </w:pPr>
    </w:p>
    <w:p>
      <w:pPr>
        <w:ind w:left="1240" w:hanging="463"/>
        <w:spacing w:after="0" w:line="340" w:lineRule="auto"/>
        <w:tabs>
          <w:tab w:leader="none" w:pos="123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7"/>
          <w:szCs w:val="17"/>
          <w:color w:val="auto"/>
        </w:rPr>
      </w:pPr>
    </w:p>
    <w:p>
      <w:pPr>
        <w:ind w:left="1240" w:hanging="463"/>
        <w:spacing w:after="0" w:line="264" w:lineRule="auto"/>
        <w:tabs>
          <w:tab w:leader="none" w:pos="1228" w:val="left"/>
        </w:tabs>
        <w:numPr>
          <w:ilvl w:val="1"/>
          <w:numId w:val="65"/>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660"/>
        <w:spacing w:after="0"/>
        <w:tabs>
          <w:tab w:leader="none" w:pos="1220" w:val="left"/>
          <w:tab w:leader="none" w:pos="4980" w:val="left"/>
        </w:tabs>
        <w:rPr>
          <w:sz w:val="20"/>
          <w:szCs w:val="20"/>
          <w:color w:val="auto"/>
        </w:rPr>
      </w:pPr>
      <w:r>
        <w:rPr>
          <w:rFonts w:ascii="Arial" w:cs="Arial" w:eastAsia="Arial" w:hAnsi="Arial"/>
          <w:sz w:val="19"/>
          <w:szCs w:val="19"/>
          <w:color w:val="auto"/>
        </w:rPr>
        <w:t>Date:</w:t>
        <w:tab/>
        <w:t>November 1, 2022</w:t>
      </w:r>
      <w:r>
        <w:rPr>
          <w:sz w:val="20"/>
          <w:szCs w:val="20"/>
          <w:color w:val="auto"/>
        </w:rPr>
        <w:tab/>
      </w:r>
      <w:r>
        <w:rPr>
          <w:rFonts w:ascii="Arial" w:cs="Arial" w:eastAsia="Arial" w:hAnsi="Arial"/>
          <w:sz w:val="17"/>
          <w:szCs w:val="17"/>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19050</wp:posOffset>
            </wp:positionV>
            <wp:extent cx="357759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77590" cy="16510"/>
                    </a:xfrm>
                    <a:prstGeom prst="rect">
                      <a:avLst/>
                    </a:prstGeom>
                    <a:noFill/>
                  </pic:spPr>
                </pic:pic>
              </a:graphicData>
            </a:graphic>
          </wp:anchor>
        </w:drawing>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Christopher Meyer</w:t>
      </w:r>
    </w:p>
    <w:p>
      <w:pPr>
        <w:spacing w:after="0" w:line="4"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Executive Vice President and Chief Financial Officer</w:t>
      </w:r>
    </w:p>
    <w:p>
      <w:pPr>
        <w:ind w:left="5000"/>
        <w:spacing w:after="0"/>
        <w:rPr>
          <w:sz w:val="20"/>
          <w:szCs w:val="20"/>
          <w:color w:val="auto"/>
        </w:rPr>
      </w:pPr>
      <w:r>
        <w:rPr>
          <w:rFonts w:ascii="Arial" w:cs="Arial" w:eastAsia="Arial" w:hAnsi="Arial"/>
          <w:sz w:val="19"/>
          <w:szCs w:val="19"/>
          <w:color w:val="auto"/>
        </w:rPr>
        <w:t>(Principal Financial Officer)</w:t>
      </w:r>
    </w:p>
    <w:p>
      <w:pPr>
        <w:sectPr>
          <w:pgSz w:w="11900" w:h="16838" w:orient="portrait"/>
          <w:cols w:equalWidth="0" w:num="1">
            <w:col w:w="11240"/>
          </w:cols>
          <w:pgMar w:left="320" w:top="349"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9"/>
          <w:szCs w:val="19"/>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line="285" w:lineRule="auto"/>
        <w:rPr>
          <w:sz w:val="20"/>
          <w:szCs w:val="20"/>
          <w:color w:val="auto"/>
        </w:rPr>
      </w:pPr>
      <w:r>
        <w:rPr>
          <w:rFonts w:ascii="Arial" w:cs="Arial" w:eastAsia="Arial" w:hAnsi="Arial"/>
          <w:sz w:val="19"/>
          <w:szCs w:val="19"/>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In connection with the Quarterly Report of Bloomin’ Brands, Inc. (the “Company”) on Form 10-Q for the quarter ended September 25, 2022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208" w:lineRule="exact"/>
        <w:rPr>
          <w:sz w:val="20"/>
          <w:szCs w:val="20"/>
          <w:color w:val="auto"/>
        </w:rPr>
      </w:pPr>
    </w:p>
    <w:p>
      <w:pPr>
        <w:ind w:left="620" w:hanging="307"/>
        <w:spacing w:after="0"/>
        <w:tabs>
          <w:tab w:leader="none" w:pos="6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32" w:lineRule="exact"/>
        <w:rPr>
          <w:rFonts w:ascii="Arial" w:cs="Arial" w:eastAsia="Arial" w:hAnsi="Arial"/>
          <w:sz w:val="19"/>
          <w:szCs w:val="19"/>
          <w:color w:val="auto"/>
        </w:rPr>
      </w:pPr>
    </w:p>
    <w:p>
      <w:pPr>
        <w:ind w:left="620" w:hanging="307"/>
        <w:spacing w:after="0" w:line="278" w:lineRule="auto"/>
        <w:tabs>
          <w:tab w:leader="none" w:pos="608"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 for the dates and periods covered by the Report.</w:t>
      </w:r>
    </w:p>
    <w:p>
      <w:pPr>
        <w:spacing w:after="0" w:line="242"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19"/>
          <w:szCs w:val="19"/>
          <w:color w:val="auto"/>
        </w:rPr>
        <w:t>Date:</w:t>
        <w:tab/>
        <w:t>November 1, 2022</w:t>
      </w:r>
      <w:r>
        <w:rPr>
          <w:sz w:val="20"/>
          <w:szCs w:val="20"/>
          <w:color w:val="auto"/>
        </w:rPr>
        <w:tab/>
      </w:r>
      <w:r>
        <w:rPr>
          <w:rFonts w:ascii="Arial" w:cs="Arial" w:eastAsia="Arial" w:hAnsi="Arial"/>
          <w:sz w:val="17"/>
          <w:szCs w:val="17"/>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19050</wp:posOffset>
            </wp:positionV>
            <wp:extent cx="401955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19550" cy="16510"/>
                    </a:xfrm>
                    <a:prstGeom prst="rect">
                      <a:avLst/>
                    </a:prstGeom>
                    <a:noFill/>
                  </pic:spPr>
                </pic:pic>
              </a:graphicData>
            </a:graphic>
          </wp:anchor>
        </w:drawing>
      </w:r>
    </w:p>
    <w:p>
      <w:pPr>
        <w:spacing w:after="0" w:line="32"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David J. Deno</w:t>
      </w:r>
    </w:p>
    <w:p>
      <w:pPr>
        <w:spacing w:after="0" w:line="17"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Chief Executive Officer</w:t>
      </w:r>
    </w:p>
    <w:p>
      <w:pPr>
        <w:ind w:left="4920"/>
        <w:spacing w:after="0"/>
        <w:rPr>
          <w:sz w:val="20"/>
          <w:szCs w:val="20"/>
          <w:color w:val="auto"/>
        </w:rPr>
      </w:pPr>
      <w:r>
        <w:rPr>
          <w:rFonts w:ascii="Arial" w:cs="Arial" w:eastAsia="Arial" w:hAnsi="Arial"/>
          <w:sz w:val="19"/>
          <w:szCs w:val="19"/>
          <w:color w:val="auto"/>
        </w:rPr>
        <w:t>(Principal Executive Officer)</w:t>
      </w:r>
    </w:p>
    <w:p>
      <w:pPr>
        <w:spacing w:after="0" w:line="307"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349"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9"/>
          <w:szCs w:val="19"/>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line="285" w:lineRule="auto"/>
        <w:rPr>
          <w:sz w:val="20"/>
          <w:szCs w:val="20"/>
          <w:color w:val="auto"/>
        </w:rPr>
      </w:pPr>
      <w:r>
        <w:rPr>
          <w:rFonts w:ascii="Arial" w:cs="Arial" w:eastAsia="Arial" w:hAnsi="Arial"/>
          <w:sz w:val="19"/>
          <w:szCs w:val="19"/>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In connection with the Quarterly Report of Bloomin’ Brands, Inc. (the “Company”) on Form 10-Q for the quarter ended September 25, 2022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208" w:lineRule="exact"/>
        <w:rPr>
          <w:sz w:val="20"/>
          <w:szCs w:val="20"/>
          <w:color w:val="auto"/>
        </w:rPr>
      </w:pPr>
    </w:p>
    <w:p>
      <w:pPr>
        <w:ind w:left="620" w:hanging="307"/>
        <w:spacing w:after="0"/>
        <w:tabs>
          <w:tab w:leader="none" w:pos="6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32" w:lineRule="exact"/>
        <w:rPr>
          <w:rFonts w:ascii="Arial" w:cs="Arial" w:eastAsia="Arial" w:hAnsi="Arial"/>
          <w:sz w:val="19"/>
          <w:szCs w:val="19"/>
          <w:color w:val="auto"/>
        </w:rPr>
      </w:pPr>
    </w:p>
    <w:p>
      <w:pPr>
        <w:ind w:left="620" w:hanging="307"/>
        <w:spacing w:after="0" w:line="278" w:lineRule="auto"/>
        <w:tabs>
          <w:tab w:leader="none" w:pos="608"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 for the dates and periods covered by the Report.</w:t>
      </w:r>
    </w:p>
    <w:p>
      <w:pPr>
        <w:spacing w:after="0" w:line="242"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19"/>
          <w:szCs w:val="19"/>
          <w:color w:val="auto"/>
        </w:rPr>
        <w:t>Date:</w:t>
        <w:tab/>
        <w:t>November 1, 2022</w:t>
      </w:r>
      <w:r>
        <w:rPr>
          <w:sz w:val="20"/>
          <w:szCs w:val="20"/>
          <w:color w:val="auto"/>
        </w:rPr>
        <w:tab/>
      </w:r>
      <w:r>
        <w:rPr>
          <w:rFonts w:ascii="Arial" w:cs="Arial" w:eastAsia="Arial" w:hAnsi="Arial"/>
          <w:sz w:val="17"/>
          <w:szCs w:val="17"/>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19050</wp:posOffset>
            </wp:positionV>
            <wp:extent cx="401955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19550" cy="16510"/>
                    </a:xfrm>
                    <a:prstGeom prst="rect">
                      <a:avLst/>
                    </a:prstGeom>
                    <a:noFill/>
                  </pic:spPr>
                </pic:pic>
              </a:graphicData>
            </a:graphic>
          </wp:anchor>
        </w:drawing>
      </w:r>
    </w:p>
    <w:p>
      <w:pPr>
        <w:spacing w:after="0" w:line="32"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Christopher Meyer</w:t>
      </w:r>
    </w:p>
    <w:p>
      <w:pPr>
        <w:spacing w:after="0" w:line="17"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Executive Vice President and Chief Financial Officer</w:t>
      </w:r>
    </w:p>
    <w:p>
      <w:pPr>
        <w:ind w:left="4920"/>
        <w:spacing w:after="0"/>
        <w:rPr>
          <w:sz w:val="20"/>
          <w:szCs w:val="20"/>
          <w:color w:val="auto"/>
        </w:rPr>
      </w:pPr>
      <w:r>
        <w:rPr>
          <w:rFonts w:ascii="Arial" w:cs="Arial" w:eastAsia="Arial" w:hAnsi="Arial"/>
          <w:sz w:val="19"/>
          <w:szCs w:val="19"/>
          <w:color w:val="auto"/>
        </w:rPr>
        <w:t>(Principal Financial Officer)</w:t>
      </w:r>
    </w:p>
    <w:p>
      <w:pPr>
        <w:spacing w:after="0" w:line="307"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240"/>
      </w:cols>
      <w:pgMar w:left="320" w:top="3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decimal"/>
      <w:start w:val="2"/>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1."/>
      <w:numFmt w:val="decimal"/>
      <w:start w:val="3"/>
    </w:lvl>
  </w:abstractNum>
  <w:abstractNum w:abstractNumId="9">
    <w:nsid w:val="2463B9EA"/>
    <w:multiLevelType w:val="hybridMultilevel"/>
    <w:lvl w:ilvl="0">
      <w:lvlJc w:val="left"/>
      <w:lvlText w:val="(%1)"/>
      <w:numFmt w:val="decimal"/>
      <w:start w:val="1"/>
    </w:lvl>
  </w:abstractNum>
  <w:abstractNum w:abstractNumId="10">
    <w:nsid w:val="5E884ADC"/>
    <w:multiLevelType w:val="hybridMultilevel"/>
    <w:lvl w:ilvl="0">
      <w:lvlJc w:val="left"/>
      <w:lvlText w:val="%1."/>
      <w:numFmt w:val="decimal"/>
      <w:start w:val="4"/>
    </w:lvl>
  </w:abstractNum>
  <w:abstractNum w:abstractNumId="11">
    <w:nsid w:val="51EAD36B"/>
    <w:multiLevelType w:val="hybridMultilevel"/>
    <w:lvl w:ilvl="0">
      <w:lvlJc w:val="left"/>
      <w:lvlText w:val="(%1)"/>
      <w:numFmt w:val="decimal"/>
      <w:start w:val="1"/>
    </w:lvl>
  </w:abstractNum>
  <w:abstractNum w:abstractNumId="12">
    <w:nsid w:val="2D517796"/>
    <w:multiLevelType w:val="hybridMultilevel"/>
    <w:lvl w:ilvl="0">
      <w:lvlJc w:val="left"/>
      <w:lvlText w:val="%1."/>
      <w:numFmt w:val="decimal"/>
      <w:start w:val="5"/>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1)"/>
      <w:numFmt w:val="decimal"/>
      <w:start w:val="1"/>
    </w:lvl>
  </w:abstractNum>
  <w:abstractNum w:abstractNumId="15">
    <w:nsid w:val="3855585C"/>
    <w:multiLevelType w:val="hybridMultilevel"/>
    <w:lvl w:ilvl="0">
      <w:lvlJc w:val="left"/>
      <w:lvlText w:val="(%1)"/>
      <w:numFmt w:val="decimal"/>
      <w:start w:val="1"/>
    </w:lvl>
  </w:abstractNum>
  <w:abstractNum w:abstractNumId="16">
    <w:nsid w:val="70A64E2A"/>
    <w:multiLevelType w:val="hybridMultilevel"/>
    <w:lvl w:ilvl="0">
      <w:lvlJc w:val="left"/>
      <w:lvlText w:val="%1."/>
      <w:numFmt w:val="decimal"/>
      <w:start w:val="8"/>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1)"/>
      <w:numFmt w:val="decimal"/>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lowerRoman"/>
      <w:start w:val="1"/>
    </w:lvl>
  </w:abstractNum>
  <w:abstractNum w:abstractNumId="28">
    <w:nsid w:val="7644A45C"/>
    <w:multiLevelType w:val="hybridMultilevel"/>
    <w:lvl w:ilvl="0">
      <w:lvlJc w:val="left"/>
      <w:lvlText w:val="(%1)"/>
      <w:numFmt w:val="lowerRoman"/>
      <w:start w:val="6"/>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lvl w:ilvl="1">
      <w:lvlJc w:val="left"/>
      <w:lvlText w:val="(%2)"/>
      <w:numFmt w:val="lowerRoman"/>
      <w:start w:val="1"/>
    </w:lvl>
  </w:abstractNum>
  <w:abstractNum w:abstractNumId="31">
    <w:nsid w:val="579478FE"/>
    <w:multiLevelType w:val="hybridMultilevel"/>
    <w:lvl w:ilvl="0">
      <w:lvlJc w:val="left"/>
      <w:lvlText w:val="(%1)"/>
      <w:numFmt w:val="lowerRoman"/>
      <w:start w:val="4"/>
    </w:lvl>
  </w:abstractNum>
  <w:abstractNum w:abstractNumId="32">
    <w:nsid w:val="749ABB43"/>
    <w:multiLevelType w:val="hybridMultilevel"/>
    <w:lvl w:ilvl="0">
      <w:lvlJc w:val="left"/>
      <w:lvlText w:val="•"/>
      <w:numFmt w:val="bullet"/>
      <w:start w:val="1"/>
    </w:lvl>
    <w:lvl w:ilvl="1">
      <w:lvlJc w:val="left"/>
      <w:lvlText w:val="\emdash "/>
      <w:numFmt w:val="bullet"/>
      <w:start w:val="1"/>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decimal"/>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lowerRoman"/>
      <w:start w:val="1"/>
    </w:lvl>
  </w:abstractNum>
  <w:abstractNum w:abstractNumId="58">
    <w:nsid w:val="77AE35EB"/>
    <w:multiLevelType w:val="hybridMultilevel"/>
    <w:lvl w:ilvl="0">
      <w:lvlJc w:val="left"/>
      <w:lvlText w:val="(%1)"/>
      <w:numFmt w:val="lowerRoman"/>
      <w:start w:val="2"/>
    </w:lvl>
  </w:abstractNum>
  <w:abstractNum w:abstractNumId="59">
    <w:nsid w:val="579BE4F1"/>
    <w:multiLevelType w:val="hybridMultilevel"/>
    <w:lvl w:ilvl="0">
      <w:lvlJc w:val="left"/>
      <w:lvlText w:val="%1"/>
      <w:numFmt w:val="decimal"/>
      <w:start w:val="1"/>
    </w:lvl>
    <w:lvl w:ilvl="1">
      <w:lvlJc w:val="left"/>
      <w:lvlText w:val="%2."/>
      <w:numFmt w:val="upperLetter"/>
      <w:start w:val="3"/>
    </w:lvl>
    <w:lvl w:ilvl="2">
      <w:lvlJc w:val="left"/>
      <w:lvlText w:val="%3"/>
      <w:numFmt w:val="upperLetter"/>
      <w:start w:val="1"/>
    </w:lvl>
  </w:abstractNum>
  <w:abstractNum w:abstractNumId="60">
    <w:nsid w:val="310C50B3"/>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61">
    <w:nsid w:val="5FF87E05"/>
    <w:multiLevelType w:val="hybridMultilevel"/>
    <w:lvl w:ilvl="0">
      <w:lvlJc w:val="left"/>
      <w:lvlText w:val="%1."/>
      <w:numFmt w:val="decimal"/>
      <w:start w:val="4"/>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2022-11-01T15:25:36Z</dcterms:created>
  <dcterms:modified xsi:type="dcterms:W3CDTF">2022-11-01T15:25:36Z</dcterms:modified>
</cp:coreProperties>
</file>