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10-Q</w:t>
      </w:r>
    </w:p>
    <w:p>
      <w:pPr>
        <w:spacing w:after="0" w:line="148"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19" w:lineRule="exact"/>
        <w:rPr>
          <w:sz w:val="24"/>
          <w:szCs w:val="24"/>
          <w:color w:val="auto"/>
        </w:rPr>
      </w:pPr>
    </w:p>
    <w:p>
      <w:pPr>
        <w:ind w:left="1700" w:right="560" w:hanging="801"/>
        <w:spacing w:after="0" w:line="191" w:lineRule="auto"/>
        <w:tabs>
          <w:tab w:leader="none" w:pos="1700" w:val="left"/>
        </w:tabs>
        <w:numPr>
          <w:ilvl w:val="0"/>
          <w:numId w:val="1"/>
        </w:numPr>
        <w:rPr>
          <w:rFonts w:ascii="MS PGothic" w:cs="MS PGothic" w:eastAsia="MS PGothic" w:hAnsi="MS PGothic"/>
          <w:sz w:val="32"/>
          <w:szCs w:val="3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 w:lineRule="exact"/>
        <w:rPr>
          <w:rFonts w:ascii="MS PGothic" w:cs="MS PGothic" w:eastAsia="MS PGothic" w:hAnsi="MS PGothic"/>
          <w:sz w:val="32"/>
          <w:szCs w:val="32"/>
          <w:color w:val="auto"/>
        </w:rPr>
      </w:pPr>
    </w:p>
    <w:p>
      <w:pPr>
        <w:ind w:left="1700"/>
        <w:spacing w:after="0"/>
        <w:rPr>
          <w:rFonts w:ascii="MS PGothic" w:cs="MS PGothic" w:eastAsia="MS PGothic" w:hAnsi="MS PGothic"/>
          <w:sz w:val="32"/>
          <w:szCs w:val="32"/>
          <w:color w:val="auto"/>
        </w:rPr>
      </w:pPr>
      <w:r>
        <w:rPr>
          <w:rFonts w:ascii="Arial" w:cs="Arial" w:eastAsia="Arial" w:hAnsi="Arial"/>
          <w:sz w:val="20"/>
          <w:szCs w:val="20"/>
          <w:color w:val="auto"/>
        </w:rPr>
        <w:t>For the quarterly period ended March 28, 2021</w:t>
      </w:r>
    </w:p>
    <w:p>
      <w:pPr>
        <w:spacing w:after="0" w:line="13" w:lineRule="exact"/>
        <w:rPr>
          <w:sz w:val="24"/>
          <w:szCs w:val="24"/>
          <w:color w:val="auto"/>
        </w:rPr>
      </w:pPr>
    </w:p>
    <w:p>
      <w:pPr>
        <w:ind w:left="6160"/>
        <w:spacing w:after="0"/>
        <w:rPr>
          <w:sz w:val="20"/>
          <w:szCs w:val="20"/>
          <w:color w:val="auto"/>
        </w:rPr>
      </w:pPr>
      <w:r>
        <w:rPr>
          <w:rFonts w:ascii="Arial" w:cs="Arial" w:eastAsia="Arial" w:hAnsi="Arial"/>
          <w:sz w:val="20"/>
          <w:szCs w:val="20"/>
          <w:color w:val="auto"/>
        </w:rPr>
        <w:t>or</w:t>
      </w:r>
    </w:p>
    <w:p>
      <w:pPr>
        <w:spacing w:after="0" w:line="5" w:lineRule="exact"/>
        <w:rPr>
          <w:sz w:val="24"/>
          <w:szCs w:val="24"/>
          <w:color w:val="auto"/>
        </w:rPr>
      </w:pPr>
    </w:p>
    <w:p>
      <w:pPr>
        <w:ind w:left="1700" w:right="540" w:hanging="801"/>
        <w:spacing w:after="0" w:line="191" w:lineRule="auto"/>
        <w:tabs>
          <w:tab w:leader="none" w:pos="1700" w:val="left"/>
        </w:tabs>
        <w:numPr>
          <w:ilvl w:val="0"/>
          <w:numId w:val="2"/>
        </w:numPr>
        <w:rPr>
          <w:rFonts w:ascii="MS PGothic" w:cs="MS PGothic" w:eastAsia="MS PGothic" w:hAnsi="MS PGothic"/>
          <w:sz w:val="32"/>
          <w:szCs w:val="3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rFonts w:ascii="MS PGothic" w:cs="MS PGothic" w:eastAsia="MS PGothic" w:hAnsi="MS PGothic"/>
          <w:sz w:val="32"/>
          <w:szCs w:val="32"/>
          <w:color w:val="auto"/>
        </w:rPr>
      </w:pPr>
    </w:p>
    <w:p>
      <w:pPr>
        <w:ind w:left="1700"/>
        <w:spacing w:after="0"/>
        <w:rPr>
          <w:rFonts w:ascii="MS PGothic" w:cs="MS PGothic" w:eastAsia="MS PGothic" w:hAnsi="MS PGothic"/>
          <w:sz w:val="32"/>
          <w:szCs w:val="32"/>
          <w:color w:val="auto"/>
        </w:rPr>
      </w:pPr>
      <w:r>
        <w:rPr>
          <w:rFonts w:ascii="Arial" w:cs="Arial" w:eastAsia="Arial" w:hAnsi="Arial"/>
          <w:sz w:val="20"/>
          <w:szCs w:val="20"/>
          <w:color w:val="auto"/>
        </w:rPr>
        <w:t>For the transition period from ______ to ______</w:t>
      </w:r>
    </w:p>
    <w:p>
      <w:pPr>
        <w:spacing w:after="0" w:line="8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164465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080"/>
          </w:cols>
          <w:pgMar w:left="320" w:top="1008" w:right="499" w:bottom="0" w:gutter="0" w:footer="0" w:header="0"/>
        </w:sectPr>
      </w:pPr>
    </w:p>
    <w:p>
      <w:pPr>
        <w:spacing w:after="0" w:line="122"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20-8023465</w:t>
      </w:r>
    </w:p>
    <w:p>
      <w:pPr>
        <w:spacing w:after="0" w:line="36" w:lineRule="exact"/>
        <w:rPr>
          <w:sz w:val="24"/>
          <w:szCs w:val="24"/>
          <w:color w:val="auto"/>
        </w:rPr>
      </w:pPr>
    </w:p>
    <w:p>
      <w:pPr>
        <w:jc w:val="center"/>
        <w:ind w:right="1560"/>
        <w:spacing w:after="0"/>
        <w:rPr>
          <w:sz w:val="20"/>
          <w:szCs w:val="20"/>
          <w:color w:val="auto"/>
        </w:rPr>
      </w:pPr>
      <w:r>
        <w:rPr>
          <w:rFonts w:ascii="Arial" w:cs="Arial" w:eastAsia="Arial" w:hAnsi="Arial"/>
          <w:sz w:val="15"/>
          <w:szCs w:val="15"/>
          <w:color w:val="auto"/>
        </w:rPr>
        <w:t>(IRS Employer Identification No.)</w:t>
      </w:r>
    </w:p>
    <w:p>
      <w:pPr>
        <w:spacing w:after="0" w:line="112" w:lineRule="exact"/>
        <w:rPr>
          <w:sz w:val="24"/>
          <w:szCs w:val="24"/>
          <w:color w:val="auto"/>
        </w:rPr>
      </w:pPr>
    </w:p>
    <w:p>
      <w:pPr>
        <w:sectPr>
          <w:pgSz w:w="11900" w:h="16838" w:orient="portrait"/>
          <w:cols w:equalWidth="0" w:num="2">
            <w:col w:w="6560" w:space="720"/>
            <w:col w:w="3800"/>
          </w:cols>
          <w:pgMar w:left="320" w:top="1008" w:right="499" w:bottom="0" w:gutter="0" w:footer="0" w:header="0"/>
          <w:type w:val="continuous"/>
        </w:sectPr>
      </w:pPr>
    </w:p>
    <w:p>
      <w:pPr>
        <w:jc w:val="center"/>
        <w:ind w:right="-17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(Address of principal executive offices)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080"/>
          </w:cols>
          <w:pgMar w:left="320" w:top="1008" w:right="499" w:bottom="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left="1140"/>
        <w:spacing w:after="0"/>
        <w:rPr>
          <w:sz w:val="20"/>
          <w:szCs w:val="20"/>
          <w:color w:val="auto"/>
        </w:rPr>
      </w:pPr>
      <w:r>
        <w:rPr>
          <w:rFonts w:ascii="Arial" w:cs="Arial" w:eastAsia="Arial" w:hAnsi="Arial"/>
          <w:sz w:val="16"/>
          <w:szCs w:val="16"/>
          <w:color w:val="auto"/>
        </w:rPr>
        <w:t>Title of each class</w:t>
      </w:r>
    </w:p>
    <w:p>
      <w:pPr>
        <w:spacing w:after="0" w:line="28" w:lineRule="exact"/>
        <w:rPr>
          <w:sz w:val="24"/>
          <w:szCs w:val="24"/>
          <w:color w:val="auto"/>
        </w:rPr>
      </w:pPr>
    </w:p>
    <w:p>
      <w:pPr>
        <w:jc w:val="center"/>
        <w:ind w:left="112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Trading Symbol(s)</w:t>
      </w:r>
    </w:p>
    <w:p>
      <w:pPr>
        <w:spacing w:after="0" w:line="28"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460"/>
        <w:spacing w:after="0" w:line="261" w:lineRule="auto"/>
        <w:rPr>
          <w:sz w:val="20"/>
          <w:szCs w:val="20"/>
          <w:color w:val="auto"/>
        </w:rPr>
      </w:pPr>
      <w:r>
        <w:rPr>
          <w:rFonts w:ascii="Arial" w:cs="Arial" w:eastAsia="Arial" w:hAnsi="Arial"/>
          <w:sz w:val="16"/>
          <w:szCs w:val="16"/>
          <w:color w:val="auto"/>
        </w:rPr>
        <w:t xml:space="preserve">Name of each exchange on which registered </w:t>
      </w:r>
      <w:r>
        <w:rPr>
          <w:rFonts w:ascii="Arial" w:cs="Arial" w:eastAsia="Arial" w:hAnsi="Arial"/>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80" w:space="480"/>
            <w:col w:w="3740" w:space="260"/>
            <w:col w:w="3320"/>
          </w:cols>
          <w:pgMar w:left="320" w:top="1008" w:right="499" w:bottom="0" w:gutter="0" w:footer="0" w:header="0"/>
          <w:type w:val="continuous"/>
        </w:sectPr>
      </w:pPr>
    </w:p>
    <w:p>
      <w:pPr>
        <w:spacing w:after="0" w:line="113" w:lineRule="exact"/>
        <w:rPr>
          <w:sz w:val="24"/>
          <w:szCs w:val="24"/>
          <w:color w:val="auto"/>
        </w:rPr>
      </w:pPr>
    </w:p>
    <w:p>
      <w:pPr>
        <w:ind w:right="14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ind w:right="20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jc w:val="center"/>
        <w:ind w:right="-159"/>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jc w:val="center"/>
        <w:ind w:right="-159"/>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pacing w:after="0" w:line="242" w:lineRule="exact"/>
        <w:rPr>
          <w:sz w:val="24"/>
          <w:szCs w:val="24"/>
          <w:color w:val="auto"/>
        </w:rPr>
      </w:pPr>
    </w:p>
    <w:p>
      <w:pPr>
        <w:spacing w:after="0" w:line="28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44"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ectPr>
          <w:pgSz w:w="11900" w:h="16838" w:orient="portrait"/>
          <w:cols w:equalWidth="0" w:num="1">
            <w:col w:w="11080"/>
          </w:cols>
          <w:pgMar w:left="320" w:top="1008" w:right="49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April 27, 2021, 88,919,036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2" w:name="page3"/>
    <w:bookmarkEnd w:id="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3"/>
          </w:tcPr>
          <w:p>
            <w:pPr>
              <w:jc w:val="center"/>
              <w:ind w:right="2420"/>
              <w:spacing w:after="0"/>
              <w:rPr>
                <w:sz w:val="20"/>
                <w:szCs w:val="20"/>
                <w:color w:val="auto"/>
              </w:rPr>
            </w:pPr>
            <w:r>
              <w:rPr>
                <w:rFonts w:ascii="Arial" w:cs="Arial" w:eastAsia="Arial" w:hAnsi="Arial"/>
                <w:sz w:val="20"/>
                <w:szCs w:val="20"/>
                <w:b w:val="1"/>
                <w:bCs w:val="1"/>
                <w:color w:val="auto"/>
                <w:w w:val="99"/>
              </w:rPr>
              <w:t>BLOOMIN’ BRANDS, INC.</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15"/>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17"/>
          </w:tcPr>
          <w:p>
            <w:pPr>
              <w:jc w:val="center"/>
              <w:ind w:right="1440"/>
              <w:spacing w:after="0"/>
              <w:rPr>
                <w:sz w:val="20"/>
                <w:szCs w:val="20"/>
                <w:color w:val="auto"/>
              </w:rPr>
            </w:pPr>
            <w:r>
              <w:rPr>
                <w:rFonts w:ascii="Arial" w:cs="Arial" w:eastAsia="Arial" w:hAnsi="Arial"/>
                <w:sz w:val="20"/>
                <w:szCs w:val="20"/>
                <w:color w:val="auto"/>
                <w:w w:val="94"/>
              </w:rPr>
              <w:t>INDEX TO QUARTERLY REPORT ON FORM 10-Q</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40" w:type="dxa"/>
            <w:vAlign w:val="bottom"/>
            <w:gridSpan w:val="16"/>
          </w:tcPr>
          <w:p>
            <w:pPr>
              <w:jc w:val="center"/>
              <w:ind w:right="2100"/>
              <w:spacing w:after="0"/>
              <w:rPr>
                <w:sz w:val="20"/>
                <w:szCs w:val="20"/>
                <w:color w:val="auto"/>
              </w:rPr>
            </w:pPr>
            <w:r>
              <w:rPr>
                <w:rFonts w:ascii="Arial" w:cs="Arial" w:eastAsia="Arial" w:hAnsi="Arial"/>
                <w:sz w:val="20"/>
                <w:szCs w:val="20"/>
                <w:color w:val="auto"/>
                <w:w w:val="89"/>
              </w:rPr>
              <w:t>For the Quarterly Period Ended March 28, 2021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740" w:type="dxa"/>
            <w:vAlign w:val="bottom"/>
            <w:gridSpan w:val="12"/>
          </w:tcPr>
          <w:p>
            <w:pPr>
              <w:jc w:val="center"/>
              <w:ind w:right="3300"/>
              <w:spacing w:after="0"/>
              <w:rPr>
                <w:sz w:val="20"/>
                <w:szCs w:val="20"/>
                <w:color w:val="auto"/>
              </w:rPr>
            </w:pPr>
            <w:r>
              <w:rPr>
                <w:rFonts w:ascii="Arial" w:cs="Arial" w:eastAsia="Arial" w:hAnsi="Arial"/>
                <w:sz w:val="20"/>
                <w:szCs w:val="20"/>
                <w:color w:val="auto"/>
                <w:w w:val="91"/>
              </w:rPr>
              <w:t>(Unaudited)</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7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3"/>
          </w:tcPr>
          <w:p>
            <w:pPr>
              <w:jc w:val="center"/>
              <w:ind w:right="2440"/>
              <w:spacing w:after="0"/>
              <w:rPr>
                <w:sz w:val="20"/>
                <w:szCs w:val="20"/>
                <w:color w:val="auto"/>
              </w:rPr>
            </w:pPr>
            <w:r>
              <w:rPr>
                <w:rFonts w:ascii="Arial" w:cs="Arial" w:eastAsia="Arial" w:hAnsi="Arial"/>
                <w:sz w:val="20"/>
                <w:szCs w:val="20"/>
                <w:color w:val="auto"/>
                <w:w w:val="94"/>
              </w:rPr>
              <w:t>TABLE OF CONTENTS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40" w:type="dxa"/>
            <w:vAlign w:val="bottom"/>
            <w:gridSpan w:val="16"/>
          </w:tcPr>
          <w:p>
            <w:pPr>
              <w:jc w:val="center"/>
              <w:ind w:right="2580"/>
              <w:spacing w:after="0"/>
              <w:rPr>
                <w:rFonts w:ascii="Arial" w:cs="Arial" w:eastAsia="Arial" w:hAnsi="Arial"/>
                <w:sz w:val="20"/>
                <w:szCs w:val="20"/>
                <w:color w:val="0000FF"/>
                <w:w w:val="97"/>
              </w:rPr>
            </w:pPr>
            <w:hyperlink w:anchor="page3">
              <w:r>
                <w:rPr>
                  <w:rFonts w:ascii="Arial" w:cs="Arial" w:eastAsia="Arial" w:hAnsi="Arial"/>
                  <w:sz w:val="20"/>
                  <w:szCs w:val="20"/>
                  <w:color w:val="0000FF"/>
                  <w:w w:val="97"/>
                </w:rPr>
                <w:t>PART I — FINANCIAL INFORMATION</w:t>
              </w:r>
            </w:hyperlink>
          </w:p>
        </w:tc>
        <w:tc>
          <w:tcPr>
            <w:tcW w:w="1600" w:type="dxa"/>
            <w:vAlign w:val="bottom"/>
            <w:gridSpan w:val="5"/>
          </w:tcPr>
          <w:p>
            <w:pPr>
              <w:ind w:left="440"/>
              <w:spacing w:after="0"/>
              <w:rPr>
                <w:sz w:val="20"/>
                <w:szCs w:val="20"/>
                <w:color w:val="auto"/>
              </w:rPr>
            </w:pPr>
            <w:r>
              <w:rPr>
                <w:rFonts w:ascii="Arial" w:cs="Arial" w:eastAsia="Arial" w:hAnsi="Arial"/>
                <w:sz w:val="20"/>
                <w:szCs w:val="20"/>
                <w:color w:val="auto"/>
              </w:rPr>
              <w:t>Page No.</w:t>
            </w:r>
          </w:p>
        </w:tc>
      </w:tr>
      <w:tr>
        <w:trPr>
          <w:trHeight w:val="28"/>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1020" w:type="dxa"/>
            <w:vAlign w:val="bottom"/>
          </w:tcPr>
          <w:p>
            <w:pPr>
              <w:ind w:left="20"/>
              <w:spacing w:after="0"/>
              <w:rPr>
                <w:sz w:val="20"/>
                <w:szCs w:val="20"/>
                <w:color w:val="auto"/>
              </w:rPr>
            </w:pPr>
            <w:r>
              <w:rPr>
                <w:rFonts w:ascii="Arial" w:cs="Arial" w:eastAsia="Arial" w:hAnsi="Arial"/>
                <w:sz w:val="20"/>
                <w:szCs w:val="20"/>
                <w:color w:val="auto"/>
              </w:rPr>
              <w:t>Item 1.</w:t>
            </w:r>
          </w:p>
        </w:tc>
        <w:tc>
          <w:tcPr>
            <w:tcW w:w="100" w:type="dxa"/>
            <w:vAlign w:val="bottom"/>
          </w:tcPr>
          <w:p>
            <w:pPr>
              <w:spacing w:after="0"/>
              <w:rPr>
                <w:sz w:val="21"/>
                <w:szCs w:val="21"/>
                <w:color w:val="auto"/>
              </w:rPr>
            </w:pPr>
          </w:p>
        </w:tc>
        <w:tc>
          <w:tcPr>
            <w:tcW w:w="8520" w:type="dxa"/>
            <w:vAlign w:val="bottom"/>
            <w:gridSpan w:val="25"/>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Financial Statements (Unaudited)</w:t>
              </w:r>
            </w:hyperlink>
          </w:p>
        </w:tc>
        <w:tc>
          <w:tcPr>
            <w:tcW w:w="860" w:type="dxa"/>
            <w:vAlign w:val="bottom"/>
            <w:gridSpan w:val="3"/>
          </w:tcPr>
          <w:p>
            <w:pPr>
              <w:jc w:val="center"/>
              <w:ind w:left="661"/>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23"/>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Consolidated Financial Statements:</w:t>
              </w:r>
            </w:hyperlink>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 xml:space="preserve">Consolidated Balance Sheets — </w:t>
              </w:r>
            </w:hyperlink>
            <w:r>
              <w:rPr>
                <w:rFonts w:ascii="Arial" w:cs="Arial" w:eastAsia="Arial" w:hAnsi="Arial"/>
                <w:sz w:val="20"/>
                <w:szCs w:val="20"/>
                <w:color w:val="0000FF"/>
                <w:w w:val="88"/>
              </w:rPr>
              <w:t xml:space="preserve">March 28, 2021 </w:t>
            </w:r>
            <w:hyperlink w:anchor="page4">
              <w:r>
                <w:rPr>
                  <w:rFonts w:ascii="Arial" w:cs="Arial" w:eastAsia="Arial" w:hAnsi="Arial"/>
                  <w:sz w:val="20"/>
                  <w:szCs w:val="20"/>
                  <w:color w:val="0000FF"/>
                  <w:w w:val="88"/>
                </w:rPr>
                <w:t xml:space="preserve">and December </w:t>
              </w:r>
            </w:hyperlink>
            <w:r>
              <w:rPr>
                <w:rFonts w:ascii="Arial" w:cs="Arial" w:eastAsia="Arial" w:hAnsi="Arial"/>
                <w:sz w:val="20"/>
                <w:szCs w:val="20"/>
                <w:color w:val="0000FF"/>
                <w:w w:val="88"/>
              </w:rPr>
              <w:t>27, 2020</w:t>
            </w:r>
          </w:p>
        </w:tc>
        <w:tc>
          <w:tcPr>
            <w:tcW w:w="2400" w:type="dxa"/>
            <w:vAlign w:val="bottom"/>
            <w:gridSpan w:val="3"/>
          </w:tcPr>
          <w:p>
            <w:pPr>
              <w:spacing w:after="0"/>
              <w:rPr>
                <w:sz w:val="24"/>
                <w:szCs w:val="24"/>
                <w:color w:val="auto"/>
              </w:rPr>
            </w:pPr>
          </w:p>
        </w:tc>
        <w:tc>
          <w:tcPr>
            <w:tcW w:w="860" w:type="dxa"/>
            <w:vAlign w:val="bottom"/>
            <w:gridSpan w:val="3"/>
          </w:tcPr>
          <w:p>
            <w:pPr>
              <w:jc w:val="center"/>
              <w:ind w:left="661"/>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Consolidated Statements of Operations and Comprehensive Income (Loss) —</w:t>
              </w:r>
            </w:hyperlink>
          </w:p>
        </w:tc>
        <w:tc>
          <w:tcPr>
            <w:tcW w:w="860" w:type="dxa"/>
            <w:vAlign w:val="bottom"/>
            <w:gridSpan w:val="3"/>
          </w:tcPr>
          <w:p>
            <w:pPr>
              <w:jc w:val="center"/>
              <w:ind w:left="661"/>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4</w:t>
              </w:r>
            </w:hyperlink>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6"/>
          </w:tcPr>
          <w:p>
            <w:pPr>
              <w:spacing w:after="0" w:line="169" w:lineRule="exact"/>
              <w:rPr>
                <w:rFonts w:ascii="Arial" w:cs="Arial" w:eastAsia="Arial" w:hAnsi="Arial"/>
                <w:sz w:val="19"/>
                <w:szCs w:val="19"/>
                <w:color w:val="0000FF"/>
                <w:w w:val="93"/>
              </w:rPr>
            </w:pPr>
            <w:hyperlink w:anchor="page4">
              <w:r>
                <w:rPr>
                  <w:rFonts w:ascii="Arial" w:cs="Arial" w:eastAsia="Arial" w:hAnsi="Arial"/>
                  <w:sz w:val="19"/>
                  <w:szCs w:val="19"/>
                  <w:color w:val="0000FF"/>
                  <w:w w:val="93"/>
                </w:rPr>
                <w:t xml:space="preserve">For the Thirteen Weeks Ended March </w:t>
              </w:r>
            </w:hyperlink>
            <w:r>
              <w:rPr>
                <w:rFonts w:ascii="Arial" w:cs="Arial" w:eastAsia="Arial" w:hAnsi="Arial"/>
                <w:sz w:val="19"/>
                <w:szCs w:val="19"/>
                <w:color w:val="0000FF"/>
                <w:w w:val="93"/>
              </w:rPr>
              <w:t xml:space="preserve">28, </w:t>
            </w:r>
            <w:hyperlink w:anchor="page4">
              <w:r>
                <w:rPr>
                  <w:rFonts w:ascii="Arial" w:cs="Arial" w:eastAsia="Arial" w:hAnsi="Arial"/>
                  <w:sz w:val="19"/>
                  <w:szCs w:val="19"/>
                  <w:color w:val="0000FF"/>
                  <w:w w:val="93"/>
                </w:rPr>
                <w:t xml:space="preserve">2021 and March 29, </w:t>
              </w:r>
            </w:hyperlink>
            <w:r>
              <w:rPr>
                <w:rFonts w:ascii="Arial" w:cs="Arial" w:eastAsia="Arial" w:hAnsi="Arial"/>
                <w:sz w:val="19"/>
                <w:szCs w:val="19"/>
                <w:color w:val="0000FF"/>
                <w:w w:val="93"/>
              </w:rPr>
              <w:t>2020</w:t>
            </w:r>
          </w:p>
        </w:tc>
        <w:tc>
          <w:tcPr>
            <w:tcW w:w="780" w:type="dxa"/>
            <w:vAlign w:val="bottom"/>
            <w:tcBorders>
              <w:top w:val="single" w:sz="8" w:color="0000FF"/>
            </w:tcBorders>
            <w:gridSpan w:val="4"/>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6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rFonts w:ascii="Arial" w:cs="Arial" w:eastAsia="Arial" w:hAnsi="Arial"/>
                <w:sz w:val="20"/>
                <w:szCs w:val="20"/>
                <w:color w:val="0000FF"/>
              </w:rPr>
            </w:pPr>
            <w:hyperlink w:anchor="page5">
              <w:r>
                <w:rPr>
                  <w:rFonts w:ascii="Arial" w:cs="Arial" w:eastAsia="Arial" w:hAnsi="Arial"/>
                  <w:sz w:val="20"/>
                  <w:szCs w:val="20"/>
                  <w:color w:val="0000FF"/>
                </w:rPr>
                <w:t>Consolidated Statements of Changes in Stockholders’ Equity —</w:t>
              </w:r>
            </w:hyperlink>
          </w:p>
        </w:tc>
        <w:tc>
          <w:tcPr>
            <w:tcW w:w="860" w:type="dxa"/>
            <w:vAlign w:val="bottom"/>
            <w:gridSpan w:val="3"/>
          </w:tcPr>
          <w:p>
            <w:pPr>
              <w:jc w:val="center"/>
              <w:ind w:left="661"/>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5</w:t>
              </w:r>
            </w:hyperlink>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bottom w:val="single" w:sz="8" w:color="0000FF"/>
            </w:tcBorders>
            <w:gridSpan w:val="16"/>
          </w:tcPr>
          <w:p>
            <w:pPr>
              <w:spacing w:after="0" w:line="169" w:lineRule="exact"/>
              <w:rPr>
                <w:rFonts w:ascii="Arial" w:cs="Arial" w:eastAsia="Arial" w:hAnsi="Arial"/>
                <w:sz w:val="19"/>
                <w:szCs w:val="19"/>
                <w:color w:val="0000FF"/>
                <w:w w:val="93"/>
              </w:rPr>
            </w:pPr>
            <w:hyperlink w:anchor="page5">
              <w:r>
                <w:rPr>
                  <w:rFonts w:ascii="Arial" w:cs="Arial" w:eastAsia="Arial" w:hAnsi="Arial"/>
                  <w:sz w:val="19"/>
                  <w:szCs w:val="19"/>
                  <w:color w:val="0000FF"/>
                  <w:w w:val="93"/>
                </w:rPr>
                <w:t xml:space="preserve">For the Thirteen Weeks Ended March </w:t>
              </w:r>
            </w:hyperlink>
            <w:r>
              <w:rPr>
                <w:rFonts w:ascii="Arial" w:cs="Arial" w:eastAsia="Arial" w:hAnsi="Arial"/>
                <w:sz w:val="19"/>
                <w:szCs w:val="19"/>
                <w:color w:val="0000FF"/>
                <w:w w:val="93"/>
              </w:rPr>
              <w:t xml:space="preserve">28, </w:t>
            </w:r>
            <w:hyperlink w:anchor="page5">
              <w:r>
                <w:rPr>
                  <w:rFonts w:ascii="Arial" w:cs="Arial" w:eastAsia="Arial" w:hAnsi="Arial"/>
                  <w:sz w:val="19"/>
                  <w:szCs w:val="19"/>
                  <w:color w:val="0000FF"/>
                  <w:w w:val="93"/>
                </w:rPr>
                <w:t xml:space="preserve">2021 and March </w:t>
              </w:r>
            </w:hyperlink>
            <w:r>
              <w:rPr>
                <w:rFonts w:ascii="Arial" w:cs="Arial" w:eastAsia="Arial" w:hAnsi="Arial"/>
                <w:sz w:val="19"/>
                <w:szCs w:val="19"/>
                <w:color w:val="0000FF"/>
                <w:w w:val="93"/>
              </w:rPr>
              <w:t>29, 2020</w:t>
            </w:r>
          </w:p>
        </w:tc>
        <w:tc>
          <w:tcPr>
            <w:tcW w:w="2820" w:type="dxa"/>
            <w:vAlign w:val="bottom"/>
            <w:gridSpan w:val="6"/>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11"/>
          </w:tcPr>
          <w:p>
            <w:pPr>
              <w:spacing w:after="0"/>
              <w:rPr>
                <w:rFonts w:ascii="Arial" w:cs="Arial" w:eastAsia="Arial" w:hAnsi="Arial"/>
                <w:sz w:val="20"/>
                <w:szCs w:val="20"/>
                <w:color w:val="0000FF"/>
                <w:w w:val="88"/>
              </w:rPr>
            </w:pPr>
            <w:hyperlink w:anchor="page6">
              <w:r>
                <w:rPr>
                  <w:rFonts w:ascii="Arial" w:cs="Arial" w:eastAsia="Arial" w:hAnsi="Arial"/>
                  <w:sz w:val="20"/>
                  <w:szCs w:val="20"/>
                  <w:color w:val="0000FF"/>
                  <w:w w:val="88"/>
                </w:rPr>
                <w:t>Condensed Consolidated Statements of Cash Flows —</w:t>
              </w:r>
            </w:hyperlink>
          </w:p>
        </w:tc>
        <w:tc>
          <w:tcPr>
            <w:tcW w:w="3860" w:type="dxa"/>
            <w:vAlign w:val="bottom"/>
            <w:gridSpan w:val="11"/>
          </w:tcPr>
          <w:p>
            <w:pPr>
              <w:spacing w:after="0"/>
              <w:rPr>
                <w:sz w:val="24"/>
                <w:szCs w:val="24"/>
                <w:color w:val="auto"/>
              </w:rPr>
            </w:pPr>
          </w:p>
        </w:tc>
        <w:tc>
          <w:tcPr>
            <w:tcW w:w="860" w:type="dxa"/>
            <w:vAlign w:val="bottom"/>
            <w:gridSpan w:val="3"/>
          </w:tcPr>
          <w:p>
            <w:pPr>
              <w:jc w:val="center"/>
              <w:ind w:left="661"/>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6</w:t>
              </w:r>
            </w:hyperlink>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0" w:type="dxa"/>
            <w:vAlign w:val="bottom"/>
            <w:gridSpan w:val="22"/>
          </w:tcPr>
          <w:p>
            <w:pPr>
              <w:spacing w:after="0" w:line="169" w:lineRule="exact"/>
              <w:rPr>
                <w:rFonts w:ascii="Arial" w:cs="Arial" w:eastAsia="Arial" w:hAnsi="Arial"/>
                <w:sz w:val="19"/>
                <w:szCs w:val="19"/>
                <w:color w:val="0000FF"/>
              </w:rPr>
            </w:pPr>
            <w:hyperlink w:anchor="page6">
              <w:r>
                <w:rPr>
                  <w:rFonts w:ascii="Arial" w:cs="Arial" w:eastAsia="Arial" w:hAnsi="Arial"/>
                  <w:sz w:val="19"/>
                  <w:szCs w:val="19"/>
                  <w:color w:val="0000FF"/>
                </w:rPr>
                <w:t xml:space="preserve">For the </w:t>
              </w:r>
            </w:hyperlink>
            <w:r>
              <w:rPr>
                <w:rFonts w:ascii="Arial" w:cs="Arial" w:eastAsia="Arial" w:hAnsi="Arial"/>
                <w:sz w:val="19"/>
                <w:szCs w:val="19"/>
                <w:color w:val="0000FF"/>
              </w:rPr>
              <w:t xml:space="preserve">Thirteen </w:t>
            </w:r>
            <w:hyperlink w:anchor="page6">
              <w:r>
                <w:rPr>
                  <w:rFonts w:ascii="Arial" w:cs="Arial" w:eastAsia="Arial" w:hAnsi="Arial"/>
                  <w:sz w:val="19"/>
                  <w:szCs w:val="19"/>
                  <w:color w:val="0000FF"/>
                </w:rPr>
                <w:t xml:space="preserve">Weeks Ended March </w:t>
              </w:r>
            </w:hyperlink>
            <w:r>
              <w:rPr>
                <w:rFonts w:ascii="Arial" w:cs="Arial" w:eastAsia="Arial" w:hAnsi="Arial"/>
                <w:sz w:val="19"/>
                <w:szCs w:val="19"/>
                <w:color w:val="0000FF"/>
              </w:rPr>
              <w:t xml:space="preserve">28, 2021 </w:t>
            </w:r>
            <w:hyperlink w:anchor="page6">
              <w:r>
                <w:rPr>
                  <w:rFonts w:ascii="Arial" w:cs="Arial" w:eastAsia="Arial" w:hAnsi="Arial"/>
                  <w:sz w:val="19"/>
                  <w:szCs w:val="19"/>
                  <w:color w:val="0000FF"/>
                </w:rPr>
                <w:t xml:space="preserve">and March 29, </w:t>
              </w:r>
            </w:hyperlink>
            <w:r>
              <w:rPr>
                <w:rFonts w:ascii="Arial" w:cs="Arial" w:eastAsia="Arial" w:hAnsi="Arial"/>
                <w:sz w:val="19"/>
                <w:szCs w:val="19"/>
                <w:color w:val="0000FF"/>
              </w:rPr>
              <w:t>2020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6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60" w:type="dxa"/>
            <w:vAlign w:val="bottom"/>
            <w:tcBorders>
              <w:top w:val="single" w:sz="8" w:color="0000FF"/>
            </w:tcBorders>
            <w:gridSpan w:val="15"/>
          </w:tcPr>
          <w:p>
            <w:pPr>
              <w:spacing w:after="0"/>
              <w:rPr>
                <w:rFonts w:ascii="Arial" w:cs="Arial" w:eastAsia="Arial" w:hAnsi="Arial"/>
                <w:sz w:val="20"/>
                <w:szCs w:val="20"/>
                <w:color w:val="0000FF"/>
              </w:rPr>
            </w:pPr>
            <w:hyperlink w:anchor="page8">
              <w:r>
                <w:rPr>
                  <w:rFonts w:ascii="Arial" w:cs="Arial" w:eastAsia="Arial" w:hAnsi="Arial"/>
                  <w:sz w:val="20"/>
                  <w:szCs w:val="20"/>
                  <w:color w:val="0000FF"/>
                </w:rPr>
                <w:t>Notes to Consolidated Financial Statements</w:t>
              </w:r>
            </w:hyperlink>
          </w:p>
        </w:tc>
        <w:tc>
          <w:tcPr>
            <w:tcW w:w="2840" w:type="dxa"/>
            <w:vAlign w:val="bottom"/>
            <w:gridSpan w:val="7"/>
          </w:tcPr>
          <w:p>
            <w:pPr>
              <w:spacing w:after="0"/>
              <w:rPr>
                <w:sz w:val="24"/>
                <w:szCs w:val="24"/>
                <w:color w:val="auto"/>
              </w:rPr>
            </w:pPr>
          </w:p>
        </w:tc>
        <w:tc>
          <w:tcPr>
            <w:tcW w:w="860" w:type="dxa"/>
            <w:vAlign w:val="bottom"/>
            <w:gridSpan w:val="3"/>
          </w:tcPr>
          <w:p>
            <w:pPr>
              <w:jc w:val="center"/>
              <w:ind w:left="661"/>
              <w:spacing w:after="0"/>
              <w:rPr>
                <w:rFonts w:ascii="Arial" w:cs="Arial" w:eastAsia="Arial" w:hAnsi="Arial"/>
                <w:sz w:val="20"/>
                <w:szCs w:val="20"/>
                <w:color w:val="0000FF"/>
                <w:w w:val="89"/>
              </w:rPr>
            </w:pPr>
            <w:hyperlink w:anchor="page8">
              <w:r>
                <w:rPr>
                  <w:rFonts w:ascii="Arial" w:cs="Arial" w:eastAsia="Arial" w:hAnsi="Arial"/>
                  <w:sz w:val="20"/>
                  <w:szCs w:val="20"/>
                  <w:color w:val="0000FF"/>
                  <w:w w:val="89"/>
                </w:rPr>
                <w:t>8</w:t>
              </w:r>
            </w:hyperlink>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2.</w:t>
            </w:r>
          </w:p>
        </w:tc>
        <w:tc>
          <w:tcPr>
            <w:tcW w:w="100" w:type="dxa"/>
            <w:vAlign w:val="bottom"/>
          </w:tcPr>
          <w:p>
            <w:pPr>
              <w:spacing w:after="0"/>
              <w:rPr>
                <w:sz w:val="24"/>
                <w:szCs w:val="24"/>
                <w:color w:val="auto"/>
              </w:rPr>
            </w:pPr>
          </w:p>
        </w:tc>
        <w:tc>
          <w:tcPr>
            <w:tcW w:w="7100" w:type="dxa"/>
            <w:vAlign w:val="bottom"/>
            <w:tcBorders>
              <w:bottom w:val="single" w:sz="8" w:color="0000FF"/>
            </w:tcBorders>
            <w:gridSpan w:val="24"/>
          </w:tcPr>
          <w:p>
            <w:pPr>
              <w:spacing w:after="0"/>
              <w:rPr>
                <w:rFonts w:ascii="Arial" w:cs="Arial" w:eastAsia="Arial" w:hAnsi="Arial"/>
                <w:sz w:val="20"/>
                <w:szCs w:val="20"/>
                <w:color w:val="0000FF"/>
                <w:w w:val="89"/>
              </w:rPr>
            </w:pPr>
            <w:hyperlink w:anchor="page28">
              <w:r>
                <w:rPr>
                  <w:rFonts w:ascii="Arial" w:cs="Arial" w:eastAsia="Arial" w:hAnsi="Arial"/>
                  <w:sz w:val="20"/>
                  <w:szCs w:val="20"/>
                  <w:color w:val="0000FF"/>
                  <w:w w:val="89"/>
                </w:rPr>
                <w:t>Management’s Discussion and Analysis of Financial Condition and Results of Operations</w:t>
              </w:r>
            </w:hyperlink>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rFonts w:ascii="Arial" w:cs="Arial" w:eastAsia="Arial" w:hAnsi="Arial"/>
                <w:sz w:val="20"/>
                <w:szCs w:val="20"/>
                <w:color w:val="0000FF"/>
                <w:w w:val="89"/>
              </w:rPr>
            </w:pPr>
            <w:hyperlink w:anchor="page28">
              <w:r>
                <w:rPr>
                  <w:rFonts w:ascii="Arial" w:cs="Arial" w:eastAsia="Arial" w:hAnsi="Arial"/>
                  <w:sz w:val="20"/>
                  <w:szCs w:val="20"/>
                  <w:color w:val="0000FF"/>
                  <w:w w:val="89"/>
                </w:rPr>
                <w:t>28</w:t>
              </w:r>
            </w:hyperlink>
          </w:p>
        </w:tc>
        <w:tc>
          <w:tcPr>
            <w:tcW w:w="700" w:type="dxa"/>
            <w:vAlign w:val="bottom"/>
          </w:tcPr>
          <w:p>
            <w:pPr>
              <w:spacing w:after="0"/>
              <w:rPr>
                <w:sz w:val="24"/>
                <w:szCs w:val="24"/>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3.</w:t>
            </w:r>
          </w:p>
        </w:tc>
        <w:tc>
          <w:tcPr>
            <w:tcW w:w="100" w:type="dxa"/>
            <w:vAlign w:val="bottom"/>
          </w:tcPr>
          <w:p>
            <w:pPr>
              <w:spacing w:after="0"/>
              <w:rPr>
                <w:sz w:val="24"/>
                <w:szCs w:val="24"/>
                <w:color w:val="auto"/>
              </w:rPr>
            </w:pPr>
          </w:p>
        </w:tc>
        <w:tc>
          <w:tcPr>
            <w:tcW w:w="4800" w:type="dxa"/>
            <w:vAlign w:val="bottom"/>
            <w:tcBorders>
              <w:bottom w:val="single" w:sz="8" w:color="0000FF"/>
            </w:tcBorders>
            <w:gridSpan w:val="16"/>
          </w:tcPr>
          <w:p>
            <w:pPr>
              <w:spacing w:after="0"/>
              <w:rPr>
                <w:rFonts w:ascii="Arial" w:cs="Arial" w:eastAsia="Arial" w:hAnsi="Arial"/>
                <w:sz w:val="20"/>
                <w:szCs w:val="20"/>
                <w:color w:val="0000FF"/>
                <w:w w:val="91"/>
              </w:rPr>
            </w:pPr>
            <w:hyperlink w:anchor="page49">
              <w:r>
                <w:rPr>
                  <w:rFonts w:ascii="Arial" w:cs="Arial" w:eastAsia="Arial" w:hAnsi="Arial"/>
                  <w:sz w:val="20"/>
                  <w:szCs w:val="20"/>
                  <w:color w:val="0000FF"/>
                  <w:w w:val="91"/>
                </w:rPr>
                <w:t>Quantitative and Qualitative Disclosures About Market Risk</w:t>
              </w:r>
            </w:hyperlink>
          </w:p>
        </w:tc>
        <w:tc>
          <w:tcPr>
            <w:tcW w:w="372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rFonts w:ascii="Arial" w:cs="Arial" w:eastAsia="Arial" w:hAnsi="Arial"/>
                <w:sz w:val="20"/>
                <w:szCs w:val="20"/>
                <w:color w:val="0000FF"/>
                <w:w w:val="89"/>
              </w:rPr>
            </w:pPr>
            <w:hyperlink w:anchor="page49">
              <w:r>
                <w:rPr>
                  <w:rFonts w:ascii="Arial" w:cs="Arial" w:eastAsia="Arial" w:hAnsi="Arial"/>
                  <w:sz w:val="20"/>
                  <w:szCs w:val="20"/>
                  <w:color w:val="0000FF"/>
                  <w:w w:val="89"/>
                </w:rPr>
                <w:t>49</w:t>
              </w:r>
            </w:hyperlink>
          </w:p>
        </w:tc>
        <w:tc>
          <w:tcPr>
            <w:tcW w:w="700" w:type="dxa"/>
            <w:vAlign w:val="bottom"/>
          </w:tcPr>
          <w:p>
            <w:pPr>
              <w:spacing w:after="0"/>
              <w:rPr>
                <w:sz w:val="24"/>
                <w:szCs w:val="24"/>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4.</w:t>
            </w:r>
          </w:p>
        </w:tc>
        <w:tc>
          <w:tcPr>
            <w:tcW w:w="10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20"/>
                <w:szCs w:val="20"/>
                <w:color w:val="0000FF"/>
              </w:rPr>
            </w:pPr>
            <w:hyperlink w:anchor="page50">
              <w:r>
                <w:rPr>
                  <w:rFonts w:ascii="Arial" w:cs="Arial" w:eastAsia="Arial" w:hAnsi="Arial"/>
                  <w:sz w:val="20"/>
                  <w:szCs w:val="20"/>
                  <w:color w:val="0000FF"/>
                </w:rPr>
                <w:t>Controls and Procedures</w:t>
              </w:r>
            </w:hyperlink>
          </w:p>
        </w:tc>
        <w:tc>
          <w:tcPr>
            <w:tcW w:w="900" w:type="dxa"/>
            <w:vAlign w:val="bottom"/>
            <w:gridSpan w:val="4"/>
          </w:tcPr>
          <w:p>
            <w:pPr>
              <w:jc w:val="center"/>
              <w:ind w:left="601"/>
              <w:spacing w:after="0"/>
              <w:rPr>
                <w:rFonts w:ascii="Arial" w:cs="Arial" w:eastAsia="Arial" w:hAnsi="Arial"/>
                <w:sz w:val="20"/>
                <w:szCs w:val="20"/>
                <w:color w:val="0000FF"/>
                <w:w w:val="89"/>
              </w:rPr>
            </w:pPr>
            <w:hyperlink w:anchor="page50">
              <w:r>
                <w:rPr>
                  <w:rFonts w:ascii="Arial" w:cs="Arial" w:eastAsia="Arial" w:hAnsi="Arial"/>
                  <w:sz w:val="20"/>
                  <w:szCs w:val="20"/>
                  <w:color w:val="0000FF"/>
                  <w:w w:val="89"/>
                </w:rPr>
                <w:t>49</w:t>
              </w:r>
            </w:hyperlink>
          </w:p>
        </w:tc>
        <w:tc>
          <w:tcPr>
            <w:tcW w:w="700" w:type="dxa"/>
            <w:vAlign w:val="bottom"/>
          </w:tcPr>
          <w:p>
            <w:pPr>
              <w:spacing w:after="0"/>
              <w:rPr>
                <w:sz w:val="24"/>
                <w:szCs w:val="24"/>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14"/>
          </w:tcPr>
          <w:p>
            <w:pPr>
              <w:jc w:val="center"/>
              <w:ind w:right="2760"/>
              <w:spacing w:after="0"/>
              <w:rPr>
                <w:rFonts w:ascii="Arial" w:cs="Arial" w:eastAsia="Arial" w:hAnsi="Arial"/>
                <w:sz w:val="20"/>
                <w:szCs w:val="20"/>
                <w:color w:val="0000FF"/>
                <w:w w:val="95"/>
              </w:rPr>
            </w:pPr>
            <w:hyperlink w:anchor="page50">
              <w:r>
                <w:rPr>
                  <w:rFonts w:ascii="Arial" w:cs="Arial" w:eastAsia="Arial" w:hAnsi="Arial"/>
                  <w:sz w:val="20"/>
                  <w:szCs w:val="20"/>
                  <w:color w:val="0000FF"/>
                  <w:w w:val="95"/>
                </w:rPr>
                <w:t>PART II — OTHER INFORMATION</w:t>
              </w:r>
            </w:hyperlink>
          </w:p>
        </w:tc>
        <w:tc>
          <w:tcPr>
            <w:tcW w:w="7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23"/>
        </w:trPr>
        <w:tc>
          <w:tcPr>
            <w:tcW w:w="1020" w:type="dxa"/>
            <w:vAlign w:val="bottom"/>
          </w:tcPr>
          <w:p>
            <w:pPr>
              <w:ind w:left="20"/>
              <w:spacing w:after="0" w:line="223" w:lineRule="exact"/>
              <w:rPr>
                <w:sz w:val="20"/>
                <w:szCs w:val="20"/>
                <w:color w:val="auto"/>
              </w:rPr>
            </w:pPr>
            <w:r>
              <w:rPr>
                <w:rFonts w:ascii="Arial" w:cs="Arial" w:eastAsia="Arial" w:hAnsi="Arial"/>
                <w:sz w:val="20"/>
                <w:szCs w:val="20"/>
                <w:color w:val="auto"/>
              </w:rPr>
              <w:t>Item 1.</w:t>
            </w:r>
          </w:p>
        </w:tc>
        <w:tc>
          <w:tcPr>
            <w:tcW w:w="100" w:type="dxa"/>
            <w:vAlign w:val="bottom"/>
          </w:tcPr>
          <w:p>
            <w:pPr>
              <w:spacing w:after="0"/>
              <w:rPr>
                <w:sz w:val="19"/>
                <w:szCs w:val="19"/>
                <w:color w:val="auto"/>
              </w:rPr>
            </w:pPr>
          </w:p>
        </w:tc>
        <w:tc>
          <w:tcPr>
            <w:tcW w:w="2740" w:type="dxa"/>
            <w:vAlign w:val="bottom"/>
            <w:gridSpan w:val="11"/>
          </w:tcPr>
          <w:p>
            <w:pPr>
              <w:spacing w:after="0" w:line="223" w:lineRule="exact"/>
              <w:rPr>
                <w:rFonts w:ascii="Arial" w:cs="Arial" w:eastAsia="Arial" w:hAnsi="Arial"/>
                <w:sz w:val="20"/>
                <w:szCs w:val="20"/>
                <w:color w:val="0000FF"/>
              </w:rPr>
            </w:pPr>
            <w:hyperlink w:anchor="page51">
              <w:r>
                <w:rPr>
                  <w:rFonts w:ascii="Arial" w:cs="Arial" w:eastAsia="Arial" w:hAnsi="Arial"/>
                  <w:sz w:val="20"/>
                  <w:szCs w:val="20"/>
                  <w:color w:val="0000FF"/>
                </w:rPr>
                <w:t>Legal Proceedings</w:t>
              </w:r>
            </w:hyperlink>
          </w:p>
        </w:tc>
        <w:tc>
          <w:tcPr>
            <w:tcW w:w="3020" w:type="dxa"/>
            <w:vAlign w:val="bottom"/>
            <w:tcBorders>
              <w:top w:val="single" w:sz="8" w:color="0000FF"/>
            </w:tcBorders>
            <w:gridSpan w:val="9"/>
          </w:tcPr>
          <w:p>
            <w:pPr>
              <w:spacing w:after="0"/>
              <w:rPr>
                <w:sz w:val="19"/>
                <w:szCs w:val="19"/>
                <w:color w:val="auto"/>
              </w:rPr>
            </w:pPr>
          </w:p>
        </w:tc>
        <w:tc>
          <w:tcPr>
            <w:tcW w:w="2760" w:type="dxa"/>
            <w:vAlign w:val="bottom"/>
            <w:gridSpan w:val="5"/>
          </w:tcPr>
          <w:p>
            <w:pPr>
              <w:spacing w:after="0"/>
              <w:rPr>
                <w:sz w:val="19"/>
                <w:szCs w:val="19"/>
                <w:color w:val="auto"/>
              </w:rPr>
            </w:pPr>
          </w:p>
        </w:tc>
        <w:tc>
          <w:tcPr>
            <w:tcW w:w="900" w:type="dxa"/>
            <w:vAlign w:val="bottom"/>
            <w:gridSpan w:val="4"/>
          </w:tcPr>
          <w:p>
            <w:pPr>
              <w:jc w:val="center"/>
              <w:ind w:left="601"/>
              <w:spacing w:after="0" w:line="223" w:lineRule="exact"/>
              <w:rPr>
                <w:rFonts w:ascii="Arial" w:cs="Arial" w:eastAsia="Arial" w:hAnsi="Arial"/>
                <w:sz w:val="20"/>
                <w:szCs w:val="20"/>
                <w:color w:val="0000FF"/>
                <w:w w:val="89"/>
              </w:rPr>
            </w:pPr>
            <w:hyperlink w:anchor="page51">
              <w:r>
                <w:rPr>
                  <w:rFonts w:ascii="Arial" w:cs="Arial" w:eastAsia="Arial" w:hAnsi="Arial"/>
                  <w:sz w:val="20"/>
                  <w:szCs w:val="20"/>
                  <w:color w:val="0000FF"/>
                  <w:w w:val="89"/>
                </w:rPr>
                <w:t>50</w:t>
              </w:r>
            </w:hyperlink>
          </w:p>
        </w:tc>
        <w:tc>
          <w:tcPr>
            <w:tcW w:w="700" w:type="dxa"/>
            <w:vAlign w:val="bottom"/>
          </w:tcPr>
          <w:p>
            <w:pPr>
              <w:spacing w:after="0"/>
              <w:rPr>
                <w:sz w:val="19"/>
                <w:szCs w:val="19"/>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1A.</w:t>
            </w:r>
          </w:p>
        </w:tc>
        <w:tc>
          <w:tcPr>
            <w:tcW w:w="100" w:type="dxa"/>
            <w:vAlign w:val="bottom"/>
          </w:tcPr>
          <w:p>
            <w:pPr>
              <w:spacing w:after="0"/>
              <w:rPr>
                <w:sz w:val="24"/>
                <w:szCs w:val="24"/>
                <w:color w:val="auto"/>
              </w:rPr>
            </w:pPr>
          </w:p>
        </w:tc>
        <w:tc>
          <w:tcPr>
            <w:tcW w:w="100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88"/>
              </w:rPr>
            </w:pPr>
            <w:hyperlink w:anchor="page51">
              <w:r>
                <w:rPr>
                  <w:rFonts w:ascii="Arial" w:cs="Arial" w:eastAsia="Arial" w:hAnsi="Arial"/>
                  <w:sz w:val="20"/>
                  <w:szCs w:val="20"/>
                  <w:color w:val="0000FF"/>
                  <w:w w:val="88"/>
                </w:rPr>
                <w:t>Risk Factors</w:t>
              </w:r>
            </w:hyperlink>
          </w:p>
        </w:tc>
        <w:tc>
          <w:tcPr>
            <w:tcW w:w="460" w:type="dxa"/>
            <w:vAlign w:val="bottom"/>
            <w:tcBorders>
              <w:top w:val="single" w:sz="8" w:color="0000FF"/>
            </w:tcBorders>
          </w:tcPr>
          <w:p>
            <w:pPr>
              <w:spacing w:after="0"/>
              <w:rPr>
                <w:sz w:val="24"/>
                <w:szCs w:val="24"/>
                <w:color w:val="auto"/>
              </w:rPr>
            </w:pPr>
          </w:p>
        </w:tc>
        <w:tc>
          <w:tcPr>
            <w:tcW w:w="7060" w:type="dxa"/>
            <w:vAlign w:val="bottom"/>
            <w:gridSpan w:val="18"/>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0000FF"/>
              <w:bottom w:val="single" w:sz="8" w:color="0000FF"/>
            </w:tcBorders>
            <w:gridSpan w:val="3"/>
          </w:tcPr>
          <w:p>
            <w:pPr>
              <w:jc w:val="center"/>
              <w:spacing w:after="0"/>
              <w:rPr>
                <w:rFonts w:ascii="Arial" w:cs="Arial" w:eastAsia="Arial" w:hAnsi="Arial"/>
                <w:sz w:val="20"/>
                <w:szCs w:val="20"/>
                <w:color w:val="0000FF"/>
                <w:w w:val="89"/>
              </w:rPr>
            </w:pPr>
            <w:hyperlink w:anchor="page51">
              <w:r>
                <w:rPr>
                  <w:rFonts w:ascii="Arial" w:cs="Arial" w:eastAsia="Arial" w:hAnsi="Arial"/>
                  <w:sz w:val="20"/>
                  <w:szCs w:val="20"/>
                  <w:color w:val="0000FF"/>
                  <w:w w:val="89"/>
                </w:rPr>
                <w:t>50</w:t>
              </w:r>
            </w:hyperlink>
          </w:p>
        </w:tc>
        <w:tc>
          <w:tcPr>
            <w:tcW w:w="700" w:type="dxa"/>
            <w:vAlign w:val="bottom"/>
          </w:tcPr>
          <w:p>
            <w:pPr>
              <w:spacing w:after="0"/>
              <w:rPr>
                <w:sz w:val="24"/>
                <w:szCs w:val="24"/>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2.</w:t>
            </w:r>
          </w:p>
        </w:tc>
        <w:tc>
          <w:tcPr>
            <w:tcW w:w="100" w:type="dxa"/>
            <w:vAlign w:val="bottom"/>
          </w:tcPr>
          <w:p>
            <w:pPr>
              <w:spacing w:after="0"/>
              <w:rPr>
                <w:sz w:val="24"/>
                <w:szCs w:val="24"/>
                <w:color w:val="auto"/>
              </w:rPr>
            </w:pPr>
          </w:p>
        </w:tc>
        <w:tc>
          <w:tcPr>
            <w:tcW w:w="4780" w:type="dxa"/>
            <w:vAlign w:val="bottom"/>
            <w:tcBorders>
              <w:bottom w:val="single" w:sz="8" w:color="0000FF"/>
            </w:tcBorders>
            <w:gridSpan w:val="15"/>
          </w:tcPr>
          <w:p>
            <w:pPr>
              <w:spacing w:after="0"/>
              <w:rPr>
                <w:rFonts w:ascii="Arial" w:cs="Arial" w:eastAsia="Arial" w:hAnsi="Arial"/>
                <w:sz w:val="20"/>
                <w:szCs w:val="20"/>
                <w:color w:val="0000FF"/>
                <w:w w:val="88"/>
              </w:rPr>
            </w:pPr>
            <w:hyperlink w:anchor="page51">
              <w:r>
                <w:rPr>
                  <w:rFonts w:ascii="Arial" w:cs="Arial" w:eastAsia="Arial" w:hAnsi="Arial"/>
                  <w:sz w:val="20"/>
                  <w:szCs w:val="20"/>
                  <w:color w:val="0000FF"/>
                  <w:w w:val="88"/>
                </w:rPr>
                <w:t>Unregistered Sales of Equity Securities and Use of Proceeds</w:t>
              </w:r>
            </w:hyperlink>
          </w:p>
        </w:tc>
        <w:tc>
          <w:tcPr>
            <w:tcW w:w="374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rFonts w:ascii="Arial" w:cs="Arial" w:eastAsia="Arial" w:hAnsi="Arial"/>
                <w:sz w:val="20"/>
                <w:szCs w:val="20"/>
                <w:color w:val="0000FF"/>
                <w:w w:val="89"/>
              </w:rPr>
            </w:pPr>
            <w:hyperlink w:anchor="page51">
              <w:r>
                <w:rPr>
                  <w:rFonts w:ascii="Arial" w:cs="Arial" w:eastAsia="Arial" w:hAnsi="Arial"/>
                  <w:sz w:val="20"/>
                  <w:szCs w:val="20"/>
                  <w:color w:val="0000FF"/>
                  <w:w w:val="89"/>
                </w:rPr>
                <w:t>50</w:t>
              </w:r>
            </w:hyperlink>
          </w:p>
        </w:tc>
        <w:tc>
          <w:tcPr>
            <w:tcW w:w="700" w:type="dxa"/>
            <w:vAlign w:val="bottom"/>
          </w:tcPr>
          <w:p>
            <w:pPr>
              <w:spacing w:after="0"/>
              <w:rPr>
                <w:sz w:val="24"/>
                <w:szCs w:val="24"/>
                <w:color w:val="auto"/>
              </w:rPr>
            </w:pPr>
          </w:p>
        </w:tc>
      </w:tr>
      <w:tr>
        <w:trPr>
          <w:trHeight w:val="493"/>
        </w:trPr>
        <w:tc>
          <w:tcPr>
            <w:tcW w:w="1020" w:type="dxa"/>
            <w:vAlign w:val="bottom"/>
          </w:tcPr>
          <w:p>
            <w:pPr>
              <w:ind w:left="20"/>
              <w:spacing w:after="0"/>
              <w:rPr>
                <w:sz w:val="20"/>
                <w:szCs w:val="20"/>
                <w:color w:val="auto"/>
              </w:rPr>
            </w:pPr>
            <w:r>
              <w:rPr>
                <w:rFonts w:ascii="Arial" w:cs="Arial" w:eastAsia="Arial" w:hAnsi="Arial"/>
                <w:sz w:val="20"/>
                <w:szCs w:val="20"/>
                <w:color w:val="auto"/>
              </w:rPr>
              <w:t>Item 6.</w:t>
            </w:r>
          </w:p>
        </w:tc>
        <w:tc>
          <w:tcPr>
            <w:tcW w:w="10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rFonts w:ascii="Arial" w:cs="Arial" w:eastAsia="Arial" w:hAnsi="Arial"/>
                <w:sz w:val="20"/>
                <w:szCs w:val="20"/>
                <w:color w:val="0000FF"/>
                <w:w w:val="91"/>
              </w:rPr>
            </w:pPr>
            <w:hyperlink w:anchor="page51">
              <w:r>
                <w:rPr>
                  <w:rFonts w:ascii="Arial" w:cs="Arial" w:eastAsia="Arial" w:hAnsi="Arial"/>
                  <w:sz w:val="20"/>
                  <w:szCs w:val="20"/>
                  <w:color w:val="0000FF"/>
                  <w:w w:val="91"/>
                </w:rPr>
                <w:t>Exhibits</w:t>
              </w:r>
            </w:hyperlink>
          </w:p>
        </w:tc>
        <w:tc>
          <w:tcPr>
            <w:tcW w:w="7860" w:type="dxa"/>
            <w:vAlign w:val="bottom"/>
            <w:gridSpan w:val="21"/>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rFonts w:ascii="Arial" w:cs="Arial" w:eastAsia="Arial" w:hAnsi="Arial"/>
                <w:sz w:val="20"/>
                <w:szCs w:val="20"/>
                <w:color w:val="0000FF"/>
                <w:w w:val="89"/>
              </w:rPr>
            </w:pPr>
            <w:hyperlink w:anchor="page51">
              <w:r>
                <w:rPr>
                  <w:rFonts w:ascii="Arial" w:cs="Arial" w:eastAsia="Arial" w:hAnsi="Arial"/>
                  <w:sz w:val="20"/>
                  <w:szCs w:val="20"/>
                  <w:color w:val="0000FF"/>
                  <w:w w:val="89"/>
                </w:rPr>
                <w:t>51</w:t>
              </w:r>
            </w:hyperlink>
          </w:p>
        </w:tc>
        <w:tc>
          <w:tcPr>
            <w:tcW w:w="7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20"/>
                <w:szCs w:val="20"/>
                <w:color w:val="0000FF"/>
              </w:rPr>
            </w:pPr>
            <w:hyperlink w:anchor="page52">
              <w:r>
                <w:rPr>
                  <w:rFonts w:ascii="Arial" w:cs="Arial" w:eastAsia="Arial" w:hAnsi="Arial"/>
                  <w:sz w:val="20"/>
                  <w:szCs w:val="20"/>
                  <w:color w:val="0000FF"/>
                </w:rPr>
                <w:t>Signature</w:t>
              </w:r>
            </w:hyperlink>
          </w:p>
        </w:tc>
        <w:tc>
          <w:tcPr>
            <w:tcW w:w="900" w:type="dxa"/>
            <w:vAlign w:val="bottom"/>
            <w:gridSpan w:val="4"/>
          </w:tcPr>
          <w:p>
            <w:pPr>
              <w:jc w:val="center"/>
              <w:ind w:left="601"/>
              <w:spacing w:after="0"/>
              <w:rPr>
                <w:rFonts w:ascii="Arial" w:cs="Arial" w:eastAsia="Arial" w:hAnsi="Arial"/>
                <w:sz w:val="20"/>
                <w:szCs w:val="20"/>
                <w:color w:val="0000FF"/>
                <w:w w:val="89"/>
              </w:rPr>
            </w:pPr>
            <w:hyperlink w:anchor="page52">
              <w:r>
                <w:rPr>
                  <w:rFonts w:ascii="Arial" w:cs="Arial" w:eastAsia="Arial" w:hAnsi="Arial"/>
                  <w:sz w:val="20"/>
                  <w:szCs w:val="20"/>
                  <w:color w:val="0000FF"/>
                  <w:w w:val="89"/>
                </w:rPr>
                <w:t>52</w:t>
              </w:r>
            </w:hyperlink>
          </w:p>
        </w:tc>
        <w:tc>
          <w:tcPr>
            <w:tcW w:w="700" w:type="dxa"/>
            <w:vAlign w:val="bottom"/>
          </w:tcPr>
          <w:p>
            <w:pPr>
              <w:spacing w:after="0"/>
              <w:rPr>
                <w:sz w:val="24"/>
                <w:szCs w:val="24"/>
                <w:color w:val="auto"/>
              </w:rPr>
            </w:pPr>
          </w:p>
        </w:tc>
      </w:tr>
      <w:tr>
        <w:trPr>
          <w:trHeight w:val="911"/>
        </w:trPr>
        <w:tc>
          <w:tcPr>
            <w:tcW w:w="10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3900" w:type="dxa"/>
            <w:vAlign w:val="bottom"/>
            <w:gridSpan w:val="9"/>
          </w:tcPr>
          <w:p>
            <w:pPr>
              <w:jc w:val="center"/>
              <w:ind w:left="349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3"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CONSOLIDATED BALANCE SHEETS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68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109,980</w:t>
            </w: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Restricted cash and cash equivalents</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61,928</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net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323,854</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862,844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887,687</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268,645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271,164</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459,983</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166,142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153,883</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92,626</w:t>
            </w:r>
          </w:p>
        </w:tc>
        <w:tc>
          <w:tcPr>
            <w:tcW w:w="0" w:type="dxa"/>
            <w:vAlign w:val="bottom"/>
          </w:tcPr>
          <w:p>
            <w:pPr>
              <w:spacing w:after="0"/>
              <w:rPr>
                <w:sz w:val="1"/>
                <w:szCs w:val="1"/>
                <w:color w:val="auto"/>
              </w:rPr>
            </w:pPr>
          </w:p>
        </w:tc>
      </w:tr>
      <w:tr>
        <w:trPr>
          <w:trHeight w:val="176"/>
        </w:trPr>
        <w:tc>
          <w:tcPr>
            <w:tcW w:w="7440" w:type="dxa"/>
            <w:vAlign w:val="bottom"/>
          </w:tcPr>
          <w:p>
            <w:pPr>
              <w:ind w:left="800"/>
              <w:spacing w:after="0" w:line="176" w:lineRule="exact"/>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3,285,324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3,362,107</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141,457</w:t>
            </w: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428,284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388,321</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381,616</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950,104</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1,212,656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1,217,921</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951,534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997,770</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185,355</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3,239,919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3,351,150</w:t>
            </w:r>
          </w:p>
        </w:tc>
        <w:tc>
          <w:tcPr>
            <w:tcW w:w="0" w:type="dxa"/>
            <w:vAlign w:val="bottom"/>
          </w:tcPr>
          <w:p>
            <w:pPr>
              <w:spacing w:after="0"/>
              <w:rPr>
                <w:sz w:val="1"/>
                <w:szCs w:val="1"/>
                <w:color w:val="auto"/>
              </w:rPr>
            </w:pPr>
          </w:p>
        </w:tc>
      </w:tr>
      <w:tr>
        <w:trPr>
          <w:trHeight w:val="187"/>
        </w:trPr>
        <w:tc>
          <w:tcPr>
            <w:tcW w:w="744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Bloomin’ Brands stockholders’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Preferred stock, $0.01 par value, 25,000,000 shares authorized; no shares issued and outstanding as of</w:t>
            </w:r>
          </w:p>
        </w:tc>
        <w:tc>
          <w:tcPr>
            <w:tcW w:w="24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March 28, 2021 and December 27, 2020</w:t>
            </w:r>
          </w:p>
        </w:tc>
        <w:tc>
          <w:tcPr>
            <w:tcW w:w="24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40" w:type="dxa"/>
            <w:vAlign w:val="bottom"/>
          </w:tcPr>
          <w:p>
            <w:pPr>
              <w:ind w:left="360"/>
              <w:spacing w:after="0" w:line="166" w:lineRule="exact"/>
              <w:rPr>
                <w:sz w:val="20"/>
                <w:szCs w:val="20"/>
                <w:color w:val="auto"/>
              </w:rPr>
            </w:pPr>
            <w:r>
              <w:rPr>
                <w:rFonts w:ascii="Arial" w:cs="Arial" w:eastAsia="Arial" w:hAnsi="Arial"/>
                <w:sz w:val="16"/>
                <w:szCs w:val="16"/>
                <w:color w:val="auto"/>
                <w:w w:val="92"/>
              </w:rPr>
              <w:t>Common stock, $0.01 par value, 475,000,000 shares authorized; 88,854,861 and 87,855,571 shares issued</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9"/>
        </w:trPr>
        <w:tc>
          <w:tcPr>
            <w:tcW w:w="7440" w:type="dxa"/>
            <w:vAlign w:val="bottom"/>
          </w:tcPr>
          <w:p>
            <w:pPr>
              <w:ind w:left="360"/>
              <w:spacing w:after="0"/>
              <w:rPr>
                <w:sz w:val="20"/>
                <w:szCs w:val="20"/>
                <w:color w:val="auto"/>
              </w:rPr>
            </w:pPr>
            <w:r>
              <w:rPr>
                <w:rFonts w:ascii="Arial" w:cs="Arial" w:eastAsia="Arial" w:hAnsi="Arial"/>
                <w:sz w:val="16"/>
                <w:szCs w:val="16"/>
                <w:color w:val="auto"/>
              </w:rPr>
              <w:t>and outstanding as of March 28, 2021 and December 27, 2020,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(844,864)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(918,096)</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0" w:type="dxa"/>
            <w:vAlign w:val="bottom"/>
          </w:tcPr>
          <w:p>
            <w:pPr>
              <w:spacing w:after="0"/>
              <w:rPr>
                <w:sz w:val="1"/>
                <w:szCs w:val="1"/>
                <w:color w:val="auto"/>
              </w:rPr>
            </w:pPr>
          </w:p>
        </w:tc>
      </w:tr>
      <w:tr>
        <w:trPr>
          <w:trHeight w:val="200"/>
        </w:trPr>
        <w:tc>
          <w:tcPr>
            <w:tcW w:w="7440" w:type="dxa"/>
            <w:vAlign w:val="bottom"/>
          </w:tcPr>
          <w:p>
            <w:pPr>
              <w:ind w:left="680"/>
              <w:spacing w:after="0"/>
              <w:rPr>
                <w:sz w:val="20"/>
                <w:szCs w:val="20"/>
                <w:color w:val="auto"/>
              </w:rPr>
            </w:pPr>
            <w:r>
              <w:rPr>
                <w:rFonts w:ascii="Arial" w:cs="Arial" w:eastAsia="Arial" w:hAnsi="Arial"/>
                <w:sz w:val="16"/>
                <w:szCs w:val="16"/>
                <w:color w:val="auto"/>
              </w:rPr>
              <w:t>Total Bloomin’ Brands stockholders’ equity</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38,604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26"/>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3,285,324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3,362,107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2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979,451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996,237</w:t>
            </w:r>
          </w:p>
        </w:tc>
        <w:tc>
          <w:tcPr>
            <w:tcW w:w="0" w:type="dxa"/>
            <w:vAlign w:val="bottom"/>
          </w:tcPr>
          <w:p>
            <w:pPr>
              <w:spacing w:after="0"/>
              <w:rPr>
                <w:sz w:val="1"/>
                <w:szCs w:val="1"/>
                <w:color w:val="auto"/>
              </w:rPr>
            </w:pPr>
          </w:p>
        </w:tc>
      </w:tr>
      <w:tr>
        <w:trPr>
          <w:trHeight w:val="226"/>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1,008,337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Food and beverage costs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291,870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319,693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 and other related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309,269</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Other restaurant operating</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229,293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246,555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48,268</w:t>
            </w: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84,802</w:t>
            </w:r>
          </w:p>
        </w:tc>
        <w:tc>
          <w:tcPr>
            <w:tcW w:w="0" w:type="dxa"/>
            <w:vAlign w:val="bottom"/>
          </w:tcPr>
          <w:p>
            <w:pPr>
              <w:spacing w:after="0"/>
              <w:rPr>
                <w:sz w:val="1"/>
                <w:szCs w:val="1"/>
                <w:color w:val="auto"/>
              </w:rPr>
            </w:pPr>
          </w:p>
        </w:tc>
      </w:tr>
      <w:tr>
        <w:trPr>
          <w:trHeight w:val="226"/>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41,318</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1,049,905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(41,568)</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3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00"/>
        </w:trPr>
        <w:tc>
          <w:tcPr>
            <w:tcW w:w="7700" w:type="dxa"/>
            <w:vAlign w:val="bottom"/>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76,391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(54,069)</w:t>
            </w:r>
          </w:p>
        </w:tc>
        <w:tc>
          <w:tcPr>
            <w:tcW w:w="0" w:type="dxa"/>
            <w:vAlign w:val="bottom"/>
          </w:tcPr>
          <w:p>
            <w:pPr>
              <w:spacing w:after="0"/>
              <w:rPr>
                <w:sz w:val="1"/>
                <w:szCs w:val="1"/>
                <w:color w:val="auto"/>
              </w:rPr>
            </w:pPr>
          </w:p>
        </w:tc>
      </w:tr>
      <w:tr>
        <w:trPr>
          <w:trHeight w:val="23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(19,655)</w:t>
            </w:r>
          </w:p>
        </w:tc>
        <w:tc>
          <w:tcPr>
            <w:tcW w:w="0" w:type="dxa"/>
            <w:vAlign w:val="bottom"/>
          </w:tcPr>
          <w:p>
            <w:pPr>
              <w:spacing w:after="0"/>
              <w:rPr>
                <w:sz w:val="1"/>
                <w:szCs w:val="1"/>
                <w:color w:val="auto"/>
              </w:rPr>
            </w:pPr>
          </w:p>
        </w:tc>
      </w:tr>
      <w:tr>
        <w:trPr>
          <w:trHeight w:val="200"/>
        </w:trPr>
        <w:tc>
          <w:tcPr>
            <w:tcW w:w="7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(34,414)</w:t>
            </w:r>
          </w:p>
        </w:tc>
        <w:tc>
          <w:tcPr>
            <w:tcW w:w="0" w:type="dxa"/>
            <w:vAlign w:val="bottom"/>
          </w:tcPr>
          <w:p>
            <w:pPr>
              <w:spacing w:after="0"/>
              <w:rPr>
                <w:sz w:val="1"/>
                <w:szCs w:val="1"/>
                <w:color w:val="auto"/>
              </w:rPr>
            </w:pPr>
          </w:p>
        </w:tc>
      </w:tr>
      <w:tr>
        <w:trPr>
          <w:trHeight w:val="226"/>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stock in excess of carrying value</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68,862</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(38,107)</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69,798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(34,414)</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(7,961)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loss on derivatives, net of tax</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Reclassification of adjustment for loss on derivatives included in Net income (loss), net of tax</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1"/>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Bloomin’ Brands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common stockholders: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00" w:type="dxa"/>
            <w:vAlign w:val="bottom"/>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110,641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87,129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BLOOMIN’ BRANDS, INC.</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w:t>
            </w:r>
          </w:p>
        </w:tc>
        <w:tc>
          <w:tcPr>
            <w:tcW w:w="140" w:type="dxa"/>
            <w:vAlign w:val="bottom"/>
          </w:tcPr>
          <w:p>
            <w:pPr>
              <w:spacing w:after="0"/>
              <w:rPr>
                <w:sz w:val="15"/>
                <w:szCs w:val="15"/>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1080" w:type="dxa"/>
            <w:vAlign w:val="bottom"/>
            <w:gridSpan w:val="4"/>
          </w:tcPr>
          <w:p>
            <w:pPr>
              <w:ind w:left="100"/>
              <w:spacing w:after="0" w:line="61" w:lineRule="exact"/>
              <w:rPr>
                <w:sz w:val="20"/>
                <w:szCs w:val="20"/>
                <w:color w:val="auto"/>
              </w:rPr>
            </w:pPr>
            <w:r>
              <w:rPr>
                <w:rFonts w:ascii="Arial" w:cs="Arial" w:eastAsia="Arial" w:hAnsi="Arial"/>
                <w:sz w:val="7"/>
                <w:szCs w:val="7"/>
                <w:b w:val="1"/>
                <w:bCs w:val="1"/>
                <w:color w:val="auto"/>
              </w:rPr>
              <w:t>ULATED</w:t>
            </w:r>
          </w:p>
        </w:tc>
        <w:tc>
          <w:tcPr>
            <w:tcW w:w="140" w:type="dxa"/>
            <w:vAlign w:val="bottom"/>
          </w:tcPr>
          <w:p>
            <w:pPr>
              <w:spacing w:after="0"/>
              <w:rPr>
                <w:sz w:val="5"/>
                <w:szCs w:val="5"/>
                <w:color w:val="auto"/>
              </w:rPr>
            </w:pPr>
          </w:p>
        </w:tc>
        <w:tc>
          <w:tcPr>
            <w:tcW w:w="1660" w:type="dxa"/>
            <w:vAlign w:val="bottom"/>
            <w:gridSpan w:val="3"/>
          </w:tcPr>
          <w:p>
            <w:pPr>
              <w:jc w:val="center"/>
              <w:ind w:right="240"/>
              <w:spacing w:after="0" w:line="61"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5"/>
                <w:szCs w:val="5"/>
                <w:color w:val="auto"/>
              </w:rPr>
            </w:pPr>
          </w:p>
        </w:tc>
        <w:tc>
          <w:tcPr>
            <w:tcW w:w="1460" w:type="dxa"/>
            <w:vAlign w:val="bottom"/>
            <w:gridSpan w:val="4"/>
          </w:tcPr>
          <w:p>
            <w:pPr>
              <w:jc w:val="center"/>
              <w:ind w:right="240"/>
              <w:spacing w:after="0" w:line="61" w:lineRule="exact"/>
              <w:rPr>
                <w:sz w:val="20"/>
                <w:szCs w:val="20"/>
                <w:color w:val="auto"/>
              </w:rPr>
            </w:pPr>
            <w:r>
              <w:rPr>
                <w:rFonts w:ascii="Arial" w:cs="Arial" w:eastAsia="Arial" w:hAnsi="Arial"/>
                <w:sz w:val="7"/>
                <w:szCs w:val="7"/>
                <w:b w:val="1"/>
                <w:bCs w:val="1"/>
                <w:color w:val="auto"/>
              </w:rPr>
              <w:t>CONTROLLING</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6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27,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(918,096)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w w:val="95"/>
              </w:rPr>
              <w:t>Cumulative-effect from a change</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(47,323)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4,370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restart"/>
          </w:tcPr>
          <w:p>
            <w:pPr>
              <w:ind w:left="1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(42,953)</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w w:val="94"/>
              </w:rPr>
              <w:t>in accounting principle, net 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69,798</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w w:val="93"/>
              </w:rPr>
              <w:t>Other comprehensive loss, net of</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(3,614)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7,428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3"/>
            <w:vMerge w:val="restart"/>
          </w:tcPr>
          <w:p>
            <w:pPr>
              <w:ind w:left="1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7,438</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3"/>
            <w:vMerge w:val="restart"/>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rPr>
              <w:t>Contributions from</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3"/>
            <w:vMerge w:val="restart"/>
          </w:tcPr>
          <w:p>
            <w:pPr>
              <w:ind w:left="1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28,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1,097,639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(844,864)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(215,060)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45,405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2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BLOOMIN’ BRANDS, INC.</w:t>
            </w: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w:t>
            </w:r>
          </w:p>
        </w:tc>
        <w:tc>
          <w:tcPr>
            <w:tcW w:w="140" w:type="dxa"/>
            <w:vAlign w:val="bottom"/>
          </w:tcPr>
          <w:p>
            <w:pPr>
              <w:spacing w:after="0"/>
              <w:rPr>
                <w:sz w:val="15"/>
                <w:szCs w:val="15"/>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1080" w:type="dxa"/>
            <w:vAlign w:val="bottom"/>
            <w:gridSpan w:val="4"/>
          </w:tcPr>
          <w:p>
            <w:pPr>
              <w:ind w:left="100"/>
              <w:spacing w:after="0" w:line="61" w:lineRule="exact"/>
              <w:rPr>
                <w:sz w:val="20"/>
                <w:szCs w:val="20"/>
                <w:color w:val="auto"/>
              </w:rPr>
            </w:pPr>
            <w:r>
              <w:rPr>
                <w:rFonts w:ascii="Arial" w:cs="Arial" w:eastAsia="Arial" w:hAnsi="Arial"/>
                <w:sz w:val="7"/>
                <w:szCs w:val="7"/>
                <w:b w:val="1"/>
                <w:bCs w:val="1"/>
                <w:color w:val="auto"/>
              </w:rPr>
              <w:t>ULATED</w:t>
            </w:r>
          </w:p>
        </w:tc>
        <w:tc>
          <w:tcPr>
            <w:tcW w:w="140" w:type="dxa"/>
            <w:vAlign w:val="bottom"/>
          </w:tcPr>
          <w:p>
            <w:pPr>
              <w:spacing w:after="0"/>
              <w:rPr>
                <w:sz w:val="5"/>
                <w:szCs w:val="5"/>
                <w:color w:val="auto"/>
              </w:rPr>
            </w:pPr>
          </w:p>
        </w:tc>
        <w:tc>
          <w:tcPr>
            <w:tcW w:w="1660" w:type="dxa"/>
            <w:vAlign w:val="bottom"/>
            <w:gridSpan w:val="3"/>
          </w:tcPr>
          <w:p>
            <w:pPr>
              <w:jc w:val="center"/>
              <w:ind w:right="260"/>
              <w:spacing w:after="0" w:line="61"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5"/>
                <w:szCs w:val="5"/>
                <w:color w:val="auto"/>
              </w:rPr>
            </w:pPr>
          </w:p>
        </w:tc>
        <w:tc>
          <w:tcPr>
            <w:tcW w:w="1460" w:type="dxa"/>
            <w:vAlign w:val="bottom"/>
            <w:gridSpan w:val="4"/>
          </w:tcPr>
          <w:p>
            <w:pPr>
              <w:jc w:val="center"/>
              <w:ind w:right="260"/>
              <w:spacing w:after="0" w:line="61" w:lineRule="exact"/>
              <w:rPr>
                <w:sz w:val="20"/>
                <w:szCs w:val="20"/>
                <w:color w:val="auto"/>
              </w:rPr>
            </w:pPr>
            <w:r>
              <w:rPr>
                <w:rFonts w:ascii="Arial" w:cs="Arial" w:eastAsia="Arial" w:hAnsi="Arial"/>
                <w:sz w:val="7"/>
                <w:szCs w:val="7"/>
                <w:b w:val="1"/>
                <w:bCs w:val="1"/>
                <w:color w:val="auto"/>
              </w:rPr>
              <w:t>CONTROLLING</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7"/>
                <w:szCs w:val="17"/>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6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29,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w w:val="95"/>
              </w:rPr>
              <w:t>Cumulative-effect from a change</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w w:val="94"/>
              </w:rPr>
              <w:t>in accounting principle, net 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(34,414)</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w w:val="93"/>
              </w:rPr>
              <w:t>Other comprehensive loss, net of</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(19,754)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(19,901)</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Cash dividends declared, $0.20</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Consideration for preferred stock</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2"/>
              </w:rPr>
              <w:t>in excess of carrying value, net of</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(2,513)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March 29,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87,417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1,074,081</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(793,992)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(189,013)</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100,143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60" w:type="dxa"/>
            <w:vAlign w:val="bottom"/>
          </w:tcPr>
          <w:p>
            <w:pPr>
              <w:spacing w:after="0"/>
              <w:rPr>
                <w:sz w:val="17"/>
                <w:szCs w:val="17"/>
                <w:color w:val="auto"/>
              </w:rPr>
            </w:pPr>
          </w:p>
        </w:tc>
        <w:tc>
          <w:tcPr>
            <w:tcW w:w="1640" w:type="dxa"/>
            <w:vAlign w:val="bottom"/>
          </w:tcPr>
          <w:p>
            <w:pPr>
              <w:jc w:val="right"/>
              <w:ind w:right="320"/>
              <w:spacing w:after="0"/>
              <w:rPr>
                <w:sz w:val="20"/>
                <w:szCs w:val="20"/>
                <w:color w:val="auto"/>
              </w:rPr>
            </w:pPr>
            <w:r>
              <w:rPr>
                <w:rFonts w:ascii="Arial" w:cs="Arial" w:eastAsia="Arial" w:hAnsi="Arial"/>
                <w:sz w:val="14"/>
                <w:szCs w:val="14"/>
                <w:b w:val="1"/>
                <w:bCs w:val="1"/>
                <w:color w:val="auto"/>
              </w:rPr>
              <w:t>MARCH 29, 2020</w:t>
            </w:r>
          </w:p>
        </w:tc>
      </w:tr>
      <w:tr>
        <w:trPr>
          <w:trHeight w:val="257"/>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2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spacing w:after="0"/>
              <w:rPr>
                <w:sz w:val="22"/>
                <w:szCs w:val="22"/>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69,798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(34,414)</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48,268</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discounts and issuance costs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Amortization of deferred gift card sales commissions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9,090</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41,318</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Non-cash operating lease costs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19,502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19,253</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expected credit losses and contingent lease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Inventory obsolescence and spoilage</w:t>
            </w:r>
          </w:p>
        </w:tc>
        <w:tc>
          <w:tcPr>
            <w:tcW w:w="2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5,291</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and other non-cash compensation expense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Deferred income tax expense (benefit)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(10,940)</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disposal of property, fixtures and equipment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1,655</w:t>
            </w:r>
          </w:p>
        </w:tc>
      </w:tr>
      <w:tr>
        <w:trPr>
          <w:trHeight w:val="213"/>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(63,471)</w:t>
            </w:r>
          </w:p>
        </w:tc>
      </w:tr>
      <w:tr>
        <w:trPr>
          <w:trHeight w:val="223"/>
        </w:trPr>
        <w:tc>
          <w:tcPr>
            <w:tcW w:w="734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28,291</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(34,229)</w:t>
            </w:r>
          </w:p>
        </w:tc>
      </w:tr>
      <w:tr>
        <w:trPr>
          <w:trHeight w:val="226"/>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investments, net</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23"/>
        </w:trPr>
        <w:tc>
          <w:tcPr>
            <w:tcW w:w="7340" w:type="dxa"/>
            <w:vAlign w:val="bottom"/>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(34,798)</w:t>
            </w:r>
          </w:p>
        </w:tc>
      </w:tr>
    </w:tbl>
    <w:p>
      <w:pPr>
        <w:spacing w:after="0" w:line="247"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60" w:type="dxa"/>
            <w:vAlign w:val="bottom"/>
          </w:tcPr>
          <w:p>
            <w:pPr>
              <w:spacing w:after="0"/>
              <w:rPr>
                <w:sz w:val="17"/>
                <w:szCs w:val="17"/>
                <w:color w:val="auto"/>
              </w:rPr>
            </w:pPr>
          </w:p>
        </w:tc>
        <w:tc>
          <w:tcPr>
            <w:tcW w:w="164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2020</w:t>
            </w:r>
          </w:p>
        </w:tc>
      </w:tr>
      <w:tr>
        <w:trPr>
          <w:trHeight w:val="257"/>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(used in) provided by financing activities:</w:t>
            </w:r>
          </w:p>
        </w:tc>
        <w:tc>
          <w:tcPr>
            <w:tcW w:w="2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spacing w:after="0"/>
              <w:rPr>
                <w:sz w:val="22"/>
                <w:szCs w:val="22"/>
                <w:color w:val="auto"/>
              </w:rPr>
            </w:pP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Repayments of long-term debt and finance lease obligations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(9,656)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(6,657)</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on revolving credit facilities,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505,000</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Repayments of borrowings on revolving credit facilities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(107,000)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(129,000)</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(payments of taxes) from share-based compensation,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Purchase of limited partnership and noncontrolling interests</w:t>
            </w:r>
          </w:p>
        </w:tc>
        <w:tc>
          <w:tcPr>
            <w:tcW w:w="2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partner equity plan</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Cash dividends paid on common stock</w:t>
            </w:r>
          </w:p>
        </w:tc>
        <w:tc>
          <w:tcPr>
            <w:tcW w:w="2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(17,480)</w:t>
            </w:r>
          </w:p>
        </w:tc>
      </w:tr>
      <w:tr>
        <w:trPr>
          <w:trHeight w:val="226"/>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subsidiary preferred stock</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23"/>
        </w:trPr>
        <w:tc>
          <w:tcPr>
            <w:tcW w:w="7340" w:type="dxa"/>
            <w:vAlign w:val="bottom"/>
            <w:tcBorders>
              <w:top w:val="single" w:sz="8" w:color="CCEEFF"/>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(96,912)</w:t>
            </w:r>
          </w:p>
        </w:tc>
        <w:tc>
          <w:tcPr>
            <w:tcW w:w="10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342,333</w:t>
            </w:r>
          </w:p>
        </w:tc>
      </w:tr>
      <w:tr>
        <w:trPr>
          <w:trHeight w:val="22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00"/>
        </w:trPr>
        <w:tc>
          <w:tcPr>
            <w:tcW w:w="73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336,250</w:t>
            </w:r>
          </w:p>
        </w:tc>
      </w:tr>
      <w:tr>
        <w:trPr>
          <w:trHeight w:val="22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67,145</w:t>
            </w: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403,395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10,230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10,682</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 net of refunds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21,514</w:t>
            </w:r>
          </w:p>
        </w:tc>
      </w:tr>
      <w:tr>
        <w:trPr>
          <w:trHeight w:val="213"/>
        </w:trPr>
        <w:tc>
          <w:tcPr>
            <w:tcW w:w="7340" w:type="dxa"/>
            <w:vAlign w:val="bottom"/>
          </w:tcPr>
          <w:p>
            <w:pPr>
              <w:ind w:left="36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19"/>
        </w:trPr>
        <w:tc>
          <w:tcPr>
            <w:tcW w:w="7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liabilities from the acquisition of property, fixtures and equipment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9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(“Bloomin’ Brands” or the “Company”) owns and operates casual, upscale casual and fine</w:t>
      </w:r>
      <w:r>
        <w:rPr>
          <w:rFonts w:ascii="Arial" w:cs="Arial" w:eastAsia="Arial" w:hAnsi="Arial"/>
          <w:sz w:val="20"/>
          <w:szCs w:val="20"/>
          <w:i w:val="1"/>
          <w:iCs w:val="1"/>
          <w:color w:val="auto"/>
        </w:rPr>
        <w:t xml:space="preserve"> </w:t>
      </w:r>
      <w:r>
        <w:rPr>
          <w:rFonts w:ascii="Arial" w:cs="Arial" w:eastAsia="Arial" w:hAnsi="Arial"/>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consolidated financial statements have been prepared by the Company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27, 2020.</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28, 2020, the Company adopted Accounting Standards Update (“ASU”)</w:t>
      </w:r>
      <w:r>
        <w:rPr>
          <w:rFonts w:ascii="Arial" w:cs="Arial" w:eastAsia="Arial" w:hAnsi="Arial"/>
          <w:sz w:val="19"/>
          <w:szCs w:val="19"/>
          <w:i w:val="1"/>
          <w:iCs w:val="1"/>
          <w:color w:val="auto"/>
        </w:rPr>
        <w:t xml:space="preserve"> </w:t>
      </w:r>
      <w:r>
        <w:rPr>
          <w:rFonts w:ascii="Arial" w:cs="Arial" w:eastAsia="Arial" w:hAnsi="Arial"/>
          <w:sz w:val="19"/>
          <w:szCs w:val="19"/>
          <w:color w:val="auto"/>
        </w:rPr>
        <w:t>No. 2020-06, “Debt - Debt with Conversion and Other Options (Subtopic 470-20) and Derivatives and Hedging - Contracts in Entity’s Own Equity,” (“ASU No. 2020-06”) which removes the separation models for convertible debt with a cash conversion feature or convertible instruments with a beneficial conversion feature. ASU No. 2020-06 also requires the application of the if-converted method for calculating diluted earnings per share and the treasury stock method is no longer permitted for convertible instruments.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48"/>
        </w:trPr>
        <w:tc>
          <w:tcPr>
            <w:tcW w:w="47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2"/>
                <w:szCs w:val="12"/>
                <w:color w:val="auto"/>
              </w:rPr>
            </w:pPr>
          </w:p>
        </w:tc>
        <w:tc>
          <w:tcPr>
            <w:tcW w:w="4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62"/>
              <w:spacing w:after="0" w:line="14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assets,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reclassification, net of tax</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Reversal of separated equity component, net of tax</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After adopting ASU No. 2020-06, the Company’s convertible senior notes due 2025 (the “2025 Notes”) are reflected entirely as a liability since the embedded conversion feature is no longer separately presented within stockholders’ equity. During 2020, the Company recognized debt discount amortization of $6.3 million within Interest expense, net related to its 2025 Notes.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February 2021,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COVID-19 Charges</w:t>
      </w:r>
    </w:p>
    <w:p>
      <w:pPr>
        <w:spacing w:after="0" w:line="24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March 2020, the Company temporarily closed all restaurant dining rooms in the U.S. to comply with state and local regulations in response to the COVID-19 pandemic (“COVID-19”), which significantly impacted operating results during the thirteen weeks ended March 29, 2020. Following is a summary of the charges recorded in connection with the COVID-19 pandemic for the period indicated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21"/>
              <w:spacing w:after="0"/>
              <w:rPr>
                <w:sz w:val="20"/>
                <w:szCs w:val="20"/>
                <w:color w:val="auto"/>
              </w:rPr>
            </w:pPr>
            <w:r>
              <w:rPr>
                <w:rFonts w:ascii="Arial" w:cs="Arial" w:eastAsia="Arial" w:hAnsi="Arial"/>
                <w:sz w:val="14"/>
                <w:szCs w:val="14"/>
                <w:b w:val="1"/>
                <w:bCs w:val="1"/>
                <w:color w:val="auto"/>
              </w:rPr>
              <w:t>THIRTEEN WEEKS</w:t>
            </w:r>
          </w:p>
        </w:tc>
      </w:tr>
      <w:tr>
        <w:trPr>
          <w:trHeight w:val="194"/>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CONSOLIDATED STATEMENTS OF OPERATIONS AND COMPREHENSIVE</w:t>
            </w:r>
          </w:p>
        </w:tc>
        <w:tc>
          <w:tcPr>
            <w:tcW w:w="100" w:type="dxa"/>
            <w:vAlign w:val="bottom"/>
          </w:tcPr>
          <w:p>
            <w:pPr>
              <w:spacing w:after="0"/>
              <w:rPr>
                <w:sz w:val="16"/>
                <w:szCs w:val="16"/>
                <w:color w:val="auto"/>
              </w:rPr>
            </w:pPr>
          </w:p>
        </w:tc>
        <w:tc>
          <w:tcPr>
            <w:tcW w:w="1440" w:type="dxa"/>
            <w:vAlign w:val="bottom"/>
          </w:tcPr>
          <w:p>
            <w:pPr>
              <w:jc w:val="center"/>
              <w:ind w:right="21"/>
              <w:spacing w:after="0"/>
              <w:rPr>
                <w:sz w:val="20"/>
                <w:szCs w:val="20"/>
                <w:color w:val="auto"/>
              </w:rPr>
            </w:pPr>
            <w:r>
              <w:rPr>
                <w:rFonts w:ascii="Arial" w:cs="Arial" w:eastAsia="Arial" w:hAnsi="Arial"/>
                <w:sz w:val="14"/>
                <w:szCs w:val="14"/>
                <w:b w:val="1"/>
                <w:bCs w:val="1"/>
                <w:color w:val="auto"/>
              </w:rPr>
              <w:t>ENDED</w:t>
            </w:r>
          </w:p>
        </w:tc>
      </w:tr>
      <w:tr>
        <w:trPr>
          <w:trHeight w:val="204"/>
        </w:trPr>
        <w:tc>
          <w:tcPr>
            <w:tcW w:w="392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CHARGES</w:t>
            </w:r>
          </w:p>
        </w:tc>
        <w:tc>
          <w:tcPr>
            <w:tcW w:w="120" w:type="dxa"/>
            <w:vAlign w:val="bottom"/>
            <w:tcBorders>
              <w:bottom w:val="single" w:sz="8" w:color="CCEEFF"/>
            </w:tcBorders>
          </w:tcPr>
          <w:p>
            <w:pPr>
              <w:spacing w:after="0"/>
              <w:rPr>
                <w:sz w:val="17"/>
                <w:szCs w:val="17"/>
                <w:color w:val="auto"/>
              </w:rPr>
            </w:pPr>
          </w:p>
        </w:tc>
        <w:tc>
          <w:tcPr>
            <w:tcW w:w="55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INCOME (LOSS) CLASSIFICATION</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9"/>
              </w:rPr>
              <w:t>MARCH 29, 2020</w:t>
            </w: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w:t>
            </w: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Food and beverage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Compensation for idle employees (1)</w:t>
            </w:r>
          </w:p>
        </w:tc>
        <w:tc>
          <w:tcPr>
            <w:tcW w:w="5660" w:type="dxa"/>
            <w:vAlign w:val="bottom"/>
            <w:gridSpan w:val="2"/>
          </w:tcPr>
          <w:p>
            <w:pPr>
              <w:spacing w:after="0"/>
              <w:rPr>
                <w:sz w:val="20"/>
                <w:szCs w:val="20"/>
                <w:color w:val="auto"/>
              </w:rPr>
            </w:pPr>
            <w:r>
              <w:rPr>
                <w:rFonts w:ascii="Arial" w:cs="Arial" w:eastAsia="Arial" w:hAnsi="Arial"/>
                <w:sz w:val="16"/>
                <w:szCs w:val="16"/>
                <w:color w:val="auto"/>
              </w:rPr>
              <w:t>Labor and other related</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16,186</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guarantee contingent liabilities (2)</w:t>
            </w: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Allowance for expected credit losses (3)</w:t>
            </w:r>
          </w:p>
        </w:tc>
        <w:tc>
          <w:tcPr>
            <w:tcW w:w="566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3,334</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charges</w:t>
            </w: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Right-of-use asset impairment (4)</w:t>
            </w:r>
          </w:p>
        </w:tc>
        <w:tc>
          <w:tcPr>
            <w:tcW w:w="5660" w:type="dxa"/>
            <w:vAlign w:val="bottom"/>
            <w:gridSpan w:val="2"/>
          </w:tcPr>
          <w:p>
            <w:pPr>
              <w:spacing w:after="0"/>
              <w:rPr>
                <w:sz w:val="20"/>
                <w:szCs w:val="20"/>
                <w:color w:val="auto"/>
              </w:rPr>
            </w:pPr>
            <w:r>
              <w:rPr>
                <w:rFonts w:ascii="Arial" w:cs="Arial" w:eastAsia="Arial" w:hAnsi="Arial"/>
                <w:sz w:val="16"/>
                <w:szCs w:val="16"/>
                <w:color w:val="auto"/>
              </w:rPr>
              <w:t>Provision for impaired assets and restaurant closings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20,484</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asset impairment (4)</w:t>
            </w: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impaired assets and restaurant closings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11,728</w:t>
            </w:r>
          </w:p>
        </w:tc>
      </w:tr>
      <w:tr>
        <w:trPr>
          <w:trHeight w:val="20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Goodwill and other impairment (5)</w:t>
            </w: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Provision for impaired assets and restaurant closings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r>
      <w:tr>
        <w:trPr>
          <w:trHeight w:val="238"/>
        </w:trPr>
        <w:tc>
          <w:tcPr>
            <w:tcW w:w="3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65,063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relief pay for hourly employees impacted by the closure of dining rooms.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Represents contingent liabilities recorded for lease guarantees related to certain former restaurant locations now operated by franchisees or other third parties.</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reserves to reflect an increase in expected credit losses, primarily related to franchise receivables.</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impairments resulting from the remeasurement of assets utilizing projected future cash flows revised for then current economic conditions and the closure of certain restaurants.</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impairment of goodwill for the Company’s Hong Kong subsidiary.</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080" w:type="dxa"/>
            <w:vAlign w:val="bottom"/>
          </w:tcPr>
          <w:p>
            <w:pPr>
              <w:jc w:val="center"/>
              <w:ind w:right="6620"/>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8080" w:type="dxa"/>
            <w:vAlign w:val="bottom"/>
          </w:tcPr>
          <w:p>
            <w:pPr>
              <w:jc w:val="center"/>
              <w:ind w:right="6660"/>
              <w:spacing w:after="0"/>
              <w:rPr>
                <w:sz w:val="20"/>
                <w:szCs w:val="20"/>
                <w:color w:val="auto"/>
              </w:rPr>
            </w:pPr>
            <w:r>
              <w:rPr>
                <w:rFonts w:ascii="Arial" w:cs="Arial" w:eastAsia="Arial" w:hAnsi="Arial"/>
                <w:sz w:val="16"/>
                <w:szCs w:val="16"/>
                <w:color w:val="auto"/>
                <w:w w:val="88"/>
              </w:rPr>
              <w:t>Restaurant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979,451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996,237</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8080" w:type="dxa"/>
            <w:vAlign w:val="bottom"/>
          </w:tcPr>
          <w:p>
            <w:pPr>
              <w:ind w:left="220"/>
              <w:spacing w:after="0"/>
              <w:rPr>
                <w:sz w:val="20"/>
                <w:szCs w:val="20"/>
                <w:color w:val="auto"/>
              </w:rPr>
            </w:pPr>
            <w:r>
              <w:rPr>
                <w:rFonts w:ascii="Arial" w:cs="Arial" w:eastAsia="Arial" w:hAnsi="Arial"/>
                <w:sz w:val="16"/>
                <w:szCs w:val="16"/>
                <w:color w:val="auto"/>
              </w:rPr>
              <w:t>Franchise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6,789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9,549</w:t>
            </w:r>
          </w:p>
        </w:tc>
      </w:tr>
      <w:tr>
        <w:trPr>
          <w:trHeight w:val="226"/>
        </w:trPr>
        <w:tc>
          <w:tcPr>
            <w:tcW w:w="8080" w:type="dxa"/>
            <w:vAlign w:val="bottom"/>
            <w:tcBorders>
              <w:bottom w:val="single" w:sz="8" w:color="CCEEFF"/>
            </w:tcBorders>
            <w:shd w:val="clear" w:color="auto" w:fill="CCEEFF"/>
          </w:tcPr>
          <w:p>
            <w:pPr>
              <w:jc w:val="center"/>
              <w:ind w:right="6620"/>
              <w:spacing w:after="0"/>
              <w:rPr>
                <w:sz w:val="20"/>
                <w:szCs w:val="20"/>
                <w:color w:val="auto"/>
              </w:rPr>
            </w:pPr>
            <w:r>
              <w:rPr>
                <w:rFonts w:ascii="Arial" w:cs="Arial" w:eastAsia="Arial" w:hAnsi="Arial"/>
                <w:sz w:val="16"/>
                <w:szCs w:val="16"/>
                <w:color w:val="auto"/>
                <w:w w:val="91"/>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r>
      <w:tr>
        <w:trPr>
          <w:trHeight w:val="223"/>
        </w:trPr>
        <w:tc>
          <w:tcPr>
            <w:tcW w:w="80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Franchise and other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w:t>
            </w:r>
          </w:p>
        </w:tc>
      </w:tr>
      <w:tr>
        <w:trPr>
          <w:trHeight w:val="241"/>
        </w:trPr>
        <w:tc>
          <w:tcPr>
            <w:tcW w:w="8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987,473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1,008,337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disaggregation of Restaurant sales and Franchise revenue, by restaurant concept and major international market,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28, 2021</w:t>
            </w:r>
          </w:p>
        </w:tc>
        <w:tc>
          <w:tcPr>
            <w:tcW w:w="920" w:type="dxa"/>
            <w:vAlign w:val="bottom"/>
          </w:tcPr>
          <w:p>
            <w:pPr>
              <w:spacing w:after="0"/>
              <w:rPr>
                <w:sz w:val="17"/>
                <w:szCs w:val="17"/>
                <w:color w:val="auto"/>
              </w:rPr>
            </w:pPr>
          </w:p>
        </w:tc>
        <w:tc>
          <w:tcPr>
            <w:tcW w:w="2260" w:type="dxa"/>
            <w:vAlign w:val="bottom"/>
            <w:gridSpan w:val="4"/>
          </w:tcPr>
          <w:p>
            <w:pPr>
              <w:jc w:val="right"/>
              <w:ind w:right="961"/>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1"/>
              <w:spacing w:after="0" w:line="135"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5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547,195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530,685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6,541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146,875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126,974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135,072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900,059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884,889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Brazil (1)</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(1)(2)</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111,348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6"/>
        </w:trPr>
        <w:tc>
          <w:tcPr>
            <w:tcW w:w="4800" w:type="dxa"/>
            <w:vAlign w:val="bottom"/>
          </w:tcPr>
          <w:p>
            <w:pPr>
              <w:ind w:left="4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979,451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996,237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9,549</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Brazil Restaurant sales are reported on a one-month lag and are presented on a calendar basis. Restaurant sales for Brazil during the first quarter of 2020 (through February 29, 2020) were not materially impacted by the COVID-19 pandemic.</w:t>
      </w: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6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gift card sales commissions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13,502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19,300</w:t>
            </w:r>
          </w:p>
        </w:tc>
      </w:tr>
      <w:tr>
        <w:trPr>
          <w:trHeight w:val="260"/>
        </w:trPr>
        <w:tc>
          <w:tcPr>
            <w:tcW w:w="7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gift card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373,048</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loyalty revenue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8,515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8,099</w:t>
            </w:r>
          </w:p>
        </w:tc>
      </w:tr>
      <w:tr>
        <w:trPr>
          <w:trHeight w:val="213"/>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franchise fees - current</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6"/>
        </w:trPr>
        <w:tc>
          <w:tcPr>
            <w:tcW w:w="7220" w:type="dxa"/>
            <w:vAlign w:val="bottom"/>
          </w:tcPr>
          <w:p>
            <w:pPr>
              <w:ind w:left="480"/>
              <w:spacing w:after="0"/>
              <w:rPr>
                <w:sz w:val="20"/>
                <w:szCs w:val="20"/>
                <w:color w:val="auto"/>
              </w:rPr>
            </w:pPr>
            <w:r>
              <w:rPr>
                <w:rFonts w:ascii="Arial" w:cs="Arial" w:eastAsia="Arial" w:hAnsi="Arial"/>
                <w:sz w:val="16"/>
                <w:szCs w:val="16"/>
                <w:color w:val="auto"/>
              </w:rPr>
              <w:t>Total Unearned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381,616</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7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franchise fees - non-current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11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THIRTEEN WEEKS ENDED</w:t>
      </w:r>
    </w:p>
    <w:p>
      <w:pPr>
        <w:sectPr>
          <w:pgSz w:w="11900" w:h="16838" w:orient="portrait"/>
          <w:cols w:equalWidth="0" w:num="1">
            <w:col w:w="11240"/>
          </w:cols>
          <w:pgMar w:left="320" w:top="122"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Deferred gift card sales commissions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gift card sales commissions capitalization</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MARCH 29, 2020</w:t>
            </w:r>
          </w:p>
        </w:tc>
      </w:tr>
      <w:tr>
        <w:trPr>
          <w:trHeight w:val="210"/>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18,554</w:t>
            </w:r>
          </w:p>
        </w:tc>
      </w:tr>
      <w:tr>
        <w:trPr>
          <w:trHeight w:val="216"/>
        </w:trPr>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(9,090)</w:t>
            </w:r>
          </w:p>
        </w:tc>
      </w:tr>
      <w:tr>
        <w:trPr>
          <w:trHeight w:val="216"/>
        </w:trPr>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4,324</w:t>
            </w:r>
          </w:p>
        </w:tc>
      </w:tr>
      <w:tr>
        <w:trPr>
          <w:trHeight w:val="229"/>
        </w:trPr>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r>
      <w:tr>
        <w:trPr>
          <w:trHeight w:val="21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13,049</w:t>
            </w:r>
          </w:p>
        </w:tc>
      </w:tr>
      <w:tr>
        <w:trPr>
          <w:trHeight w:val="24"/>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2"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358,757</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Gift card sales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58,439</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redemptions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(133,181)</w:t>
            </w:r>
          </w:p>
        </w:tc>
      </w:tr>
      <w:tr>
        <w:trPr>
          <w:trHeight w:val="22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Gift card breakage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(6,497)</w:t>
            </w:r>
          </w:p>
        </w:tc>
      </w:tr>
      <w:tr>
        <w:trPr>
          <w:trHeight w:val="24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277,518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Impairments and Exit Costs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U.S.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30,972</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(1)(2)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 (3)</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6,280</w:t>
            </w:r>
          </w:p>
        </w:tc>
      </w:tr>
      <w:tr>
        <w:trPr>
          <w:trHeight w:val="236"/>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impairment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40,424</w:t>
            </w:r>
          </w:p>
        </w:tc>
      </w:tr>
      <w:tr>
        <w:trPr>
          <w:trHeight w:val="187"/>
        </w:trPr>
        <w:tc>
          <w:tcPr>
            <w:tcW w:w="8100" w:type="dxa"/>
            <w:vAlign w:val="bottom"/>
          </w:tcPr>
          <w:p>
            <w:pPr>
              <w:ind w:left="20"/>
              <w:spacing w:after="0"/>
              <w:rPr>
                <w:sz w:val="20"/>
                <w:szCs w:val="20"/>
                <w:color w:val="auto"/>
              </w:rPr>
            </w:pPr>
            <w:r>
              <w:rPr>
                <w:rFonts w:ascii="Arial" w:cs="Arial" w:eastAsia="Arial" w:hAnsi="Arial"/>
                <w:sz w:val="16"/>
                <w:szCs w:val="16"/>
                <w:color w:val="auto"/>
              </w:rPr>
              <w:t>Restaurant closure charges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23"/>
        </w:trPr>
        <w:tc>
          <w:tcPr>
            <w:tcW w:w="8100" w:type="dxa"/>
            <w:vAlign w:val="bottom"/>
          </w:tcPr>
          <w:p>
            <w:pPr>
              <w:ind w:left="220"/>
              <w:spacing w:after="0"/>
              <w:rPr>
                <w:sz w:val="20"/>
                <w:szCs w:val="20"/>
                <w:color w:val="auto"/>
              </w:rPr>
            </w:pPr>
            <w:r>
              <w:rPr>
                <w:rFonts w:ascii="Arial" w:cs="Arial" w:eastAsia="Arial" w:hAnsi="Arial"/>
                <w:sz w:val="16"/>
                <w:szCs w:val="16"/>
                <w:color w:val="auto"/>
              </w:rPr>
              <w:t>International (1)</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23"/>
        </w:trPr>
        <w:tc>
          <w:tcPr>
            <w:tcW w:w="8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restaurant closure charges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41,318</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U.S. and international impairment and closure charges for the thirteen weeks ended March 29, 2020 primarily relate to the COVID-19 pandemic. See Note 2 - </w:t>
      </w:r>
      <w:r>
        <w:rPr>
          <w:rFonts w:ascii="Arial" w:cs="Arial" w:eastAsia="Arial" w:hAnsi="Arial"/>
          <w:sz w:val="16"/>
          <w:szCs w:val="16"/>
          <w:i w:val="1"/>
          <w:iCs w:val="1"/>
          <w:color w:val="auto"/>
        </w:rPr>
        <w:t xml:space="preserve">COVID-19 Charges </w:t>
      </w:r>
      <w:r>
        <w:rPr>
          <w:rFonts w:ascii="Arial" w:cs="Arial" w:eastAsia="Arial" w:hAnsi="Arial"/>
          <w:sz w:val="16"/>
          <w:szCs w:val="16"/>
          <w:color w:val="auto"/>
        </w:rPr>
        <w:t>for details regarding the impact of the COVID-19 pandemic on the Company’s financial results.</w:t>
      </w: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goodwill impairment charges of $2.0 million during the thirteen weeks ended March 29,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impairment charges for the thirteen weeks ended March 29, 2020 primarily relate to transformational initiatives.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is a rollforward of the Company’s closed facility lease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accrued costs associated with the closure and restructuring initiatives, for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jc w:val="right"/>
              <w:ind w:right="46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MARCH 28, 2021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12,879</w:t>
            </w:r>
          </w:p>
        </w:tc>
        <w:tc>
          <w:tcPr>
            <w:tcW w:w="0" w:type="dxa"/>
            <w:vAlign w:val="bottom"/>
          </w:tcPr>
          <w:p>
            <w:pPr>
              <w:spacing w:after="0"/>
              <w:rPr>
                <w:sz w:val="1"/>
                <w:szCs w:val="1"/>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Cash payments</w:t>
            </w:r>
          </w:p>
        </w:tc>
        <w:tc>
          <w:tcPr>
            <w:tcW w:w="3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Accretion</w:t>
            </w:r>
          </w:p>
        </w:tc>
        <w:tc>
          <w:tcPr>
            <w:tcW w:w="3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Adjustments</w:t>
            </w: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the period (1)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line="181" w:lineRule="exact"/>
              <w:rPr>
                <w:sz w:val="20"/>
                <w:szCs w:val="20"/>
                <w:color w:val="auto"/>
              </w:rPr>
            </w:pPr>
            <w:r>
              <w:rPr>
                <w:rFonts w:ascii="Arial" w:cs="Arial" w:eastAsia="Arial" w:hAnsi="Arial"/>
                <w:sz w:val="16"/>
                <w:szCs w:val="16"/>
                <w:color w:val="auto"/>
              </w:rPr>
              <w:t>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28, 2021, the Company had exit-related accruals related to certain closure and restructuring initiatives of $3.8 million recorded in Accrued and other current liabilities and $8.0 million recorded in Non-current operating lease liabilities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Earnings (Loss) Per Share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dilutive effect of the 2025 Notes is calculated using the if-converted method which was required upon the Company’s adoption of ASU No. 2020-06. To the extent the Company has the ability to settle its 2025 Notes in shares of its common stock, the principal and conversion spread on the 2025 Notes will have a dilutive impact on diluted earnings per share when the average market price of the Company’s common stock for a given period exceeds the conversion price of $11.89 per share of common stock. In February 2021, the Company provided the trustee of its 2025 Notes notice of the Company’s irrevocable election to settle the principal portion of the 2025 Notes in cash and any excess in shares. As a result, subsequent to the election, only the amounts in excess of the principal amount are considered in diluted earnings per share under the if-converted method.</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In connection with the offering of the 2025 Notes, the Company entered into the </w:t>
      </w:r>
      <w:r>
        <w:rPr>
          <w:rFonts w:ascii="Arial" w:cs="Arial" w:eastAsia="Arial" w:hAnsi="Arial"/>
          <w:sz w:val="18"/>
          <w:szCs w:val="18"/>
          <w:color w:val="252525"/>
        </w:rPr>
        <w:t>Convertible Note Hedge Transactions and Warrant</w:t>
      </w:r>
      <w:r>
        <w:rPr>
          <w:rFonts w:ascii="Arial" w:cs="Arial" w:eastAsia="Arial" w:hAnsi="Arial"/>
          <w:sz w:val="18"/>
          <w:szCs w:val="18"/>
          <w:color w:val="auto"/>
        </w:rPr>
        <w:t xml:space="preserve"> </w:t>
      </w:r>
      <w:r>
        <w:rPr>
          <w:rFonts w:ascii="Arial" w:cs="Arial" w:eastAsia="Arial" w:hAnsi="Arial"/>
          <w:sz w:val="18"/>
          <w:szCs w:val="18"/>
          <w:color w:val="252525"/>
        </w:rPr>
        <w:t xml:space="preserve">Transactions </w:t>
      </w:r>
      <w:r>
        <w:rPr>
          <w:rFonts w:ascii="Arial" w:cs="Arial" w:eastAsia="Arial" w:hAnsi="Arial"/>
          <w:sz w:val="18"/>
          <w:szCs w:val="18"/>
          <w:color w:val="000000"/>
        </w:rPr>
        <w:t>described in Note 10 -</w:t>
      </w:r>
      <w:r>
        <w:rPr>
          <w:rFonts w:ascii="Arial" w:cs="Arial" w:eastAsia="Arial" w:hAnsi="Arial"/>
          <w:sz w:val="18"/>
          <w:szCs w:val="18"/>
          <w:color w:val="252525"/>
        </w:rPr>
        <w:t xml:space="preserve"> </w:t>
      </w:r>
      <w:r>
        <w:rPr>
          <w:rFonts w:ascii="Arial" w:cs="Arial" w:eastAsia="Arial" w:hAnsi="Arial"/>
          <w:sz w:val="18"/>
          <w:szCs w:val="18"/>
          <w:i w:val="1"/>
          <w:iCs w:val="1"/>
          <w:color w:val="000000"/>
        </w:rPr>
        <w:t>Convertible Senior Notes.</w:t>
      </w:r>
      <w:r>
        <w:rPr>
          <w:rFonts w:ascii="Arial" w:cs="Arial" w:eastAsia="Arial" w:hAnsi="Arial"/>
          <w:sz w:val="18"/>
          <w:szCs w:val="18"/>
          <w:color w:val="252525"/>
        </w:rPr>
        <w:t xml:space="preserve"> </w:t>
      </w:r>
      <w:r>
        <w:rPr>
          <w:rFonts w:ascii="Arial" w:cs="Arial" w:eastAsia="Arial" w:hAnsi="Arial"/>
          <w:sz w:val="18"/>
          <w:szCs w:val="18"/>
          <w:color w:val="000000"/>
        </w:rPr>
        <w:t>However, the</w:t>
      </w:r>
      <w:r>
        <w:rPr>
          <w:rFonts w:ascii="Arial" w:cs="Arial" w:eastAsia="Arial" w:hAnsi="Arial"/>
          <w:sz w:val="18"/>
          <w:szCs w:val="18"/>
          <w:color w:val="252525"/>
        </w:rPr>
        <w:t xml:space="preserve"> Convertible Note Hedge Transactions </w:t>
      </w:r>
      <w:r>
        <w:rPr>
          <w:rFonts w:ascii="Arial" w:cs="Arial" w:eastAsia="Arial" w:hAnsi="Arial"/>
          <w:sz w:val="18"/>
          <w:szCs w:val="18"/>
          <w:color w:val="000000"/>
        </w:rPr>
        <w:t>are not considered when</w:t>
      </w:r>
      <w:r>
        <w:rPr>
          <w:rFonts w:ascii="Arial" w:cs="Arial" w:eastAsia="Arial" w:hAnsi="Arial"/>
          <w:sz w:val="18"/>
          <w:szCs w:val="18"/>
          <w:color w:val="252525"/>
        </w:rPr>
        <w:t xml:space="preserve"> </w:t>
      </w:r>
      <w:r>
        <w:rPr>
          <w:rFonts w:ascii="Arial" w:cs="Arial" w:eastAsia="Arial" w:hAnsi="Arial"/>
          <w:sz w:val="18"/>
          <w:szCs w:val="18"/>
          <w:color w:val="000000"/>
        </w:rPr>
        <w:t xml:space="preserve">calculating dilutive shares given its impact is anti-dilutive. The impact of the </w:t>
      </w:r>
      <w:r>
        <w:rPr>
          <w:rFonts w:ascii="Arial" w:cs="Arial" w:eastAsia="Arial" w:hAnsi="Arial"/>
          <w:sz w:val="18"/>
          <w:szCs w:val="18"/>
          <w:color w:val="252525"/>
        </w:rPr>
        <w:t>Convertible Note Hedge Transactions</w:t>
      </w:r>
      <w:r>
        <w:rPr>
          <w:rFonts w:ascii="Arial" w:cs="Arial" w:eastAsia="Arial" w:hAnsi="Arial"/>
          <w:sz w:val="18"/>
          <w:szCs w:val="18"/>
          <w:color w:val="000000"/>
        </w:rPr>
        <w:t xml:space="preserve"> would offset the dilutive impact of the shares underlying the 2025 Notes. </w:t>
      </w:r>
      <w:r>
        <w:rPr>
          <w:rFonts w:ascii="Arial" w:cs="Arial" w:eastAsia="Arial" w:hAnsi="Arial"/>
          <w:sz w:val="18"/>
          <w:szCs w:val="18"/>
          <w:color w:val="252525"/>
        </w:rPr>
        <w:t>The Warrant Transactions have a dilutive effect on the Company’s common stock to the</w:t>
      </w:r>
      <w:r>
        <w:rPr>
          <w:rFonts w:ascii="Arial" w:cs="Arial" w:eastAsia="Arial" w:hAnsi="Arial"/>
          <w:sz w:val="18"/>
          <w:szCs w:val="18"/>
          <w:color w:val="000000"/>
        </w:rPr>
        <w:t xml:space="preserve"> </w:t>
      </w:r>
      <w:r>
        <w:rPr>
          <w:rFonts w:ascii="Arial" w:cs="Arial" w:eastAsia="Arial" w:hAnsi="Arial"/>
          <w:sz w:val="18"/>
          <w:szCs w:val="18"/>
          <w:color w:val="252525"/>
        </w:rPr>
        <w:t xml:space="preserve">extent that the price of its common stock exceeds the $16.64 strike price of the Warrant Transactions. </w:t>
      </w:r>
      <w:r>
        <w:rPr>
          <w:rFonts w:ascii="Arial" w:cs="Arial" w:eastAsia="Arial" w:hAnsi="Arial"/>
          <w:sz w:val="18"/>
          <w:szCs w:val="18"/>
          <w:color w:val="000000"/>
        </w:rPr>
        <w:t>See Note 10 -</w:t>
      </w:r>
      <w:r>
        <w:rPr>
          <w:rFonts w:ascii="Arial" w:cs="Arial" w:eastAsia="Arial" w:hAnsi="Arial"/>
          <w:sz w:val="18"/>
          <w:szCs w:val="18"/>
          <w:color w:val="252525"/>
        </w:rPr>
        <w:t xml:space="preserve"> </w:t>
      </w:r>
      <w:r>
        <w:rPr>
          <w:rFonts w:ascii="Arial" w:cs="Arial" w:eastAsia="Arial" w:hAnsi="Arial"/>
          <w:sz w:val="18"/>
          <w:szCs w:val="18"/>
          <w:i w:val="1"/>
          <w:iCs w:val="1"/>
          <w:color w:val="000000"/>
        </w:rPr>
        <w:t>Convertible Senior Notes</w:t>
      </w:r>
      <w:r>
        <w:rPr>
          <w:rFonts w:ascii="Arial" w:cs="Arial" w:eastAsia="Arial" w:hAnsi="Arial"/>
          <w:sz w:val="18"/>
          <w:szCs w:val="18"/>
          <w:color w:val="252525"/>
        </w:rPr>
        <w:t xml:space="preserve"> </w:t>
      </w:r>
      <w:r>
        <w:rPr>
          <w:rFonts w:ascii="Arial" w:cs="Arial" w:eastAsia="Arial" w:hAnsi="Arial"/>
          <w:sz w:val="18"/>
          <w:szCs w:val="18"/>
          <w:color w:val="000000"/>
        </w:rPr>
        <w:t xml:space="preserve">for additional information regarding the 2025 Notes, </w:t>
      </w:r>
      <w:r>
        <w:rPr>
          <w:rFonts w:ascii="Arial" w:cs="Arial" w:eastAsia="Arial" w:hAnsi="Arial"/>
          <w:sz w:val="18"/>
          <w:szCs w:val="18"/>
          <w:color w:val="252525"/>
        </w:rPr>
        <w:t>Convertible Note Hedge Transactions</w:t>
      </w:r>
      <w:r>
        <w:rPr>
          <w:rFonts w:ascii="Arial" w:cs="Arial" w:eastAsia="Arial" w:hAnsi="Arial"/>
          <w:sz w:val="18"/>
          <w:szCs w:val="18"/>
          <w:color w:val="000000"/>
        </w:rPr>
        <w:t xml:space="preserve"> and </w:t>
      </w:r>
      <w:r>
        <w:rPr>
          <w:rFonts w:ascii="Arial" w:cs="Arial" w:eastAsia="Arial" w:hAnsi="Arial"/>
          <w:sz w:val="18"/>
          <w:szCs w:val="18"/>
          <w:color w:val="252525"/>
        </w:rPr>
        <w:t>Warrant Transactions</w:t>
      </w:r>
      <w:r>
        <w:rPr>
          <w:rFonts w:ascii="Arial" w:cs="Arial" w:eastAsia="Arial" w:hAnsi="Arial"/>
          <w:sz w:val="18"/>
          <w:szCs w:val="18"/>
          <w:color w:val="000000"/>
        </w:rPr>
        <w: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the computation of basic and diluted earnings (loss) per share attributable to common stockholders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29, 2020</w:t>
            </w:r>
          </w:p>
        </w:tc>
      </w:tr>
      <w:tr>
        <w:trPr>
          <w:trHeight w:val="223"/>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(34,611)</w:t>
            </w:r>
          </w:p>
        </w:tc>
      </w:tr>
      <w:tr>
        <w:trPr>
          <w:trHeight w:val="223"/>
        </w:trPr>
        <w:tc>
          <w:tcPr>
            <w:tcW w:w="8140" w:type="dxa"/>
            <w:vAlign w:val="bottom"/>
          </w:tcPr>
          <w:p>
            <w:pPr>
              <w:ind w:left="140"/>
              <w:spacing w:after="0"/>
              <w:rPr>
                <w:sz w:val="20"/>
                <w:szCs w:val="20"/>
                <w:color w:val="auto"/>
              </w:rPr>
            </w:pPr>
            <w:r>
              <w:rPr>
                <w:rFonts w:ascii="Arial" w:cs="Arial" w:eastAsia="Arial" w:hAnsi="Arial"/>
                <w:sz w:val="16"/>
                <w:szCs w:val="16"/>
                <w:color w:val="auto"/>
              </w:rPr>
              <w:t>Redemption of preferred stock in excess of carrying value (1)</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23"/>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r>
      <w:tr>
        <w:trPr>
          <w:trHeight w:val="223"/>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87,129</w:t>
            </w:r>
          </w:p>
        </w:tc>
      </w:tr>
      <w:tr>
        <w:trPr>
          <w:trHeight w:val="216"/>
        </w:trPr>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Nonvested restricted stock units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Nonvested performance-based share units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senior notes (2)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Warrants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common stockholders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(0.44)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Consideration paid in excess of carrying value for the redemption of preferred stock is considered a deemed dividend and, for purposes of calculating earnings per share, reduces net income attributable to common stockholders for the thirteen weeks ended March 29, 2020. See Note 12 -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details.</w:t>
      </w:r>
    </w:p>
    <w:p>
      <w:pPr>
        <w:spacing w:after="0" w:line="1" w:lineRule="exact"/>
        <w:rPr>
          <w:rFonts w:ascii="Arial" w:cs="Arial" w:eastAsia="Arial" w:hAnsi="Arial"/>
          <w:sz w:val="16"/>
          <w:szCs w:val="16"/>
          <w:color w:val="auto"/>
        </w:rPr>
      </w:pPr>
    </w:p>
    <w:p>
      <w:pPr>
        <w:jc w:val="both"/>
        <w:ind w:left="660" w:hanging="652"/>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relates to the 2025 Notes weighted for the portion of the period prior to the Company’s election under the 2025 Notes indenture to settle the principal portion of its 2025 Notes in cash. Effective with the Company’s election, there will be no further numerator adjustments for interest or denominator adjustments for shares required to settle the principal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Share-based compensation-related weighted-average securities outstanding not included in the computation of net earnings (loss) per share attributable to common stockholders because their effect was antidilutive were as follows,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 2021</w:t>
            </w:r>
          </w:p>
        </w:tc>
        <w:tc>
          <w:tcPr>
            <w:tcW w:w="1500" w:type="dxa"/>
            <w:vAlign w:val="bottom"/>
          </w:tcPr>
          <w:p>
            <w:pPr>
              <w:jc w:val="right"/>
              <w:ind w:right="12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1,364</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performance-based share units</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bl>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Stock-based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1,683</w:t>
            </w: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Performance-based share units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213"/>
        </w:trPr>
        <w:tc>
          <w:tcPr>
            <w:tcW w:w="8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r>
      <w:tr>
        <w:trPr>
          <w:trHeight w:val="23"/>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2021, the Company granted 0.3 million performance-based share units (“PSUs”) subject to final payout modification by a Relative Total Shareholder Return (“Relative TSR”) modifier. These PSUs maintain a three-year cliff vesting period and the underlying adjusted earnings per share performance metric can range from zero to 200% of the annual target grant. The grants additionally included a Relative TSR modifier to the final payout outcome, which can adjust the payout by 75%, 100% or 125% of the achieved performance metric, with the overall payout capped at 200% of the annual target grant. The Relative TSR is measured by comparing the Company’s Relative TSR to the constituents of the S&amp;P 1500 Restaurants index. The fair value of PSUs granted was estimated using the Monte Carlo simulation model. The Monte Carlo simulation model utilizes multiple input variables to estimate the probability that the market conditions will be achieved and was applied to the trading price of the Company’s common stock on the date of the grant. Assumptions used in the Monte Carlo simulation model and the grant date fair value of PSUs granted were as follows for the period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23"/>
              <w:spacing w:after="0"/>
              <w:rPr>
                <w:sz w:val="20"/>
                <w:szCs w:val="20"/>
                <w:color w:val="auto"/>
              </w:rPr>
            </w:pPr>
            <w:r>
              <w:rPr>
                <w:rFonts w:ascii="Arial" w:cs="Arial" w:eastAsia="Arial" w:hAnsi="Arial"/>
                <w:sz w:val="14"/>
                <w:szCs w:val="14"/>
                <w:b w:val="1"/>
                <w:bCs w:val="1"/>
                <w:color w:val="auto"/>
              </w:rPr>
              <w:t>THIRTEEN WEEKS ENDED</w:t>
            </w:r>
          </w:p>
        </w:tc>
      </w:tr>
      <w:tr>
        <w:trPr>
          <w:trHeight w:val="208"/>
        </w:trPr>
        <w:tc>
          <w:tcPr>
            <w:tcW w:w="9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MARCH 28, 2021</w:t>
            </w:r>
          </w:p>
        </w:tc>
      </w:tr>
      <w:tr>
        <w:trPr>
          <w:trHeight w:val="203"/>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9180" w:type="dxa"/>
            <w:vAlign w:val="bottom"/>
          </w:tcPr>
          <w:p>
            <w:pPr>
              <w:ind w:left="140"/>
              <w:spacing w:after="0"/>
              <w:rPr>
                <w:sz w:val="20"/>
                <w:szCs w:val="20"/>
                <w:color w:val="auto"/>
              </w:rPr>
            </w:pPr>
            <w:r>
              <w:rPr>
                <w:rFonts w:ascii="Arial" w:cs="Arial" w:eastAsia="Arial" w:hAnsi="Arial"/>
                <w:sz w:val="16"/>
                <w:szCs w:val="16"/>
                <w:color w:val="auto"/>
              </w:rPr>
              <w:t>Risk-free interest rate (1)</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0.20 %</w:t>
            </w:r>
          </w:p>
        </w:tc>
      </w:tr>
      <w:tr>
        <w:trPr>
          <w:trHeight w:val="219"/>
        </w:trPr>
        <w:tc>
          <w:tcPr>
            <w:tcW w:w="9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Volatility (2)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48.45 %</w:t>
            </w:r>
          </w:p>
        </w:tc>
      </w:tr>
      <w:tr>
        <w:trPr>
          <w:trHeight w:val="257"/>
        </w:trPr>
        <w:tc>
          <w:tcPr>
            <w:tcW w:w="9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 date fair value per unit (3)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29.73</w:t>
            </w:r>
          </w:p>
        </w:tc>
      </w:tr>
      <w:tr>
        <w:trPr>
          <w:trHeight w:val="288"/>
        </w:trPr>
        <w:tc>
          <w:tcPr>
            <w:tcW w:w="918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the performance period of the unit.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 over the last seven years.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 14.3% premium above the per share value of the Company’s common stock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represents unrecognized stock-based compensation expense and the remaining weighted-average vesting period as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March 28,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UNRECOGNIZED</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COMPENSATION</w:t>
            </w: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EXPENSE</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8"/>
              </w:rPr>
              <w:t>PERIOD (in years)</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14,180</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share units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Other Current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12,148</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Accounts receivable - gift cards, net (1)</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76,808</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 vendors, net (1)</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Accounts receivable - franchisees, net (1)</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 other, net (1)</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16,782</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Deferred gift card sales commissions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19,300</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12,756</w:t>
            </w:r>
          </w:p>
        </w:tc>
      </w:tr>
      <w:tr>
        <w:trPr>
          <w:trHeight w:val="238"/>
        </w:trPr>
        <w:tc>
          <w:tcPr>
            <w:tcW w:w="7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151,518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See Note 16 -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rollforward of the related allowance for expected credit losses.</w:t>
      </w:r>
    </w:p>
    <w:p>
      <w:pPr>
        <w:spacing w:after="0" w:line="28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Accrued and Other Current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rent and current operating lease liabilities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192,369</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Accrued payroll and other compensation (1)</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107,833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79,291</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20,648</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 (2)</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96,013</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388,321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thirteen weeks ended March 28, 2021, the Company reclassified $27.3 million of payroll taxes deferred under the Coronavirus, Aid, Relief and Economic Security Act (“CARES Act”) to current.</w:t>
      </w: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thirteen weeks ended March 28, 2021, sales tax payable increased $9.2 million due to increased sales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Long-term Debt,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60" w:type="dxa"/>
            <w:vAlign w:val="bottom"/>
          </w:tcPr>
          <w:p>
            <w:pPr>
              <w:jc w:val="right"/>
              <w:ind w:right="14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415,625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770,625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872,000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Notes (2)</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 and issuance costs (3)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finance lease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993,363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1,036,480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951,534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997,770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as of the respective periods.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See Note 10 -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2025 Notes and related hedge and warrant transactions.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connection with the adoption of ASU No. 2020-06, debt discount of $59.9 million related to the 2025 Notes was de-recognized and $2.1 million of equity issuance costs were reclassified as debt issuance costs during the thirteen weeks ended March 28, 2021.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As of March 28, 2021 and December 27, 2020, the Company was in compliance with its debt covenants.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2029 Notes </w:t>
      </w:r>
      <w:r>
        <w:rPr>
          <w:rFonts w:ascii="Arial" w:cs="Arial" w:eastAsia="Arial" w:hAnsi="Arial"/>
          <w:sz w:val="19"/>
          <w:szCs w:val="19"/>
          <w:color w:val="auto"/>
        </w:rPr>
        <w:t>- Subsequent to March 28, 2021, the Company and its wholly-owned subsidiary OSI Restaurant Partners, LLC (“OSI”), as co-issuers, issued $300.0 million aggregate principal amount of senior unsecured notes due 2029 (the “2029 Notes”).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2029 Notes were issued pursuant to an Indenture, dated April 16, 2021 (the “Indenture”), by and among the Company, the guarantors named therein, and Wells Fargo Bank, National Association, as trustee. The 2029 Notes will be guaranteed by each of the Company’s existing and future domestic restricted subsidiaries (other than OSI) that are guarantors or borrowers under its New Senior Secured Credit Facilities (as defined below) or certain other indebtedness. The 2029 Notes will mature on April 15, 2029, unless earlier redeemed or purchased by the Company. The 2029 Notes bear cash interest at an annual rate of 5.125% payable semi-annually in arrears on April 15 and October 15 of each year, beginning on October 15, 2021.</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 addition, at any time prior to April 15, 2024, the Company may redeem some or all of the 2029 Notes at a price equal to 100% of the principal amount, plus a “make-whole” premium, plus accrued and unpaid interest.</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Indenture contains restrictive covenants that limit the ability of the Company and its restricted subsidiaries to, among other things, incur additional indebtedness or issue certain preferred stock; pay dividends,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as unrestricted subsidiaries. These covenants are subject to a number of important exceptions and qualifications as set forth in the Indenture.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proceeds from the 2029 Notes, after deducting the initial purchaser’s discount and the Company’s offering expenses, were used to repay a portion of the Company’s outstanding Term loan A and revolving credit facility in conjunction with the refinancing of its Senior Secured Credit Facility.</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Second Amended and Restated Credit Agreement </w:t>
      </w:r>
      <w:r>
        <w:rPr>
          <w:rFonts w:ascii="Arial" w:cs="Arial" w:eastAsia="Arial" w:hAnsi="Arial"/>
          <w:sz w:val="20"/>
          <w:szCs w:val="20"/>
          <w:color w:val="auto"/>
        </w:rPr>
        <w:t>- On April 16, 2021, the Company and OSI, as co-borrowers, entered into the Second</w:t>
      </w:r>
      <w:r>
        <w:rPr>
          <w:rFonts w:ascii="Arial" w:cs="Arial" w:eastAsia="Arial" w:hAnsi="Arial"/>
          <w:sz w:val="20"/>
          <w:szCs w:val="20"/>
          <w:i w:val="1"/>
          <w:iCs w:val="1"/>
          <w:color w:val="auto"/>
        </w:rPr>
        <w:t xml:space="preserve"> </w:t>
      </w:r>
      <w:r>
        <w:rPr>
          <w:rFonts w:ascii="Arial" w:cs="Arial" w:eastAsia="Arial" w:hAnsi="Arial"/>
          <w:sz w:val="20"/>
          <w:szCs w:val="20"/>
          <w:color w:val="auto"/>
        </w:rPr>
        <w:t>Amended and Restated Credit Agreement (the “Second Amended and Restated Credit Agreement”), which provides for senior secured financing of up to $1.0 billion consisting of a $200.0 million Term loan A and an $800.0 million revolving credit facility (the “New Senior Secured Credit Facility”). The New Senior Secured Credit Facility matures on April 16, 2026 and replaces the Company’s prior senior secured financing of up to $1.5 billion (the “Senior Secured Credit Facility”).</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commitments under the New Senior Secured Credit Facility may be increased in an aggregate principal amount of up to: (i) $425.0 million or (ii) at the Company’s option, up to an unlimited amount of incremental facilities, so long as the Consolidated Senior Secured Net Leverage Ratio (“CSSNLR”), as defined in the Second Amended and Restated Credit Agreement, is no more than 3.00 to 1.00 as of the last day of the most recent period of four consecutive fiscal quarters ended.</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an interest rate at each reset period based on the Base Rate or the Eurocurrency Rate, plus an applicable spread. The Base Rate option is the highest of: (i) the prime rate of Wells Fargo Bank, National Association, (ii) the federal funds effective rate plus 0.5 of 1.0% or (iii) the Eurocurrency rate with a one-month interest period plus 1.0% (the “Base Rate”). The Eurocurrency Rate option is the seven, 30, 60, 90 or 180-day Eurocurrency rate, subject to a 0% floor (the “Eurocurrency Rate”). The interest rates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BASE RATE ELECTION</w:t>
            </w:r>
          </w:p>
        </w:tc>
        <w:tc>
          <w:tcPr>
            <w:tcW w:w="100" w:type="dxa"/>
            <w:vAlign w:val="bottom"/>
            <w:tcBorders>
              <w:bottom w:val="single" w:sz="8" w:color="CCEEFF"/>
            </w:tcBorders>
          </w:tcPr>
          <w:p>
            <w:pPr>
              <w:spacing w:after="0"/>
              <w:rPr>
                <w:sz w:val="17"/>
                <w:szCs w:val="17"/>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4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50 to 150 basis points over the Base Rate</w:t>
            </w:r>
          </w:p>
        </w:tc>
        <w:tc>
          <w:tcPr>
            <w:tcW w:w="4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150 to 250 basis points over the Eurocurrency Rate</w:t>
            </w:r>
          </w:p>
        </w:tc>
      </w:tr>
    </w:tbl>
    <w:p>
      <w:pPr>
        <w:spacing w:after="0" w:line="3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Fees on letters of credit and daily unused availability under the revolving credit facility will be 150 to 250 basis points and 25 to 40 basis points,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amortization payments for the Term loan A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00" w:type="dxa"/>
            <w:vAlign w:val="bottom"/>
            <w:gridSpan w:val="4"/>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60" w:type="dxa"/>
            <w:vAlign w:val="bottom"/>
          </w:tcPr>
          <w:p>
            <w:pPr>
              <w:spacing w:after="0"/>
              <w:rPr>
                <w:sz w:val="17"/>
                <w:szCs w:val="17"/>
                <w:color w:val="auto"/>
              </w:rPr>
            </w:pPr>
          </w:p>
        </w:tc>
        <w:tc>
          <w:tcPr>
            <w:tcW w:w="1280" w:type="dxa"/>
            <w:vAlign w:val="bottom"/>
          </w:tcPr>
          <w:p>
            <w:pPr>
              <w:jc w:val="right"/>
              <w:ind w:right="141"/>
              <w:spacing w:after="0"/>
              <w:rPr>
                <w:sz w:val="20"/>
                <w:szCs w:val="20"/>
                <w:color w:val="auto"/>
              </w:rPr>
            </w:pPr>
            <w:r>
              <w:rPr>
                <w:rFonts w:ascii="Arial" w:cs="Arial" w:eastAsia="Arial" w:hAnsi="Arial"/>
                <w:sz w:val="14"/>
                <w:szCs w:val="14"/>
                <w:b w:val="1"/>
                <w:bCs w:val="1"/>
                <w:color w:val="auto"/>
              </w:rPr>
              <w:t>TERM LOAN A</w:t>
            </w:r>
          </w:p>
        </w:tc>
      </w:tr>
      <w:tr>
        <w:trPr>
          <w:trHeight w:val="216"/>
        </w:trPr>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90"/>
              </w:rPr>
              <w:t>September 26, 2021 through June 30,</w:t>
            </w:r>
          </w:p>
        </w:tc>
        <w:tc>
          <w:tcPr>
            <w:tcW w:w="7200" w:type="dxa"/>
            <w:vAlign w:val="bottom"/>
            <w:tcBorders>
              <w:top w:val="single" w:sz="8" w:color="auto"/>
            </w:tcBorders>
            <w:shd w:val="clear" w:color="auto" w:fill="CCEEFF"/>
          </w:tcPr>
          <w:p>
            <w:pPr>
              <w:jc w:val="right"/>
              <w:ind w:right="6779"/>
              <w:spacing w:after="0"/>
              <w:rPr>
                <w:sz w:val="20"/>
                <w:szCs w:val="20"/>
                <w:color w:val="auto"/>
              </w:rPr>
            </w:pPr>
            <w:r>
              <w:rPr>
                <w:rFonts w:ascii="Arial" w:cs="Arial" w:eastAsia="Arial" w:hAnsi="Arial"/>
                <w:sz w:val="16"/>
                <w:szCs w:val="16"/>
                <w:color w:val="auto"/>
                <w:w w:val="89"/>
              </w:rPr>
              <w:t>2024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980" w:type="dxa"/>
            <w:vAlign w:val="bottom"/>
          </w:tcPr>
          <w:p>
            <w:pPr>
              <w:ind w:left="20"/>
              <w:spacing w:after="0"/>
              <w:rPr>
                <w:sz w:val="20"/>
                <w:szCs w:val="20"/>
                <w:color w:val="auto"/>
              </w:rPr>
            </w:pPr>
            <w:r>
              <w:rPr>
                <w:rFonts w:ascii="Arial" w:cs="Arial" w:eastAsia="Arial" w:hAnsi="Arial"/>
                <w:sz w:val="16"/>
                <w:szCs w:val="16"/>
                <w:color w:val="auto"/>
                <w:w w:val="89"/>
              </w:rPr>
              <w:t>September 29,</w:t>
            </w:r>
          </w:p>
        </w:tc>
        <w:tc>
          <w:tcPr>
            <w:tcW w:w="1500" w:type="dxa"/>
            <w:vAlign w:val="bottom"/>
          </w:tcPr>
          <w:p>
            <w:pPr>
              <w:ind w:left="20"/>
              <w:spacing w:after="0"/>
              <w:rPr>
                <w:sz w:val="20"/>
                <w:szCs w:val="20"/>
                <w:color w:val="auto"/>
              </w:rPr>
            </w:pPr>
            <w:r>
              <w:rPr>
                <w:rFonts w:ascii="Arial" w:cs="Arial" w:eastAsia="Arial" w:hAnsi="Arial"/>
                <w:sz w:val="16"/>
                <w:szCs w:val="16"/>
                <w:color w:val="auto"/>
                <w:w w:val="91"/>
              </w:rPr>
              <w:t>2024 through June 29,</w:t>
            </w:r>
          </w:p>
        </w:tc>
        <w:tc>
          <w:tcPr>
            <w:tcW w:w="7200" w:type="dxa"/>
            <w:vAlign w:val="bottom"/>
          </w:tcPr>
          <w:p>
            <w:pPr>
              <w:jc w:val="right"/>
              <w:ind w:right="6779"/>
              <w:spacing w:after="0"/>
              <w:rPr>
                <w:sz w:val="20"/>
                <w:szCs w:val="20"/>
                <w:color w:val="auto"/>
              </w:rPr>
            </w:pPr>
            <w:r>
              <w:rPr>
                <w:rFonts w:ascii="Arial" w:cs="Arial" w:eastAsia="Arial" w:hAnsi="Arial"/>
                <w:sz w:val="16"/>
                <w:szCs w:val="16"/>
                <w:color w:val="auto"/>
                <w:w w:val="89"/>
              </w:rPr>
              <w:t>2025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9"/>
        </w:trPr>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September 28,</w:t>
            </w:r>
          </w:p>
        </w:tc>
        <w:tc>
          <w:tcPr>
            <w:tcW w:w="8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2025 and December 28, 2025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bl>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New Senior Secured Credit Facility contains mandatory prepayment requirements for the Term loan A. The Company is required to prepay outstanding amounts under these loans with 50% of its annual excess cash flow, as defined in the Second Amended and Restated Credit Agreement, commencing with the fiscal year ending December 25, 2022. The amount of outstanding loans required to be prepaid in accordance with the debt covenants may vary based on the Company’s CSSNLR and year end results.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Total Net Leverage Ratio (“TNLR”) is the ratio of Consolidated Total Debt (Current portion of long-term debt and Long-term debt, net of cash, excluding the 2025 Notes) to Consolidated EBITDA (earnings before interest, taxes, depreciation and amortization and certain other adjustments as defined in the Second Amended and Restated Credit Agreement). The Second Amended and Restated Credit Agreement requires a TNLR not to exceed the following thresholds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MAXIMUM RATIO</w:t>
            </w:r>
          </w:p>
        </w:tc>
      </w:tr>
      <w:tr>
        <w:trPr>
          <w:trHeight w:val="216"/>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27, 2021 (1)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t>
            </w:r>
          </w:p>
        </w:tc>
        <w:tc>
          <w:tcPr>
            <w:tcW w:w="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1.00</w:t>
            </w:r>
          </w:p>
        </w:tc>
      </w:tr>
      <w:tr>
        <w:trPr>
          <w:trHeight w:val="210"/>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September 26, 2021 (2) and thereafter</w:t>
            </w:r>
          </w:p>
        </w:tc>
        <w:tc>
          <w:tcPr>
            <w:tcW w:w="760" w:type="dxa"/>
            <w:vAlign w:val="bottom"/>
          </w:tcPr>
          <w:p>
            <w:pPr>
              <w:jc w:val="right"/>
              <w:spacing w:after="0"/>
              <w:rPr>
                <w:sz w:val="20"/>
                <w:szCs w:val="20"/>
                <w:color w:val="auto"/>
              </w:rPr>
            </w:pPr>
            <w:r>
              <w:rPr>
                <w:rFonts w:ascii="Arial" w:cs="Arial" w:eastAsia="Arial" w:hAnsi="Arial"/>
                <w:sz w:val="16"/>
                <w:szCs w:val="16"/>
                <w:color w:val="auto"/>
              </w:rPr>
              <w:t>4.50</w:t>
            </w:r>
          </w:p>
        </w:tc>
        <w:tc>
          <w:tcPr>
            <w:tcW w:w="260" w:type="dxa"/>
            <w:vAlign w:val="bottom"/>
          </w:tcPr>
          <w:p>
            <w:pPr>
              <w:ind w:left="40"/>
              <w:spacing w:after="0"/>
              <w:rPr>
                <w:sz w:val="20"/>
                <w:szCs w:val="20"/>
                <w:color w:val="auto"/>
              </w:rPr>
            </w:pPr>
            <w:r>
              <w:rPr>
                <w:rFonts w:ascii="Arial" w:cs="Arial" w:eastAsia="Arial" w:hAnsi="Arial"/>
                <w:sz w:val="16"/>
                <w:szCs w:val="16"/>
                <w:color w:val="auto"/>
              </w:rPr>
              <w:t>to</w:t>
            </w:r>
          </w:p>
        </w:tc>
        <w:tc>
          <w:tcPr>
            <w:tcW w:w="880" w:type="dxa"/>
            <w:vAlign w:val="bottom"/>
          </w:tcPr>
          <w:p>
            <w:pPr>
              <w:jc w:val="right"/>
              <w:ind w:right="399"/>
              <w:spacing w:after="0"/>
              <w:rPr>
                <w:sz w:val="20"/>
                <w:szCs w:val="20"/>
                <w:color w:val="auto"/>
              </w:rPr>
            </w:pPr>
            <w:r>
              <w:rPr>
                <w:rFonts w:ascii="Arial" w:cs="Arial" w:eastAsia="Arial" w:hAnsi="Arial"/>
                <w:sz w:val="16"/>
                <w:szCs w:val="16"/>
                <w:color w:val="auto"/>
              </w:rPr>
              <w:t>1.00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Second Amended and Restated Credit Agreement limits, subject to certain exceptions, the Company’s ability and the ability of its subsidiaries to: incur additional indebtedness; make significant payments; sell assets; pay dividends and other restricted payments; make certain investments; acquire certain assets; effect mergers and similar transactions; and effect certain other transactions with affiliates. The Company is also limited to $200.0 million of aggregate capital expenditures during the year ended December 26, 2021. The Second Amended and Restated Credit Agreement also prohibits the Company from paying certain dividends and making certain restricted payments and acquisitions until the Company is in compliance with its TNLR covenant for the period ended September 26, 2021.</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Subsequent to its refinancing of the Senior Secured Credit Facility, the Company made payments of $20.0 million on its new revolving credit facility, which had an outstanding balance of $251.0 million as of April 30, 2021.</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6"/>
          <w:szCs w:val="16"/>
          <w:color w:val="auto"/>
        </w:rPr>
        <w:t>Convertible Senior Notes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Senior Notes </w:t>
      </w:r>
      <w:r>
        <w:rPr>
          <w:rFonts w:ascii="Arial" w:cs="Arial" w:eastAsia="Arial" w:hAnsi="Arial"/>
          <w:sz w:val="20"/>
          <w:szCs w:val="20"/>
          <w:color w:val="auto"/>
        </w:rPr>
        <w:t>- In May 2020, the Company completed a $230.0 million principal amount private offering of 5.00% convertible</w:t>
      </w:r>
      <w:r>
        <w:rPr>
          <w:rFonts w:ascii="Arial" w:cs="Arial" w:eastAsia="Arial" w:hAnsi="Arial"/>
          <w:sz w:val="20"/>
          <w:szCs w:val="20"/>
          <w:i w:val="1"/>
          <w:iCs w:val="1"/>
          <w:color w:val="auto"/>
        </w:rPr>
        <w:t xml:space="preserve"> </w:t>
      </w:r>
      <w:r>
        <w:rPr>
          <w:rFonts w:ascii="Arial" w:cs="Arial" w:eastAsia="Arial" w:hAnsi="Arial"/>
          <w:sz w:val="20"/>
          <w:szCs w:val="20"/>
          <w:color w:val="auto"/>
        </w:rPr>
        <w:t>senior notes due in 2025.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Net proceeds from the 2025 Notes offering were approximately $221.6 million, after deducting the initial purchaser’s discounts and commissions and the Company’s offering expenses.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Prior to the close of business on the business day immediately preceding November 1, 2024, holders may convert all or a portion of their 2025 Notes under the following circumstances: (i) during any calendar quarter commencing after the calendar quarter ending on June 30, 2020,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 of 2025 Notes for each trading day of the measurement period was less than 98% of the product of the last reported sale price per share of the Company’s common stock and the conversion rate on each such trading day; (iii) upon the occurrence of specified corporate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2025 Notes will be redeemable by the Company, in whole or in part, at the Company’s option at any time, and from time to time, on or after May 1, 2023 and on or before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 xml:space="preserve">If a fundamental change occurs prior to the maturity date, holders may require the Company to repurchase all or a portion of their </w:t>
      </w:r>
      <w:r>
        <w:rPr>
          <w:rFonts w:ascii="Arial" w:cs="Arial" w:eastAsia="Arial" w:hAnsi="Arial"/>
          <w:sz w:val="19"/>
          <w:szCs w:val="19"/>
          <w:color w:val="000000"/>
        </w:rPr>
        <w:t>2025 Notes</w:t>
      </w:r>
      <w:r>
        <w:rPr>
          <w:rFonts w:ascii="Arial" w:cs="Arial" w:eastAsia="Arial" w:hAnsi="Arial"/>
          <w:sz w:val="19"/>
          <w:szCs w:val="19"/>
          <w:color w:val="252525"/>
        </w:rPr>
        <w:t xml:space="preserve"> for cash at a price equal to 100% of the principal amount of the </w:t>
      </w:r>
      <w:r>
        <w:rPr>
          <w:rFonts w:ascii="Arial" w:cs="Arial" w:eastAsia="Arial" w:hAnsi="Arial"/>
          <w:sz w:val="19"/>
          <w:szCs w:val="19"/>
          <w:color w:val="000000"/>
        </w:rPr>
        <w:t>2025 Notes</w:t>
      </w:r>
      <w:r>
        <w:rPr>
          <w:rFonts w:ascii="Arial" w:cs="Arial" w:eastAsia="Arial" w:hAnsi="Arial"/>
          <w:sz w:val="19"/>
          <w:szCs w:val="19"/>
          <w:color w:val="252525"/>
        </w:rPr>
        <w:t xml:space="preserve"> to be repurchased, plus accrued and unpaid interest. Holders of </w:t>
      </w:r>
      <w:r>
        <w:rPr>
          <w:rFonts w:ascii="Arial" w:cs="Arial" w:eastAsia="Arial" w:hAnsi="Arial"/>
          <w:sz w:val="19"/>
          <w:szCs w:val="19"/>
          <w:color w:val="000000"/>
        </w:rPr>
        <w:t xml:space="preserve">2025 Notes </w:t>
      </w:r>
      <w:r>
        <w:rPr>
          <w:rFonts w:ascii="Arial" w:cs="Arial" w:eastAsia="Arial" w:hAnsi="Arial"/>
          <w:sz w:val="19"/>
          <w:szCs w:val="19"/>
          <w:color w:val="252525"/>
        </w:rPr>
        <w:t>who convert their</w:t>
      </w:r>
      <w:r>
        <w:rPr>
          <w:rFonts w:ascii="Arial" w:cs="Arial" w:eastAsia="Arial" w:hAnsi="Arial"/>
          <w:sz w:val="19"/>
          <w:szCs w:val="19"/>
          <w:color w:val="000000"/>
        </w:rPr>
        <w:t xml:space="preserve"> 2025 Notes </w:t>
      </w:r>
      <w:r>
        <w:rPr>
          <w:rFonts w:ascii="Arial" w:cs="Arial" w:eastAsia="Arial" w:hAnsi="Arial"/>
          <w:sz w:val="19"/>
          <w:szCs w:val="19"/>
          <w:color w:val="252525"/>
        </w:rPr>
        <w:t>in connection with a notice of a redemption or a make-whole fundamental change may be entitled</w:t>
      </w:r>
      <w:r>
        <w:rPr>
          <w:rFonts w:ascii="Arial" w:cs="Arial" w:eastAsia="Arial" w:hAnsi="Arial"/>
          <w:sz w:val="19"/>
          <w:szCs w:val="19"/>
          <w:color w:val="000000"/>
        </w:rPr>
        <w:t xml:space="preserve"> </w:t>
      </w:r>
      <w:r>
        <w:rPr>
          <w:rFonts w:ascii="Arial" w:cs="Arial" w:eastAsia="Arial" w:hAnsi="Arial"/>
          <w:sz w:val="19"/>
          <w:szCs w:val="19"/>
          <w:color w:val="252525"/>
        </w:rPr>
        <w:t xml:space="preserve">to a premium in the form of an increase in the conversion rate of the </w:t>
      </w:r>
      <w:r>
        <w:rPr>
          <w:rFonts w:ascii="Arial" w:cs="Arial" w:eastAsia="Arial" w:hAnsi="Arial"/>
          <w:sz w:val="19"/>
          <w:szCs w:val="19"/>
          <w:color w:val="000000"/>
        </w:rPr>
        <w:t>2025 Notes</w:t>
      </w:r>
      <w:r>
        <w:rPr>
          <w:rFonts w:ascii="Arial" w:cs="Arial" w:eastAsia="Arial" w:hAnsi="Arial"/>
          <w:sz w:val="19"/>
          <w:szCs w:val="19"/>
          <w:color w:val="252525"/>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includes the outstanding principal amount and carrying value of the 2025 Notes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7"/>
                <w:szCs w:val="17"/>
                <w:color w:val="auto"/>
              </w:rPr>
            </w:pPr>
          </w:p>
        </w:tc>
        <w:tc>
          <w:tcPr>
            <w:tcW w:w="186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3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Principal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Debt discount (1)</w:t>
            </w:r>
          </w:p>
        </w:tc>
        <w:tc>
          <w:tcPr>
            <w:tcW w:w="3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(59,862)</w:t>
            </w:r>
          </w:p>
        </w:tc>
      </w:tr>
      <w:tr>
        <w:trPr>
          <w:trHeight w:val="22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Debt issuance costs (1)(2)</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r>
      <w:tr>
        <w:trPr>
          <w:trHeight w:val="223"/>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222,925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164,711</w:t>
            </w:r>
          </w:p>
        </w:tc>
      </w:tr>
      <w:tr>
        <w:trPr>
          <w:trHeight w:val="216"/>
        </w:trPr>
        <w:tc>
          <w:tcPr>
            <w:tcW w:w="6940" w:type="dxa"/>
            <w:vAlign w:val="bottom"/>
          </w:tcPr>
          <w:p>
            <w:pPr>
              <w:ind w:left="120"/>
              <w:spacing w:after="0"/>
              <w:rPr>
                <w:sz w:val="20"/>
                <w:szCs w:val="20"/>
                <w:color w:val="auto"/>
              </w:rPr>
            </w:pPr>
            <w:r>
              <w:rPr>
                <w:rFonts w:ascii="Arial" w:cs="Arial" w:eastAsia="Arial" w:hAnsi="Arial"/>
                <w:sz w:val="16"/>
                <w:szCs w:val="16"/>
                <w:color w:val="auto"/>
              </w:rPr>
              <w:t>Equity component (1)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64,367</w:t>
            </w:r>
          </w:p>
        </w:tc>
      </w:tr>
      <w:tr>
        <w:trPr>
          <w:trHeight w:val="21"/>
        </w:trPr>
        <w:tc>
          <w:tcPr>
            <w:tcW w:w="6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8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connection with the adoption of ASU No. 2020-06, debt discount and the equity component of the 2025 Notes were de-recognized and $2.1 million of issuance costs that were previously allocated to the equity component were reclassified as debt issuance costs during the thirteen weeks ended March 28, 2021.</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Debt issuance costs are amortized to Interest expense, net using the effective interest method over the expected life of the 2025 Notes.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252525"/>
        </w:rPr>
        <w:t xml:space="preserve">The effective rate of the </w:t>
      </w:r>
      <w:r>
        <w:rPr>
          <w:rFonts w:ascii="Arial" w:cs="Arial" w:eastAsia="Arial" w:hAnsi="Arial"/>
          <w:sz w:val="20"/>
          <w:szCs w:val="20"/>
          <w:color w:val="000000"/>
        </w:rPr>
        <w:t>2025 Notes</w:t>
      </w:r>
      <w:r>
        <w:rPr>
          <w:rFonts w:ascii="Arial" w:cs="Arial" w:eastAsia="Arial" w:hAnsi="Arial"/>
          <w:sz w:val="20"/>
          <w:szCs w:val="20"/>
          <w:color w:val="252525"/>
        </w:rPr>
        <w:t xml:space="preserve"> over their expected life </w:t>
      </w:r>
      <w:r>
        <w:rPr>
          <w:rFonts w:ascii="Arial" w:cs="Arial" w:eastAsia="Arial" w:hAnsi="Arial"/>
          <w:sz w:val="20"/>
          <w:szCs w:val="20"/>
          <w:color w:val="000000"/>
        </w:rPr>
        <w:t>is</w:t>
      </w:r>
      <w:r>
        <w:rPr>
          <w:rFonts w:ascii="Arial" w:cs="Arial" w:eastAsia="Arial" w:hAnsi="Arial"/>
          <w:sz w:val="20"/>
          <w:szCs w:val="20"/>
          <w:color w:val="252525"/>
        </w:rPr>
        <w:t xml:space="preserve"> 5.85%. Following is a summary of interest expense for the </w:t>
      </w:r>
      <w:r>
        <w:rPr>
          <w:rFonts w:ascii="Arial" w:cs="Arial" w:eastAsia="Arial" w:hAnsi="Arial"/>
          <w:sz w:val="20"/>
          <w:szCs w:val="20"/>
          <w:color w:val="000000"/>
        </w:rPr>
        <w:t>2025 Notes, by</w:t>
      </w:r>
      <w:r>
        <w:rPr>
          <w:rFonts w:ascii="Arial" w:cs="Arial" w:eastAsia="Arial" w:hAnsi="Arial"/>
          <w:sz w:val="20"/>
          <w:szCs w:val="20"/>
          <w:color w:val="252525"/>
        </w:rPr>
        <w:t xml:space="preserve"> </w:t>
      </w:r>
      <w:r>
        <w:rPr>
          <w:rFonts w:ascii="Arial" w:cs="Arial" w:eastAsia="Arial" w:hAnsi="Arial"/>
          <w:sz w:val="20"/>
          <w:szCs w:val="20"/>
          <w:color w:val="000000"/>
        </w:rPr>
        <w:t>component, for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right"/>
              <w:ind w:right="183"/>
              <w:spacing w:after="0"/>
              <w:rPr>
                <w:sz w:val="20"/>
                <w:szCs w:val="20"/>
                <w:color w:val="auto"/>
              </w:rPr>
            </w:pPr>
            <w:r>
              <w:rPr>
                <w:rFonts w:ascii="Arial" w:cs="Arial" w:eastAsia="Arial" w:hAnsi="Arial"/>
                <w:sz w:val="14"/>
                <w:szCs w:val="14"/>
                <w:b w:val="1"/>
                <w:bCs w:val="1"/>
                <w:color w:val="auto"/>
              </w:rPr>
              <w:t>THIRTEEN WEEKS ENDED</w:t>
            </w:r>
          </w:p>
        </w:tc>
      </w:tr>
      <w:tr>
        <w:trPr>
          <w:trHeight w:val="208"/>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MARCH 28, 2021</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Coupon interest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r>
      <w:tr>
        <w:trPr>
          <w:trHeight w:val="223"/>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issuance cost amortization</w:t>
            </w: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41"/>
        </w:trPr>
        <w:tc>
          <w:tcPr>
            <w:tcW w:w="8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interest expense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Based on the daily closing prices of the Company’s stock during the quarter ended March 28, 2021, holders of the 2025 Notes are eligible to convert their 2025 Notes during the second quarter of 2021. In February 2021, the Company provided the trustee of </w:t>
      </w:r>
      <w:r>
        <w:rPr>
          <w:rFonts w:ascii="Arial" w:cs="Arial" w:eastAsia="Arial" w:hAnsi="Arial"/>
          <w:sz w:val="20"/>
          <w:szCs w:val="20"/>
          <w:color w:val="252525"/>
        </w:rPr>
        <w:t>the</w:t>
      </w:r>
      <w:r>
        <w:rPr>
          <w:rFonts w:ascii="Arial" w:cs="Arial" w:eastAsia="Arial" w:hAnsi="Arial"/>
          <w:sz w:val="20"/>
          <w:szCs w:val="20"/>
          <w:color w:val="auto"/>
        </w:rPr>
        <w:t xml:space="preserve"> 2025 Notes notice of its irrevocable election under the 2025 Notes indenture to settle the principal portion of </w:t>
      </w:r>
      <w:r>
        <w:rPr>
          <w:rFonts w:ascii="Arial" w:cs="Arial" w:eastAsia="Arial" w:hAnsi="Arial"/>
          <w:sz w:val="20"/>
          <w:szCs w:val="20"/>
          <w:color w:val="252525"/>
        </w:rPr>
        <w:t>the</w:t>
      </w:r>
      <w:r>
        <w:rPr>
          <w:rFonts w:ascii="Arial" w:cs="Arial" w:eastAsia="Arial" w:hAnsi="Arial"/>
          <w:sz w:val="20"/>
          <w:szCs w:val="20"/>
          <w:color w:val="auto"/>
        </w:rPr>
        <w:t xml:space="preserve"> 2025 Notes upon conversion in cash and any excess in shares.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note hedge transactions (the “Convertible Note Hedge Transactions”) with certain of the initial purchasers of the </w:t>
      </w:r>
      <w:r>
        <w:rPr>
          <w:rFonts w:ascii="Arial" w:cs="Arial" w:eastAsia="Arial" w:hAnsi="Arial"/>
          <w:sz w:val="20"/>
          <w:szCs w:val="20"/>
          <w:color w:val="000000"/>
        </w:rPr>
        <w:t>2025 Notes</w:t>
      </w:r>
      <w:r>
        <w:rPr>
          <w:rFonts w:ascii="Arial" w:cs="Arial" w:eastAsia="Arial" w:hAnsi="Arial"/>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19"/>
          <w:szCs w:val="19"/>
          <w:color w:val="000000"/>
        </w:rPr>
        <w:t>2025 Notes</w:t>
      </w:r>
      <w:r>
        <w:rPr>
          <w:rFonts w:ascii="Arial" w:cs="Arial" w:eastAsia="Arial" w:hAnsi="Arial"/>
          <w:sz w:val="19"/>
          <w:szCs w:val="19"/>
          <w:color w:val="252525"/>
        </w:rPr>
        <w:t xml:space="preserve">, and are expected generally to reduce the potential equity dilution in excess of the principal amount due upon conversion of the </w:t>
      </w:r>
      <w:r>
        <w:rPr>
          <w:rFonts w:ascii="Arial" w:cs="Arial" w:eastAsia="Arial" w:hAnsi="Arial"/>
          <w:sz w:val="19"/>
          <w:szCs w:val="19"/>
          <w:color w:val="000000"/>
        </w:rPr>
        <w:t>2025 Notes</w:t>
      </w:r>
      <w:r>
        <w:rPr>
          <w:rFonts w:ascii="Arial" w:cs="Arial" w:eastAsia="Arial" w:hAnsi="Arial"/>
          <w:sz w:val="19"/>
          <w:szCs w:val="19"/>
          <w:color w:val="252525"/>
        </w:rPr>
        <w:t>. The Warrant Transactions have a dilutive effect on the Company’s common stock to the extent that the price of its common stock exceeds the strike price of the Warrant Transactions. The strike price is initially $16.64 per share and is subject to certain adjustments under the terms of the Warrant Transactions.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The Convertible Note Hedge Transactions are exercisable upon conversion of the </w:t>
      </w:r>
      <w:r>
        <w:rPr>
          <w:rFonts w:ascii="Arial" w:cs="Arial" w:eastAsia="Arial" w:hAnsi="Arial"/>
          <w:sz w:val="20"/>
          <w:szCs w:val="20"/>
          <w:color w:val="000000"/>
        </w:rPr>
        <w:t>2025 Notes</w:t>
      </w:r>
      <w:r>
        <w:rPr>
          <w:rFonts w:ascii="Arial" w:cs="Arial" w:eastAsia="Arial" w:hAnsi="Arial"/>
          <w:sz w:val="20"/>
          <w:szCs w:val="20"/>
          <w:color w:val="252525"/>
        </w:rPr>
        <w:t xml:space="preserve">. The Convertible Note Hedge Transactions expire upon maturity of the </w:t>
      </w:r>
      <w:r>
        <w:rPr>
          <w:rFonts w:ascii="Arial" w:cs="Arial" w:eastAsia="Arial" w:hAnsi="Arial"/>
          <w:sz w:val="20"/>
          <w:szCs w:val="20"/>
          <w:color w:val="000000"/>
        </w:rPr>
        <w:t>2025 Notes</w:t>
      </w:r>
      <w:r>
        <w:rPr>
          <w:rFonts w:ascii="Arial" w:cs="Arial" w:eastAsia="Arial" w:hAnsi="Arial"/>
          <w:sz w:val="20"/>
          <w:szCs w:val="20"/>
          <w:color w:val="252525"/>
        </w:rPr>
        <w:t>. The Warrant Transactions are exercisable on the expiration dates included in the related forms of confirmation.</w:t>
      </w: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Other Long-term Liabilities,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insurance liability</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Chef and Restaurant Managing Partner deferred compensation obligations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32,306</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payroll tax liabilities (1)</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65,717</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185,355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thirteen weeks ended March 28, 2021, the Company reclassified $27.3 million of payroll taxes deferred under the CARES Act to current.</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Stockholders’ Equity</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Redeemable Preferred Stock </w:t>
      </w:r>
      <w:r>
        <w:rPr>
          <w:rFonts w:ascii="Arial" w:cs="Arial" w:eastAsia="Arial" w:hAnsi="Arial"/>
          <w:sz w:val="20"/>
          <w:szCs w:val="20"/>
          <w:color w:val="auto"/>
        </w:rPr>
        <w:t>- In connection with the development of its Abbraccio Cucina Italiana (“Abbraccio”) concept in 2015,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sold preferred shares of its Abbraccio subsidiary (“Abbraccio Shares”) to certain investors.</w:t>
      </w:r>
    </w:p>
    <w:p>
      <w:pPr>
        <w:spacing w:after="0" w:line="20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During the thirteen weeks ended March 29, 2020, the Company exercised a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8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(188,883)</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(22,563)</w:t>
            </w:r>
          </w:p>
        </w:tc>
      </w:tr>
      <w:tr>
        <w:trPr>
          <w:trHeight w:val="241"/>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attributable to Bloomin’ Brands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w:t>
            </w:r>
          </w:p>
        </w:tc>
      </w:tr>
      <w:tr>
        <w:trPr>
          <w:trHeight w:val="257"/>
        </w:trPr>
        <w:tc>
          <w:tcPr>
            <w:tcW w:w="8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derivatives, net of tax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Reclassification of adjustments for loss on derivatives included in Net income (loss), net of tax (2)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r>
      <w:tr>
        <w:trPr>
          <w:trHeight w:val="209"/>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unrealized gain (loss) on derivatives,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(11,940)</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color w:val="auto"/>
              </w:rPr>
              <w:t>Other comprehensive loss attributable to Bloomin’ Brands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(19,237)</w:t>
            </w: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Unrealized loss on derivatives is net of tax of $4.6 million for the thirteen weeks ended March 29, 2020.</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on derivatives are net of tax. See Note 13 -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Derivative Instruments and Hedging Activities</w:t>
      </w:r>
    </w:p>
    <w:p>
      <w:pPr>
        <w:spacing w:after="0" w:line="24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Cash Flow Hedges of Interest Rate Risk - </w:t>
      </w:r>
      <w:r>
        <w:rPr>
          <w:rFonts w:ascii="Arial" w:cs="Arial" w:eastAsia="Arial" w:hAnsi="Arial"/>
          <w:sz w:val="16"/>
          <w:szCs w:val="16"/>
          <w:color w:val="auto"/>
        </w:rPr>
        <w:t>In October 2018, the Company entered into variable-to-fixed interest rate swap agreements with 12</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one-month LIBOR rate.</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swap agreements have been designated and qualify as cash flow hedges, are recognized on its Consolidated Balance Sheets at fair value and are classified based on the instruments’ maturity dates. As of March 28, 2021, the Company estimated $10.4 million will be reclassified to Interest expense, net over the next 12 fiscal months.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fair value and classification of the Company’s swap agreements, as of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28, 2021</w:t>
            </w: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DECEMBER 27, 2020</w:t>
            </w:r>
          </w:p>
        </w:tc>
        <w:tc>
          <w:tcPr>
            <w:tcW w:w="10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14,814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1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 liability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15,640</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fair value of derivative instruments - liabilities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26,508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61"/>
        </w:trPr>
        <w:tc>
          <w:tcPr>
            <w:tcW w:w="496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See Note 15 -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for fair value discussion of the interest rate swaps.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effects of the swap agreements on Net income (loss)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expense recognized in 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center"/>
              <w:ind w:left="743"/>
              <w:spacing w:after="0"/>
              <w:rPr>
                <w:sz w:val="20"/>
                <w:szCs w:val="20"/>
                <w:color w:val="auto"/>
              </w:rPr>
            </w:pPr>
            <w:r>
              <w:rPr>
                <w:rFonts w:ascii="Arial" w:cs="Arial" w:eastAsia="Arial" w:hAnsi="Arial"/>
                <w:sz w:val="16"/>
                <w:szCs w:val="16"/>
                <w:color w:val="auto"/>
                <w:w w:val="90"/>
              </w:rPr>
              <w:t>(4,044)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recognized in Provision (benefit) for income taxes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763"/>
              <w:spacing w:after="0"/>
              <w:rPr>
                <w:sz w:val="20"/>
                <w:szCs w:val="20"/>
                <w:color w:val="auto"/>
              </w:rPr>
            </w:pPr>
            <w:r>
              <w:rPr>
                <w:rFonts w:ascii="Arial" w:cs="Arial" w:eastAsia="Arial" w:hAnsi="Arial"/>
                <w:sz w:val="16"/>
                <w:szCs w:val="16"/>
                <w:color w:val="auto"/>
                <w:w w:val="89"/>
              </w:rPr>
              <w:t>1,041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41"/>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effects on 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743"/>
              <w:spacing w:after="0"/>
              <w:rPr>
                <w:sz w:val="20"/>
                <w:szCs w:val="20"/>
                <w:color w:val="auto"/>
              </w:rPr>
            </w:pPr>
            <w:r>
              <w:rPr>
                <w:rFonts w:ascii="Arial" w:cs="Arial" w:eastAsia="Arial" w:hAnsi="Arial"/>
                <w:sz w:val="16"/>
                <w:szCs w:val="16"/>
                <w:color w:val="auto"/>
                <w:w w:val="90"/>
              </w:rPr>
              <w:t>(3,003)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March 28, 2021, all counterparties to the interest rate swaps had performed in accordance with their contractual obligations.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of March 28, 2021 and December 27, 2020, the fair value of the Company’s interest rate swaps was in a net liability position, including accrued interest but excluding any adjustment for nonperformance risk, of $28.2 million and $32.2 million, respectively. As of March 28, 2021 and December 27, 2020, the Company has not posted any collateral related to these agreements. If the Company had breached any of these provisions as of March 28, 2021 and December 27, 2020, it could have been required to settle its obligations under the agreements at their termination value of $28.2 million and $32.2 million, respectively.</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refinancing of its Senior Secured Credit Facility, on April 16, 2021 the Company terminated its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AOCL will be amortized on a straight-line basis to Interest expense, net over the remaining original term of the terminated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Leases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720" w:type="dxa"/>
            <w:vAlign w:val="bottom"/>
            <w:gridSpan w:val="2"/>
          </w:tcPr>
          <w:p>
            <w:pPr>
              <w:ind w:left="600"/>
              <w:spacing w:after="0"/>
              <w:rPr>
                <w:sz w:val="20"/>
                <w:szCs w:val="20"/>
                <w:color w:val="auto"/>
              </w:rPr>
            </w:pPr>
            <w:r>
              <w:rPr>
                <w:rFonts w:ascii="Arial" w:cs="Arial" w:eastAsia="Arial" w:hAnsi="Arial"/>
                <w:sz w:val="14"/>
                <w:szCs w:val="14"/>
                <w:b w:val="1"/>
                <w:bCs w:val="1"/>
                <w:color w:val="auto"/>
              </w:rPr>
              <w:t>CONSOLIDATED BALANCE SHEET</w:t>
            </w:r>
          </w:p>
        </w:tc>
        <w:tc>
          <w:tcPr>
            <w:tcW w:w="280" w:type="dxa"/>
            <w:vAlign w:val="bottom"/>
          </w:tcPr>
          <w:p>
            <w:pPr>
              <w:spacing w:after="0"/>
              <w:rPr>
                <w:sz w:val="14"/>
                <w:szCs w:val="14"/>
                <w:color w:val="auto"/>
              </w:rPr>
            </w:pPr>
          </w:p>
        </w:tc>
        <w:tc>
          <w:tcPr>
            <w:tcW w:w="17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vMerge w:val="continue"/>
          </w:tcPr>
          <w:p>
            <w:pPr>
              <w:spacing w:after="0"/>
              <w:rPr>
                <w:sz w:val="17"/>
                <w:szCs w:val="17"/>
                <w:color w:val="auto"/>
              </w:rPr>
            </w:pPr>
          </w:p>
        </w:tc>
        <w:tc>
          <w:tcPr>
            <w:tcW w:w="36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right-of-use assets (1)</w:t>
            </w:r>
          </w:p>
        </w:tc>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assets, net</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1,167,636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1,174,857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 (2)</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176,791</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(3)</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1,216,666</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 liabilities</w:t>
            </w:r>
          </w:p>
        </w:tc>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1,390,517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1,395,641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of accumulated amortization of $2.6 million and $2.3 million as of March 28, 2021 and December 27, 2020, respectively.</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COVID-19-related deferred rent accruals of $7.6 million and $12.8 million as of March 28, 2021 and December 27, 2020, respectively, and accrued contingent percentage rent of $3.8 million and $2.7 million, as of March 28, 2021 and December 27, 2020, respectively.</w:t>
      </w:r>
    </w:p>
    <w:p>
      <w:pPr>
        <w:ind w:left="660" w:hanging="652"/>
        <w:spacing w:after="0"/>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Excludes COVID-19-related non-current deferred rent accruals of $1.0 million and $1.2 million as of March 28, 2021 and December 27, 2020,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17"/>
                <w:szCs w:val="17"/>
                <w:color w:val="auto"/>
              </w:rPr>
            </w:pPr>
          </w:p>
        </w:tc>
        <w:tc>
          <w:tcPr>
            <w:tcW w:w="53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CONSOLIDATED STATEMENTS OF OPERATIONS AND COMPREHENSIVE</w:t>
            </w: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2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INCOME (LOSS) CLASSIFICATION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45,882</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Variable lease cost (2)</w:t>
            </w:r>
          </w:p>
        </w:tc>
        <w:tc>
          <w:tcPr>
            <w:tcW w:w="536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5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2820" w:type="dxa"/>
            <w:vAlign w:val="bottom"/>
          </w:tcPr>
          <w:p>
            <w:pPr>
              <w:ind w:left="140"/>
              <w:spacing w:after="0"/>
              <w:rPr>
                <w:sz w:val="20"/>
                <w:szCs w:val="20"/>
                <w:color w:val="auto"/>
              </w:rPr>
            </w:pPr>
            <w:r>
              <w:rPr>
                <w:rFonts w:ascii="Arial" w:cs="Arial" w:eastAsia="Arial" w:hAnsi="Arial"/>
                <w:sz w:val="16"/>
                <w:szCs w:val="16"/>
                <w:color w:val="auto"/>
              </w:rPr>
              <w:t>Amortization of leased assets</w:t>
            </w:r>
          </w:p>
        </w:tc>
        <w:tc>
          <w:tcPr>
            <w:tcW w:w="53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 (3)</w:t>
            </w:r>
          </w:p>
        </w:tc>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r>
      <w:tr>
        <w:trPr>
          <w:trHeight w:val="241"/>
        </w:trPr>
        <w:tc>
          <w:tcPr>
            <w:tcW w:w="2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costs, net</w:t>
            </w:r>
          </w:p>
        </w:tc>
        <w:tc>
          <w:tcPr>
            <w:tcW w:w="5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62"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Excludes rent expense for office facilities and Company-owned closed or subleased properties of $3.5 million and $3.6 million for the thirteen weeks ended March 28, 2021 and March 29, 2020, respectively, which is included in General and administrative expense. Also excludes certain supply chain related rent expense of $0.3 million for the thirteen weeks ended March 28, 2021 and March 29, 2020 which is included in Food and beverage costs.</w:t>
      </w:r>
    </w:p>
    <w:p>
      <w:pPr>
        <w:spacing w:after="0" w:line="2" w:lineRule="exact"/>
        <w:rPr>
          <w:rFonts w:ascii="Arial" w:cs="Arial" w:eastAsia="Arial" w:hAnsi="Arial"/>
          <w:sz w:val="15"/>
          <w:szCs w:val="15"/>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COVID-19-related rent abatement for the thirteen weeks ended March 28, 2021.</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of $0.1 million and $0.2 million for the thirteen weeks ended March 28, 2021 and March 29, 2020, respectively.</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0"/>
        </w:trPr>
        <w:tc>
          <w:tcPr>
            <w:tcW w:w="8180" w:type="dxa"/>
            <w:vAlign w:val="bottom"/>
          </w:tcPr>
          <w:p>
            <w:pPr>
              <w:ind w:left="1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52,717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48,492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Fair Value Measurements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13"/>
        </w:trPr>
        <w:tc>
          <w:tcPr>
            <w:tcW w:w="840" w:type="dxa"/>
            <w:vAlign w:val="bottom"/>
          </w:tcPr>
          <w:p>
            <w:pPr>
              <w:ind w:left="20"/>
              <w:spacing w:after="0"/>
              <w:rPr>
                <w:sz w:val="20"/>
                <w:szCs w:val="20"/>
                <w:color w:val="auto"/>
              </w:rPr>
            </w:pPr>
            <w:r>
              <w:rPr>
                <w:rFonts w:ascii="Arial" w:cs="Arial" w:eastAsia="Arial" w:hAnsi="Arial"/>
                <w:sz w:val="16"/>
                <w:szCs w:val="16"/>
                <w:color w:val="auto"/>
              </w:rPr>
              <w:t>Level 2</w:t>
            </w:r>
          </w:p>
        </w:tc>
        <w:tc>
          <w:tcPr>
            <w:tcW w:w="10360" w:type="dxa"/>
            <w:vAlign w:val="bottom"/>
          </w:tcPr>
          <w:p>
            <w:pPr>
              <w:ind w:left="34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219"/>
        </w:trPr>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Unobservable inputs that cannot be corroborated by observable market data</w:t>
            </w:r>
          </w:p>
        </w:tc>
      </w:tr>
    </w:tbl>
    <w:p>
      <w:pPr>
        <w:spacing w:after="0" w:line="3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28, 2021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9"/>
              </w:rPr>
              <w:t>DECEMBER 27, 2020</w:t>
            </w:r>
          </w:p>
        </w:tc>
        <w:tc>
          <w:tcPr>
            <w:tcW w:w="920" w:type="dxa"/>
            <w:vAlign w:val="bottom"/>
            <w:tcBorders>
              <w:bottom w:val="single" w:sz="8" w:color="auto"/>
            </w:tcBorders>
          </w:tcPr>
          <w:p>
            <w:pPr>
              <w:spacing w:after="0"/>
              <w:rPr>
                <w:sz w:val="17"/>
                <w:szCs w:val="17"/>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r>
      <w:tr>
        <w:trPr>
          <w:trHeight w:val="20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9"/>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 recurring fair value measurements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Total liability recurring fair value measurements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26,508</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26,508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30,495</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30,495</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15"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08" w:lineRule="exact"/>
        <w:rPr>
          <w:sz w:val="20"/>
          <w:szCs w:val="20"/>
          <w:color w:val="auto"/>
        </w:rPr>
      </w:pPr>
    </w:p>
    <w:p>
      <w:pPr>
        <w:sectPr>
          <w:pgSz w:w="11900" w:h="16838" w:orient="portrait"/>
          <w:cols w:equalWidth="0" w:num="2">
            <w:col w:w="2080" w:space="380"/>
            <w:col w:w="8780"/>
          </w:cols>
          <w:pgMar w:left="320" w:top="121"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4"/>
          <w:szCs w:val="14"/>
          <w:color w:val="auto"/>
        </w:rPr>
        <w:t>derivatives and use observable market-based inputs. The interest rate swaps are valued using a discounted cash flow analysis on the</w:t>
      </w:r>
    </w:p>
    <w:p>
      <w:pPr>
        <w:ind w:left="2460"/>
        <w:spacing w:after="0" w:line="226" w:lineRule="auto"/>
        <w:rPr>
          <w:sz w:val="20"/>
          <w:szCs w:val="20"/>
          <w:color w:val="auto"/>
        </w:rPr>
      </w:pPr>
      <w:r>
        <w:rPr>
          <w:rFonts w:ascii="Arial" w:cs="Arial" w:eastAsia="Arial" w:hAnsi="Arial"/>
          <w:sz w:val="15"/>
          <w:szCs w:val="15"/>
          <w:color w:val="auto"/>
        </w:rPr>
        <w:t>expected cash flows of each derivative using observable inputs including interest rate curves and credit spreads. The Company also</w:t>
      </w:r>
    </w:p>
    <w:p>
      <w:pPr>
        <w:ind w:left="2460"/>
        <w:spacing w:after="0" w:line="226" w:lineRule="auto"/>
        <w:rPr>
          <w:sz w:val="20"/>
          <w:szCs w:val="20"/>
          <w:color w:val="auto"/>
        </w:rPr>
      </w:pPr>
      <w:r>
        <w:rPr>
          <w:rFonts w:ascii="Arial" w:cs="Arial" w:eastAsia="Arial" w:hAnsi="Arial"/>
          <w:sz w:val="15"/>
          <w:szCs w:val="15"/>
          <w:color w:val="auto"/>
        </w:rPr>
        <w:t>considers its own nonperformance risk and the respective counterparty’s nonperformance risk in the fair value measurements. As of</w:t>
      </w:r>
    </w:p>
    <w:p>
      <w:pPr>
        <w:ind w:left="2460"/>
        <w:spacing w:after="0"/>
        <w:rPr>
          <w:sz w:val="20"/>
          <w:szCs w:val="20"/>
          <w:color w:val="auto"/>
        </w:rPr>
      </w:pPr>
      <w:r>
        <w:rPr>
          <w:rFonts w:ascii="Arial" w:cs="Arial" w:eastAsia="Arial" w:hAnsi="Arial"/>
          <w:sz w:val="14"/>
          <w:szCs w:val="14"/>
          <w:color w:val="auto"/>
        </w:rPr>
        <w:t>March 28, 2021 and December 27, 2020, the Company has determined that the credit valuation adjustments are not significant to the</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overall valuation of its derivatives.</w:t>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Fair Value Measurements on a Nonrecurring Basis - </w:t>
      </w:r>
      <w:r>
        <w:rPr>
          <w:rFonts w:ascii="Arial" w:cs="Arial" w:eastAsia="Arial" w:hAnsi="Arial"/>
          <w:sz w:val="20"/>
          <w:szCs w:val="20"/>
          <w:color w:val="auto"/>
        </w:rPr>
        <w:t>Assets and liabilities that are measured at fair value on a nonrecurring basis relate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to property, fixtures and equipment, operating lease right-of-use assets, goodwill and other intangible assets, which are remeasured when carrying value exceeds fair value. Carrying value after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impairment approximates fair value. The following table summarizes the Company’s assets measured at fair value by hierarchy level on a nonrecurring basis, for the period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1"/>
                <w:szCs w:val="11"/>
                <w:color w:val="auto"/>
              </w:rPr>
            </w:pPr>
          </w:p>
        </w:tc>
        <w:tc>
          <w:tcPr>
            <w:tcW w:w="11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14"/>
                <w:szCs w:val="14"/>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19,563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18,398</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and other assets (3)</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38"/>
        </w:trPr>
        <w:tc>
          <w:tcPr>
            <w:tcW w:w="8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40,424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Asset carrying values measured using discounted cash flow models (Level 3).</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Carrying values measured using Level 2 inputs to estimate fair value totaled $2.5 million. All other assets were valued using Level 3 inputs. Third-party market appraisals (Level 2) and discounted cash flow models (Level 3) were used to estimate fair value.</w:t>
      </w: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assets generally measured using the quoted market value of comparable assets (Level 2).</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and Exit Costs</w:t>
      </w:r>
      <w:r>
        <w:rPr>
          <w:rFonts w:ascii="Arial" w:cs="Arial" w:eastAsia="Arial" w:hAnsi="Arial"/>
          <w:sz w:val="19"/>
          <w:szCs w:val="19"/>
          <w:color w:val="auto"/>
        </w:rPr>
        <w:t xml:space="preserve"> for information regarding impairment charges resulting from the fair value measurement performed on a nonrecurring basis during the thirteen weeks ended March 29, 2020.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for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r>
      <w:tr>
        <w:trPr>
          <w:trHeight w:val="208"/>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29, 2020</w:t>
            </w:r>
          </w:p>
        </w:tc>
      </w:tr>
      <w:tr>
        <w:trPr>
          <w:trHeight w:val="216"/>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cost of capital</w:t>
            </w:r>
          </w:p>
        </w:tc>
        <w:tc>
          <w:tcPr>
            <w:tcW w:w="13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640" w:type="dxa"/>
            <w:vAlign w:val="bottom"/>
            <w:shd w:val="clear" w:color="auto" w:fill="CCEEFF"/>
          </w:tcPr>
          <w:p>
            <w:pPr>
              <w:spacing w:after="0"/>
              <w:rPr>
                <w:sz w:val="18"/>
                <w:szCs w:val="18"/>
                <w:color w:val="auto"/>
              </w:rPr>
            </w:pPr>
          </w:p>
        </w:tc>
      </w:tr>
      <w:tr>
        <w:trPr>
          <w:trHeight w:val="210"/>
        </w:trPr>
        <w:tc>
          <w:tcPr>
            <w:tcW w:w="9280" w:type="dxa"/>
            <w:vAlign w:val="bottom"/>
          </w:tcPr>
          <w:p>
            <w:pPr>
              <w:ind w:left="20"/>
              <w:spacing w:after="0"/>
              <w:rPr>
                <w:sz w:val="20"/>
                <w:szCs w:val="20"/>
                <w:color w:val="auto"/>
              </w:rPr>
            </w:pPr>
            <w:r>
              <w:rPr>
                <w:rFonts w:ascii="Arial" w:cs="Arial" w:eastAsia="Arial" w:hAnsi="Arial"/>
                <w:sz w:val="16"/>
                <w:szCs w:val="16"/>
                <w:color w:val="auto"/>
              </w:rPr>
              <w:t>Long-term growth rate</w:t>
            </w:r>
          </w:p>
        </w:tc>
        <w:tc>
          <w:tcPr>
            <w:tcW w:w="120" w:type="dxa"/>
            <w:vAlign w:val="bottom"/>
          </w:tcPr>
          <w:p>
            <w:pPr>
              <w:spacing w:after="0"/>
              <w:rPr>
                <w:sz w:val="18"/>
                <w:szCs w:val="18"/>
                <w:color w:val="auto"/>
              </w:rPr>
            </w:pPr>
          </w:p>
        </w:tc>
        <w:tc>
          <w:tcPr>
            <w:tcW w:w="1200" w:type="dxa"/>
            <w:vAlign w:val="bottom"/>
          </w:tcPr>
          <w:p>
            <w:pPr>
              <w:ind w:left="180"/>
              <w:spacing w:after="0"/>
              <w:rPr>
                <w:sz w:val="20"/>
                <w:szCs w:val="20"/>
                <w:color w:val="auto"/>
              </w:rPr>
            </w:pPr>
            <w:r>
              <w:rPr>
                <w:rFonts w:ascii="Arial" w:cs="Arial" w:eastAsia="Arial" w:hAnsi="Arial"/>
                <w:sz w:val="16"/>
                <w:szCs w:val="16"/>
                <w:color w:val="auto"/>
              </w:rPr>
              <w:t>1.5%to</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2.0%</w:t>
            </w:r>
          </w:p>
        </w:tc>
      </w:tr>
    </w:tbl>
    <w:p>
      <w:pPr>
        <w:spacing w:after="0" w:line="3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660"/>
              <w:spacing w:after="0"/>
              <w:rPr>
                <w:sz w:val="20"/>
                <w:szCs w:val="20"/>
                <w:color w:val="auto"/>
              </w:rPr>
            </w:pPr>
            <w:r>
              <w:rPr>
                <w:rFonts w:ascii="Arial" w:cs="Arial" w:eastAsia="Arial" w:hAnsi="Arial"/>
                <w:sz w:val="14"/>
                <w:szCs w:val="14"/>
                <w:b w:val="1"/>
                <w:bCs w:val="1"/>
                <w:color w:val="auto"/>
              </w:rPr>
              <w:t>MARCH 28, 2021</w:t>
            </w:r>
          </w:p>
        </w:tc>
        <w:tc>
          <w:tcPr>
            <w:tcW w:w="180" w:type="dxa"/>
            <w:vAlign w:val="bottom"/>
          </w:tcPr>
          <w:p>
            <w:pPr>
              <w:spacing w:after="0"/>
              <w:rPr>
                <w:sz w:val="17"/>
                <w:szCs w:val="17"/>
                <w:color w:val="auto"/>
              </w:rPr>
            </w:pPr>
          </w:p>
        </w:tc>
        <w:tc>
          <w:tcPr>
            <w:tcW w:w="260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35"/>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Arial" w:cs="Arial" w:eastAsia="Arial" w:hAnsi="Arial"/>
                <w:sz w:val="16"/>
                <w:szCs w:val="16"/>
                <w:color w:val="auto"/>
              </w:rPr>
              <w:t>Term loan 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415,625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407,832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425,000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412,250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337,243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447,000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419,612</w:t>
            </w:r>
          </w:p>
        </w:tc>
        <w:tc>
          <w:tcPr>
            <w:tcW w:w="0" w:type="dxa"/>
            <w:vAlign w:val="bottom"/>
          </w:tcPr>
          <w:p>
            <w:pPr>
              <w:spacing w:after="0"/>
              <w:rPr>
                <w:sz w:val="1"/>
                <w:szCs w:val="1"/>
                <w:color w:val="auto"/>
              </w:rPr>
            </w:pPr>
          </w:p>
        </w:tc>
      </w:tr>
      <w:tr>
        <w:trPr>
          <w:trHeight w:val="210"/>
        </w:trPr>
        <w:tc>
          <w:tcPr>
            <w:tcW w:w="5560" w:type="dxa"/>
            <w:vAlign w:val="bottom"/>
          </w:tcPr>
          <w:p>
            <w:pPr>
              <w:ind w:left="40"/>
              <w:spacing w:after="0"/>
              <w:rPr>
                <w:sz w:val="20"/>
                <w:szCs w:val="20"/>
                <w:color w:val="auto"/>
              </w:rPr>
            </w:pPr>
            <w:r>
              <w:rPr>
                <w:rFonts w:ascii="Arial" w:cs="Arial" w:eastAsia="Arial" w:hAnsi="Arial"/>
                <w:sz w:val="16"/>
                <w:szCs w:val="16"/>
                <w:color w:val="auto"/>
              </w:rPr>
              <w:t>2025 Notes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592,280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413,818</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Allowance for Expected Credit Losses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Adjustment for adoption of ASU No. 2016-13</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expected credit losses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0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Charge-off of accounts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financial condition of the Company’s franchisees is largely dependent on the underlying business trends of its brands and market conditions within the casual dining restaurant industry. In March 2020, the Company fully reserved substantially all of its outstanding franchise receivables in response to the economic impact of the COVID-19 pandemic. See Note 2 - </w:t>
      </w:r>
      <w:r>
        <w:rPr>
          <w:rFonts w:ascii="Arial" w:cs="Arial" w:eastAsia="Arial" w:hAnsi="Arial"/>
          <w:sz w:val="20"/>
          <w:szCs w:val="20"/>
          <w:i w:val="1"/>
          <w:iCs w:val="1"/>
          <w:color w:val="auto"/>
        </w:rPr>
        <w:t>COVID-19 Charges</w:t>
      </w:r>
      <w:r>
        <w:rPr>
          <w:rFonts w:ascii="Arial" w:cs="Arial" w:eastAsia="Arial" w:hAnsi="Arial"/>
          <w:sz w:val="20"/>
          <w:szCs w:val="20"/>
          <w:color w:val="auto"/>
        </w:rPr>
        <w:t xml:space="preserve"> for details regarding the impact of the COVID-19 pandemic on the Company’s financial results.</w:t>
      </w:r>
    </w:p>
    <w:p>
      <w:pPr>
        <w:spacing w:after="0" w:line="21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18 -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 2021</w:t>
            </w:r>
          </w:p>
        </w:tc>
        <w:tc>
          <w:tcPr>
            <w:tcW w:w="260" w:type="dxa"/>
            <w:vAlign w:val="bottom"/>
          </w:tcPr>
          <w:p>
            <w:pPr>
              <w:spacing w:after="0"/>
              <w:rPr>
                <w:sz w:val="17"/>
                <w:szCs w:val="17"/>
                <w:color w:val="auto"/>
              </w:rPr>
            </w:pPr>
          </w:p>
        </w:tc>
        <w:tc>
          <w:tcPr>
            <w:tcW w:w="1680" w:type="dxa"/>
            <w:vAlign w:val="bottom"/>
          </w:tcPr>
          <w:p>
            <w:pPr>
              <w:jc w:val="right"/>
              <w:ind w:right="34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76,391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(54,069)</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23"/>
              <w:spacing w:after="0"/>
              <w:rPr>
                <w:sz w:val="20"/>
                <w:szCs w:val="20"/>
                <w:color w:val="auto"/>
              </w:rPr>
            </w:pPr>
            <w:r>
              <w:rPr>
                <w:rFonts w:ascii="Arial" w:cs="Arial" w:eastAsia="Arial" w:hAnsi="Arial"/>
                <w:sz w:val="16"/>
                <w:szCs w:val="16"/>
                <w:color w:val="auto"/>
              </w:rPr>
              <w:t>6,593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(19,655)</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effective income tax rate for the thirteen weeks ended March 28, 2021 decreased by 27.8 percentage points as compared to the thirteen weeks ended March 29, 2020. The decrease was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December 27, 2020, the Company had $155.3 million in general business tax credits carryforwards, which have a 20-year carryforward period and are utilized on a first-in, first-out basis. The Company expects to increase its general business credit carryforwards in 2021 by approximately $15 million to $25 million. The Company currently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expects to utilize these tax credit carryforwards within a 10 year period. However, the Company’s ability to utilize these tax credits could be adversely impacted by, among other items, a future ownership change as defined under Section 382 of the Internal Revenue Code.</w:t>
      </w:r>
    </w:p>
    <w:p>
      <w:pPr>
        <w:spacing w:after="0" w:line="15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 has a blended federal and state statutory rate of approximately 26%. The effective income tax rate for the thirteen weeks ended March 28, 2021 was lower than the statutory rate primarily due to the benefit of FICA tax credits on certain employees’ tips.</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Commitments and Contingencies</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$4.0 million and $4.6 million of liabilities recorded for various legal matters as of</w:t>
      </w:r>
      <w:r>
        <w:rPr>
          <w:rFonts w:ascii="Arial" w:cs="Arial" w:eastAsia="Arial" w:hAnsi="Arial"/>
          <w:sz w:val="20"/>
          <w:szCs w:val="20"/>
          <w:i w:val="1"/>
          <w:iCs w:val="1"/>
          <w:color w:val="auto"/>
        </w:rPr>
        <w:t xml:space="preserve"> </w:t>
      </w:r>
      <w:r>
        <w:rPr>
          <w:rFonts w:ascii="Arial" w:cs="Arial" w:eastAsia="Arial" w:hAnsi="Arial"/>
          <w:sz w:val="20"/>
          <w:szCs w:val="20"/>
          <w:color w:val="auto"/>
        </w:rPr>
        <w:t>March 28, 2021 and December 27, 2020, respectively.</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3"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March 28, 2021, the undiscounted payments that the Company could be required to make in the event of non-payment by the primary lessees was approximately $27.3 million. The present value of these potential payments discounted at the Company’s incremental borrowing rate as of March 28, 2021 was approximately $21.6 million. In the event of default, the indemnity clauses in the Company’s purchase and sale agreements govern its ability to pursue and recover damages incurred. As of March 28, 2021, the Company’s recorded contingent lease liability was $9.3 million.</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Segment Reporting</w:t>
      </w:r>
    </w:p>
    <w:p>
      <w:pPr>
        <w:spacing w:after="0" w:line="24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50"/>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3820" w:type="dxa"/>
            <w:vAlign w:val="bottom"/>
            <w:tcBorders>
              <w:top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2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in the Company’s Annual Report on Form 10-K for the year ended December 27, 2020. Revenues for all segments include only transactions with customers and exclude intersegment revenues. Excluded from Income from</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operations for U.S. and international are certain legal and corporate costs not directly related to the performance of the segments, most stock-based compensation expenses and certain bonus expenses.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60" w:type="dxa"/>
            <w:vAlign w:val="bottom"/>
          </w:tcPr>
          <w:p>
            <w:pPr>
              <w:jc w:val="right"/>
              <w:ind w:right="261"/>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904,918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894,497</w:t>
            </w:r>
          </w:p>
        </w:tc>
      </w:tr>
      <w:tr>
        <w:trPr>
          <w:trHeight w:val="226"/>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113,840</w:t>
            </w:r>
          </w:p>
        </w:tc>
      </w:tr>
      <w:tr>
        <w:trPr>
          <w:trHeight w:val="216"/>
        </w:trPr>
        <w:tc>
          <w:tcPr>
            <w:tcW w:w="76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987,473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1,008,337</w:t>
            </w: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reconciliation of Segment income from operations to Income (loss) before provision (benefit) for income taxes,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60" w:type="dxa"/>
            <w:vAlign w:val="bottom"/>
          </w:tcPr>
          <w:p>
            <w:pPr>
              <w:jc w:val="right"/>
              <w:ind w:right="260"/>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121,735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11,379</w:t>
            </w:r>
          </w:p>
        </w:tc>
      </w:tr>
      <w:tr>
        <w:trPr>
          <w:trHeight w:val="23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00"/>
        </w:trPr>
        <w:tc>
          <w:tcPr>
            <w:tcW w:w="7600" w:type="dxa"/>
            <w:vAlign w:val="bottom"/>
          </w:tcPr>
          <w:p>
            <w:pPr>
              <w:ind w:left="360"/>
              <w:spacing w:after="0"/>
              <w:rPr>
                <w:sz w:val="20"/>
                <w:szCs w:val="20"/>
                <w:color w:val="auto"/>
              </w:rPr>
            </w:pPr>
            <w:r>
              <w:rPr>
                <w:rFonts w:ascii="Arial" w:cs="Arial" w:eastAsia="Arial" w:hAnsi="Arial"/>
                <w:sz w:val="16"/>
                <w:szCs w:val="16"/>
                <w:color w:val="auto"/>
              </w:rPr>
              <w:t>Total segment income from operations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125,272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18,166</w:t>
            </w:r>
          </w:p>
        </w:tc>
      </w:tr>
      <w:tr>
        <w:trPr>
          <w:trHeight w:val="23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Unallocated corporate operating expense (1)</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(59,734)</w:t>
            </w:r>
          </w:p>
        </w:tc>
      </w:tr>
      <w:tr>
        <w:trPr>
          <w:trHeight w:val="200"/>
        </w:trPr>
        <w:tc>
          <w:tcPr>
            <w:tcW w:w="7600" w:type="dxa"/>
            <w:vAlign w:val="bottom"/>
          </w:tcPr>
          <w:p>
            <w:pPr>
              <w:ind w:left="360"/>
              <w:spacing w:after="0"/>
              <w:rPr>
                <w:sz w:val="20"/>
                <w:szCs w:val="20"/>
                <w:color w:val="auto"/>
              </w:rPr>
            </w:pPr>
            <w:r>
              <w:rPr>
                <w:rFonts w:ascii="Arial" w:cs="Arial" w:eastAsia="Arial" w:hAnsi="Arial"/>
                <w:sz w:val="16"/>
                <w:szCs w:val="16"/>
                <w:color w:val="auto"/>
              </w:rPr>
              <w:t>Total income (loss) from operations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90,998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(41,568)</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2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(11,708)</w:t>
            </w:r>
          </w:p>
        </w:tc>
      </w:tr>
      <w:tr>
        <w:trPr>
          <w:trHeight w:val="241"/>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Income (loss) before provision (benefit) for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(54,069)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0" w:hanging="652"/>
        <w:spacing w:after="0" w:line="25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thirteen weeks ended March 29, 2020 includes $22.2 million of charges that were not allocated to the Company’s segments related to its transformational initiatives, primarily recorded within General and administrative expense and Provision for impaired assets and restaurant closings.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60" w:type="dxa"/>
            <w:vAlign w:val="bottom"/>
          </w:tcPr>
          <w:p>
            <w:pPr>
              <w:jc w:val="right"/>
              <w:ind w:right="261"/>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540" w:type="dxa"/>
            <w:vAlign w:val="bottom"/>
          </w:tcPr>
          <w:p>
            <w:pPr>
              <w:ind w:left="2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33,645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37,640</w:t>
            </w:r>
          </w:p>
        </w:tc>
      </w:tr>
      <w:tr>
        <w:trPr>
          <w:trHeight w:val="219"/>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w:t>
            </w:r>
          </w:p>
        </w:tc>
      </w:tr>
      <w:tr>
        <w:trPr>
          <w:trHeight w:val="223"/>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w:t>
            </w:r>
          </w:p>
        </w:tc>
      </w:tr>
      <w:tr>
        <w:trPr>
          <w:trHeight w:val="241"/>
        </w:trPr>
        <w:tc>
          <w:tcPr>
            <w:tcW w:w="7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48,268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7"/>
                <w:szCs w:val="17"/>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7460" w:type="dxa"/>
            <w:vAlign w:val="bottom"/>
          </w:tcPr>
          <w:p>
            <w:pPr>
              <w:ind w:left="22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16,741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23,034</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7,834</w:t>
            </w:r>
          </w:p>
        </w:tc>
      </w:tr>
      <w:tr>
        <w:trPr>
          <w:trHeight w:val="223"/>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r>
      <w:tr>
        <w:trPr>
          <w:trHeight w:val="241"/>
        </w:trPr>
        <w:tc>
          <w:tcPr>
            <w:tcW w:w="7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capital expenditures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5" w:lineRule="exact"/>
        <w:rPr>
          <w:sz w:val="20"/>
          <w:szCs w:val="20"/>
          <w:color w:val="auto"/>
        </w:rPr>
      </w:pPr>
    </w:p>
    <w:p>
      <w:pPr>
        <w:ind w:left="740" w:hanging="489"/>
        <w:spacing w:after="0"/>
        <w:tabs>
          <w:tab w:leader="none" w:pos="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42" w:lineRule="exact"/>
        <w:rPr>
          <w:rFonts w:ascii="Arial" w:cs="Arial" w:eastAsia="Arial" w:hAnsi="Arial"/>
          <w:sz w:val="20"/>
          <w:szCs w:val="20"/>
          <w:color w:val="auto"/>
        </w:rPr>
      </w:pPr>
    </w:p>
    <w:p>
      <w:pPr>
        <w:jc w:val="both"/>
        <w:ind w:left="740" w:hanging="489"/>
        <w:spacing w:after="0" w:line="250" w:lineRule="auto"/>
        <w:tabs>
          <w:tab w:leader="none" w:pos="73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12" w:lineRule="exact"/>
        <w:rPr>
          <w:rFonts w:ascii="Arial" w:cs="Arial" w:eastAsia="Arial" w:hAnsi="Arial"/>
          <w:sz w:val="20"/>
          <w:szCs w:val="20"/>
          <w:color w:val="auto"/>
        </w:rPr>
      </w:pPr>
    </w:p>
    <w:p>
      <w:pPr>
        <w:ind w:left="740" w:hanging="489"/>
        <w:spacing w:after="0"/>
        <w:tabs>
          <w:tab w:leader="none" w:pos="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42" w:lineRule="exact"/>
        <w:rPr>
          <w:rFonts w:ascii="Arial" w:cs="Arial" w:eastAsia="Arial" w:hAnsi="Arial"/>
          <w:sz w:val="20"/>
          <w:szCs w:val="20"/>
          <w:color w:val="auto"/>
        </w:rPr>
      </w:pPr>
    </w:p>
    <w:p>
      <w:pPr>
        <w:ind w:left="740" w:right="20" w:hanging="489"/>
        <w:spacing w:after="0" w:line="260" w:lineRule="auto"/>
        <w:tabs>
          <w:tab w:leader="none" w:pos="729"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203" w:lineRule="exact"/>
        <w:rPr>
          <w:rFonts w:ascii="Arial" w:cs="Arial" w:eastAsia="Arial" w:hAnsi="Arial"/>
          <w:sz w:val="20"/>
          <w:szCs w:val="20"/>
          <w:color w:val="auto"/>
        </w:rPr>
      </w:pPr>
    </w:p>
    <w:p>
      <w:pPr>
        <w:ind w:left="740" w:hanging="489"/>
        <w:spacing w:after="0" w:line="260" w:lineRule="auto"/>
        <w:tabs>
          <w:tab w:leader="none" w:pos="728" w:val="left"/>
        </w:tabs>
        <w:numPr>
          <w:ilvl w:val="0"/>
          <w:numId w:val="23"/>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203" w:lineRule="exact"/>
        <w:rPr>
          <w:rFonts w:ascii="Arial" w:cs="Arial" w:eastAsia="Arial" w:hAnsi="Arial"/>
          <w:sz w:val="20"/>
          <w:szCs w:val="20"/>
          <w:color w:val="auto"/>
        </w:rPr>
      </w:pPr>
    </w:p>
    <w:p>
      <w:pPr>
        <w:ind w:left="720" w:hanging="469"/>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recruit and retain high-quality leadership, restaurant-level management and team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ind w:left="740" w:right="20" w:hanging="489"/>
        <w:spacing w:after="0" w:line="260" w:lineRule="auto"/>
        <w:tabs>
          <w:tab w:leader="none" w:pos="729" w:val="left"/>
        </w:tabs>
        <w:numPr>
          <w:ilvl w:val="1"/>
          <w:numId w:val="24"/>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203" w:lineRule="exact"/>
        <w:rPr>
          <w:rFonts w:ascii="Arial" w:cs="Arial" w:eastAsia="Arial" w:hAnsi="Arial"/>
          <w:sz w:val="20"/>
          <w:szCs w:val="20"/>
          <w:color w:val="auto"/>
        </w:rPr>
      </w:pPr>
    </w:p>
    <w:p>
      <w:pPr>
        <w:ind w:left="740" w:hanging="489"/>
        <w:spacing w:after="0" w:line="260" w:lineRule="auto"/>
        <w:tabs>
          <w:tab w:leader="none" w:pos="731" w:val="left"/>
        </w:tabs>
        <w:numPr>
          <w:ilvl w:val="1"/>
          <w:numId w:val="24"/>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3" w:lineRule="exact"/>
        <w:rPr>
          <w:rFonts w:ascii="Arial" w:cs="Arial" w:eastAsia="Arial" w:hAnsi="Arial"/>
          <w:sz w:val="20"/>
          <w:szCs w:val="20"/>
          <w:color w:val="auto"/>
        </w:rPr>
      </w:pPr>
    </w:p>
    <w:p>
      <w:pPr>
        <w:ind w:left="720" w:hanging="469"/>
        <w:spacing w:after="0"/>
        <w:tabs>
          <w:tab w:leader="none" w:pos="7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42" w:lineRule="exact"/>
        <w:rPr>
          <w:rFonts w:ascii="Arial" w:cs="Arial" w:eastAsia="Arial" w:hAnsi="Arial"/>
          <w:sz w:val="20"/>
          <w:szCs w:val="20"/>
          <w:color w:val="auto"/>
        </w:rPr>
      </w:pPr>
    </w:p>
    <w:p>
      <w:pPr>
        <w:ind w:left="720" w:hanging="469"/>
        <w:spacing w:after="0"/>
        <w:tabs>
          <w:tab w:leader="none" w:pos="7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Dependence on a limited number of suppliers and distributors to meet our beef and other major product supply needs;</w:t>
      </w:r>
    </w:p>
    <w:p>
      <w:pPr>
        <w:spacing w:after="0" w:line="242" w:lineRule="exact"/>
        <w:rPr>
          <w:rFonts w:ascii="Arial" w:cs="Arial" w:eastAsia="Arial" w:hAnsi="Arial"/>
          <w:sz w:val="20"/>
          <w:szCs w:val="20"/>
          <w:color w:val="auto"/>
        </w:rPr>
      </w:pPr>
    </w:p>
    <w:p>
      <w:pPr>
        <w:ind w:left="740" w:hanging="489"/>
        <w:spacing w:after="0" w:line="260" w:lineRule="auto"/>
        <w:tabs>
          <w:tab w:leader="none" w:pos="729"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203" w:lineRule="exact"/>
        <w:rPr>
          <w:rFonts w:ascii="Arial" w:cs="Arial" w:eastAsia="Arial" w:hAnsi="Arial"/>
          <w:sz w:val="20"/>
          <w:szCs w:val="20"/>
          <w:color w:val="auto"/>
        </w:rPr>
      </w:pPr>
    </w:p>
    <w:p>
      <w:pPr>
        <w:ind w:left="740" w:hanging="489"/>
        <w:spacing w:after="0" w:line="316" w:lineRule="auto"/>
        <w:tabs>
          <w:tab w:leader="none" w:pos="729"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litigation;</w:t>
      </w:r>
    </w:p>
    <w:p>
      <w:pPr>
        <w:spacing w:after="0" w:line="156" w:lineRule="exact"/>
        <w:rPr>
          <w:rFonts w:ascii="Arial" w:cs="Arial" w:eastAsia="Arial" w:hAnsi="Arial"/>
          <w:sz w:val="18"/>
          <w:szCs w:val="18"/>
          <w:color w:val="auto"/>
        </w:rPr>
      </w:pPr>
    </w:p>
    <w:p>
      <w:pPr>
        <w:ind w:left="740" w:hanging="489"/>
        <w:spacing w:after="0" w:line="260" w:lineRule="auto"/>
        <w:tabs>
          <w:tab w:leader="none" w:pos="731" w:val="left"/>
        </w:tabs>
        <w:numPr>
          <w:ilvl w:val="1"/>
          <w:numId w:val="24"/>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 including by maintaining relationships with third party delivery apps and services;</w:t>
      </w:r>
    </w:p>
    <w:p>
      <w:pPr>
        <w:spacing w:after="0" w:line="203" w:lineRule="exact"/>
        <w:rPr>
          <w:rFonts w:ascii="Arial" w:cs="Arial" w:eastAsia="Arial" w:hAnsi="Arial"/>
          <w:sz w:val="20"/>
          <w:szCs w:val="20"/>
          <w:color w:val="auto"/>
        </w:rPr>
      </w:pPr>
    </w:p>
    <w:p>
      <w:pPr>
        <w:jc w:val="both"/>
        <w:ind w:left="740" w:hanging="489"/>
        <w:spacing w:after="0" w:line="269" w:lineRule="auto"/>
        <w:tabs>
          <w:tab w:leader="none" w:pos="733" w:val="left"/>
        </w:tabs>
        <w:numPr>
          <w:ilvl w:val="1"/>
          <w:numId w:val="24"/>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96" w:lineRule="exact"/>
        <w:rPr>
          <w:rFonts w:ascii="Arial" w:cs="Arial" w:eastAsia="Arial" w:hAnsi="Arial"/>
          <w:sz w:val="19"/>
          <w:szCs w:val="19"/>
          <w:color w:val="auto"/>
        </w:rPr>
      </w:pPr>
    </w:p>
    <w:p>
      <w:pPr>
        <w:ind w:left="740" w:right="20" w:hanging="489"/>
        <w:spacing w:after="0" w:line="260" w:lineRule="auto"/>
        <w:tabs>
          <w:tab w:leader="none" w:pos="732" w:val="left"/>
        </w:tabs>
        <w:numPr>
          <w:ilvl w:val="1"/>
          <w:numId w:val="24"/>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203" w:lineRule="exact"/>
        <w:rPr>
          <w:rFonts w:ascii="Arial" w:cs="Arial" w:eastAsia="Arial" w:hAnsi="Arial"/>
          <w:sz w:val="20"/>
          <w:szCs w:val="20"/>
          <w:color w:val="auto"/>
        </w:rPr>
      </w:pPr>
    </w:p>
    <w:p>
      <w:pPr>
        <w:jc w:val="both"/>
        <w:ind w:left="740" w:hanging="489"/>
        <w:spacing w:after="0" w:line="269" w:lineRule="auto"/>
        <w:tabs>
          <w:tab w:leader="none" w:pos="733"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96" w:lineRule="exact"/>
        <w:rPr>
          <w:rFonts w:ascii="Arial" w:cs="Arial" w:eastAsia="Arial" w:hAnsi="Arial"/>
          <w:sz w:val="19"/>
          <w:szCs w:val="19"/>
          <w:color w:val="auto"/>
        </w:rPr>
      </w:pPr>
    </w:p>
    <w:p>
      <w:pPr>
        <w:ind w:left="740" w:hanging="489"/>
        <w:spacing w:after="0" w:line="260" w:lineRule="auto"/>
        <w:tabs>
          <w:tab w:leader="none" w:pos="734"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 and</w:t>
      </w:r>
    </w:p>
    <w:p>
      <w:pPr>
        <w:spacing w:after="0" w:line="203" w:lineRule="exact"/>
        <w:rPr>
          <w:rFonts w:ascii="Arial" w:cs="Arial" w:eastAsia="Arial" w:hAnsi="Arial"/>
          <w:sz w:val="20"/>
          <w:szCs w:val="20"/>
          <w:color w:val="auto"/>
        </w:rPr>
      </w:pPr>
    </w:p>
    <w:p>
      <w:pPr>
        <w:ind w:left="740" w:hanging="570"/>
        <w:spacing w:after="0" w:line="260" w:lineRule="auto"/>
        <w:tabs>
          <w:tab w:leader="none" w:pos="735"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27, 2020.</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one of the largest casual dining restaurant companies in the world with a portfolio of leading, differentiated restaurant concepts. As of March 28, 2021, we owned and operated 1,160 restaurants and franchised 316 restaurants across 47 states, Guam and 20 countries. We have four founder-inspired concepts: Outback Steakhouse, Carrabba’s Italian Grill, Bonefish Grill and Fleming’s Prime Steakhouse &amp; Wine Bar.</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Our financial highlights for the thirteen weeks ended March 28, 2021 (“first quarter of 2021”) include the following:</w:t>
      </w:r>
    </w:p>
    <w:p>
      <w:pPr>
        <w:spacing w:after="0" w:line="243" w:lineRule="exact"/>
        <w:rPr>
          <w:sz w:val="20"/>
          <w:szCs w:val="20"/>
          <w:color w:val="auto"/>
        </w:rPr>
      </w:pPr>
    </w:p>
    <w:p>
      <w:pPr>
        <w:ind w:left="660" w:hanging="328"/>
        <w:spacing w:after="0" w:line="247"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U.S. combined and Outback Steakhouse comparable restaurant sales of 3.3% and 4.1%, respectively, relative to the first quarter of 2020 and (7.3)% and (5.8)%, respectively, relative to the first quarter of 2019;</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Decrease in Total revenues of 2.1% in the first quarter of 2021, as compared to the first quarter of 2020;</w:t>
      </w:r>
    </w:p>
    <w:p>
      <w:pPr>
        <w:ind w:left="640" w:hanging="308"/>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Restaurant-level operating margin of 18.8% for the first quarter of 2021, as compared to 12.1% for the first quarter of 2020;</w:t>
      </w:r>
    </w:p>
    <w:p>
      <w:pPr>
        <w:spacing w:after="0" w:line="11" w:lineRule="exact"/>
        <w:rPr>
          <w:rFonts w:ascii="Arial" w:cs="Arial" w:eastAsia="Arial" w:hAnsi="Arial"/>
          <w:sz w:val="19"/>
          <w:szCs w:val="19"/>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Decrease in General and administrative expense of $27.6 million, as compared to the first quarter of 2020;</w:t>
      </w:r>
    </w:p>
    <w:p>
      <w:pPr>
        <w:ind w:left="660" w:right="20" w:hanging="328"/>
        <w:spacing w:after="0" w:line="239"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Income from operations of $91.0 million in the first quarter of 2021, as compared to loss from operations of $41.6 million in the first quarter of 2020; and</w:t>
      </w:r>
    </w:p>
    <w:p>
      <w:pPr>
        <w:ind w:left="660" w:right="20" w:hanging="328"/>
        <w:spacing w:after="0" w:line="24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Diluted earnings (loss) per share attributable to common stockholders of $0.63 in the first quarter of 2021 as compared to $(0.44) in the first quarter of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43" w:lineRule="exact"/>
        <w:rPr>
          <w:sz w:val="20"/>
          <w:szCs w:val="20"/>
          <w:color w:val="auto"/>
        </w:rPr>
      </w:pPr>
    </w:p>
    <w:p>
      <w:pPr>
        <w:ind w:left="660" w:right="2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203"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212"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203"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(loss) from operations, Net income (loss) and Diluted earnings (loss) per share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measures utilized to evaluate our operating performance.</w:t>
      </w:r>
    </w:p>
    <w:p>
      <w:pPr>
        <w:spacing w:after="0" w:line="203" w:lineRule="exact"/>
        <w:rPr>
          <w:rFonts w:ascii="Arial" w:cs="Arial" w:eastAsia="Arial" w:hAnsi="Arial"/>
          <w:sz w:val="20"/>
          <w:szCs w:val="20"/>
          <w:i w:val="1"/>
          <w:iCs w:val="1"/>
          <w:color w:val="auto"/>
        </w:rPr>
      </w:pPr>
    </w:p>
    <w:p>
      <w:pPr>
        <w:jc w:val="both"/>
        <w:ind w:left="660"/>
        <w:spacing w:after="0" w:line="278" w:lineRule="auto"/>
        <w:rPr>
          <w:rFonts w:ascii="Arial" w:cs="Arial" w:eastAsia="Arial" w:hAnsi="Arial"/>
          <w:sz w:val="20"/>
          <w:szCs w:val="20"/>
          <w:i w:val="1"/>
          <w:iCs w:val="1"/>
          <w:color w:val="auto"/>
        </w:rPr>
      </w:pPr>
      <w:r>
        <w:rPr>
          <w:rFonts w:ascii="Arial" w:cs="Arial" w:eastAsia="Arial" w:hAnsi="Arial"/>
          <w:sz w:val="18"/>
          <w:szCs w:val="18"/>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and Other restaurant operating (including advertising expenses) represent, in each case as such items are reflected in our Consolidated Statements of Operations and Comprehensive Income (Loss). The following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categories of our revenue and operating expenses are not included in restaurant-level operating margin because we do not consider them reflective of operating performance at the restaurant-level within a period:</w:t>
      </w:r>
    </w:p>
    <w:p>
      <w:pPr>
        <w:spacing w:after="0" w:line="204" w:lineRule="exact"/>
        <w:rPr>
          <w:sz w:val="20"/>
          <w:szCs w:val="20"/>
          <w:color w:val="auto"/>
        </w:rPr>
      </w:pPr>
    </w:p>
    <w:p>
      <w:pPr>
        <w:ind w:left="1300" w:right="20" w:hanging="401"/>
        <w:spacing w:after="0" w:line="247" w:lineRule="auto"/>
        <w:tabs>
          <w:tab w:leader="none" w:pos="1298" w:val="left"/>
        </w:tabs>
        <w:numPr>
          <w:ilvl w:val="0"/>
          <w:numId w:val="28"/>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401"/>
        <w:spacing w:after="0" w:line="239" w:lineRule="auto"/>
        <w:tabs>
          <w:tab w:leader="none" w:pos="12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ind w:left="1300" w:right="20" w:hanging="401"/>
        <w:spacing w:after="0" w:line="239"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ind w:left="1300" w:hanging="401"/>
        <w:spacing w:after="0" w:line="244" w:lineRule="auto"/>
        <w:tabs>
          <w:tab w:leader="none" w:pos="1289" w:val="left"/>
        </w:tabs>
        <w:numPr>
          <w:ilvl w:val="0"/>
          <w:numId w:val="28"/>
        </w:numPr>
        <w:rPr>
          <w:rFonts w:ascii="Arial" w:cs="Arial" w:eastAsia="Arial" w:hAnsi="Arial"/>
          <w:sz w:val="20"/>
          <w:szCs w:val="20"/>
          <w:color w:val="auto"/>
        </w:rPr>
      </w:pPr>
      <w:r>
        <w:rPr>
          <w:rFonts w:ascii="Arial" w:cs="Arial" w:eastAsia="Arial" w:hAnsi="Arial"/>
          <w:sz w:val="20"/>
          <w:szCs w:val="20"/>
          <w:color w:val="auto"/>
        </w:rPr>
        <w:t>Asset impairment charges and restaurant closing costs which are not reflective of ongoing restaurant performance in a period.</w:t>
      </w:r>
    </w:p>
    <w:p>
      <w:pPr>
        <w:spacing w:after="0" w:line="218"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Statements of Operations. As a result, restaurant-level operating margin is not indicative of our consolidated results of operations and is presented exclusively as a supplement to, and not a substitute for, Net income (loss) or Income (loss) from operations. In addition, our presentation of restaurant-level operating margin may not be comparable to similarly titled measures used by other companies in our industry;</w:t>
      </w:r>
    </w:p>
    <w:p>
      <w:pPr>
        <w:spacing w:after="0" w:line="207" w:lineRule="exact"/>
        <w:rPr>
          <w:sz w:val="20"/>
          <w:szCs w:val="20"/>
          <w:color w:val="auto"/>
        </w:rPr>
      </w:pPr>
    </w:p>
    <w:p>
      <w:pPr>
        <w:ind w:left="660" w:right="20" w:hanging="328"/>
        <w:spacing w:after="0" w:line="260" w:lineRule="auto"/>
        <w:tabs>
          <w:tab w:leader="none" w:pos="648" w:val="left"/>
        </w:tabs>
        <w:numPr>
          <w:ilvl w:val="0"/>
          <w:numId w:val="29"/>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57" w:lineRule="auto"/>
        <w:rPr>
          <w:rFonts w:ascii="Arial" w:cs="Arial" w:eastAsia="Arial" w:hAnsi="Arial"/>
          <w:sz w:val="20"/>
          <w:szCs w:val="20"/>
          <w:i w:val="1"/>
          <w:iCs w:val="1"/>
          <w:color w:val="auto"/>
        </w:rPr>
      </w:pPr>
      <w:r>
        <w:rPr>
          <w:rFonts w:ascii="Arial" w:cs="Arial" w:eastAsia="Arial" w:hAnsi="Arial"/>
          <w:sz w:val="19"/>
          <w:szCs w:val="19"/>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207" w:lineRule="exact"/>
        <w:rPr>
          <w:rFonts w:ascii="Arial" w:cs="Arial" w:eastAsia="Arial" w:hAnsi="Arial"/>
          <w:sz w:val="20"/>
          <w:szCs w:val="20"/>
          <w:i w:val="1"/>
          <w:iCs w:val="1"/>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as of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Number of restaurants (at end of the period):</w:t>
            </w:r>
          </w:p>
        </w:tc>
        <w:tc>
          <w:tcPr>
            <w:tcW w:w="19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28, 2021</w:t>
            </w:r>
          </w:p>
        </w:tc>
        <w:tc>
          <w:tcPr>
            <w:tcW w:w="190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Arial" w:cs="Arial" w:eastAsia="Arial" w:hAnsi="Arial"/>
                <w:sz w:val="16"/>
                <w:szCs w:val="16"/>
                <w:color w:val="auto"/>
              </w:rPr>
              <w:t>Carrabba’s Italian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6"/>
        </w:trPr>
        <w:tc>
          <w:tcPr>
            <w:tcW w:w="7360" w:type="dxa"/>
            <w:vAlign w:val="bottom"/>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Arial" w:cs="Arial" w:eastAsia="Arial" w:hAnsi="Arial"/>
                <w:sz w:val="16"/>
                <w:szCs w:val="16"/>
                <w:color w:val="auto"/>
              </w:rPr>
              <w:t>Other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Other (1)(3)</w:t>
            </w:r>
          </w:p>
        </w:tc>
        <w:tc>
          <w:tcPr>
            <w:tcW w:w="18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Outback Steakhouse—South Korea (3)</w:t>
            </w:r>
          </w:p>
        </w:tc>
        <w:tc>
          <w:tcPr>
            <w:tcW w:w="1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8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U.S. Company-owned and International Franchised Other each include three and two fast-casual Aussie Grill locations as of March 28, 2021 and March 29, 2020, respectively. International Company-owned Other includes two and one fast-casual Aussie Grill locations as of March 28, 2021 and March 29, 2020, respectively.</w:t>
      </w:r>
    </w:p>
    <w:p>
      <w:pPr>
        <w:spacing w:after="0" w:line="1" w:lineRule="exact"/>
        <w:rPr>
          <w:rFonts w:ascii="Arial" w:cs="Arial" w:eastAsia="Arial" w:hAnsi="Arial"/>
          <w:sz w:val="14"/>
          <w:szCs w:val="14"/>
          <w:color w:val="auto"/>
        </w:rPr>
      </w:pPr>
    </w:p>
    <w:p>
      <w:pPr>
        <w:ind w:left="660" w:hanging="652"/>
        <w:spacing w:after="0" w:line="24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restaurant counts for Brazil are reported as of February 28, 2021 and February 29, 2020, respectively, to correspond with the balance sheet dates of this subsidiary.</w:t>
      </w:r>
    </w:p>
    <w:p>
      <w:pPr>
        <w:ind w:left="660" w:hanging="652"/>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March 28, 2021, we had 25 international dark kitchens that offer delivery only included in Franchised Outback Steakhouse - South Korea. In addition, we had one international dark kitchen included within Company-owned Other as of both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Restaurant sales,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90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340" w:type="dxa"/>
            <w:vAlign w:val="bottom"/>
          </w:tcPr>
          <w:p>
            <w:pPr>
              <w:spacing w:after="0"/>
              <w:rPr>
                <w:sz w:val="17"/>
                <w:szCs w:val="17"/>
                <w:color w:val="auto"/>
              </w:rPr>
            </w:pPr>
          </w:p>
        </w:tc>
        <w:tc>
          <w:tcPr>
            <w:tcW w:w="19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28, 2021</w:t>
            </w:r>
          </w:p>
        </w:tc>
        <w:tc>
          <w:tcPr>
            <w:tcW w:w="1940" w:type="dxa"/>
            <w:vAlign w:val="bottom"/>
          </w:tcPr>
          <w:p>
            <w:pPr>
              <w:jc w:val="right"/>
              <w:ind w:right="339"/>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1860" w:type="dxa"/>
            <w:vAlign w:val="bottom"/>
          </w:tcPr>
          <w:p>
            <w:pPr>
              <w:jc w:val="right"/>
              <w:spacing w:after="0"/>
              <w:rPr>
                <w:sz w:val="20"/>
                <w:szCs w:val="20"/>
                <w:color w:val="auto"/>
              </w:rPr>
            </w:pPr>
            <w:r>
              <w:rPr>
                <w:rFonts w:ascii="Arial" w:cs="Arial" w:eastAsia="Arial" w:hAnsi="Arial"/>
                <w:sz w:val="16"/>
                <w:szCs w:val="16"/>
                <w:color w:val="auto"/>
              </w:rPr>
              <w:t>99.2 %</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98.8 %</w:t>
            </w:r>
          </w:p>
        </w:tc>
      </w:tr>
      <w:tr>
        <w:trPr>
          <w:trHeight w:val="239"/>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r>
      <w:tr>
        <w:trPr>
          <w:trHeight w:val="200"/>
        </w:trPr>
        <w:tc>
          <w:tcPr>
            <w:tcW w:w="7340" w:type="dxa"/>
            <w:vAlign w:val="bottom"/>
          </w:tcPr>
          <w:p>
            <w:pPr>
              <w:ind w:left="800"/>
              <w:spacing w:after="0"/>
              <w:rPr>
                <w:sz w:val="20"/>
                <w:szCs w:val="20"/>
                <w:color w:val="auto"/>
              </w:rPr>
            </w:pPr>
            <w:r>
              <w:rPr>
                <w:rFonts w:ascii="Arial" w:cs="Arial" w:eastAsia="Arial" w:hAnsi="Arial"/>
                <w:sz w:val="16"/>
                <w:szCs w:val="16"/>
                <w:color w:val="auto"/>
              </w:rPr>
              <w:t>Total revenues</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Food and beverage costs (1)</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32.1</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 and other related (1)</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Other restaurant operating (1)</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24.7</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8.4</w:t>
            </w:r>
          </w:p>
        </w:tc>
      </w:tr>
      <w:tr>
        <w:trPr>
          <w:trHeight w:val="213"/>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r>
      <w:tr>
        <w:trPr>
          <w:trHeight w:val="223"/>
        </w:trPr>
        <w:tc>
          <w:tcPr>
            <w:tcW w:w="73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costs and expenses</w:t>
            </w: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104.1</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23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00"/>
        </w:trPr>
        <w:tc>
          <w:tcPr>
            <w:tcW w:w="7340" w:type="dxa"/>
            <w:vAlign w:val="bottom"/>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23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00"/>
        </w:trPr>
        <w:tc>
          <w:tcPr>
            <w:tcW w:w="73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60" w:type="dxa"/>
            <w:vAlign w:val="bottom"/>
          </w:tcPr>
          <w:p>
            <w:pPr>
              <w:jc w:val="right"/>
              <w:ind w:right="1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226"/>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net income attributable to noncontrolling interests</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73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w:t>
      </w:r>
    </w:p>
    <w:p>
      <w:pPr>
        <w:spacing w:after="0" w:line="1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one percent of Total revenues.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March 29,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996.2</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3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openings</w:t>
            </w: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Comparable restaurant sales</w:t>
            </w: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4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 ended March 28, 2021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Restaurant sales during the thirteen weeks ended March 28, 2021 was primarily due to lower international comparable restaurant sales, the closure of 37 restaurants since December 29, 2019 and the effect of foreign currency translation of the Brazilian Real relative to the U.S. dollar. The decrease in Restaurant sales was partially offset by higher U.S. comparable restaurant sales and the opening of 30 new restaurants not included in our comparable restaurant sales base.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 (weekly):</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70,071</w:t>
            </w: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60,953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55,383</w:t>
            </w: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54,685</w:t>
            </w: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80,404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80,649</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Outback Steakhouse - Brazil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43,089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70,300</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weeks: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2,652</w:t>
            </w: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w:t>
            </w: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0"/>
        </w:trPr>
        <w:tc>
          <w:tcPr>
            <w:tcW w:w="8140" w:type="dxa"/>
            <w:vAlign w:val="bottom"/>
          </w:tcPr>
          <w:p>
            <w:pPr>
              <w:ind w:left="220"/>
              <w:spacing w:after="0"/>
              <w:rPr>
                <w:sz w:val="20"/>
                <w:szCs w:val="20"/>
                <w:color w:val="auto"/>
              </w:rPr>
            </w:pPr>
            <w:r>
              <w:rPr>
                <w:rFonts w:ascii="Arial" w:cs="Arial" w:eastAsia="Arial" w:hAnsi="Arial"/>
                <w:sz w:val="16"/>
                <w:szCs w:val="16"/>
                <w:color w:val="auto"/>
              </w:rPr>
              <w:t>Outback Steakhouse - Brazil</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1,303</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Translated at average exchange rates of 5.30 and 4.19 for the thirteen weeks ended March 28, 2021 and March 29, 2020,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(Decreases) Increases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(decreases) increases, for the periods indicated:</w:t>
      </w:r>
    </w:p>
    <w:p>
      <w:pPr>
        <w:spacing w:after="0" w:line="17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THIRTEEN WEEKS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52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Comparable to 2019</w:t>
            </w: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Comparable to 2020</w:t>
            </w:r>
          </w:p>
        </w:tc>
        <w:tc>
          <w:tcPr>
            <w:tcW w:w="14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9"/>
              </w:rPr>
              <w:t>Comparable to 2019</w:t>
            </w:r>
          </w:p>
        </w:tc>
        <w:tc>
          <w:tcPr>
            <w:tcW w:w="0" w:type="dxa"/>
            <w:vAlign w:val="bottom"/>
          </w:tcPr>
          <w:p>
            <w:pPr>
              <w:spacing w:after="0"/>
              <w:rPr>
                <w:sz w:val="1"/>
                <w:szCs w:val="1"/>
                <w:color w:val="auto"/>
              </w:rPr>
            </w:pPr>
          </w:p>
        </w:tc>
      </w:tr>
      <w:tr>
        <w:trPr>
          <w:trHeight w:val="196"/>
        </w:trPr>
        <w:tc>
          <w:tcPr>
            <w:tcW w:w="7580" w:type="dxa"/>
            <w:vAlign w:val="bottom"/>
            <w:gridSpan w:val="2"/>
          </w:tcPr>
          <w:p>
            <w:pPr>
              <w:ind w:left="7380"/>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over year percentage change:</w:t>
            </w: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140"/>
              <w:spacing w:after="0"/>
              <w:rPr>
                <w:sz w:val="20"/>
                <w:szCs w:val="20"/>
                <w:color w:val="auto"/>
              </w:rPr>
            </w:pPr>
            <w:r>
              <w:rPr>
                <w:rFonts w:ascii="Arial" w:cs="Arial" w:eastAsia="Arial" w:hAnsi="Arial"/>
                <w:sz w:val="16"/>
                <w:szCs w:val="16"/>
                <w:color w:val="auto"/>
              </w:rPr>
              <w:t>Comparable restaurant sales (stores open 18 months or more):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(2)</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(16.3)%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(3)(4)</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(16.8)%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59"/>
        </w:trPr>
        <w:tc>
          <w:tcPr>
            <w:tcW w:w="67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140"/>
              <w:spacing w:after="0"/>
              <w:rPr>
                <w:sz w:val="20"/>
                <w:szCs w:val="20"/>
                <w:color w:val="auto"/>
              </w:rPr>
            </w:pPr>
            <w:r>
              <w:rPr>
                <w:rFonts w:ascii="Arial" w:cs="Arial" w:eastAsia="Arial" w:hAnsi="Arial"/>
                <w:sz w:val="16"/>
                <w:szCs w:val="16"/>
                <w:color w:val="auto"/>
              </w:rPr>
              <w:t>Traffic: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(10.8)%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(4)</w:t>
            </w: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59"/>
        </w:trPr>
        <w:tc>
          <w:tcPr>
            <w:tcW w:w="67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140"/>
              <w:spacing w:after="0"/>
              <w:rPr>
                <w:sz w:val="20"/>
                <w:szCs w:val="20"/>
                <w:color w:val="auto"/>
              </w:rPr>
            </w:pPr>
            <w:r>
              <w:rPr>
                <w:rFonts w:ascii="Arial" w:cs="Arial" w:eastAsia="Arial" w:hAnsi="Arial"/>
                <w:sz w:val="16"/>
                <w:szCs w:val="16"/>
                <w:color w:val="auto"/>
              </w:rPr>
              <w:t>Average check per person (5):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00" w:type="dxa"/>
            <w:vAlign w:val="bottom"/>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3"/>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(4)</w:t>
            </w: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comparable restaurant sales, traffic and average check per person (decreases) increases relative to fiscal year 2019 for improved comparability due to the impact of COVID-19 on fiscal year 2020 restaurant sales.</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Outback Steakhouse Brazil results are reported on a one-month lag and are presented on a calendar basis. Restaurant sales for Brazil during the first quarter of 2020 (through February 29, 2020) were not materially impacted by the COVID-19 pandemic.</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60" w:type="dxa"/>
            <w:vAlign w:val="bottom"/>
          </w:tcPr>
          <w:p>
            <w:pPr>
              <w:jc w:val="right"/>
              <w:ind w:right="26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revenues (1)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2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1"/>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left="660" w:hanging="652"/>
        <w:spacing w:after="0" w:line="25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 Franchise revenues declined during the thirteen weeks ended March 28, 2021 primarily due to lower U.S. franchise sales and a reduction in the royalty and advertising fee percentages resulting from our December 2020 resolution agreement with Out West, our largest U.S. franchisee.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Food and beverage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5"/>
          </w:tcPr>
          <w:p>
            <w:pPr>
              <w:ind w:left="760"/>
              <w:spacing w:after="0"/>
              <w:rPr>
                <w:sz w:val="20"/>
                <w:szCs w:val="20"/>
                <w:color w:val="auto"/>
              </w:rPr>
            </w:pPr>
            <w:r>
              <w:rPr>
                <w:rFonts w:ascii="Arial" w:cs="Arial" w:eastAsia="Arial" w:hAnsi="Arial"/>
                <w:sz w:val="14"/>
                <w:szCs w:val="14"/>
                <w:b w:val="1"/>
                <w:bCs w:val="1"/>
                <w:color w:val="auto"/>
              </w:rPr>
              <w:t>THIRTEEN WEEKS ENDED</w:t>
            </w:r>
          </w:p>
        </w:tc>
        <w:tc>
          <w:tcPr>
            <w:tcW w:w="1180" w:type="dxa"/>
            <w:vAlign w:val="bottom"/>
          </w:tcPr>
          <w:p>
            <w:pPr>
              <w:spacing w:after="0"/>
              <w:rPr>
                <w:sz w:val="17"/>
                <w:szCs w:val="17"/>
                <w:color w:val="auto"/>
              </w:rPr>
            </w:pPr>
          </w:p>
        </w:tc>
      </w:tr>
      <w:tr>
        <w:trPr>
          <w:trHeight w:val="19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28, 2021</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1180" w:type="dxa"/>
            <w:vAlign w:val="bottom"/>
          </w:tcPr>
          <w:p>
            <w:pPr>
              <w:jc w:val="right"/>
              <w:ind w:right="28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291.9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319.7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0"/>
        </w:trPr>
        <w:tc>
          <w:tcPr>
            <w:tcW w:w="6160" w:type="dxa"/>
            <w:vAlign w:val="bottom"/>
          </w:tcPr>
          <w:p>
            <w:pPr>
              <w:ind w:left="140"/>
              <w:spacing w:after="0"/>
              <w:rPr>
                <w:sz w:val="20"/>
                <w:szCs w:val="20"/>
                <w:color w:val="auto"/>
              </w:rPr>
            </w:pPr>
            <w:r>
              <w:rPr>
                <w:rFonts w:ascii="Arial" w:cs="Arial" w:eastAsia="Arial" w:hAnsi="Arial"/>
                <w:sz w:val="16"/>
                <w:szCs w:val="16"/>
                <w:color w:val="auto"/>
              </w:rPr>
              <w:t>% of Restaurant sales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32.1 %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3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Food and beverage costs decreased as a percentage of Restaurant sales during the thirteen weeks ended March 28, 2021 as compared to the thirteen weeks ended March 29, 2020 primarily due to: (i) 0.9% from increases in average check per person, (ii) 0.9% from cost savings attributable to waste reduction initiatives and (iii) 0.6% from inventory obsolescence and spoilage costs during 2020 associated with the COVID-19 pandemic.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gridSpan w:val="5"/>
          </w:tcPr>
          <w:p>
            <w:pPr>
              <w:ind w:left="740"/>
              <w:spacing w:after="0"/>
              <w:rPr>
                <w:sz w:val="20"/>
                <w:szCs w:val="20"/>
                <w:color w:val="auto"/>
              </w:rPr>
            </w:pPr>
            <w:r>
              <w:rPr>
                <w:rFonts w:ascii="Arial" w:cs="Arial" w:eastAsia="Arial" w:hAnsi="Arial"/>
                <w:sz w:val="14"/>
                <w:szCs w:val="14"/>
                <w:b w:val="1"/>
                <w:bCs w:val="1"/>
                <w:color w:val="auto"/>
              </w:rPr>
              <w:t>THIRTEEN WEEKS ENDED</w:t>
            </w:r>
          </w:p>
        </w:tc>
        <w:tc>
          <w:tcPr>
            <w:tcW w:w="1300" w:type="dxa"/>
            <w:vAlign w:val="bottom"/>
          </w:tcPr>
          <w:p>
            <w:pPr>
              <w:spacing w:after="0"/>
              <w:rPr>
                <w:sz w:val="17"/>
                <w:szCs w:val="17"/>
                <w:color w:val="auto"/>
              </w:rPr>
            </w:pPr>
          </w:p>
        </w:tc>
      </w:tr>
      <w:tr>
        <w:trPr>
          <w:trHeight w:val="196"/>
        </w:trPr>
        <w:tc>
          <w:tcPr>
            <w:tcW w:w="6020" w:type="dxa"/>
            <w:vAlign w:val="bottom"/>
          </w:tcPr>
          <w:p>
            <w:pPr>
              <w:jc w:val="right"/>
              <w:ind w:right="4722"/>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MARCH 29, 2020</w:t>
            </w:r>
          </w:p>
        </w:tc>
        <w:tc>
          <w:tcPr>
            <w:tcW w:w="120" w:type="dxa"/>
            <w:vAlign w:val="bottom"/>
          </w:tcPr>
          <w:p>
            <w:pPr>
              <w:spacing w:after="0"/>
              <w:rPr>
                <w:sz w:val="17"/>
                <w:szCs w:val="17"/>
                <w:color w:val="auto"/>
              </w:rPr>
            </w:pPr>
          </w:p>
        </w:tc>
        <w:tc>
          <w:tcPr>
            <w:tcW w:w="1300" w:type="dxa"/>
            <w:vAlign w:val="bottom"/>
          </w:tcPr>
          <w:p>
            <w:pPr>
              <w:jc w:val="right"/>
              <w:ind w:right="34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020" w:type="dxa"/>
            <w:vAlign w:val="bottom"/>
            <w:tcBorders>
              <w:top w:val="single" w:sz="8" w:color="CCEEFF"/>
            </w:tcBorders>
            <w:shd w:val="clear" w:color="auto" w:fill="CCEEFF"/>
          </w:tcPr>
          <w:p>
            <w:pPr>
              <w:jc w:val="right"/>
              <w:ind w:right="4402"/>
              <w:spacing w:after="0"/>
              <w:rPr>
                <w:sz w:val="20"/>
                <w:szCs w:val="20"/>
                <w:color w:val="auto"/>
              </w:rPr>
            </w:pPr>
            <w:r>
              <w:rPr>
                <w:rFonts w:ascii="Arial" w:cs="Arial" w:eastAsia="Arial" w:hAnsi="Arial"/>
                <w:sz w:val="16"/>
                <w:szCs w:val="16"/>
                <w:color w:val="auto"/>
                <w:w w:val="91"/>
              </w:rPr>
              <w:t>Labor and other related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274.6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309.3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0"/>
        </w:trPr>
        <w:tc>
          <w:tcPr>
            <w:tcW w:w="6020" w:type="dxa"/>
            <w:vAlign w:val="bottom"/>
          </w:tcPr>
          <w:p>
            <w:pPr>
              <w:jc w:val="right"/>
              <w:ind w:right="4402"/>
              <w:spacing w:after="0"/>
              <w:rPr>
                <w:sz w:val="20"/>
                <w:szCs w:val="20"/>
                <w:color w:val="auto"/>
              </w:rPr>
            </w:pPr>
            <w:r>
              <w:rPr>
                <w:rFonts w:ascii="Arial" w:cs="Arial" w:eastAsia="Arial" w:hAnsi="Arial"/>
                <w:sz w:val="16"/>
                <w:szCs w:val="16"/>
                <w:color w:val="auto"/>
                <w:w w:val="97"/>
              </w:rPr>
              <w:t>% of Restaurant sales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3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decreased as a percentage of Restaurant sales during the thirteen weeks ended March 28, 2021 as compared to the thirteen weeks ended March 29, 2020 primarily due to 1.8% from lower prep labor hours and 1.5% from decreased relief pay due to the re-opening of our restaurant dining rooms. These decreases were partially offset by an increase as a percentage of Restaurant sales of 0.3% from wage rate increases.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gridSpan w:val="5"/>
          </w:tcPr>
          <w:p>
            <w:pPr>
              <w:ind w:left="720"/>
              <w:spacing w:after="0"/>
              <w:rPr>
                <w:sz w:val="20"/>
                <w:szCs w:val="20"/>
                <w:color w:val="auto"/>
              </w:rPr>
            </w:pPr>
            <w:r>
              <w:rPr>
                <w:rFonts w:ascii="Arial" w:cs="Arial" w:eastAsia="Arial" w:hAnsi="Arial"/>
                <w:sz w:val="14"/>
                <w:szCs w:val="14"/>
                <w:b w:val="1"/>
                <w:bCs w:val="1"/>
                <w:color w:val="auto"/>
              </w:rPr>
              <w:t>THIRTEEN WEEKS ENDED</w:t>
            </w:r>
          </w:p>
        </w:tc>
        <w:tc>
          <w:tcPr>
            <w:tcW w:w="1240" w:type="dxa"/>
            <w:vAlign w:val="bottom"/>
          </w:tcPr>
          <w:p>
            <w:pPr>
              <w:spacing w:after="0"/>
              <w:rPr>
                <w:sz w:val="17"/>
                <w:szCs w:val="17"/>
                <w:color w:val="auto"/>
              </w:rPr>
            </w:pPr>
          </w:p>
        </w:tc>
      </w:tr>
      <w:tr>
        <w:trPr>
          <w:trHeight w:val="19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MARCH 29, 2020</w:t>
            </w:r>
          </w:p>
        </w:tc>
        <w:tc>
          <w:tcPr>
            <w:tcW w:w="120" w:type="dxa"/>
            <w:vAlign w:val="bottom"/>
          </w:tcPr>
          <w:p>
            <w:pPr>
              <w:spacing w:after="0"/>
              <w:rPr>
                <w:sz w:val="17"/>
                <w:szCs w:val="17"/>
                <w:color w:val="auto"/>
              </w:rPr>
            </w:pPr>
          </w:p>
        </w:tc>
        <w:tc>
          <w:tcPr>
            <w:tcW w:w="1240" w:type="dxa"/>
            <w:vAlign w:val="bottom"/>
          </w:tcPr>
          <w:p>
            <w:pPr>
              <w:jc w:val="right"/>
              <w:ind w:right="3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229.3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246.6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0"/>
        </w:trPr>
        <w:tc>
          <w:tcPr>
            <w:tcW w:w="6140" w:type="dxa"/>
            <w:vAlign w:val="bottom"/>
          </w:tcPr>
          <w:p>
            <w:pPr>
              <w:ind w:left="140"/>
              <w:spacing w:after="0"/>
              <w:rPr>
                <w:sz w:val="20"/>
                <w:szCs w:val="20"/>
                <w:color w:val="auto"/>
              </w:rPr>
            </w:pPr>
            <w:r>
              <w:rPr>
                <w:rFonts w:ascii="Arial" w:cs="Arial" w:eastAsia="Arial" w:hAnsi="Arial"/>
                <w:sz w:val="16"/>
                <w:szCs w:val="16"/>
                <w:color w:val="auto"/>
              </w:rPr>
              <w:t>% of Restaurant sales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3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restaurant operating expenses decreased as a percentage of Restaurant sales during the thirteen weeks ended March 28, 2021 as compared to the thirteen weeks ended March 29, 2020 primarily due to 2.1% from lower advertising expense and 0.7% from reduced operating and utilities expenses. This decrease was partially offset by an increase as a percentage of Restaurant sales of 1.2% from incremental delivery 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8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bl>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and amortization expense decreased during the periods presented primarily due to impairment, decreased capital expenditures and the effect of foreign currency translation.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THIRTEEN WEEKS ENDED</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March 29,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CCEEFF"/>
          </w:tcPr>
          <w:p>
            <w:pPr>
              <w:ind w:left="2220"/>
              <w:spacing w:after="0"/>
              <w:rPr>
                <w:sz w:val="20"/>
                <w:szCs w:val="20"/>
                <w:color w:val="auto"/>
              </w:rPr>
            </w:pPr>
            <w:r>
              <w:rPr>
                <w:rFonts w:ascii="Arial" w:cs="Arial" w:eastAsia="Arial" w:hAnsi="Arial"/>
                <w:sz w:val="16"/>
                <w:szCs w:val="16"/>
                <w:color w:val="auto"/>
              </w:rPr>
              <w:t>84.8</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Severance</w:t>
            </w: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ind w:left="2240"/>
              <w:spacing w:after="0"/>
              <w:rPr>
                <w:sz w:val="20"/>
                <w:szCs w:val="20"/>
                <w:color w:val="auto"/>
              </w:rPr>
            </w:pPr>
            <w:r>
              <w:rPr>
                <w:rFonts w:ascii="Arial" w:cs="Arial" w:eastAsia="Arial" w:hAnsi="Arial"/>
                <w:sz w:val="16"/>
                <w:szCs w:val="16"/>
                <w:color w:val="auto"/>
                <w:w w:val="97"/>
              </w:rPr>
              <w:t>(8.5)</w:t>
            </w: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Expected credit losses and contingent lease liabilities</w:t>
            </w:r>
          </w:p>
        </w:tc>
        <w:tc>
          <w:tcPr>
            <w:tcW w:w="300" w:type="dxa"/>
            <w:vAlign w:val="bottom"/>
          </w:tcPr>
          <w:p>
            <w:pPr>
              <w:spacing w:after="0"/>
              <w:rPr>
                <w:sz w:val="18"/>
                <w:szCs w:val="18"/>
                <w:color w:val="auto"/>
              </w:rPr>
            </w:pPr>
          </w:p>
        </w:tc>
        <w:tc>
          <w:tcPr>
            <w:tcW w:w="2580" w:type="dxa"/>
            <w:vAlign w:val="bottom"/>
          </w:tcPr>
          <w:p>
            <w:pPr>
              <w:ind w:left="2240"/>
              <w:spacing w:after="0"/>
              <w:rPr>
                <w:sz w:val="20"/>
                <w:szCs w:val="20"/>
                <w:color w:val="auto"/>
              </w:rPr>
            </w:pPr>
            <w:r>
              <w:rPr>
                <w:rFonts w:ascii="Arial" w:cs="Arial" w:eastAsia="Arial" w:hAnsi="Arial"/>
                <w:sz w:val="16"/>
                <w:szCs w:val="16"/>
                <w:color w:val="auto"/>
                <w:w w:val="97"/>
              </w:rPr>
              <w:t>(7.6)</w:t>
            </w: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Transformational costs</w:t>
            </w: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ind w:left="2240"/>
              <w:spacing w:after="0"/>
              <w:rPr>
                <w:sz w:val="20"/>
                <w:szCs w:val="20"/>
                <w:color w:val="auto"/>
              </w:rPr>
            </w:pPr>
            <w:r>
              <w:rPr>
                <w:rFonts w:ascii="Arial" w:cs="Arial" w:eastAsia="Arial" w:hAnsi="Arial"/>
                <w:sz w:val="16"/>
                <w:szCs w:val="16"/>
                <w:color w:val="auto"/>
                <w:w w:val="97"/>
              </w:rPr>
              <w:t>(5.3)</w:t>
            </w: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Travel and entertainment</w:t>
            </w:r>
          </w:p>
        </w:tc>
        <w:tc>
          <w:tcPr>
            <w:tcW w:w="300" w:type="dxa"/>
            <w:vAlign w:val="bottom"/>
          </w:tcPr>
          <w:p>
            <w:pPr>
              <w:spacing w:after="0"/>
              <w:rPr>
                <w:sz w:val="18"/>
                <w:szCs w:val="18"/>
                <w:color w:val="auto"/>
              </w:rPr>
            </w:pPr>
          </w:p>
        </w:tc>
        <w:tc>
          <w:tcPr>
            <w:tcW w:w="2580" w:type="dxa"/>
            <w:vAlign w:val="bottom"/>
          </w:tcPr>
          <w:p>
            <w:pPr>
              <w:ind w:left="2240"/>
              <w:spacing w:after="0"/>
              <w:rPr>
                <w:sz w:val="20"/>
                <w:szCs w:val="20"/>
                <w:color w:val="auto"/>
              </w:rPr>
            </w:pPr>
            <w:r>
              <w:rPr>
                <w:rFonts w:ascii="Arial" w:cs="Arial" w:eastAsia="Arial" w:hAnsi="Arial"/>
                <w:sz w:val="16"/>
                <w:szCs w:val="16"/>
                <w:color w:val="auto"/>
                <w:w w:val="97"/>
              </w:rPr>
              <w:t>(3.3)</w:t>
            </w: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benefits and payroll tax</w:t>
            </w: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ind w:left="2240"/>
              <w:spacing w:after="0"/>
              <w:rPr>
                <w:sz w:val="20"/>
                <w:szCs w:val="20"/>
                <w:color w:val="auto"/>
              </w:rPr>
            </w:pPr>
            <w:r>
              <w:rPr>
                <w:rFonts w:ascii="Arial" w:cs="Arial" w:eastAsia="Arial" w:hAnsi="Arial"/>
                <w:sz w:val="16"/>
                <w:szCs w:val="16"/>
                <w:color w:val="auto"/>
                <w:w w:val="97"/>
              </w:rPr>
              <w:t>(2.5)</w:t>
            </w:r>
          </w:p>
        </w:tc>
      </w:tr>
      <w:tr>
        <w:trPr>
          <w:trHeight w:val="22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ind w:left="2240"/>
              <w:spacing w:after="0"/>
              <w:rPr>
                <w:sz w:val="20"/>
                <w:szCs w:val="20"/>
                <w:color w:val="auto"/>
              </w:rPr>
            </w:pPr>
            <w:r>
              <w:rPr>
                <w:rFonts w:ascii="Arial" w:cs="Arial" w:eastAsia="Arial" w:hAnsi="Arial"/>
                <w:sz w:val="16"/>
                <w:szCs w:val="16"/>
                <w:color w:val="auto"/>
                <w:w w:val="97"/>
              </w:rPr>
              <w:t>(0.4)</w:t>
            </w: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 ended March 28, 2021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6"/>
                <w:szCs w:val="16"/>
                <w:color w:val="auto"/>
              </w:rPr>
              <w:t>57.2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3520" w:type="dxa"/>
            <w:vAlign w:val="bottom"/>
            <w:gridSpan w:val="6"/>
          </w:tcPr>
          <w:p>
            <w:pPr>
              <w:ind w:left="7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2021</w:t>
            </w: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380" w:type="dxa"/>
            <w:vAlign w:val="bottom"/>
            <w:shd w:val="clear" w:color="auto" w:fill="CCEEFF"/>
          </w:tcPr>
          <w:p>
            <w:pPr>
              <w:jc w:val="right"/>
              <w:ind w:right="1205"/>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thirteen weeks ended March 29, 2020, we recognized asset impairment and closure charges of $31.7 million and $3.3 million within the U.S. and international segments, respectively, primarily related to the COVID-19 pandemic. We also recognized asset impairment charges of $6.3 million primarily related to transformational initiatives during the thirteen weeks ended March 29, 2020, which were not allocated to our operating segments.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(loss) from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b w:val="1"/>
                <w:bCs w:val="1"/>
                <w:color w:val="auto"/>
              </w:rPr>
              <w:t>Change</w:t>
            </w:r>
          </w:p>
        </w:tc>
      </w:tr>
      <w:tr>
        <w:trPr>
          <w:trHeight w:val="21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132.6</w:t>
            </w:r>
          </w:p>
        </w:tc>
      </w:tr>
      <w:tr>
        <w:trPr>
          <w:trHeight w:val="210"/>
        </w:trPr>
        <w:tc>
          <w:tcPr>
            <w:tcW w:w="6320" w:type="dxa"/>
            <w:vAlign w:val="bottom"/>
          </w:tcPr>
          <w:p>
            <w:pPr>
              <w:ind w:left="140"/>
              <w:spacing w:after="0"/>
              <w:rPr>
                <w:sz w:val="20"/>
                <w:szCs w:val="20"/>
                <w:color w:val="auto"/>
              </w:rPr>
            </w:pPr>
            <w:r>
              <w:rPr>
                <w:rFonts w:ascii="Arial" w:cs="Arial" w:eastAsia="Arial" w:hAnsi="Arial"/>
                <w:sz w:val="16"/>
                <w:szCs w:val="16"/>
                <w:color w:val="auto"/>
              </w:rPr>
              <w:t>% of Total revenues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13.3 %</w:t>
            </w:r>
          </w:p>
        </w:tc>
      </w:tr>
    </w:tbl>
    <w:p>
      <w:pPr>
        <w:spacing w:after="0" w:line="3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Income from operations generated during the thirteen weeks ended March 28, 2021, as compared to Loss from operations during the thirteen weeks ended March 29, 2020 was primarily due to: (i) the impact of the COVID-19 pandemic during 2020, including asset impairment charges and relief pay, (ii) the impact of restructuring and transformational initiatives during 2020, including severance and impairment charges, (iii) lower advertising expense, (iv) a reduction in prep labor hours, (v) cost savings from our waste reduction initiatives and (vi) reduced operating and utilities expenses. These increases were partially offset by incremental delivery 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800" w:type="dxa"/>
            <w:vAlign w:val="bottom"/>
            <w:gridSpan w:val="6"/>
          </w:tcPr>
          <w:p>
            <w:pPr>
              <w:ind w:left="9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2021</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480" w:type="dxa"/>
            <w:vAlign w:val="bottom"/>
            <w:shd w:val="clear" w:color="auto" w:fill="CCEEFF"/>
          </w:tcPr>
          <w:p>
            <w:pPr>
              <w:jc w:val="right"/>
              <w:ind w:right="130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bl>
    <w:p>
      <w:pPr>
        <w:spacing w:after="0" w:line="30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increase in Interest expense, net for the thirteen weeks ended March 28, 2021 as compared to the thirteen weeks ended March 29, 2020 was primarily due to interest expense from our 2025 Notes issued in May 2020, partially offset by lower revolver borrowings and lower interest rates on our unhedged variable rate debt.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(benefit) for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5"/>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130.5</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23"/>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26.3</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bl>
    <w:p>
      <w:pPr>
        <w:spacing w:after="0" w:line="32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effective income tax rate for the thirteen weeks ended March 28, 2021 decreased by 27.8 percentage points as compared to the thirteen weeks ended March 29, 2020. The decrease was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4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50"/>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3820" w:type="dxa"/>
            <w:vAlign w:val="bottom"/>
            <w:tcBorders>
              <w:top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2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During the thirteen weeks ended March 29, 2020, we recorded $22.2 million of pre-tax charges as a part of transformational initiatives.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Refer to Note 19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from operations to the consolidated operating results.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Overview-Key Performance Indicators</w:t>
      </w:r>
      <w:r>
        <w:rPr>
          <w:rFonts w:ascii="Arial" w:cs="Arial" w:eastAsia="Arial" w:hAnsi="Arial"/>
          <w:sz w:val="20"/>
          <w:szCs w:val="20"/>
          <w:color w:val="auto"/>
        </w:rPr>
        <w:t xml:space="preserve"> and </w:t>
      </w:r>
      <w:r>
        <w:rPr>
          <w:rFonts w:ascii="Arial" w:cs="Arial" w:eastAsia="Arial" w:hAnsi="Arial"/>
          <w:sz w:val="20"/>
          <w:szCs w:val="20"/>
          <w:i w:val="1"/>
          <w:iCs w:val="1"/>
          <w:color w:val="auto"/>
        </w:rPr>
        <w:t>Non-GAAP Financial Measures</w:t>
      </w:r>
      <w:r>
        <w:rPr>
          <w:rFonts w:ascii="Arial" w:cs="Arial" w:eastAsia="Arial" w:hAnsi="Arial"/>
          <w:sz w:val="20"/>
          <w:szCs w:val="20"/>
          <w:color w:val="auto"/>
        </w:rPr>
        <w:t xml:space="preserve"> sections of Management’s Discussion and Analysis for additional details regarding the calculation of restaurant-level operating margin.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540" w:type="dxa"/>
            <w:vAlign w:val="bottom"/>
          </w:tcPr>
          <w:p>
            <w:pPr>
              <w:jc w:val="right"/>
              <w:ind w:right="240"/>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900,059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884,889</w:t>
            </w:r>
          </w:p>
        </w:tc>
      </w:tr>
      <w:tr>
        <w:trPr>
          <w:trHeight w:val="239"/>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4,859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9,608</w:t>
            </w:r>
          </w:p>
        </w:tc>
      </w:tr>
      <w:tr>
        <w:trPr>
          <w:trHeight w:val="197"/>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904,918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894,497</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Income from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121,735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11,379</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the change in U.S. segment Restaurant sales for the period indicated:</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 period ended March 29,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Comparable restaurant sales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Restaurant openings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Restaurant closures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 period ended March 28,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THIRTEEN WEEKS ENDED</w:t>
      </w:r>
    </w:p>
    <w:p>
      <w:pPr>
        <w:spacing w:after="0" w:line="68"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884.9</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28.2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(18.2)</w:t>
      </w:r>
    </w:p>
    <w:p>
      <w:pPr>
        <w:spacing w:after="0" w:line="59"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17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43815</wp:posOffset>
            </wp:positionV>
            <wp:extent cx="1517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140" w:space="720"/>
            <w:col w:w="2380"/>
          </w:cols>
          <w:pgMar w:left="320" w:top="122" w:right="339" w:bottom="1440" w:gutter="0" w:footer="0" w:header="0"/>
          <w:type w:val="continuous"/>
        </w:sectPr>
      </w:pP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U.S. Restaurant sales during the thirteen weeks ended March 28, 2021 was primarily due to higher comparable restaurant sales principally attributable to the impact of the COVID-19 pandemic on fiscal year 2020 U.S. Restaurant sales and the opening of nine new restaurants not included in our comparable restaurant sales base. The increase in U.S. Restaurant sales was partially offset by the closure of 36 restaurants since December 29, 2019.</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increase in U.S. Income from operations generated during the thirteen weeks ended March 28, 2021, as compared to the thirteen weeks ended March 29, 2020, was primarily due to: (i) the impact of the COVID-19 pandemic during 2020, including lower comparable restaurant sales, asset impairment charges and relief pay, (ii) lower advertising expense, (iii) a reduction in prep labor hours and (iv) cost savings from our waste reduction initiatives. These increases were partially offset by incremental delivery related costs.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 2021</w:t>
            </w:r>
          </w:p>
        </w:tc>
        <w:tc>
          <w:tcPr>
            <w:tcW w:w="280" w:type="dxa"/>
            <w:vAlign w:val="bottom"/>
          </w:tcPr>
          <w:p>
            <w:pPr>
              <w:spacing w:after="0"/>
              <w:rPr>
                <w:sz w:val="17"/>
                <w:szCs w:val="17"/>
                <w:color w:val="auto"/>
              </w:rPr>
            </w:pPr>
          </w:p>
        </w:tc>
        <w:tc>
          <w:tcPr>
            <w:tcW w:w="172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29, 2020</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79,392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111,348</w:t>
            </w:r>
          </w:p>
        </w:tc>
      </w:tr>
      <w:tr>
        <w:trPr>
          <w:trHeight w:val="239"/>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2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2,492</w:t>
            </w:r>
          </w:p>
        </w:tc>
      </w:tr>
      <w:tr>
        <w:trPr>
          <w:trHeight w:val="196"/>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82,555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113,840</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Income from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3,537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6,787</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March 29,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w:t>
            </w: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3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Restaurant openings</w:t>
            </w: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 ended March 28, 2021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Outback Steakhouse Brazil results are reported on a one-month lag and are presented on a calendar basis. Restaurant sales for Brazil during the first fiscal quarter of 2020 (through February 29, 2020) were not materially impacted by the COVID-19 pandemic.</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Restaurant sales during the thirteen weeks ended March 28, 2021 was primarily due to lower comparable restaurant sales principally attributable to the impact of the COVID-19 pandemic and the effect of foreign currency translation of the Brazilian Real relative to the U.S. dollar. The decrease in international Restaurant sales was partially offset by the opening of 21 new restaurants not included in our comparable restaurant sales base.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international Income from operations generated during the thirteen weeks ended March 28, 2021, as compared to the thirteen weeks ended March 29, 2020, was primarily due to: (i) lower comparable restaurant sales and costs incurred in connection with the COVID-19 pandemic, including incremental delivery related costs, and (ii) commodity inflation. These decreases were partially offset by: (i) lower labor costs, (ii) reduced operating, rent and advertising expenses and (iii) lower impairment and restaurant closure costs.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summary of sales of Company-owned restaurants, refer to Note 3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of the Notes to Consolidated Financial Statements.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2021</w:t>
            </w:r>
          </w:p>
        </w:tc>
        <w:tc>
          <w:tcPr>
            <w:tcW w:w="220" w:type="dxa"/>
            <w:vAlign w:val="bottom"/>
          </w:tcPr>
          <w:p>
            <w:pPr>
              <w:spacing w:after="0"/>
              <w:rPr>
                <w:sz w:val="17"/>
                <w:szCs w:val="17"/>
                <w:color w:val="auto"/>
              </w:rPr>
            </w:pPr>
          </w:p>
        </w:tc>
        <w:tc>
          <w:tcPr>
            <w:tcW w:w="1560" w:type="dxa"/>
            <w:vAlign w:val="bottom"/>
          </w:tcPr>
          <w:p>
            <w:pPr>
              <w:jc w:val="right"/>
              <w:ind w:right="260"/>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Steakhouse-South Korea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Total franchise sales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
        </w:trPr>
        <w:tc>
          <w:tcPr>
            <w:tcW w:w="772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7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 (Loss).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Restaurant-level operating margin </w:t>
      </w:r>
      <w:r>
        <w:rPr>
          <w:rFonts w:ascii="Arial" w:cs="Arial" w:eastAsia="Arial" w:hAnsi="Arial"/>
          <w:sz w:val="20"/>
          <w:szCs w:val="20"/>
          <w:color w:val="auto"/>
        </w:rPr>
        <w:t>- The following tables reconcile consolidated and segment Income (loss) from operations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corresponding margins to Restaurant-level operating income and the corresponding margins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Consolidated</w:t>
            </w:r>
          </w:p>
        </w:tc>
        <w:tc>
          <w:tcPr>
            <w:tcW w:w="2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5"/>
                <w:szCs w:val="15"/>
                <w:color w:val="auto"/>
              </w:rPr>
            </w:pPr>
          </w:p>
        </w:tc>
        <w:tc>
          <w:tcPr>
            <w:tcW w:w="1640" w:type="dxa"/>
            <w:vAlign w:val="bottom"/>
          </w:tcPr>
          <w:p>
            <w:pPr>
              <w:jc w:val="right"/>
              <w:ind w:right="300"/>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90,998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(41,568)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i w:val="1"/>
                <w:iCs w:val="1"/>
                <w:color w:val="auto"/>
              </w:rPr>
              <w:t>Operating income (loss) margin</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8,022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12,100</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41,226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48,268</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57,248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84,802</w:t>
            </w:r>
          </w:p>
        </w:tc>
      </w:tr>
      <w:tr>
        <w:trPr>
          <w:trHeight w:val="22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41,318</w:t>
            </w: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183,650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120,720</w:t>
            </w:r>
          </w:p>
        </w:tc>
      </w:tr>
      <w:tr>
        <w:trPr>
          <w:trHeight w:val="197"/>
        </w:trPr>
        <w:tc>
          <w:tcPr>
            <w:tcW w:w="756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485"/>
        </w:trPr>
        <w:tc>
          <w:tcPr>
            <w:tcW w:w="7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5"/>
                <w:szCs w:val="15"/>
                <w:color w:val="auto"/>
              </w:rPr>
            </w:pPr>
          </w:p>
        </w:tc>
        <w:tc>
          <w:tcPr>
            <w:tcW w:w="1640" w:type="dxa"/>
            <w:vAlign w:val="bottom"/>
          </w:tcPr>
          <w:p>
            <w:pPr>
              <w:jc w:val="right"/>
              <w:ind w:right="300"/>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121,735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11,379</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9,608</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33,645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37,640</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30,880</w:t>
            </w:r>
          </w:p>
        </w:tc>
      </w:tr>
      <w:tr>
        <w:trPr>
          <w:trHeight w:val="22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31,694</w:t>
            </w: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173,076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101,985</w:t>
            </w:r>
          </w:p>
        </w:tc>
      </w:tr>
      <w:tr>
        <w:trPr>
          <w:trHeight w:val="197"/>
        </w:trPr>
        <w:tc>
          <w:tcPr>
            <w:tcW w:w="756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486"/>
        </w:trPr>
        <w:tc>
          <w:tcPr>
            <w:tcW w:w="7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International</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40" w:type="dxa"/>
            <w:vAlign w:val="bottom"/>
          </w:tcPr>
          <w:p>
            <w:pPr>
              <w:spacing w:after="0"/>
              <w:rPr>
                <w:sz w:val="15"/>
                <w:szCs w:val="15"/>
                <w:color w:val="auto"/>
              </w:rPr>
            </w:pPr>
          </w:p>
        </w:tc>
        <w:tc>
          <w:tcPr>
            <w:tcW w:w="1640" w:type="dxa"/>
            <w:vAlign w:val="bottom"/>
          </w:tcPr>
          <w:p>
            <w:pPr>
              <w:jc w:val="right"/>
              <w:ind w:right="300"/>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3,537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6,787</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i w:val="1"/>
                <w:iCs w:val="1"/>
                <w:color w:val="auto"/>
              </w:rPr>
              <w:t>Operating income margin</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Franchise and other revenues</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3,163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2,492</w:t>
            </w: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5,720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6,758</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6,256</w:t>
            </w:r>
          </w:p>
        </w:tc>
      </w:tr>
      <w:tr>
        <w:trPr>
          <w:trHeight w:val="22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3,344</w:t>
            </w: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20,653</w:t>
            </w:r>
          </w:p>
        </w:tc>
      </w:tr>
      <w:tr>
        <w:trPr>
          <w:trHeight w:val="197"/>
        </w:trPr>
        <w:tc>
          <w:tcPr>
            <w:tcW w:w="7560" w:type="dxa"/>
            <w:vAlign w:val="bottom"/>
          </w:tcPr>
          <w:p>
            <w:pPr>
              <w:ind w:left="120"/>
              <w:spacing w:after="0"/>
              <w:rPr>
                <w:sz w:val="20"/>
                <w:szCs w:val="20"/>
                <w:color w:val="auto"/>
              </w:rPr>
            </w:pPr>
            <w:r>
              <w:rPr>
                <w:rFonts w:ascii="Arial" w:cs="Arial" w:eastAsia="Arial" w:hAnsi="Arial"/>
                <w:sz w:val="16"/>
                <w:szCs w:val="16"/>
                <w:i w:val="1"/>
                <w:iCs w:val="1"/>
                <w:color w:val="auto"/>
              </w:rPr>
              <w:t>Restaurant-level operating margin</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Adjusted restaurant-level operating margin - </w:t>
      </w:r>
      <w:r>
        <w:rPr>
          <w:rFonts w:ascii="Arial" w:cs="Arial" w:eastAsia="Arial" w:hAnsi="Arial"/>
          <w:sz w:val="20"/>
          <w:szCs w:val="20"/>
          <w:color w:val="auto"/>
        </w:rPr>
        <w:t>The following tables show the percentages of certain operating cost financial statement line</w:t>
      </w:r>
      <w:r>
        <w:rPr>
          <w:rFonts w:ascii="Arial" w:cs="Arial" w:eastAsia="Arial" w:hAnsi="Arial"/>
          <w:sz w:val="20"/>
          <w:szCs w:val="20"/>
          <w:i w:val="1"/>
          <w:iCs w:val="1"/>
          <w:color w:val="auto"/>
        </w:rPr>
        <w:t xml:space="preserve"> </w:t>
      </w:r>
      <w:r>
        <w:rPr>
          <w:rFonts w:ascii="Arial" w:cs="Arial" w:eastAsia="Arial" w:hAnsi="Arial"/>
          <w:sz w:val="20"/>
          <w:szCs w:val="20"/>
          <w:color w:val="auto"/>
        </w:rPr>
        <w:t>items in relation to Restaurant sales: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196"/>
        </w:trPr>
        <w:tc>
          <w:tcPr>
            <w:tcW w:w="4440" w:type="dxa"/>
            <w:vAlign w:val="bottom"/>
          </w:tcPr>
          <w:p>
            <w:pPr>
              <w:spacing w:after="0"/>
              <w:rPr>
                <w:sz w:val="17"/>
                <w:szCs w:val="17"/>
                <w:color w:val="auto"/>
              </w:rPr>
            </w:pPr>
          </w:p>
        </w:tc>
        <w:tc>
          <w:tcPr>
            <w:tcW w:w="3440" w:type="dxa"/>
            <w:vAlign w:val="bottom"/>
            <w:gridSpan w:val="4"/>
          </w:tcPr>
          <w:p>
            <w:pPr>
              <w:ind w:left="1120"/>
              <w:spacing w:after="0"/>
              <w:rPr>
                <w:sz w:val="20"/>
                <w:szCs w:val="20"/>
                <w:color w:val="auto"/>
              </w:rPr>
            </w:pPr>
            <w:r>
              <w:rPr>
                <w:rFonts w:ascii="Arial" w:cs="Arial" w:eastAsia="Arial" w:hAnsi="Arial"/>
                <w:sz w:val="14"/>
                <w:szCs w:val="14"/>
                <w:b w:val="1"/>
                <w:bCs w:val="1"/>
                <w:color w:val="auto"/>
              </w:rPr>
              <w:t>MARCH 28, 2021</w:t>
            </w:r>
          </w:p>
        </w:tc>
        <w:tc>
          <w:tcPr>
            <w:tcW w:w="3360" w:type="dxa"/>
            <w:vAlign w:val="bottom"/>
            <w:gridSpan w:val="3"/>
          </w:tcPr>
          <w:p>
            <w:pPr>
              <w:jc w:val="right"/>
              <w:ind w:right="1061"/>
              <w:spacing w:after="0"/>
              <w:rPr>
                <w:sz w:val="20"/>
                <w:szCs w:val="20"/>
                <w:color w:val="auto"/>
              </w:rPr>
            </w:pPr>
            <w:r>
              <w:rPr>
                <w:rFonts w:ascii="Arial" w:cs="Arial" w:eastAsia="Arial" w:hAnsi="Arial"/>
                <w:sz w:val="14"/>
                <w:szCs w:val="14"/>
                <w:b w:val="1"/>
                <w:bCs w:val="1"/>
                <w:color w:val="auto"/>
              </w:rPr>
              <w:t>MARCH 29, 2020</w:t>
            </w:r>
          </w:p>
        </w:tc>
      </w:tr>
      <w:tr>
        <w:trPr>
          <w:trHeight w:val="196"/>
        </w:trPr>
        <w:tc>
          <w:tcPr>
            <w:tcW w:w="4440" w:type="dxa"/>
            <w:vAlign w:val="bottom"/>
          </w:tcPr>
          <w:p>
            <w:pPr>
              <w:spacing w:after="0"/>
              <w:rPr>
                <w:sz w:val="17"/>
                <w:szCs w:val="17"/>
                <w:color w:val="auto"/>
              </w:rPr>
            </w:pPr>
          </w:p>
        </w:tc>
        <w:tc>
          <w:tcPr>
            <w:tcW w:w="172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2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7"/>
                <w:szCs w:val="17"/>
                <w:color w:val="auto"/>
              </w:rPr>
            </w:pPr>
          </w:p>
        </w:tc>
        <w:tc>
          <w:tcPr>
            <w:tcW w:w="172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REPORTED</w:t>
            </w:r>
          </w:p>
        </w:tc>
        <w:tc>
          <w:tcPr>
            <w:tcW w:w="16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ADJUSTED (1)</w:t>
            </w:r>
          </w:p>
        </w:tc>
      </w:tr>
      <w:tr>
        <w:trPr>
          <w:trHeight w:val="216"/>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4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31.0 %</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56"/>
        </w:trPr>
        <w:tc>
          <w:tcPr>
            <w:tcW w:w="4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274"/>
        </w:trPr>
        <w:tc>
          <w:tcPr>
            <w:tcW w:w="444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r>
    </w:tbl>
    <w:p>
      <w:pPr>
        <w:ind w:left="660" w:hanging="652"/>
        <w:spacing w:after="0" w:line="290"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5"/>
          <w:szCs w:val="15"/>
          <w:i w:val="1"/>
          <w:iCs w:val="1"/>
          <w:color w:val="auto"/>
        </w:rPr>
        <w:t>Adjusted income from operations, Adjusted net income and Adjusted diluted earnings per share</w:t>
      </w:r>
      <w:r>
        <w:rPr>
          <w:rFonts w:ascii="Arial" w:cs="Arial" w:eastAsia="Arial" w:hAnsi="Arial"/>
          <w:sz w:val="15"/>
          <w:szCs w:val="15"/>
          <w:color w:val="auto"/>
        </w:rPr>
        <w:t xml:space="preserve"> table below for the period indicated:</w:t>
      </w:r>
    </w:p>
    <w:p>
      <w:pPr>
        <w:spacing w:after="0" w:line="59" w:lineRule="exact"/>
        <w:rPr>
          <w:sz w:val="20"/>
          <w:szCs w:val="20"/>
          <w:color w:val="auto"/>
        </w:rPr>
      </w:pPr>
    </w:p>
    <w:tbl>
      <w:tblPr>
        <w:tblLayout w:type="fixed"/>
        <w:tblInd w:w="670" w:type="dxa"/>
        <w:tblCellMar>
          <w:top w:w="0" w:type="dxa"/>
          <w:left w:w="0" w:type="dxa"/>
          <w:bottom w:w="0" w:type="dxa"/>
          <w:right w:w="0" w:type="dxa"/>
        </w:tblCellMar>
      </w:tblPr>
      <w:tr>
        <w:trPr>
          <w:trHeight w:val="352"/>
        </w:trPr>
        <w:tc>
          <w:tcPr>
            <w:tcW w:w="7740" w:type="dxa"/>
            <w:vAlign w:val="bottom"/>
            <w:tcBorders>
              <w:top w:val="single" w:sz="8" w:color="auto"/>
              <w:lef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THIRTEEN WEEKS ENDED</w:t>
            </w:r>
          </w:p>
        </w:tc>
      </w:tr>
      <w:tr>
        <w:trPr>
          <w:trHeight w:val="222"/>
        </w:trPr>
        <w:tc>
          <w:tcPr>
            <w:tcW w:w="774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MARCH 29, 2020</w:t>
            </w:r>
          </w:p>
        </w:tc>
      </w:tr>
      <w:tr>
        <w:trPr>
          <w:trHeight w:val="216"/>
        </w:trPr>
        <w:tc>
          <w:tcPr>
            <w:tcW w:w="77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Restaurant and asset impairments and closing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right w:val="single" w:sz="8" w:color="auto"/>
            </w:tcBorders>
            <w:shd w:val="clear" w:color="auto" w:fill="CCEEFF"/>
          </w:tcPr>
          <w:p>
            <w:pPr>
              <w:jc w:val="center"/>
              <w:ind w:left="1562"/>
              <w:spacing w:after="0"/>
              <w:rPr>
                <w:sz w:val="20"/>
                <w:szCs w:val="20"/>
                <w:color w:val="auto"/>
              </w:rPr>
            </w:pPr>
            <w:r>
              <w:rPr>
                <w:rFonts w:ascii="Arial" w:cs="Arial" w:eastAsia="Arial" w:hAnsi="Arial"/>
                <w:sz w:val="16"/>
                <w:szCs w:val="16"/>
                <w:color w:val="auto"/>
                <w:w w:val="89"/>
              </w:rPr>
              <w:t>2.8</w:t>
            </w:r>
          </w:p>
        </w:tc>
      </w:tr>
      <w:tr>
        <w:trPr>
          <w:trHeight w:val="213"/>
        </w:trPr>
        <w:tc>
          <w:tcPr>
            <w:tcW w:w="77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Restaurant relocations and related costs</w:t>
            </w:r>
          </w:p>
        </w:tc>
        <w:tc>
          <w:tcPr>
            <w:tcW w:w="100" w:type="dxa"/>
            <w:vAlign w:val="bottom"/>
          </w:tcPr>
          <w:p>
            <w:pPr>
              <w:spacing w:after="0"/>
              <w:rPr>
                <w:sz w:val="18"/>
                <w:szCs w:val="18"/>
                <w:color w:val="auto"/>
              </w:rPr>
            </w:pPr>
          </w:p>
        </w:tc>
        <w:tc>
          <w:tcPr>
            <w:tcW w:w="2000" w:type="dxa"/>
            <w:vAlign w:val="bottom"/>
            <w:tcBorders>
              <w:right w:val="single" w:sz="8" w:color="auto"/>
            </w:tcBorders>
          </w:tcPr>
          <w:p>
            <w:pPr>
              <w:jc w:val="center"/>
              <w:ind w:left="1522"/>
              <w:spacing w:after="0"/>
              <w:rPr>
                <w:sz w:val="20"/>
                <w:szCs w:val="20"/>
                <w:color w:val="auto"/>
              </w:rPr>
            </w:pPr>
            <w:r>
              <w:rPr>
                <w:rFonts w:ascii="Arial" w:cs="Arial" w:eastAsia="Arial" w:hAnsi="Arial"/>
                <w:sz w:val="16"/>
                <w:szCs w:val="16"/>
                <w:color w:val="auto"/>
                <w:w w:val="97"/>
              </w:rPr>
              <w:t>(0.1)</w:t>
            </w:r>
          </w:p>
        </w:tc>
      </w:tr>
      <w:tr>
        <w:trPr>
          <w:trHeight w:val="226"/>
        </w:trPr>
        <w:tc>
          <w:tcPr>
            <w:tcW w:w="774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COVID-19 related costs (1)</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center"/>
              <w:ind w:left="1522"/>
              <w:spacing w:after="0"/>
              <w:rPr>
                <w:sz w:val="20"/>
                <w:szCs w:val="20"/>
                <w:color w:val="auto"/>
              </w:rPr>
            </w:pPr>
            <w:r>
              <w:rPr>
                <w:rFonts w:ascii="Arial" w:cs="Arial" w:eastAsia="Arial" w:hAnsi="Arial"/>
                <w:sz w:val="16"/>
                <w:szCs w:val="16"/>
                <w:color w:val="auto"/>
                <w:w w:val="97"/>
              </w:rPr>
              <w:t>(6.2)</w:t>
            </w:r>
          </w:p>
        </w:tc>
      </w:tr>
      <w:tr>
        <w:trPr>
          <w:trHeight w:val="213"/>
        </w:trPr>
        <w:tc>
          <w:tcPr>
            <w:tcW w:w="774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right w:val="single" w:sz="8" w:color="auto"/>
            </w:tcBorders>
          </w:tcPr>
          <w:p>
            <w:pPr>
              <w:jc w:val="center"/>
              <w:ind w:left="1522"/>
              <w:spacing w:after="0"/>
              <w:rPr>
                <w:sz w:val="20"/>
                <w:szCs w:val="20"/>
                <w:color w:val="auto"/>
              </w:rPr>
            </w:pPr>
            <w:r>
              <w:rPr>
                <w:rFonts w:ascii="Arial" w:cs="Arial" w:eastAsia="Arial" w:hAnsi="Arial"/>
                <w:sz w:val="16"/>
                <w:szCs w:val="16"/>
                <w:color w:val="auto"/>
                <w:w w:val="97"/>
              </w:rPr>
              <w:t>(3.5)</w:t>
            </w:r>
          </w:p>
        </w:tc>
      </w:tr>
      <w:tr>
        <w:trPr>
          <w:trHeight w:val="20"/>
        </w:trPr>
        <w:tc>
          <w:tcPr>
            <w:tcW w:w="774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Adjustments recorded in Food and beverage costs.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2021</w:t>
            </w:r>
          </w:p>
        </w:tc>
        <w:tc>
          <w:tcPr>
            <w:tcW w:w="180" w:type="dxa"/>
            <w:vAlign w:val="bottom"/>
          </w:tcPr>
          <w:p>
            <w:pPr>
              <w:spacing w:after="0"/>
              <w:rPr>
                <w:sz w:val="17"/>
                <w:szCs w:val="17"/>
                <w:color w:val="auto"/>
              </w:rPr>
            </w:pP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16"/>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90,998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(41,568)</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i w:val="1"/>
                <w:iCs w:val="1"/>
                <w:color w:val="auto"/>
              </w:rPr>
              <w:t>Operating income (loss) margin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COVID-19-related costs (1)</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48,876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 and other transformational costs (2)</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Restaurant relocations and related costs (3)</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Legal and contingent matters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Restaurant and asset impairments and closing costs (4)</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(loss) from operations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69,081</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Adjusted income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90,998</w:t>
            </w:r>
          </w:p>
        </w:tc>
        <w:tc>
          <w:tcPr>
            <w:tcW w:w="1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27,513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Adjusted operating income margin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68,862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(38,107)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(loss) from operations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69,081</w:t>
            </w:r>
          </w:p>
        </w:tc>
        <w:tc>
          <w:tcPr>
            <w:tcW w:w="0" w:type="dxa"/>
            <w:vAlign w:val="bottom"/>
          </w:tcPr>
          <w:p>
            <w:pPr>
              <w:spacing w:after="0"/>
              <w:rPr>
                <w:sz w:val="1"/>
                <w:szCs w:val="1"/>
                <w:color w:val="auto"/>
              </w:rPr>
            </w:pPr>
          </w:p>
        </w:tc>
      </w:tr>
      <w:tr>
        <w:trPr>
          <w:trHeight w:val="200"/>
        </w:trPr>
        <w:tc>
          <w:tcPr>
            <w:tcW w:w="7980" w:type="dxa"/>
            <w:vAlign w:val="bottom"/>
          </w:tcPr>
          <w:p>
            <w:pPr>
              <w:ind w:left="20"/>
              <w:spacing w:after="0"/>
              <w:rPr>
                <w:sz w:val="20"/>
                <w:szCs w:val="20"/>
                <w:color w:val="auto"/>
              </w:rPr>
            </w:pPr>
            <w:r>
              <w:rPr>
                <w:rFonts w:ascii="Arial" w:cs="Arial" w:eastAsia="Arial" w:hAnsi="Arial"/>
                <w:sz w:val="16"/>
                <w:szCs w:val="16"/>
                <w:color w:val="auto"/>
              </w:rPr>
              <w:t>Total adjustments, before income taxes</w:t>
            </w:r>
          </w:p>
        </w:tc>
        <w:tc>
          <w:tcPr>
            <w:tcW w:w="16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69,081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to provision for income taxes (5)</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(21,995)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Redemption of preferred stock in excess of carrying value (6)</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adjustments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50,582</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Adjusted net income</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68,862</w:t>
            </w:r>
          </w:p>
        </w:tc>
        <w:tc>
          <w:tcPr>
            <w:tcW w:w="1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12,475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(7)</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color w:val="auto"/>
              </w:rPr>
              <w:t>Diluted net 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70,243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12,475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common stockholders (8)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 (8)(9)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88,367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87,129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 (8)</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110,641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87,963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weighted average common shares outstanding (8)(9)</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95,448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87,963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Costs incurred in connection with the COVID-19 pandemic, primarily consisting of fixed asset and right-of-use asset impairments, inventory obsolescence and spoilage, contingent lease liabilities and current expected credit losses. See Note 2 - </w:t>
      </w:r>
      <w:r>
        <w:rPr>
          <w:rFonts w:ascii="Arial" w:cs="Arial" w:eastAsia="Arial" w:hAnsi="Arial"/>
          <w:sz w:val="16"/>
          <w:szCs w:val="16"/>
          <w:i w:val="1"/>
          <w:iCs w:val="1"/>
          <w:color w:val="auto"/>
        </w:rPr>
        <w:t>COVID-19 Charges</w:t>
      </w:r>
      <w:r>
        <w:rPr>
          <w:rFonts w:ascii="Arial" w:cs="Arial" w:eastAsia="Arial" w:hAnsi="Arial"/>
          <w:sz w:val="16"/>
          <w:szCs w:val="16"/>
          <w:color w:val="auto"/>
        </w:rPr>
        <w:t xml:space="preserve"> of the Notes to Consolidated Financial Statements for additional details regarding the impact of certain COVID-19 pandemic related charges on our financial results.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Severance, professional fees and other costs incurred as a result of transformational and restructuring activities.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 lease termination gain of $2.8 million.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Income tax effect of the adjustments for the periods presented.</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Consideration paid in excess of the carrying value for the redemption of preferred stock of our Abbraccio subsidiary.</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Adjustment relates to the 2025 Notes weighted for the portion of the period prior to our election under the 2025 Notes indenture to settle the principal portion of its 2025 Notes in cash.</w:t>
      </w:r>
    </w:p>
    <w:p>
      <w:pPr>
        <w:ind w:left="660" w:hanging="652"/>
        <w:spacing w:after="0" w:line="262"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Due to the GAAP net loss, the effect of dilutive securities was excluded from the calculation of GAAP diluted loss per share for the thirteen weeks ended March 29, 2020. For adjusted diluted earnings per share, the calculation includes 834 dilutive shares for the thirteen weeks ended March 29, 2020.</w:t>
      </w:r>
    </w:p>
    <w:p>
      <w:pPr>
        <w:spacing w:after="0" w:line="1" w:lineRule="exact"/>
        <w:rPr>
          <w:rFonts w:ascii="Arial" w:cs="Arial" w:eastAsia="Arial" w:hAnsi="Arial"/>
          <w:sz w:val="15"/>
          <w:szCs w:val="15"/>
          <w:color w:val="auto"/>
        </w:rPr>
      </w:pPr>
    </w:p>
    <w:p>
      <w:pPr>
        <w:jc w:val="both"/>
        <w:ind w:left="660" w:hanging="652"/>
        <w:spacing w:after="0" w:line="272"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For the thirteen weeks ended March 28, 2021, adjusted diluted weighted average common shares outstanding was calculated (i) assuming our February 2021 election to settle the principal portion of the 2025 Notes in cash was in effect for the entire period and (ii) excluding the dilutive effect of 9,653 shares to be issued upon conversion of the notes to satisfy the amount in excess of the principal since the Convertible Note Hedge Transactions offset the dilutive impact of the shares underlying the 2025 Notes. The calculation of adjusted diluted earnings per share excludes the convertible senior notes interest adjustment.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flows generated from operating activities and availability under our revolving credit facility are our principal sources of liquidity, which we use for operating expenses, payments on our debt, remodeling or relocating older restaurants, obligations related to our deferred compensation plans and investment in technology.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March 28, 2021, we had $136.7 million in cash and cash equivalents, of which $34.5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repatriation.</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March 28, 2021, we had aggregate accumulated foreign earnings of approximately $35.9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 We estimate that our capital expenditures will total approximately $170 million to $185 million in 2021.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actual capital expenditures may be affected by general economic, financial, competitive, legislative and regulatory factors, among other things, including restrictions imposed by our borrowing arrangements. Under the Second Amended and Restated Credit Agreement, we are limited to $200.0 million of aggregate capital expenditures during the year ended December 26, 2021.</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March 28, 2021, we had $1.0 billion of outstanding borrowings under our Senior Secured Credit Facility and 2025</w:t>
      </w:r>
      <w:r>
        <w:rPr>
          <w:rFonts w:ascii="Arial" w:cs="Arial" w:eastAsia="Arial" w:hAnsi="Arial"/>
          <w:sz w:val="20"/>
          <w:szCs w:val="20"/>
          <w:i w:val="1"/>
          <w:iCs w:val="1"/>
          <w:color w:val="auto"/>
        </w:rPr>
        <w:t xml:space="preserve"> </w:t>
      </w:r>
      <w:r>
        <w:rPr>
          <w:rFonts w:ascii="Arial" w:cs="Arial" w:eastAsia="Arial" w:hAnsi="Arial"/>
          <w:sz w:val="20"/>
          <w:szCs w:val="20"/>
          <w:color w:val="auto"/>
        </w:rPr>
        <w:t>Notes. Following is a summary of our outstanding credit facilities as of the dates indicated and principal payments and debt issuance during the period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SENIOR SECURED CREDIT FACILITY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TERM LOAN A</w:t>
            </w:r>
          </w:p>
        </w:tc>
        <w:tc>
          <w:tcPr>
            <w:tcW w:w="100" w:type="dxa"/>
            <w:vAlign w:val="bottom"/>
          </w:tcPr>
          <w:p>
            <w:pPr>
              <w:spacing w:after="0"/>
              <w:rPr>
                <w:sz w:val="14"/>
                <w:szCs w:val="14"/>
                <w:color w:val="auto"/>
              </w:rPr>
            </w:pP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2025 NOTES</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27,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425,000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447,000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1,102,000</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Arial" w:cs="Arial" w:eastAsia="Arial" w:hAnsi="Arial"/>
                <w:sz w:val="16"/>
                <w:szCs w:val="16"/>
                <w:color w:val="auto"/>
              </w:rPr>
              <w:t>2021 new debt</w:t>
            </w:r>
          </w:p>
        </w:tc>
        <w:tc>
          <w:tcPr>
            <w:tcW w:w="2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ind w:right="120"/>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 payments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(9,375)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(116,375)</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as of March 28, 2021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415,625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355,000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1,000,625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Weighted-average interest rate, as of March 28, 2021</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maturity date</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November 2022</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November 2022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May 2025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March 28, 2021, we had $624.9 million in available unused borrowing capacity under our revolving credit facility, net of letters of credit of $20.1 million.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March 28, 2021 and December 27, 2020, we were in compliance with our debt covenants. We believe that we will remain in compliance with our debt covenants during the next 12 months.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2029 Notes - </w:t>
      </w:r>
      <w:r>
        <w:rPr>
          <w:rFonts w:ascii="Arial" w:cs="Arial" w:eastAsia="Arial" w:hAnsi="Arial"/>
          <w:sz w:val="19"/>
          <w:szCs w:val="19"/>
          <w:color w:val="auto"/>
        </w:rPr>
        <w:t>On April 16, 2021, we issued $300.0 million aggregate principal amount of senior unsecured notes due 2029. The 2029 Notes</w:t>
      </w:r>
      <w:r>
        <w:rPr>
          <w:rFonts w:ascii="Arial" w:cs="Arial" w:eastAsia="Arial" w:hAnsi="Arial"/>
          <w:sz w:val="19"/>
          <w:szCs w:val="19"/>
          <w:i w:val="1"/>
          <w:iCs w:val="1"/>
          <w:color w:val="auto"/>
        </w:rPr>
        <w:t xml:space="preserve"> </w:t>
      </w:r>
      <w:r>
        <w:rPr>
          <w:rFonts w:ascii="Arial" w:cs="Arial" w:eastAsia="Arial" w:hAnsi="Arial"/>
          <w:sz w:val="19"/>
          <w:szCs w:val="19"/>
          <w:color w:val="auto"/>
        </w:rPr>
        <w:t>will mature on April 15, 2029, unless earlier redeemed or purchased by us. The 2029 Notes bear cash interest at an annual rate of 5.125% payable semi-annually in arrears on April 15 and October 15 of each year, beginning on October 15, 2021.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net proceeds from the 2029 Notes, after deducting the initial purchaser’s discount and our offering expenses, were used to repay a portion of our outstanding Term loan A and revolving credit facility in conjunction with the refinancing of our Senior Secured Credit Facility.</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Second Amended and Restated Credit Agreement </w:t>
      </w:r>
      <w:r>
        <w:rPr>
          <w:rFonts w:ascii="Arial" w:cs="Arial" w:eastAsia="Arial" w:hAnsi="Arial"/>
          <w:sz w:val="20"/>
          <w:szCs w:val="20"/>
          <w:color w:val="auto"/>
        </w:rPr>
        <w:t>- On April 16, 2021, we and OSI, as co-borrowers, entered into the Second Amended and</w:t>
      </w:r>
      <w:r>
        <w:rPr>
          <w:rFonts w:ascii="Arial" w:cs="Arial" w:eastAsia="Arial" w:hAnsi="Arial"/>
          <w:sz w:val="20"/>
          <w:szCs w:val="20"/>
          <w:i w:val="1"/>
          <w:iCs w:val="1"/>
          <w:color w:val="auto"/>
        </w:rPr>
        <w:t xml:space="preserve"> </w:t>
      </w:r>
      <w:r>
        <w:rPr>
          <w:rFonts w:ascii="Arial" w:cs="Arial" w:eastAsia="Arial" w:hAnsi="Arial"/>
          <w:sz w:val="20"/>
          <w:szCs w:val="20"/>
          <w:color w:val="auto"/>
        </w:rPr>
        <w:t>Restated Credit Agreement which provides for senior secured financing of up to $1.0 billion consisting of a $200.0 million Term loan A and an $800.0 million revolving credit facility. The New Senior Secured Credit Facility matures on April 16, 2026 and replaces our prior senior secured financing of up to $1.5 billion.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Second Amended and Restated Credit Agreement limits, subject to certain exceptions, our ability and the ability of our subsidiaries to: incur additional indebtedness; make significant payments; sell assets; pay dividends and other restricted payments; make certain investments; acquire certain assets; effect mergers and similar transactions; and effect certain other transactions with affiliates. The Second Amended and Restated Credit Agreement also prohibits us from paying certain dividends and making certain restricted payments and acquisitions until we are in compliance with our TNLR covenant for the period ended September 26, 2021.</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New Senior Secured Credit Facility contains mandatory prepayment requirements for Term loan A. We are required to prepay outstanding amounts under these loans with 50% of our annual excess cash flow, as defined in the Second Amended and Restated Credit Agreement, commencing with the fiscal year ending December 25, 2022. The amount of outstanding loans required to be prepaid in accordance with the debt covenants may vary based on our CSSNLR and year end results. Other than the annual required minimum amortization premiums of $7.5 million, we do not anticipate any other payments will be required through March 27, 2022.</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Subsequent to our refinancing of the Senior Secured Credit Facility, we made payments of $20.0 million on our new revolving credit facility, which had an outstanding balance of $251.0 million as of April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 </w:t>
      </w:r>
      <w:r>
        <w:rPr>
          <w:rFonts w:ascii="Arial" w:cs="Arial" w:eastAsia="Arial" w:hAnsi="Arial"/>
          <w:sz w:val="18"/>
          <w:szCs w:val="18"/>
          <w:i w:val="1"/>
          <w:iCs w:val="1"/>
          <w:color w:val="auto"/>
        </w:rPr>
        <w:t>Long-term Debt, Net</w:t>
      </w:r>
      <w:r>
        <w:rPr>
          <w:rFonts w:ascii="Arial" w:cs="Arial" w:eastAsia="Arial" w:hAnsi="Arial"/>
          <w:sz w:val="18"/>
          <w:szCs w:val="18"/>
          <w:color w:val="auto"/>
        </w:rPr>
        <w:t xml:space="preserve"> for additional details regarding the 2029 Notes and Second Amended and Restated Credit Agreement.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THIRTEEN WEEKS ENDED</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7"/>
                <w:szCs w:val="17"/>
                <w:color w:val="auto"/>
              </w:rPr>
            </w:pPr>
          </w:p>
        </w:tc>
        <w:tc>
          <w:tcPr>
            <w:tcW w:w="136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29, 2020</w:t>
            </w:r>
          </w:p>
        </w:tc>
      </w:tr>
      <w:tr>
        <w:trPr>
          <w:trHeight w:val="21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(34,798)</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342,333</w:t>
            </w: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4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336,250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 Net cash provided by operating activities increased during the thirteen weeks ended March 28, 2021,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thirteen weeks ended March 29, 2020 primarily due to: (i) an increase in restaurant-level operating margin and a decrease in relief pay primarily due to the re-opening of our restaurant dining rooms and (ii) timing of operational receipts and payments. These increases were partially offset by: (i) lower gift card sales and the timing of collections of gift card receivables and (ii) lower utilization of inventory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Investing activities - </w:t>
      </w:r>
      <w:r>
        <w:rPr>
          <w:rFonts w:ascii="Arial" w:cs="Arial" w:eastAsia="Arial" w:hAnsi="Arial"/>
          <w:sz w:val="18"/>
          <w:szCs w:val="18"/>
          <w:color w:val="auto"/>
        </w:rPr>
        <w:t>The decrease in net cash used in investing activities during the thirteen weeks ended March 28,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March 29, 2020 was primarily due to lower capital expenditures due to restrictions under our credit agreement.</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used in financing activities during the thirteen weeks ended March 28, 2021 compared to net cash provided by</w:t>
      </w:r>
      <w:r>
        <w:rPr>
          <w:rFonts w:ascii="Arial" w:cs="Arial" w:eastAsia="Arial" w:hAnsi="Arial"/>
          <w:sz w:val="20"/>
          <w:szCs w:val="20"/>
          <w:i w:val="1"/>
          <w:iCs w:val="1"/>
          <w:color w:val="auto"/>
        </w:rPr>
        <w:t xml:space="preserve"> </w:t>
      </w:r>
      <w:r>
        <w:rPr>
          <w:rFonts w:ascii="Arial" w:cs="Arial" w:eastAsia="Arial" w:hAnsi="Arial"/>
          <w:sz w:val="20"/>
          <w:szCs w:val="20"/>
          <w:color w:val="auto"/>
        </w:rPr>
        <w:t>financing activities during the thirteen weeks ended March 29, 2020 was primarily due to net repayments on our revolving credit facility during 2021 as compared to net borrowings during 2020, partially offset by: (i) payment of cash dividends on our common stock during 2020 and (ii) proceeds from the exercise of stock-based compensation during 2021 as compared to payment of taxes from the exercise of stock-based compensation during 2020.</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7"/>
                <w:szCs w:val="17"/>
                <w:color w:val="auto"/>
              </w:rPr>
            </w:pPr>
          </w:p>
        </w:tc>
        <w:tc>
          <w:tcPr>
            <w:tcW w:w="1780" w:type="dxa"/>
            <w:vAlign w:val="bottom"/>
          </w:tcPr>
          <w:p>
            <w:pPr>
              <w:ind w:left="10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center"/>
              <w:ind w:left="961"/>
              <w:spacing w:after="0"/>
              <w:rPr>
                <w:sz w:val="20"/>
                <w:szCs w:val="20"/>
                <w:color w:val="auto"/>
              </w:rPr>
            </w:pPr>
            <w:r>
              <w:rPr>
                <w:rFonts w:ascii="Arial" w:cs="Arial" w:eastAsia="Arial" w:hAnsi="Arial"/>
                <w:sz w:val="16"/>
                <w:szCs w:val="16"/>
                <w:color w:val="auto"/>
                <w:w w:val="93"/>
              </w:rPr>
              <w:t>272,989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center"/>
              <w:ind w:left="1041"/>
              <w:spacing w:after="0"/>
              <w:rPr>
                <w:sz w:val="20"/>
                <w:szCs w:val="20"/>
                <w:color w:val="auto"/>
              </w:rPr>
            </w:pPr>
            <w:r>
              <w:rPr>
                <w:rFonts w:ascii="Arial" w:cs="Arial" w:eastAsia="Arial" w:hAnsi="Arial"/>
                <w:sz w:val="16"/>
                <w:szCs w:val="16"/>
                <w:color w:val="auto"/>
                <w:w w:val="93"/>
              </w:rPr>
              <w:t>323,854</w:t>
            </w:r>
          </w:p>
        </w:tc>
      </w:tr>
      <w:tr>
        <w:trPr>
          <w:trHeight w:val="22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961"/>
              <w:spacing w:after="0"/>
              <w:rPr>
                <w:sz w:val="20"/>
                <w:szCs w:val="20"/>
                <w:color w:val="auto"/>
              </w:rPr>
            </w:pPr>
            <w:r>
              <w:rPr>
                <w:rFonts w:ascii="Arial" w:cs="Arial" w:eastAsia="Arial" w:hAnsi="Arial"/>
                <w:sz w:val="16"/>
                <w:szCs w:val="16"/>
                <w:color w:val="auto"/>
                <w:w w:val="93"/>
              </w:rPr>
              <w:t>931,983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041"/>
              <w:spacing w:after="0"/>
              <w:rPr>
                <w:sz w:val="20"/>
                <w:szCs w:val="20"/>
                <w:color w:val="auto"/>
              </w:rPr>
            </w:pPr>
            <w:r>
              <w:rPr>
                <w:rFonts w:ascii="Arial" w:cs="Arial" w:eastAsia="Arial" w:hAnsi="Arial"/>
                <w:sz w:val="16"/>
                <w:szCs w:val="16"/>
                <w:color w:val="auto"/>
                <w:w w:val="93"/>
              </w:rPr>
              <w:t>950,104</w:t>
            </w:r>
          </w:p>
        </w:tc>
      </w:tr>
      <w:tr>
        <w:trPr>
          <w:trHeight w:val="24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center"/>
              <w:ind w:left="941"/>
              <w:spacing w:after="0"/>
              <w:rPr>
                <w:sz w:val="20"/>
                <w:szCs w:val="20"/>
                <w:color w:val="auto"/>
              </w:rPr>
            </w:pPr>
            <w:r>
              <w:rPr>
                <w:rFonts w:ascii="Arial" w:cs="Arial" w:eastAsia="Arial" w:hAnsi="Arial"/>
                <w:sz w:val="16"/>
                <w:szCs w:val="16"/>
                <w:color w:val="auto"/>
                <w:w w:val="93"/>
              </w:rPr>
              <w:t>(658,994)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center"/>
              <w:ind w:left="1021"/>
              <w:spacing w:after="0"/>
              <w:rPr>
                <w:sz w:val="20"/>
                <w:szCs w:val="20"/>
                <w:color w:val="auto"/>
              </w:rPr>
            </w:pPr>
            <w:r>
              <w:rPr>
                <w:rFonts w:ascii="Arial" w:cs="Arial" w:eastAsia="Arial" w:hAnsi="Arial"/>
                <w:sz w:val="16"/>
                <w:szCs w:val="16"/>
                <w:color w:val="auto"/>
                <w:w w:val="93"/>
              </w:rPr>
              <w:t>(626,250)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Working capital (deficit) includes: (i) Unearned revenue primarily from unredeemed gift cards of $315.0 million and $381.6 million as of March 28, 2021 and December 27, 2020, respectively, and (ii) current operating lease liabilities of $176.9 million and $176.8 million as of March 28, 2021 and December 27, 2020,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$24.2 million and $28.1</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March 28, 2021 and December 27, 2020,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obligation for managing and chef partners’ deferred compensation was fully funded as of March 28, 2021.</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did not pay dividends or repurchase any shares of our outstanding common stock during the thirteen weeks ended March 28, 2021. The terms of our Second Amended and Restated Credit Agreement contain certain restrictions on cash dividends and share repurchases until after TNLR covenant compliance is met for the period ending September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fiscal year 2015 through March 28,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DIVIDENDS PAID</w:t>
            </w: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7"/>
                <w:szCs w:val="17"/>
                <w:color w:val="auto"/>
              </w:rPr>
            </w:pPr>
          </w:p>
        </w:tc>
        <w:tc>
          <w:tcPr>
            <w:tcW w:w="140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199,331</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2016</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341,266</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2017</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303,724</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2018</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33,312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147,279</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2019</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142,726</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2020</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17,480</w:t>
            </w:r>
          </w:p>
        </w:tc>
      </w:tr>
      <w:tr>
        <w:trPr>
          <w:trHeight w:val="21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fiscal quarter 2021</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74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178,225</w:t>
            </w: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973,581</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1,151,806</w:t>
            </w:r>
          </w:p>
        </w:tc>
      </w:tr>
      <w:tr>
        <w:trPr>
          <w:trHeight w:val="21"/>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4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For a description of recently issued Financial Accounting Standards that we adopted during the thirteen weeks ended March 28, 2021 and, that are applicable to us and likely to have material effect on our consolidated financial statements, but have not yet been adopted, see Note 1</w:t>
      </w:r>
    </w:p>
    <w:p>
      <w:pPr>
        <w:spacing w:after="0" w:line="1" w:lineRule="exact"/>
        <w:rPr>
          <w:sz w:val="20"/>
          <w:szCs w:val="20"/>
          <w:color w:val="auto"/>
        </w:rPr>
      </w:pPr>
    </w:p>
    <w:p>
      <w:pPr>
        <w:ind w:firstLine="8"/>
        <w:spacing w:after="0" w:line="244" w:lineRule="auto"/>
        <w:tabs>
          <w:tab w:leader="none" w:pos="115" w:val="left"/>
        </w:tabs>
        <w:numPr>
          <w:ilvl w:val="0"/>
          <w:numId w:val="41"/>
        </w:numPr>
        <w:rPr>
          <w:rFonts w:ascii="Arial" w:cs="Arial" w:eastAsia="Arial" w:hAnsi="Arial"/>
          <w:sz w:val="20"/>
          <w:szCs w:val="20"/>
          <w:color w:val="auto"/>
        </w:rPr>
      </w:pPr>
      <w:r>
        <w:rPr>
          <w:rFonts w:ascii="Arial" w:cs="Arial" w:eastAsia="Arial" w:hAnsi="Arial"/>
          <w:sz w:val="20"/>
          <w:szCs w:val="20"/>
          <w:i w:val="1"/>
          <w:iCs w:val="1"/>
          <w:color w:val="auto"/>
        </w:rPr>
        <w:t xml:space="preserve">Description of the Business and Basis of Presentation </w:t>
      </w:r>
      <w:r>
        <w:rPr>
          <w:rFonts w:ascii="Arial" w:cs="Arial" w:eastAsia="Arial" w:hAnsi="Arial"/>
          <w:sz w:val="20"/>
          <w:szCs w:val="20"/>
          <w:color w:val="auto"/>
        </w:rPr>
        <w:t>of the Notes to Consolidated Financial Statements of this Quarterly Report on Form</w:t>
      </w:r>
      <w:r>
        <w:rPr>
          <w:rFonts w:ascii="Arial" w:cs="Arial" w:eastAsia="Arial" w:hAnsi="Arial"/>
          <w:sz w:val="20"/>
          <w:szCs w:val="20"/>
          <w:i w:val="1"/>
          <w:iCs w:val="1"/>
          <w:color w:val="auto"/>
        </w:rPr>
        <w:t xml:space="preserve"> </w:t>
      </w:r>
      <w:r>
        <w:rPr>
          <w:rFonts w:ascii="Arial" w:cs="Arial" w:eastAsia="Arial" w:hAnsi="Arial"/>
          <w:sz w:val="20"/>
          <w:szCs w:val="20"/>
          <w:color w:val="auto"/>
        </w:rPr>
        <w:t>10-Q.</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27, 2020, except as set forth below. See Part II, Item 7A., “Quantitative and Qualitative Disclosures about Market Risk,” in our Annual Report on Form 10-K for the year ended December 27, 2020 for further information regarding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thirteen weeks ended March 28, 2021, a 10% change in average foreign currency rates against the U.S. dollar would have increased or decreased our Total revenues for our consolidated foreign entities by $8.8 million. The 10% change would not have had a material effect on Net income. Currently, we do not enter into currency forward exchange or option contracts to hedge foreign currency exposures.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March 28, 2021.</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March 28,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18 -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2020 Form 10-K which could materially affect our business, financial condition or future results. There have not been any material changes to the risk factors described in our 2020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first quarter of 2021 that were not registered under the Securities Act of 1933.</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We did not repurchase any shares of our outstanding common stock during the thirteen weeks ended March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6260" w:type="dxa"/>
            <w:vAlign w:val="bottom"/>
            <w:gridSpan w:val="8"/>
            <w:vMerge w:val="restart"/>
          </w:tcPr>
          <w:p>
            <w:pPr>
              <w:ind w:left="1980"/>
              <w:spacing w:after="0"/>
              <w:rPr>
                <w:sz w:val="20"/>
                <w:szCs w:val="20"/>
                <w:color w:val="auto"/>
              </w:rPr>
            </w:pPr>
            <w:r>
              <w:rPr>
                <w:rFonts w:ascii="Arial" w:cs="Arial" w:eastAsia="Arial" w:hAnsi="Arial"/>
                <w:sz w:val="16"/>
                <w:szCs w:val="16"/>
                <w:b w:val="1"/>
                <w:bCs w:val="1"/>
                <w:color w:val="auto"/>
              </w:rPr>
              <w:t>DESCRIPTION OF EXHIBITS</w:t>
            </w:r>
          </w:p>
        </w:tc>
        <w:tc>
          <w:tcPr>
            <w:tcW w:w="40" w:type="dxa"/>
            <w:vAlign w:val="bottom"/>
            <w:vMerge w:val="restart"/>
          </w:tcPr>
          <w:p>
            <w:pPr>
              <w:spacing w:after="0"/>
              <w:rPr>
                <w:sz w:val="16"/>
                <w:szCs w:val="16"/>
                <w:color w:val="auto"/>
              </w:rPr>
            </w:pPr>
          </w:p>
        </w:tc>
        <w:tc>
          <w:tcPr>
            <w:tcW w:w="3720" w:type="dxa"/>
            <w:vAlign w:val="bottom"/>
          </w:tcPr>
          <w:p>
            <w:pPr>
              <w:ind w:left="7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8"/>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72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gridSpan w:val="9"/>
          </w:tcPr>
          <w:p>
            <w:pPr>
              <w:spacing w:after="0"/>
              <w:rPr>
                <w:rFonts w:ascii="Arial" w:cs="Arial" w:eastAsia="Arial" w:hAnsi="Arial"/>
                <w:sz w:val="20"/>
                <w:szCs w:val="20"/>
                <w:color w:val="0000FF"/>
              </w:rPr>
            </w:pPr>
            <w:hyperlink w:anchor="page54">
              <w:r>
                <w:rPr>
                  <w:rFonts w:ascii="Arial" w:cs="Arial" w:eastAsia="Arial" w:hAnsi="Arial"/>
                  <w:sz w:val="20"/>
                  <w:szCs w:val="20"/>
                  <w:color w:val="0000FF"/>
                </w:rPr>
                <w:t>Certification of Chief Executive Officer pursuant to Section 302 of the</w:t>
              </w:r>
            </w:hyperlink>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4"/>
              </w:rPr>
            </w:pPr>
            <w:hyperlink w:anchor="page54">
              <w:r>
                <w:rPr>
                  <w:rFonts w:ascii="Arial" w:cs="Arial" w:eastAsia="Arial" w:hAnsi="Arial"/>
                  <w:sz w:val="19"/>
                  <w:szCs w:val="19"/>
                  <w:color w:val="0000FF"/>
                  <w:w w:val="94"/>
                </w:rPr>
                <w:t>Sarbanes-Oxley Act of 2002</w:t>
              </w:r>
            </w:hyperlink>
          </w:p>
        </w:tc>
        <w:tc>
          <w:tcPr>
            <w:tcW w:w="39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9"/>
          </w:tcPr>
          <w:p>
            <w:pPr>
              <w:spacing w:after="0"/>
              <w:rPr>
                <w:rFonts w:ascii="Arial" w:cs="Arial" w:eastAsia="Arial" w:hAnsi="Arial"/>
                <w:sz w:val="20"/>
                <w:szCs w:val="20"/>
                <w:color w:val="0000FF"/>
              </w:rPr>
            </w:pPr>
            <w:hyperlink w:anchor="page55">
              <w:r>
                <w:rPr>
                  <w:rFonts w:ascii="Arial" w:cs="Arial" w:eastAsia="Arial" w:hAnsi="Arial"/>
                  <w:sz w:val="20"/>
                  <w:szCs w:val="20"/>
                  <w:color w:val="0000FF"/>
                </w:rPr>
                <w:t>Certification of Chief Financial Officer pursuant to Section 302 of the</w:t>
              </w:r>
            </w:hyperlink>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4"/>
              </w:rPr>
            </w:pPr>
            <w:hyperlink w:anchor="page55">
              <w:r>
                <w:rPr>
                  <w:rFonts w:ascii="Arial" w:cs="Arial" w:eastAsia="Arial" w:hAnsi="Arial"/>
                  <w:sz w:val="19"/>
                  <w:szCs w:val="19"/>
                  <w:color w:val="0000FF"/>
                  <w:w w:val="94"/>
                </w:rPr>
                <w:t>Sarbanes-Oxley Act of 2002</w:t>
              </w:r>
            </w:hyperlink>
          </w:p>
        </w:tc>
        <w:tc>
          <w:tcPr>
            <w:tcW w:w="39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9"/>
          </w:tcPr>
          <w:p>
            <w:pPr>
              <w:spacing w:after="0"/>
              <w:rPr>
                <w:rFonts w:ascii="Arial" w:cs="Arial" w:eastAsia="Arial" w:hAnsi="Arial"/>
                <w:sz w:val="20"/>
                <w:szCs w:val="20"/>
                <w:color w:val="0000FF"/>
                <w:w w:val="94"/>
              </w:rPr>
            </w:pPr>
            <w:hyperlink w:anchor="page56">
              <w:r>
                <w:rPr>
                  <w:rFonts w:ascii="Arial" w:cs="Arial" w:eastAsia="Arial" w:hAnsi="Arial"/>
                  <w:sz w:val="20"/>
                  <w:szCs w:val="20"/>
                  <w:color w:val="0000FF"/>
                  <w:w w:val="94"/>
                </w:rPr>
                <w:t>Certification of Chief Executive Officer pursuant to 18 U.S.C. Section 1350,</w:t>
              </w:r>
            </w:hyperlink>
          </w:p>
        </w:tc>
        <w:tc>
          <w:tcPr>
            <w:tcW w:w="3720" w:type="dxa"/>
            <w:vAlign w:val="bottom"/>
          </w:tcPr>
          <w:p>
            <w:pPr>
              <w:ind w:left="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3"/>
              </w:rPr>
            </w:pPr>
            <w:hyperlink w:anchor="page56">
              <w:r>
                <w:rPr>
                  <w:rFonts w:ascii="Arial" w:cs="Arial" w:eastAsia="Arial" w:hAnsi="Arial"/>
                  <w:sz w:val="19"/>
                  <w:szCs w:val="19"/>
                  <w:color w:val="0000FF"/>
                  <w:w w:val="93"/>
                </w:rPr>
                <w:t>as adopted pursuant to Section 906 of the Sarbanes-Oxley Act of 2002 (1)</w:t>
              </w:r>
            </w:hyperlink>
          </w:p>
        </w:tc>
        <w:tc>
          <w:tcPr>
            <w:tcW w:w="36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9"/>
          </w:tcPr>
          <w:p>
            <w:pPr>
              <w:spacing w:after="0"/>
              <w:rPr>
                <w:rFonts w:ascii="Arial" w:cs="Arial" w:eastAsia="Arial" w:hAnsi="Arial"/>
                <w:sz w:val="20"/>
                <w:szCs w:val="20"/>
                <w:color w:val="0000FF"/>
                <w:w w:val="95"/>
              </w:rPr>
            </w:pPr>
            <w:hyperlink w:anchor="page57">
              <w:r>
                <w:rPr>
                  <w:rFonts w:ascii="Arial" w:cs="Arial" w:eastAsia="Arial" w:hAnsi="Arial"/>
                  <w:sz w:val="20"/>
                  <w:szCs w:val="20"/>
                  <w:color w:val="0000FF"/>
                  <w:w w:val="95"/>
                </w:rPr>
                <w:t>Certification of Chief Financial Officer pursuant to 18 U.S.C. Section 1350,</w:t>
              </w:r>
            </w:hyperlink>
          </w:p>
        </w:tc>
        <w:tc>
          <w:tcPr>
            <w:tcW w:w="3720" w:type="dxa"/>
            <w:vAlign w:val="bottom"/>
          </w:tcPr>
          <w:p>
            <w:pPr>
              <w:ind w:left="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tcBorders>
              <w:top w:val="single" w:sz="8" w:color="0000FF"/>
            </w:tcBorders>
            <w:gridSpan w:val="5"/>
          </w:tcPr>
          <w:p>
            <w:pPr>
              <w:spacing w:after="0" w:line="169" w:lineRule="exact"/>
              <w:rPr>
                <w:rFonts w:ascii="Arial" w:cs="Arial" w:eastAsia="Arial" w:hAnsi="Arial"/>
                <w:sz w:val="19"/>
                <w:szCs w:val="19"/>
                <w:color w:val="0000FF"/>
                <w:w w:val="99"/>
              </w:rPr>
            </w:pPr>
            <w:hyperlink w:anchor="page57">
              <w:r>
                <w:rPr>
                  <w:rFonts w:ascii="Arial" w:cs="Arial" w:eastAsia="Arial" w:hAnsi="Arial"/>
                  <w:sz w:val="19"/>
                  <w:szCs w:val="19"/>
                  <w:color w:val="0000FF"/>
                  <w:w w:val="99"/>
                </w:rPr>
                <w:t>as adopted pursuant to Section 906 of the Sarbanes-Oxley Act of 2002 (1)</w:t>
              </w:r>
            </w:hyperlink>
          </w:p>
        </w:tc>
        <w:tc>
          <w:tcPr>
            <w:tcW w:w="100" w:type="dxa"/>
            <w:vAlign w:val="bottom"/>
            <w:gridSpan w:val="4"/>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0" w:type="dxa"/>
            <w:vAlign w:val="bottom"/>
            <w:gridSpan w:val="2"/>
          </w:tcPr>
          <w:p>
            <w:pPr>
              <w:ind w:left="220"/>
              <w:spacing w:after="0"/>
              <w:rPr>
                <w:sz w:val="20"/>
                <w:szCs w:val="20"/>
                <w:color w:val="auto"/>
              </w:rPr>
            </w:pPr>
            <w:r>
              <w:rPr>
                <w:rFonts w:ascii="Arial" w:cs="Arial" w:eastAsia="Arial" w:hAnsi="Arial"/>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auto"/>
              </w:rPr>
              <w:t>Inline XBRL Instance Document</w:t>
            </w:r>
          </w:p>
        </w:tc>
        <w:tc>
          <w:tcPr>
            <w:tcW w:w="440" w:type="dxa"/>
            <w:vAlign w:val="bottom"/>
            <w:gridSpan w:val="7"/>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Arial" w:cs="Arial" w:eastAsia="Arial" w:hAnsi="Arial"/>
                <w:sz w:val="20"/>
                <w:szCs w:val="20"/>
                <w:color w:val="auto"/>
              </w:rPr>
              <w:t>101.SCH</w:t>
            </w: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Inline XBRL Taxonomy Extension Schema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200"/>
              <w:spacing w:after="0"/>
              <w:rPr>
                <w:sz w:val="20"/>
                <w:szCs w:val="20"/>
                <w:color w:val="auto"/>
              </w:rPr>
            </w:pPr>
            <w:r>
              <w:rPr>
                <w:rFonts w:ascii="Arial" w:cs="Arial" w:eastAsia="Arial" w:hAnsi="Arial"/>
                <w:sz w:val="20"/>
                <w:szCs w:val="20"/>
                <w:color w:val="auto"/>
              </w:rPr>
              <w:t>101.DEF</w:t>
            </w: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18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200" w:type="dxa"/>
            <w:vAlign w:val="bottom"/>
            <w:gridSpan w:val="2"/>
          </w:tcPr>
          <w:p>
            <w:pPr>
              <w:ind w:left="200"/>
              <w:spacing w:after="0"/>
              <w:rPr>
                <w:sz w:val="20"/>
                <w:szCs w:val="20"/>
                <w:color w:val="auto"/>
              </w:rPr>
            </w:pPr>
            <w:r>
              <w:rPr>
                <w:rFonts w:ascii="Arial" w:cs="Arial" w:eastAsia="Arial" w:hAnsi="Arial"/>
                <w:sz w:val="20"/>
                <w:szCs w:val="20"/>
                <w:color w:val="auto"/>
              </w:rPr>
              <w:t>101.PRE</w:t>
            </w: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39"/>
        </w:trPr>
        <w:tc>
          <w:tcPr>
            <w:tcW w:w="110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w w:val="93"/>
              </w:rPr>
              <w:t>Cover Page Interactive Data File (formatted as inline XBRL and contained in</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gridSpan w:val="9"/>
          </w:tcPr>
          <w:p>
            <w:pPr>
              <w:spacing w:after="0"/>
              <w:rPr>
                <w:sz w:val="20"/>
                <w:szCs w:val="20"/>
                <w:color w:val="auto"/>
              </w:rPr>
            </w:pPr>
            <w:r>
              <w:rPr>
                <w:rFonts w:ascii="Arial" w:cs="Arial" w:eastAsia="Arial" w:hAnsi="Arial"/>
                <w:sz w:val="20"/>
                <w:szCs w:val="20"/>
                <w:color w:val="auto"/>
              </w:rPr>
              <w:t>Exhibit 101)</w:t>
            </w: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20" w:right="20" w:firstLine="6"/>
        <w:spacing w:after="0" w:line="218" w:lineRule="auto"/>
        <w:tabs>
          <w:tab w:leader="none" w:pos="30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20"/>
        <w:spacing w:after="0"/>
        <w:tabs>
          <w:tab w:leader="none" w:pos="660" w:val="left"/>
          <w:tab w:leader="none" w:pos="4640" w:val="left"/>
        </w:tabs>
        <w:rPr>
          <w:sz w:val="20"/>
          <w:szCs w:val="20"/>
          <w:color w:val="auto"/>
        </w:rPr>
      </w:pPr>
      <w:r>
        <w:rPr>
          <w:rFonts w:ascii="Arial" w:cs="Arial" w:eastAsia="Arial" w:hAnsi="Arial"/>
          <w:sz w:val="20"/>
          <w:szCs w:val="20"/>
          <w:color w:val="auto"/>
        </w:rPr>
        <w:t>Date:</w:t>
        <w:tab/>
        <w:t>April 30, 2021</w:t>
      </w:r>
      <w:r>
        <w:rPr>
          <w:sz w:val="20"/>
          <w:szCs w:val="20"/>
          <w:color w:val="auto"/>
        </w:rPr>
        <w:tab/>
      </w:r>
      <w:r>
        <w:rPr>
          <w:rFonts w:ascii="Arial" w:cs="Arial" w:eastAsia="Arial" w:hAnsi="Arial"/>
          <w:sz w:val="19"/>
          <w:szCs w:val="19"/>
          <w:color w:val="auto"/>
        </w:rPr>
        <w:t>BLOOMIN’ BRANDS, INC.</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(Registrant)</w:t>
      </w:r>
    </w:p>
    <w:p>
      <w:pPr>
        <w:spacing w:after="0" w:line="114"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10160</wp:posOffset>
            </wp:positionV>
            <wp:extent cx="41662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Christopher Meyer</w:t>
      </w:r>
    </w:p>
    <w:p>
      <w:pPr>
        <w:ind w:left="5140"/>
        <w:spacing w:after="0" w:line="197" w:lineRule="auto"/>
        <w:rPr>
          <w:sz w:val="20"/>
          <w:szCs w:val="20"/>
          <w:color w:val="auto"/>
        </w:rPr>
      </w:pPr>
      <w:r>
        <w:rPr>
          <w:rFonts w:ascii="Arial" w:cs="Arial" w:eastAsia="Arial" w:hAnsi="Arial"/>
          <w:sz w:val="20"/>
          <w:szCs w:val="20"/>
          <w:color w:val="auto"/>
        </w:rPr>
        <w:t>Executive Vice President and Chief Financial Officer</w:t>
      </w:r>
    </w:p>
    <w:p>
      <w:pPr>
        <w:ind w:left="514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4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4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April 30, 2021</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ind w:left="492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6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4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April 30, 2021</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ind w:left="492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240"/>
          </w:cols>
          <w:pgMar w:left="320" w:top="36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March 28, 2021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April 30, 2021</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ind w:left="492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March 28, 2021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April 30, 2021</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ind w:left="492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Financial and Accounting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1"/>
      <w:numFmt w:val="lowerRoman"/>
      <w:start w:val="1"/>
    </w:lvl>
    <w:lvl w:ilvl="1">
      <w:lvlJc w:val="left"/>
      <w:lvlText w:val="(%2)"/>
      <w:numFmt w:val="lowerRoman"/>
      <w:start w:val="7"/>
    </w:lvl>
  </w:abstractNum>
  <w:abstractNum w:abstractNumId="24">
    <w:nsid w:val="440BADFC"/>
    <w:multiLevelType w:val="hybridMultilevel"/>
    <w:lvl w:ilvl="0">
      <w:lvlJc w:val="left"/>
      <w:lvlText w:val="(%1)"/>
      <w:numFmt w:val="lowerRoman"/>
      <w:start w:val="18"/>
    </w:lvl>
    <w:lvl w:ilvl="1">
      <w:lvlJc w:val="left"/>
      <w:lvlText w:val="%2"/>
      <w:numFmt w:val="lowerRoman"/>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Roman"/>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2021-04-30T15:46:00Z</dcterms:created>
  <dcterms:modified xsi:type="dcterms:W3CDTF">2021-04-30T15:46:00Z</dcterms:modified>
</cp:coreProperties>
</file>