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0"/>
          <w:szCs w:val="20"/>
          <w:b w:val="1"/>
          <w:bCs w:val="1"/>
          <w:color w:val="auto"/>
        </w:rPr>
        <w:t>(Mark One)</w:t>
      </w:r>
    </w:p>
    <w:p>
      <w:pPr>
        <w:spacing w:after="0" w:line="54" w:lineRule="exact"/>
        <w:rPr>
          <w:sz w:val="24"/>
          <w:szCs w:val="24"/>
          <w:color w:val="auto"/>
        </w:rPr>
      </w:pPr>
    </w:p>
    <w:p>
      <w:pPr>
        <w:ind w:left="1700" w:right="900" w:hanging="796"/>
        <w:spacing w:after="0" w:line="267" w:lineRule="auto"/>
        <w:tabs>
          <w:tab w:leader="none" w:pos="170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7" w:lineRule="exact"/>
        <w:rPr>
          <w:rFonts w:ascii="Arial" w:cs="Arial" w:eastAsia="Arial" w:hAnsi="Arial"/>
          <w:sz w:val="20"/>
          <w:szCs w:val="20"/>
          <w:color w:val="auto"/>
        </w:rPr>
      </w:pPr>
    </w:p>
    <w:p>
      <w:pPr>
        <w:ind w:left="1700"/>
        <w:spacing w:after="0"/>
        <w:rPr>
          <w:rFonts w:ascii="Arial" w:cs="Arial" w:eastAsia="Arial" w:hAnsi="Arial"/>
          <w:sz w:val="20"/>
          <w:szCs w:val="20"/>
          <w:color w:val="auto"/>
        </w:rPr>
      </w:pPr>
      <w:r>
        <w:rPr>
          <w:rFonts w:ascii="Arial" w:cs="Arial" w:eastAsia="Arial" w:hAnsi="Arial"/>
          <w:sz w:val="20"/>
          <w:szCs w:val="20"/>
          <w:color w:val="auto"/>
        </w:rPr>
        <w:t>For the quarterly period ended April 1, 2018</w:t>
      </w:r>
    </w:p>
    <w:p>
      <w:pPr>
        <w:spacing w:after="0" w:line="54" w:lineRule="exact"/>
        <w:rPr>
          <w:sz w:val="24"/>
          <w:szCs w:val="24"/>
          <w:color w:val="auto"/>
        </w:rPr>
      </w:pPr>
    </w:p>
    <w:p>
      <w:pPr>
        <w:ind w:left="6180"/>
        <w:spacing w:after="0"/>
        <w:rPr>
          <w:sz w:val="20"/>
          <w:szCs w:val="20"/>
          <w:color w:val="auto"/>
        </w:rPr>
      </w:pPr>
      <w:r>
        <w:rPr>
          <w:rFonts w:ascii="Arial" w:cs="Arial" w:eastAsia="Arial" w:hAnsi="Arial"/>
          <w:sz w:val="20"/>
          <w:szCs w:val="20"/>
          <w:color w:val="auto"/>
        </w:rPr>
        <w:t>or</w:t>
      </w:r>
    </w:p>
    <w:p>
      <w:pPr>
        <w:spacing w:after="0" w:line="48" w:lineRule="exact"/>
        <w:rPr>
          <w:sz w:val="24"/>
          <w:szCs w:val="24"/>
          <w:color w:val="auto"/>
        </w:rPr>
      </w:pPr>
    </w:p>
    <w:p>
      <w:pPr>
        <w:ind w:left="1100" w:hanging="174"/>
        <w:spacing w:after="0"/>
        <w:tabs>
          <w:tab w:leader="none" w:pos="1100" w:val="left"/>
        </w:tabs>
        <w:numPr>
          <w:ilvl w:val="0"/>
          <w:numId w:val="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19"/>
          <w:szCs w:val="19"/>
          <w:b w:val="1"/>
          <w:bCs w:val="1"/>
          <w:color w:val="auto"/>
        </w:rPr>
        <w:t>TRANSITION REPORT PURSUANT TO SECTION 13 OR 15(d) OF THE SECURITIES EXCHANGE</w:t>
      </w:r>
    </w:p>
    <w:p>
      <w:pPr>
        <w:spacing w:after="0" w:line="21" w:lineRule="exact"/>
        <w:rPr>
          <w:rFonts w:ascii="Arial" w:cs="Arial" w:eastAsia="Arial" w:hAnsi="Arial"/>
          <w:sz w:val="20"/>
          <w:szCs w:val="20"/>
          <w:color w:val="auto"/>
        </w:rPr>
      </w:pPr>
    </w:p>
    <w:p>
      <w:pPr>
        <w:ind w:left="1700"/>
        <w:spacing w:after="0"/>
        <w:rPr>
          <w:rFonts w:ascii="Arial" w:cs="Arial" w:eastAsia="Arial" w:hAnsi="Arial"/>
          <w:sz w:val="20"/>
          <w:szCs w:val="20"/>
          <w:color w:val="auto"/>
        </w:rPr>
      </w:pPr>
      <w:r>
        <w:rPr>
          <w:rFonts w:ascii="Arial" w:cs="Arial" w:eastAsia="Arial" w:hAnsi="Arial"/>
          <w:sz w:val="20"/>
          <w:szCs w:val="20"/>
          <w:b w:val="1"/>
          <w:bCs w:val="1"/>
          <w:color w:val="auto"/>
        </w:rPr>
        <w:t>ACT OF 1934</w:t>
      </w:r>
    </w:p>
    <w:p>
      <w:pPr>
        <w:spacing w:after="0" w:line="38" w:lineRule="exact"/>
        <w:rPr>
          <w:sz w:val="24"/>
          <w:szCs w:val="24"/>
          <w:color w:val="auto"/>
        </w:rPr>
      </w:pPr>
    </w:p>
    <w:p>
      <w:pPr>
        <w:ind w:left="1700"/>
        <w:spacing w:after="0"/>
        <w:rPr>
          <w:sz w:val="20"/>
          <w:szCs w:val="20"/>
          <w:color w:val="auto"/>
        </w:rPr>
      </w:pPr>
      <w:r>
        <w:rPr>
          <w:rFonts w:ascii="Arial" w:cs="Arial" w:eastAsia="Arial" w:hAnsi="Arial"/>
          <w:sz w:val="20"/>
          <w:szCs w:val="20"/>
          <w:color w:val="auto"/>
        </w:rPr>
        <w:t>For the transition period from ______ to ______</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Commission File Number: 001-35625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156210</wp:posOffset>
            </wp:positionV>
            <wp:extent cx="866140" cy="1380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6140" cy="13804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BLOOMIN’ BRANDS,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724" w:right="239" w:bottom="1440" w:gutter="0" w:footer="0" w:header="0"/>
        </w:sectPr>
      </w:pPr>
    </w:p>
    <w:p>
      <w:pPr>
        <w:spacing w:after="0" w:line="149" w:lineRule="exact"/>
        <w:rPr>
          <w:sz w:val="24"/>
          <w:szCs w:val="24"/>
          <w:color w:val="auto"/>
        </w:rPr>
      </w:pPr>
    </w:p>
    <w:p>
      <w:pPr>
        <w:ind w:left="25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20-8023465</w:t>
      </w:r>
    </w:p>
    <w:p>
      <w:pPr>
        <w:spacing w:after="0" w:line="113" w:lineRule="exact"/>
        <w:rPr>
          <w:sz w:val="24"/>
          <w:szCs w:val="24"/>
          <w:color w:val="auto"/>
        </w:rPr>
      </w:pPr>
    </w:p>
    <w:p>
      <w:pPr>
        <w:sectPr>
          <w:pgSz w:w="11900" w:h="16838" w:orient="portrait"/>
          <w:cols w:equalWidth="0" w:num="2">
            <w:col w:w="7420" w:space="720"/>
            <w:col w:w="3280"/>
          </w:cols>
          <w:pgMar w:left="240" w:top="724" w:right="239" w:bottom="1440" w:gutter="0" w:footer="0" w:header="0"/>
          <w:type w:val="continuous"/>
        </w:sectPr>
      </w:pPr>
    </w:p>
    <w:p>
      <w:pPr>
        <w:ind w:left="96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58" w:lineRule="exact"/>
        <w:rPr>
          <w:sz w:val="24"/>
          <w:szCs w:val="24"/>
          <w:color w:val="auto"/>
        </w:rPr>
      </w:pPr>
    </w:p>
    <w:p>
      <w:pPr>
        <w:sectPr>
          <w:pgSz w:w="11900" w:h="16838" w:orient="portrait"/>
          <w:cols w:equalWidth="0" w:num="2">
            <w:col w:w="6700" w:space="720"/>
            <w:col w:w="4000"/>
          </w:cols>
          <w:pgMar w:left="240" w:top="724" w:right="239" w:bottom="1440" w:gutter="0" w:footer="0" w:header="0"/>
          <w:type w:val="continuous"/>
        </w:sectPr>
      </w:pPr>
    </w:p>
    <w:p>
      <w:pPr>
        <w:jc w:val="center"/>
        <w:ind w:right="-19"/>
        <w:spacing w:after="0"/>
        <w:rPr>
          <w:sz w:val="20"/>
          <w:szCs w:val="20"/>
          <w:color w:val="auto"/>
        </w:rPr>
      </w:pPr>
      <w:r>
        <w:rPr>
          <w:rFonts w:ascii="Arial" w:cs="Arial" w:eastAsia="Arial" w:hAnsi="Arial"/>
          <w:sz w:val="20"/>
          <w:szCs w:val="20"/>
          <w:b w:val="1"/>
          <w:bCs w:val="1"/>
          <w:color w:val="auto"/>
        </w:rPr>
        <w:t>2202 North West Shore Boulevard, Suite 500, Tampa, Florida 33607</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(Zip Code)</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(813) 282-1225</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N/A</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03"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Large accelerated filer x Accelerated filer o Non-accelerated filer o (Do not check if a smaller reporting company)</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Smaller reporting company o Emerging growth company o</w:t>
      </w:r>
    </w:p>
    <w:p>
      <w:pPr>
        <w:spacing w:after="0" w:line="211"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May 3, 2018, 92,830,371 shares of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24" w:right="239" w:bottom="1440" w:gutter="0" w:footer="0" w:header="0"/>
          <w:type w:val="continuous"/>
        </w:sectPr>
      </w:pPr>
    </w:p>
    <w:bookmarkStart w:id="1" w:name="page2"/>
    <w:bookmarkEnd w:id="1"/>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bl>
      <w:tblPr>
        <w:tblLayout w:type="fixed"/>
        <w:tblInd w:w="0" w:type="dxa"/>
        <w:tblCellMar>
          <w:top w:w="0" w:type="dxa"/>
          <w:left w:w="0" w:type="dxa"/>
          <w:bottom w:w="0" w:type="dxa"/>
          <w:right w:w="0" w:type="dxa"/>
        </w:tblCellMar>
      </w:tblPr>
      <w:tr>
        <w:trPr>
          <w:trHeight w:val="276"/>
        </w:trPr>
        <w:tc>
          <w:tcPr>
            <w:tcW w:w="10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00" w:type="dxa"/>
            <w:vAlign w:val="bottom"/>
            <w:gridSpan w:val="9"/>
          </w:tcPr>
          <w:p>
            <w:pPr>
              <w:jc w:val="center"/>
              <w:ind w:right="2520"/>
              <w:spacing w:after="0"/>
              <w:rPr>
                <w:sz w:val="20"/>
                <w:szCs w:val="20"/>
                <w:color w:val="auto"/>
              </w:rPr>
            </w:pPr>
            <w:r>
              <w:rPr>
                <w:rFonts w:ascii="Arial" w:cs="Arial" w:eastAsia="Arial" w:hAnsi="Arial"/>
                <w:sz w:val="20"/>
                <w:szCs w:val="20"/>
                <w:b w:val="1"/>
                <w:bCs w:val="1"/>
                <w:color w:val="auto"/>
                <w:w w:val="99"/>
              </w:rPr>
              <w:t>BLOOMIN’ BRANDS, INC.</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862"/>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00" w:type="dxa"/>
            <w:vAlign w:val="bottom"/>
            <w:gridSpan w:val="13"/>
          </w:tcPr>
          <w:p>
            <w:pPr>
              <w:jc w:val="center"/>
              <w:ind w:right="1520"/>
              <w:spacing w:after="0"/>
              <w:rPr>
                <w:sz w:val="20"/>
                <w:szCs w:val="20"/>
                <w:color w:val="auto"/>
              </w:rPr>
            </w:pPr>
            <w:r>
              <w:rPr>
                <w:rFonts w:ascii="Arial" w:cs="Arial" w:eastAsia="Arial" w:hAnsi="Arial"/>
                <w:sz w:val="20"/>
                <w:szCs w:val="20"/>
                <w:color w:val="auto"/>
                <w:w w:val="94"/>
              </w:rPr>
              <w:t>INDEX TO QUARTERLY REPORT ON FORM 10-Q</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0"/>
        </w:trPr>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980" w:type="dxa"/>
            <w:vAlign w:val="bottom"/>
            <w:gridSpan w:val="11"/>
          </w:tcPr>
          <w:p>
            <w:pPr>
              <w:jc w:val="center"/>
              <w:ind w:right="2220"/>
              <w:spacing w:after="0"/>
              <w:rPr>
                <w:sz w:val="20"/>
                <w:szCs w:val="20"/>
                <w:color w:val="auto"/>
              </w:rPr>
            </w:pPr>
            <w:r>
              <w:rPr>
                <w:rFonts w:ascii="Arial" w:cs="Arial" w:eastAsia="Arial" w:hAnsi="Arial"/>
                <w:sz w:val="20"/>
                <w:szCs w:val="20"/>
                <w:color w:val="auto"/>
                <w:w w:val="90"/>
              </w:rPr>
              <w:t>For the Quarterly Period Ended April 1, 2018</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50"/>
        </w:trPr>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20" w:type="dxa"/>
            <w:vAlign w:val="bottom"/>
            <w:gridSpan w:val="8"/>
          </w:tcPr>
          <w:p>
            <w:pPr>
              <w:jc w:val="center"/>
              <w:ind w:right="3380"/>
              <w:spacing w:after="0"/>
              <w:rPr>
                <w:sz w:val="20"/>
                <w:szCs w:val="20"/>
                <w:color w:val="auto"/>
              </w:rPr>
            </w:pPr>
            <w:r>
              <w:rPr>
                <w:rFonts w:ascii="Arial" w:cs="Arial" w:eastAsia="Arial" w:hAnsi="Arial"/>
                <w:sz w:val="20"/>
                <w:szCs w:val="20"/>
                <w:color w:val="auto"/>
                <w:w w:val="91"/>
              </w:rPr>
              <w:t>(Unaudited)</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446"/>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00" w:type="dxa"/>
            <w:vAlign w:val="bottom"/>
            <w:gridSpan w:val="9"/>
          </w:tcPr>
          <w:p>
            <w:pPr>
              <w:jc w:val="center"/>
              <w:ind w:right="2500"/>
              <w:spacing w:after="0"/>
              <w:rPr>
                <w:sz w:val="20"/>
                <w:szCs w:val="20"/>
                <w:color w:val="auto"/>
              </w:rPr>
            </w:pPr>
            <w:r>
              <w:rPr>
                <w:rFonts w:ascii="Arial" w:cs="Arial" w:eastAsia="Arial" w:hAnsi="Arial"/>
                <w:sz w:val="20"/>
                <w:szCs w:val="20"/>
                <w:color w:val="auto"/>
                <w:w w:val="94"/>
              </w:rPr>
              <w:t>TABLE OF CONTENTS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563"/>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00" w:type="dxa"/>
            <w:vAlign w:val="bottom"/>
            <w:gridSpan w:val="13"/>
          </w:tcPr>
          <w:p>
            <w:pPr>
              <w:jc w:val="center"/>
              <w:ind w:right="1960"/>
              <w:spacing w:after="0"/>
              <w:rPr>
                <w:rFonts w:ascii="Arial" w:cs="Arial" w:eastAsia="Arial" w:hAnsi="Arial"/>
                <w:sz w:val="20"/>
                <w:szCs w:val="20"/>
                <w:color w:val="0000FF"/>
                <w:w w:val="97"/>
              </w:rPr>
            </w:pPr>
            <w:hyperlink w:anchor="page3">
              <w:r>
                <w:rPr>
                  <w:rFonts w:ascii="Arial" w:cs="Arial" w:eastAsia="Arial" w:hAnsi="Arial"/>
                  <w:sz w:val="20"/>
                  <w:szCs w:val="20"/>
                  <w:color w:val="0000FF"/>
                  <w:w w:val="97"/>
                </w:rPr>
                <w:t>PART I — FINANCIAL INFORMATION</w:t>
              </w:r>
            </w:hyperlink>
          </w:p>
        </w:tc>
        <w:tc>
          <w:tcPr>
            <w:tcW w:w="1600" w:type="dxa"/>
            <w:vAlign w:val="bottom"/>
            <w:gridSpan w:val="3"/>
          </w:tcPr>
          <w:p>
            <w:pPr>
              <w:ind w:left="440"/>
              <w:spacing w:after="0"/>
              <w:rPr>
                <w:sz w:val="20"/>
                <w:szCs w:val="20"/>
                <w:color w:val="auto"/>
              </w:rPr>
            </w:pPr>
            <w:r>
              <w:rPr>
                <w:rFonts w:ascii="Arial" w:cs="Arial" w:eastAsia="Arial" w:hAnsi="Arial"/>
                <w:sz w:val="20"/>
                <w:szCs w:val="20"/>
                <w:color w:val="auto"/>
              </w:rPr>
              <w:t>Page No.</w:t>
            </w:r>
          </w:p>
        </w:tc>
      </w:tr>
      <w:tr>
        <w:trPr>
          <w:trHeight w:val="55"/>
        </w:trPr>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338"/>
        </w:trPr>
        <w:tc>
          <w:tcPr>
            <w:tcW w:w="1020" w:type="dxa"/>
            <w:vAlign w:val="bottom"/>
          </w:tcPr>
          <w:p>
            <w:pPr>
              <w:ind w:left="40"/>
              <w:spacing w:after="0"/>
              <w:rPr>
                <w:sz w:val="20"/>
                <w:szCs w:val="20"/>
                <w:color w:val="auto"/>
              </w:rPr>
            </w:pPr>
            <w:r>
              <w:rPr>
                <w:rFonts w:ascii="Arial" w:cs="Arial" w:eastAsia="Arial" w:hAnsi="Arial"/>
                <w:sz w:val="20"/>
                <w:szCs w:val="20"/>
                <w:color w:val="auto"/>
              </w:rPr>
              <w:t>Item 1.</w:t>
            </w:r>
          </w:p>
        </w:tc>
        <w:tc>
          <w:tcPr>
            <w:tcW w:w="160" w:type="dxa"/>
            <w:vAlign w:val="bottom"/>
          </w:tcPr>
          <w:p>
            <w:pPr>
              <w:spacing w:after="0"/>
              <w:rPr>
                <w:sz w:val="24"/>
                <w:szCs w:val="24"/>
                <w:color w:val="auto"/>
              </w:rPr>
            </w:pPr>
          </w:p>
        </w:tc>
        <w:tc>
          <w:tcPr>
            <w:tcW w:w="8640" w:type="dxa"/>
            <w:vAlign w:val="bottom"/>
            <w:gridSpan w:val="20"/>
          </w:tcPr>
          <w:p>
            <w:pPr>
              <w:spacing w:after="0"/>
              <w:rPr>
                <w:rFonts w:ascii="Arial" w:cs="Arial" w:eastAsia="Arial" w:hAnsi="Arial"/>
                <w:sz w:val="20"/>
                <w:szCs w:val="20"/>
                <w:color w:val="0000EE"/>
              </w:rPr>
            </w:pPr>
            <w:hyperlink w:anchor="page3">
              <w:r>
                <w:rPr>
                  <w:rFonts w:ascii="Arial" w:cs="Arial" w:eastAsia="Arial" w:hAnsi="Arial"/>
                  <w:sz w:val="20"/>
                  <w:szCs w:val="20"/>
                  <w:color w:val="0000EE"/>
                </w:rPr>
                <w:t>Financial Statements (Unaudited)</w:t>
              </w:r>
            </w:hyperlink>
          </w:p>
        </w:tc>
        <w:tc>
          <w:tcPr>
            <w:tcW w:w="860" w:type="dxa"/>
            <w:vAlign w:val="bottom"/>
            <w:gridSpan w:val="2"/>
          </w:tcPr>
          <w:p>
            <w:pPr>
              <w:jc w:val="center"/>
              <w:ind w:left="661"/>
              <w:spacing w:after="0"/>
              <w:rPr>
                <w:rFonts w:ascii="Arial" w:cs="Arial" w:eastAsia="Arial" w:hAnsi="Arial"/>
                <w:sz w:val="20"/>
                <w:szCs w:val="20"/>
                <w:color w:val="0000EE"/>
                <w:w w:val="89"/>
              </w:rPr>
            </w:pPr>
            <w:hyperlink w:anchor="page3">
              <w:r>
                <w:rPr>
                  <w:rFonts w:ascii="Arial" w:cs="Arial" w:eastAsia="Arial" w:hAnsi="Arial"/>
                  <w:sz w:val="20"/>
                  <w:szCs w:val="20"/>
                  <w:color w:val="0000EE"/>
                  <w:w w:val="89"/>
                </w:rPr>
                <w:t>3</w:t>
              </w:r>
            </w:hyperlink>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601"/>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40" w:type="dxa"/>
            <w:vAlign w:val="bottom"/>
            <w:gridSpan w:val="20"/>
          </w:tcPr>
          <w:p>
            <w:pPr>
              <w:ind w:left="140"/>
              <w:spacing w:after="0"/>
              <w:rPr>
                <w:rFonts w:ascii="Arial" w:cs="Arial" w:eastAsia="Arial" w:hAnsi="Arial"/>
                <w:sz w:val="20"/>
                <w:szCs w:val="20"/>
                <w:color w:val="0000EE"/>
              </w:rPr>
            </w:pPr>
            <w:hyperlink w:anchor="page3">
              <w:r>
                <w:rPr>
                  <w:rFonts w:ascii="Arial" w:cs="Arial" w:eastAsia="Arial" w:hAnsi="Arial"/>
                  <w:sz w:val="20"/>
                  <w:szCs w:val="20"/>
                  <w:color w:val="0000EE"/>
                </w:rPr>
                <w:t>Consolidated Financial Statements:</w:t>
              </w:r>
            </w:hyperlink>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601"/>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0" w:type="dxa"/>
            <w:vAlign w:val="bottom"/>
            <w:gridSpan w:val="15"/>
          </w:tcPr>
          <w:p>
            <w:pPr>
              <w:spacing w:after="0"/>
              <w:rPr>
                <w:rFonts w:ascii="Arial" w:cs="Arial" w:eastAsia="Arial" w:hAnsi="Arial"/>
                <w:sz w:val="20"/>
                <w:szCs w:val="20"/>
                <w:color w:val="0000EE"/>
                <w:w w:val="89"/>
              </w:rPr>
            </w:pPr>
            <w:hyperlink w:anchor="page3">
              <w:r>
                <w:rPr>
                  <w:rFonts w:ascii="Arial" w:cs="Arial" w:eastAsia="Arial" w:hAnsi="Arial"/>
                  <w:sz w:val="20"/>
                  <w:szCs w:val="20"/>
                  <w:color w:val="0000EE"/>
                  <w:w w:val="89"/>
                </w:rPr>
                <w:t>Consolidated Balance Sheets — April 1, 2018 and December 31, 2017</w:t>
              </w:r>
            </w:hyperlink>
          </w:p>
        </w:tc>
        <w:tc>
          <w:tcPr>
            <w:tcW w:w="2680" w:type="dxa"/>
            <w:vAlign w:val="bottom"/>
            <w:gridSpan w:val="3"/>
          </w:tcPr>
          <w:p>
            <w:pPr>
              <w:spacing w:after="0"/>
              <w:rPr>
                <w:sz w:val="24"/>
                <w:szCs w:val="24"/>
                <w:color w:val="auto"/>
              </w:rPr>
            </w:pPr>
          </w:p>
        </w:tc>
        <w:tc>
          <w:tcPr>
            <w:tcW w:w="860" w:type="dxa"/>
            <w:vAlign w:val="bottom"/>
            <w:gridSpan w:val="2"/>
          </w:tcPr>
          <w:p>
            <w:pPr>
              <w:jc w:val="center"/>
              <w:ind w:left="661"/>
              <w:spacing w:after="0"/>
              <w:rPr>
                <w:rFonts w:ascii="Arial" w:cs="Arial" w:eastAsia="Arial" w:hAnsi="Arial"/>
                <w:sz w:val="20"/>
                <w:szCs w:val="20"/>
                <w:color w:val="0000EE"/>
                <w:w w:val="89"/>
              </w:rPr>
            </w:pPr>
            <w:hyperlink w:anchor="page3">
              <w:r>
                <w:rPr>
                  <w:rFonts w:ascii="Arial" w:cs="Arial" w:eastAsia="Arial" w:hAnsi="Arial"/>
                  <w:sz w:val="20"/>
                  <w:szCs w:val="20"/>
                  <w:color w:val="0000EE"/>
                  <w:w w:val="89"/>
                </w:rPr>
                <w:t>3</w:t>
              </w:r>
            </w:hyperlink>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601"/>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80" w:type="dxa"/>
            <w:vAlign w:val="bottom"/>
            <w:gridSpan w:val="18"/>
          </w:tcPr>
          <w:p>
            <w:pPr>
              <w:spacing w:after="0"/>
              <w:rPr>
                <w:rFonts w:ascii="Arial" w:cs="Arial" w:eastAsia="Arial" w:hAnsi="Arial"/>
                <w:sz w:val="20"/>
                <w:szCs w:val="20"/>
                <w:color w:val="0000EE"/>
              </w:rPr>
            </w:pPr>
            <w:hyperlink w:anchor="page4">
              <w:r>
                <w:rPr>
                  <w:rFonts w:ascii="Arial" w:cs="Arial" w:eastAsia="Arial" w:hAnsi="Arial"/>
                  <w:sz w:val="20"/>
                  <w:szCs w:val="20"/>
                  <w:color w:val="0000EE"/>
                </w:rPr>
                <w:t>Consolidated Statements of Operations and Comprehensive Income —</w:t>
              </w:r>
            </w:hyperlink>
          </w:p>
        </w:tc>
        <w:tc>
          <w:tcPr>
            <w:tcW w:w="860" w:type="dxa"/>
            <w:vAlign w:val="bottom"/>
            <w:gridSpan w:val="2"/>
          </w:tcPr>
          <w:p>
            <w:pPr>
              <w:jc w:val="center"/>
              <w:ind w:left="661"/>
              <w:spacing w:after="0"/>
              <w:rPr>
                <w:rFonts w:ascii="Arial" w:cs="Arial" w:eastAsia="Arial" w:hAnsi="Arial"/>
                <w:sz w:val="20"/>
                <w:szCs w:val="20"/>
                <w:color w:val="0000EE"/>
                <w:w w:val="89"/>
              </w:rPr>
            </w:pPr>
            <w:hyperlink w:anchor="page4">
              <w:r>
                <w:rPr>
                  <w:rFonts w:ascii="Arial" w:cs="Arial" w:eastAsia="Arial" w:hAnsi="Arial"/>
                  <w:sz w:val="20"/>
                  <w:szCs w:val="20"/>
                  <w:color w:val="0000EE"/>
                  <w:w w:val="89"/>
                </w:rPr>
                <w:t>4</w:t>
              </w:r>
            </w:hyperlink>
          </w:p>
        </w:tc>
        <w:tc>
          <w:tcPr>
            <w:tcW w:w="740" w:type="dxa"/>
            <w:vAlign w:val="bottom"/>
          </w:tcPr>
          <w:p>
            <w:pPr>
              <w:spacing w:after="0"/>
              <w:rPr>
                <w:sz w:val="24"/>
                <w:szCs w:val="24"/>
                <w:color w:val="auto"/>
              </w:rPr>
            </w:pPr>
          </w:p>
        </w:tc>
      </w:tr>
      <w:tr>
        <w:trPr>
          <w:trHeight w:val="210"/>
        </w:trPr>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0" w:type="dxa"/>
            <w:vAlign w:val="bottom"/>
            <w:tcBorders>
              <w:top w:val="single" w:sz="8" w:color="0000EE"/>
            </w:tcBorders>
            <w:gridSpan w:val="15"/>
          </w:tcPr>
          <w:p>
            <w:pPr>
              <w:spacing w:after="0" w:line="209" w:lineRule="exact"/>
              <w:rPr>
                <w:rFonts w:ascii="Arial" w:cs="Arial" w:eastAsia="Arial" w:hAnsi="Arial"/>
                <w:sz w:val="20"/>
                <w:szCs w:val="20"/>
                <w:color w:val="0000EE"/>
                <w:w w:val="97"/>
              </w:rPr>
            </w:pPr>
            <w:hyperlink w:anchor="page4">
              <w:r>
                <w:rPr>
                  <w:rFonts w:ascii="Arial" w:cs="Arial" w:eastAsia="Arial" w:hAnsi="Arial"/>
                  <w:sz w:val="20"/>
                  <w:szCs w:val="20"/>
                  <w:color w:val="0000EE"/>
                  <w:w w:val="97"/>
                </w:rPr>
                <w:t>For the Thirteen Weeks Ended April 1, 2018 and March 26, 2017</w:t>
              </w:r>
            </w:hyperlink>
          </w:p>
        </w:tc>
        <w:tc>
          <w:tcPr>
            <w:tcW w:w="2680" w:type="dxa"/>
            <w:vAlign w:val="bottom"/>
            <w:gridSpan w:val="3"/>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740" w:type="dxa"/>
            <w:vAlign w:val="bottom"/>
          </w:tcPr>
          <w:p>
            <w:pPr>
              <w:spacing w:after="0"/>
              <w:rPr>
                <w:sz w:val="18"/>
                <w:szCs w:val="18"/>
                <w:color w:val="auto"/>
              </w:rPr>
            </w:pPr>
          </w:p>
        </w:tc>
      </w:tr>
      <w:tr>
        <w:trPr>
          <w:trHeight w:val="547"/>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80" w:type="dxa"/>
            <w:vAlign w:val="bottom"/>
            <w:tcBorders>
              <w:top w:val="single" w:sz="8" w:color="0000EE"/>
            </w:tcBorders>
            <w:gridSpan w:val="12"/>
          </w:tcPr>
          <w:p>
            <w:pPr>
              <w:spacing w:after="0"/>
              <w:rPr>
                <w:rFonts w:ascii="Arial" w:cs="Arial" w:eastAsia="Arial" w:hAnsi="Arial"/>
                <w:sz w:val="20"/>
                <w:szCs w:val="20"/>
                <w:color w:val="0000EE"/>
                <w:w w:val="89"/>
              </w:rPr>
            </w:pPr>
            <w:hyperlink w:anchor="page5">
              <w:r>
                <w:rPr>
                  <w:rFonts w:ascii="Arial" w:cs="Arial" w:eastAsia="Arial" w:hAnsi="Arial"/>
                  <w:sz w:val="20"/>
                  <w:szCs w:val="20"/>
                  <w:color w:val="0000EE"/>
                  <w:w w:val="89"/>
                </w:rPr>
                <w:t>Consolidated Statements of Changes in Stockholders’ Equity —</w:t>
              </w:r>
            </w:hyperlink>
          </w:p>
        </w:tc>
        <w:tc>
          <w:tcPr>
            <w:tcW w:w="80" w:type="dxa"/>
            <w:vAlign w:val="bottom"/>
            <w:tcBorders>
              <w:top w:val="single" w:sz="8" w:color="0000EE"/>
            </w:tcBorders>
          </w:tcPr>
          <w:p>
            <w:pPr>
              <w:spacing w:after="0"/>
              <w:rPr>
                <w:sz w:val="24"/>
                <w:szCs w:val="24"/>
                <w:color w:val="auto"/>
              </w:rPr>
            </w:pPr>
          </w:p>
        </w:tc>
        <w:tc>
          <w:tcPr>
            <w:tcW w:w="3120" w:type="dxa"/>
            <w:vAlign w:val="bottom"/>
            <w:gridSpan w:val="5"/>
          </w:tcPr>
          <w:p>
            <w:pPr>
              <w:spacing w:after="0"/>
              <w:rPr>
                <w:sz w:val="24"/>
                <w:szCs w:val="24"/>
                <w:color w:val="auto"/>
              </w:rPr>
            </w:pPr>
          </w:p>
        </w:tc>
        <w:tc>
          <w:tcPr>
            <w:tcW w:w="860" w:type="dxa"/>
            <w:vAlign w:val="bottom"/>
            <w:gridSpan w:val="2"/>
          </w:tcPr>
          <w:p>
            <w:pPr>
              <w:jc w:val="center"/>
              <w:ind w:left="661"/>
              <w:spacing w:after="0"/>
              <w:rPr>
                <w:rFonts w:ascii="Arial" w:cs="Arial" w:eastAsia="Arial" w:hAnsi="Arial"/>
                <w:sz w:val="20"/>
                <w:szCs w:val="20"/>
                <w:color w:val="0000EE"/>
                <w:w w:val="89"/>
              </w:rPr>
            </w:pPr>
            <w:hyperlink w:anchor="page5">
              <w:r>
                <w:rPr>
                  <w:rFonts w:ascii="Arial" w:cs="Arial" w:eastAsia="Arial" w:hAnsi="Arial"/>
                  <w:sz w:val="20"/>
                  <w:szCs w:val="20"/>
                  <w:color w:val="0000EE"/>
                  <w:w w:val="89"/>
                </w:rPr>
                <w:t>5</w:t>
              </w:r>
            </w:hyperlink>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80" w:type="dxa"/>
            <w:vAlign w:val="bottom"/>
            <w:gridSpan w:val="18"/>
          </w:tcPr>
          <w:p>
            <w:pPr>
              <w:spacing w:after="0" w:line="209" w:lineRule="exact"/>
              <w:rPr>
                <w:rFonts w:ascii="Arial" w:cs="Arial" w:eastAsia="Arial" w:hAnsi="Arial"/>
                <w:sz w:val="20"/>
                <w:szCs w:val="20"/>
                <w:color w:val="0000EE"/>
              </w:rPr>
            </w:pPr>
            <w:hyperlink w:anchor="page5">
              <w:r>
                <w:rPr>
                  <w:rFonts w:ascii="Arial" w:cs="Arial" w:eastAsia="Arial" w:hAnsi="Arial"/>
                  <w:sz w:val="20"/>
                  <w:szCs w:val="20"/>
                  <w:color w:val="0000EE"/>
                </w:rPr>
                <w:t>For the Thirteen Weeks Ended April 1, 2018 and March 26, 2017</w:t>
              </w:r>
            </w:hyperlink>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601"/>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tcBorders>
              <w:top w:val="single" w:sz="8" w:color="0000EE"/>
            </w:tcBorders>
            <w:gridSpan w:val="11"/>
          </w:tcPr>
          <w:p>
            <w:pPr>
              <w:spacing w:after="0"/>
              <w:rPr>
                <w:rFonts w:ascii="Arial" w:cs="Arial" w:eastAsia="Arial" w:hAnsi="Arial"/>
                <w:sz w:val="20"/>
                <w:szCs w:val="20"/>
                <w:color w:val="0000EE"/>
                <w:w w:val="88"/>
              </w:rPr>
            </w:pPr>
            <w:hyperlink w:anchor="page7">
              <w:r>
                <w:rPr>
                  <w:rFonts w:ascii="Arial" w:cs="Arial" w:eastAsia="Arial" w:hAnsi="Arial"/>
                  <w:sz w:val="20"/>
                  <w:szCs w:val="20"/>
                  <w:color w:val="0000EE"/>
                  <w:w w:val="88"/>
                </w:rPr>
                <w:t>Condensed Consolidated Statements of Cash Flows —</w:t>
              </w:r>
            </w:hyperlink>
          </w:p>
        </w:tc>
        <w:tc>
          <w:tcPr>
            <w:tcW w:w="780" w:type="dxa"/>
            <w:vAlign w:val="bottom"/>
            <w:tcBorders>
              <w:top w:val="single" w:sz="8" w:color="0000EE"/>
            </w:tcBorders>
            <w:gridSpan w:val="2"/>
          </w:tcPr>
          <w:p>
            <w:pPr>
              <w:spacing w:after="0"/>
              <w:rPr>
                <w:sz w:val="24"/>
                <w:szCs w:val="24"/>
                <w:color w:val="auto"/>
              </w:rPr>
            </w:pPr>
          </w:p>
        </w:tc>
        <w:tc>
          <w:tcPr>
            <w:tcW w:w="3120" w:type="dxa"/>
            <w:vAlign w:val="bottom"/>
            <w:gridSpan w:val="5"/>
          </w:tcPr>
          <w:p>
            <w:pPr>
              <w:spacing w:after="0"/>
              <w:rPr>
                <w:sz w:val="24"/>
                <w:szCs w:val="24"/>
                <w:color w:val="auto"/>
              </w:rPr>
            </w:pPr>
          </w:p>
        </w:tc>
        <w:tc>
          <w:tcPr>
            <w:tcW w:w="860" w:type="dxa"/>
            <w:vAlign w:val="bottom"/>
            <w:gridSpan w:val="2"/>
          </w:tcPr>
          <w:p>
            <w:pPr>
              <w:jc w:val="center"/>
              <w:ind w:left="661"/>
              <w:spacing w:after="0"/>
              <w:rPr>
                <w:rFonts w:ascii="Arial" w:cs="Arial" w:eastAsia="Arial" w:hAnsi="Arial"/>
                <w:sz w:val="20"/>
                <w:szCs w:val="20"/>
                <w:color w:val="0000EE"/>
                <w:w w:val="89"/>
              </w:rPr>
            </w:pPr>
            <w:hyperlink w:anchor="page7">
              <w:r>
                <w:rPr>
                  <w:rFonts w:ascii="Arial" w:cs="Arial" w:eastAsia="Arial" w:hAnsi="Arial"/>
                  <w:sz w:val="20"/>
                  <w:szCs w:val="20"/>
                  <w:color w:val="0000EE"/>
                  <w:w w:val="89"/>
                </w:rPr>
                <w:t>7</w:t>
              </w:r>
            </w:hyperlink>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80" w:type="dxa"/>
            <w:vAlign w:val="bottom"/>
            <w:gridSpan w:val="18"/>
          </w:tcPr>
          <w:p>
            <w:pPr>
              <w:spacing w:after="0" w:line="209" w:lineRule="exact"/>
              <w:rPr>
                <w:rFonts w:ascii="Arial" w:cs="Arial" w:eastAsia="Arial" w:hAnsi="Arial"/>
                <w:sz w:val="20"/>
                <w:szCs w:val="20"/>
                <w:color w:val="0000EE"/>
              </w:rPr>
            </w:pPr>
            <w:hyperlink w:anchor="page7">
              <w:r>
                <w:rPr>
                  <w:rFonts w:ascii="Arial" w:cs="Arial" w:eastAsia="Arial" w:hAnsi="Arial"/>
                  <w:sz w:val="20"/>
                  <w:szCs w:val="20"/>
                  <w:color w:val="0000EE"/>
                </w:rPr>
                <w:t>For the Thirteen Weeks Ended April 1, 2018 and March 26, 2017</w:t>
              </w:r>
            </w:hyperlink>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547"/>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60" w:type="dxa"/>
            <w:vAlign w:val="bottom"/>
            <w:tcBorders>
              <w:top w:val="single" w:sz="8" w:color="0000EE"/>
            </w:tcBorders>
            <w:gridSpan w:val="10"/>
          </w:tcPr>
          <w:p>
            <w:pPr>
              <w:spacing w:after="0"/>
              <w:rPr>
                <w:rFonts w:ascii="Arial" w:cs="Arial" w:eastAsia="Arial" w:hAnsi="Arial"/>
                <w:sz w:val="20"/>
                <w:szCs w:val="20"/>
                <w:color w:val="0000EE"/>
                <w:w w:val="88"/>
              </w:rPr>
            </w:pPr>
            <w:hyperlink w:anchor="page8">
              <w:r>
                <w:rPr>
                  <w:rFonts w:ascii="Arial" w:cs="Arial" w:eastAsia="Arial" w:hAnsi="Arial"/>
                  <w:sz w:val="20"/>
                  <w:szCs w:val="20"/>
                  <w:color w:val="0000EE"/>
                  <w:w w:val="88"/>
                </w:rPr>
                <w:t>Notes to Consolidated Financial Statements</w:t>
              </w:r>
            </w:hyperlink>
          </w:p>
        </w:tc>
        <w:tc>
          <w:tcPr>
            <w:tcW w:w="1700" w:type="dxa"/>
            <w:vAlign w:val="bottom"/>
            <w:tcBorders>
              <w:top w:val="single" w:sz="8" w:color="0000EE"/>
            </w:tcBorders>
            <w:gridSpan w:val="3"/>
          </w:tcPr>
          <w:p>
            <w:pPr>
              <w:spacing w:after="0"/>
              <w:rPr>
                <w:sz w:val="24"/>
                <w:szCs w:val="24"/>
                <w:color w:val="auto"/>
              </w:rPr>
            </w:pPr>
          </w:p>
        </w:tc>
        <w:tc>
          <w:tcPr>
            <w:tcW w:w="3120" w:type="dxa"/>
            <w:vAlign w:val="bottom"/>
            <w:gridSpan w:val="5"/>
          </w:tcPr>
          <w:p>
            <w:pPr>
              <w:spacing w:after="0"/>
              <w:rPr>
                <w:sz w:val="24"/>
                <w:szCs w:val="24"/>
                <w:color w:val="auto"/>
              </w:rPr>
            </w:pPr>
          </w:p>
        </w:tc>
        <w:tc>
          <w:tcPr>
            <w:tcW w:w="860" w:type="dxa"/>
            <w:vAlign w:val="bottom"/>
            <w:gridSpan w:val="2"/>
          </w:tcPr>
          <w:p>
            <w:pPr>
              <w:jc w:val="center"/>
              <w:ind w:left="661"/>
              <w:spacing w:after="0"/>
              <w:rPr>
                <w:rFonts w:ascii="Arial" w:cs="Arial" w:eastAsia="Arial" w:hAnsi="Arial"/>
                <w:sz w:val="20"/>
                <w:szCs w:val="20"/>
                <w:color w:val="0000EE"/>
                <w:w w:val="89"/>
              </w:rPr>
            </w:pPr>
            <w:hyperlink w:anchor="page8">
              <w:r>
                <w:rPr>
                  <w:rFonts w:ascii="Arial" w:cs="Arial" w:eastAsia="Arial" w:hAnsi="Arial"/>
                  <w:sz w:val="20"/>
                  <w:szCs w:val="20"/>
                  <w:color w:val="0000EE"/>
                  <w:w w:val="89"/>
                </w:rPr>
                <w:t>8</w:t>
              </w:r>
            </w:hyperlink>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Arial" w:cs="Arial" w:eastAsia="Arial" w:hAnsi="Arial"/>
                <w:sz w:val="20"/>
                <w:szCs w:val="20"/>
                <w:color w:val="auto"/>
              </w:rPr>
              <w:t>Item 2.</w:t>
            </w:r>
          </w:p>
        </w:tc>
        <w:tc>
          <w:tcPr>
            <w:tcW w:w="160" w:type="dxa"/>
            <w:vAlign w:val="bottom"/>
          </w:tcPr>
          <w:p>
            <w:pPr>
              <w:spacing w:after="0"/>
              <w:rPr>
                <w:sz w:val="24"/>
                <w:szCs w:val="24"/>
                <w:color w:val="auto"/>
              </w:rPr>
            </w:pPr>
          </w:p>
        </w:tc>
        <w:tc>
          <w:tcPr>
            <w:tcW w:w="8640" w:type="dxa"/>
            <w:vAlign w:val="bottom"/>
            <w:gridSpan w:val="20"/>
          </w:tcPr>
          <w:p>
            <w:pPr>
              <w:spacing w:after="0"/>
              <w:rPr>
                <w:rFonts w:ascii="Arial" w:cs="Arial" w:eastAsia="Arial" w:hAnsi="Arial"/>
                <w:sz w:val="20"/>
                <w:szCs w:val="20"/>
                <w:color w:val="0000EE"/>
              </w:rPr>
            </w:pPr>
            <w:hyperlink w:anchor="page25">
              <w:r>
                <w:rPr>
                  <w:rFonts w:ascii="Arial" w:cs="Arial" w:eastAsia="Arial" w:hAnsi="Arial"/>
                  <w:sz w:val="20"/>
                  <w:szCs w:val="20"/>
                  <w:color w:val="0000EE"/>
                </w:rPr>
                <w:t>Management’s Discussion and Analysis of Financial Condition and Results of Operations</w:t>
              </w:r>
            </w:hyperlink>
          </w:p>
        </w:tc>
        <w:tc>
          <w:tcPr>
            <w:tcW w:w="1600" w:type="dxa"/>
            <w:vAlign w:val="bottom"/>
            <w:gridSpan w:val="3"/>
          </w:tcPr>
          <w:p>
            <w:pPr>
              <w:jc w:val="center"/>
              <w:spacing w:after="0"/>
              <w:rPr>
                <w:rFonts w:ascii="Arial" w:cs="Arial" w:eastAsia="Arial" w:hAnsi="Arial"/>
                <w:sz w:val="20"/>
                <w:szCs w:val="20"/>
                <w:color w:val="0000EE"/>
                <w:w w:val="89"/>
              </w:rPr>
            </w:pPr>
            <w:hyperlink w:anchor="page25">
              <w:r>
                <w:rPr>
                  <w:rFonts w:ascii="Arial" w:cs="Arial" w:eastAsia="Arial" w:hAnsi="Arial"/>
                  <w:sz w:val="20"/>
                  <w:szCs w:val="20"/>
                  <w:color w:val="0000EE"/>
                  <w:w w:val="89"/>
                </w:rPr>
                <w:t>25</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Arial" w:cs="Arial" w:eastAsia="Arial" w:hAnsi="Arial"/>
                <w:sz w:val="20"/>
                <w:szCs w:val="20"/>
                <w:color w:val="auto"/>
              </w:rPr>
              <w:t>Item 3.</w:t>
            </w:r>
          </w:p>
        </w:tc>
        <w:tc>
          <w:tcPr>
            <w:tcW w:w="160" w:type="dxa"/>
            <w:vAlign w:val="bottom"/>
          </w:tcPr>
          <w:p>
            <w:pPr>
              <w:spacing w:after="0"/>
              <w:rPr>
                <w:sz w:val="24"/>
                <w:szCs w:val="24"/>
                <w:color w:val="auto"/>
              </w:rPr>
            </w:pPr>
          </w:p>
        </w:tc>
        <w:tc>
          <w:tcPr>
            <w:tcW w:w="4740" w:type="dxa"/>
            <w:vAlign w:val="bottom"/>
            <w:gridSpan w:val="13"/>
          </w:tcPr>
          <w:p>
            <w:pPr>
              <w:spacing w:after="0"/>
              <w:rPr>
                <w:rFonts w:ascii="Arial" w:cs="Arial" w:eastAsia="Arial" w:hAnsi="Arial"/>
                <w:sz w:val="20"/>
                <w:szCs w:val="20"/>
                <w:color w:val="0000EE"/>
                <w:w w:val="89"/>
              </w:rPr>
            </w:pPr>
            <w:hyperlink w:anchor="page46">
              <w:r>
                <w:rPr>
                  <w:rFonts w:ascii="Arial" w:cs="Arial" w:eastAsia="Arial" w:hAnsi="Arial"/>
                  <w:sz w:val="20"/>
                  <w:szCs w:val="20"/>
                  <w:color w:val="0000EE"/>
                  <w:w w:val="89"/>
                </w:rPr>
                <w:t>Quantitative and Qualitative Disclosures About Market Risk</w:t>
              </w:r>
            </w:hyperlink>
          </w:p>
        </w:tc>
        <w:tc>
          <w:tcPr>
            <w:tcW w:w="2360" w:type="dxa"/>
            <w:vAlign w:val="bottom"/>
            <w:gridSpan w:val="6"/>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gridSpan w:val="2"/>
          </w:tcPr>
          <w:p>
            <w:pPr>
              <w:jc w:val="center"/>
              <w:ind w:right="700"/>
              <w:spacing w:after="0"/>
              <w:rPr>
                <w:rFonts w:ascii="Arial" w:cs="Arial" w:eastAsia="Arial" w:hAnsi="Arial"/>
                <w:sz w:val="16"/>
                <w:szCs w:val="16"/>
                <w:color w:val="0000EE"/>
                <w:w w:val="78"/>
              </w:rPr>
            </w:pPr>
            <w:hyperlink w:anchor="page46">
              <w:r>
                <w:rPr>
                  <w:rFonts w:ascii="Arial" w:cs="Arial" w:eastAsia="Arial" w:hAnsi="Arial"/>
                  <w:sz w:val="16"/>
                  <w:szCs w:val="16"/>
                  <w:color w:val="0000EE"/>
                  <w:w w:val="78"/>
                </w:rPr>
                <w:t>46</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Arial" w:cs="Arial" w:eastAsia="Arial" w:hAnsi="Arial"/>
                <w:sz w:val="20"/>
                <w:szCs w:val="20"/>
                <w:color w:val="auto"/>
              </w:rPr>
              <w:t>Item 4.</w:t>
            </w:r>
          </w:p>
        </w:tc>
        <w:tc>
          <w:tcPr>
            <w:tcW w:w="160" w:type="dxa"/>
            <w:vAlign w:val="bottom"/>
          </w:tcPr>
          <w:p>
            <w:pPr>
              <w:spacing w:after="0"/>
              <w:rPr>
                <w:sz w:val="24"/>
                <w:szCs w:val="24"/>
                <w:color w:val="auto"/>
              </w:rPr>
            </w:pPr>
          </w:p>
        </w:tc>
        <w:tc>
          <w:tcPr>
            <w:tcW w:w="4740" w:type="dxa"/>
            <w:vAlign w:val="bottom"/>
            <w:gridSpan w:val="13"/>
          </w:tcPr>
          <w:p>
            <w:pPr>
              <w:spacing w:after="0"/>
              <w:rPr>
                <w:rFonts w:ascii="Arial" w:cs="Arial" w:eastAsia="Arial" w:hAnsi="Arial"/>
                <w:sz w:val="20"/>
                <w:szCs w:val="20"/>
                <w:color w:val="0000FF"/>
              </w:rPr>
            </w:pPr>
            <w:hyperlink w:anchor="page46">
              <w:r>
                <w:rPr>
                  <w:rFonts w:ascii="Arial" w:cs="Arial" w:eastAsia="Arial" w:hAnsi="Arial"/>
                  <w:sz w:val="20"/>
                  <w:szCs w:val="20"/>
                  <w:color w:val="0000FF"/>
                </w:rPr>
                <w:t>Controls and Procedures</w:t>
              </w:r>
            </w:hyperlink>
          </w:p>
        </w:tc>
        <w:tc>
          <w:tcPr>
            <w:tcW w:w="3900" w:type="dxa"/>
            <w:vAlign w:val="bottom"/>
            <w:gridSpan w:val="7"/>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gridSpan w:val="2"/>
          </w:tcPr>
          <w:p>
            <w:pPr>
              <w:jc w:val="center"/>
              <w:ind w:right="700"/>
              <w:spacing w:after="0"/>
              <w:rPr>
                <w:rFonts w:ascii="Arial" w:cs="Arial" w:eastAsia="Arial" w:hAnsi="Arial"/>
                <w:sz w:val="16"/>
                <w:szCs w:val="16"/>
                <w:color w:val="0000EE"/>
                <w:w w:val="78"/>
              </w:rPr>
            </w:pPr>
            <w:hyperlink w:anchor="page46">
              <w:r>
                <w:rPr>
                  <w:rFonts w:ascii="Arial" w:cs="Arial" w:eastAsia="Arial" w:hAnsi="Arial"/>
                  <w:sz w:val="16"/>
                  <w:szCs w:val="16"/>
                  <w:color w:val="0000EE"/>
                  <w:w w:val="78"/>
                </w:rPr>
                <w:t>46</w:t>
              </w:r>
            </w:hyperlink>
          </w:p>
        </w:tc>
      </w:tr>
      <w:tr>
        <w:trPr>
          <w:trHeight w:val="601"/>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40" w:type="dxa"/>
            <w:vAlign w:val="bottom"/>
            <w:gridSpan w:val="10"/>
          </w:tcPr>
          <w:p>
            <w:pPr>
              <w:jc w:val="center"/>
              <w:ind w:right="2820"/>
              <w:spacing w:after="0"/>
              <w:rPr>
                <w:rFonts w:ascii="Arial" w:cs="Arial" w:eastAsia="Arial" w:hAnsi="Arial"/>
                <w:sz w:val="20"/>
                <w:szCs w:val="20"/>
                <w:color w:val="0000FF"/>
                <w:w w:val="95"/>
              </w:rPr>
            </w:pPr>
            <w:hyperlink w:anchor="page47">
              <w:r>
                <w:rPr>
                  <w:rFonts w:ascii="Arial" w:cs="Arial" w:eastAsia="Arial" w:hAnsi="Arial"/>
                  <w:sz w:val="20"/>
                  <w:szCs w:val="20"/>
                  <w:color w:val="0000FF"/>
                  <w:w w:val="95"/>
                </w:rPr>
                <w:t>PART II — OTHER INFORMATION</w:t>
              </w:r>
            </w:hyperlink>
          </w:p>
        </w:tc>
        <w:tc>
          <w:tcPr>
            <w:tcW w:w="7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r>
      <w:tr>
        <w:trPr>
          <w:trHeight w:val="264"/>
        </w:trPr>
        <w:tc>
          <w:tcPr>
            <w:tcW w:w="1020" w:type="dxa"/>
            <w:vAlign w:val="bottom"/>
          </w:tcPr>
          <w:p>
            <w:pPr>
              <w:ind w:left="40"/>
              <w:spacing w:after="0"/>
              <w:rPr>
                <w:sz w:val="20"/>
                <w:szCs w:val="20"/>
                <w:color w:val="auto"/>
              </w:rPr>
            </w:pPr>
            <w:r>
              <w:rPr>
                <w:rFonts w:ascii="Arial" w:cs="Arial" w:eastAsia="Arial" w:hAnsi="Arial"/>
                <w:sz w:val="20"/>
                <w:szCs w:val="20"/>
                <w:color w:val="auto"/>
              </w:rPr>
              <w:t>Item 1.</w:t>
            </w:r>
          </w:p>
        </w:tc>
        <w:tc>
          <w:tcPr>
            <w:tcW w:w="160" w:type="dxa"/>
            <w:vAlign w:val="bottom"/>
          </w:tcPr>
          <w:p>
            <w:pPr>
              <w:spacing w:after="0"/>
              <w:rPr>
                <w:sz w:val="22"/>
                <w:szCs w:val="22"/>
                <w:color w:val="auto"/>
              </w:rPr>
            </w:pPr>
          </w:p>
        </w:tc>
        <w:tc>
          <w:tcPr>
            <w:tcW w:w="1480" w:type="dxa"/>
            <w:vAlign w:val="bottom"/>
            <w:gridSpan w:val="6"/>
          </w:tcPr>
          <w:p>
            <w:pPr>
              <w:spacing w:after="0"/>
              <w:rPr>
                <w:rFonts w:ascii="Arial" w:cs="Arial" w:eastAsia="Arial" w:hAnsi="Arial"/>
                <w:sz w:val="20"/>
                <w:szCs w:val="20"/>
                <w:color w:val="0000FF"/>
                <w:w w:val="88"/>
              </w:rPr>
            </w:pPr>
            <w:hyperlink w:anchor="page47">
              <w:r>
                <w:rPr>
                  <w:rFonts w:ascii="Arial" w:cs="Arial" w:eastAsia="Arial" w:hAnsi="Arial"/>
                  <w:sz w:val="20"/>
                  <w:szCs w:val="20"/>
                  <w:color w:val="0000FF"/>
                  <w:w w:val="88"/>
                </w:rPr>
                <w:t>Legal Proceedings</w:t>
              </w:r>
            </w:hyperlink>
          </w:p>
        </w:tc>
        <w:tc>
          <w:tcPr>
            <w:tcW w:w="1320" w:type="dxa"/>
            <w:vAlign w:val="bottom"/>
            <w:gridSpan w:val="4"/>
          </w:tcPr>
          <w:p>
            <w:pPr>
              <w:spacing w:after="0"/>
              <w:rPr>
                <w:sz w:val="22"/>
                <w:szCs w:val="22"/>
                <w:color w:val="auto"/>
              </w:rPr>
            </w:pPr>
          </w:p>
        </w:tc>
        <w:tc>
          <w:tcPr>
            <w:tcW w:w="3020" w:type="dxa"/>
            <w:vAlign w:val="bottom"/>
            <w:tcBorders>
              <w:top w:val="single" w:sz="8" w:color="0000FF"/>
            </w:tcBorders>
            <w:gridSpan w:val="6"/>
          </w:tcPr>
          <w:p>
            <w:pPr>
              <w:spacing w:after="0"/>
              <w:rPr>
                <w:sz w:val="22"/>
                <w:szCs w:val="22"/>
                <w:color w:val="auto"/>
              </w:rPr>
            </w:pPr>
          </w:p>
        </w:tc>
        <w:tc>
          <w:tcPr>
            <w:tcW w:w="2820" w:type="dxa"/>
            <w:vAlign w:val="bottom"/>
            <w:gridSpan w:val="4"/>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gridSpan w:val="2"/>
          </w:tcPr>
          <w:p>
            <w:pPr>
              <w:jc w:val="center"/>
              <w:ind w:right="700"/>
              <w:spacing w:after="0"/>
              <w:rPr>
                <w:rFonts w:ascii="Arial" w:cs="Arial" w:eastAsia="Arial" w:hAnsi="Arial"/>
                <w:sz w:val="16"/>
                <w:szCs w:val="16"/>
                <w:color w:val="0000EE"/>
                <w:w w:val="78"/>
              </w:rPr>
            </w:pPr>
            <w:hyperlink w:anchor="page47">
              <w:r>
                <w:rPr>
                  <w:rFonts w:ascii="Arial" w:cs="Arial" w:eastAsia="Arial" w:hAnsi="Arial"/>
                  <w:sz w:val="16"/>
                  <w:szCs w:val="16"/>
                  <w:color w:val="0000EE"/>
                  <w:w w:val="78"/>
                </w:rPr>
                <w:t>47</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Arial" w:cs="Arial" w:eastAsia="Arial" w:hAnsi="Arial"/>
                <w:sz w:val="20"/>
                <w:szCs w:val="20"/>
                <w:color w:val="auto"/>
              </w:rPr>
              <w:t>Item 1A.</w:t>
            </w:r>
          </w:p>
        </w:tc>
        <w:tc>
          <w:tcPr>
            <w:tcW w:w="160" w:type="dxa"/>
            <w:vAlign w:val="bottom"/>
          </w:tcPr>
          <w:p>
            <w:pPr>
              <w:spacing w:after="0"/>
              <w:rPr>
                <w:sz w:val="24"/>
                <w:szCs w:val="24"/>
                <w:color w:val="auto"/>
              </w:rPr>
            </w:pPr>
          </w:p>
        </w:tc>
        <w:tc>
          <w:tcPr>
            <w:tcW w:w="1000" w:type="dxa"/>
            <w:vAlign w:val="bottom"/>
            <w:gridSpan w:val="5"/>
          </w:tcPr>
          <w:p>
            <w:pPr>
              <w:spacing w:after="0"/>
              <w:rPr>
                <w:rFonts w:ascii="Arial" w:cs="Arial" w:eastAsia="Arial" w:hAnsi="Arial"/>
                <w:sz w:val="20"/>
                <w:szCs w:val="20"/>
                <w:color w:val="0000FF"/>
                <w:w w:val="88"/>
              </w:rPr>
            </w:pPr>
            <w:hyperlink w:anchor="page47">
              <w:r>
                <w:rPr>
                  <w:rFonts w:ascii="Arial" w:cs="Arial" w:eastAsia="Arial" w:hAnsi="Arial"/>
                  <w:sz w:val="20"/>
                  <w:szCs w:val="20"/>
                  <w:color w:val="0000FF"/>
                  <w:w w:val="88"/>
                </w:rPr>
                <w:t>Risk Factors</w:t>
              </w:r>
            </w:hyperlink>
          </w:p>
        </w:tc>
        <w:tc>
          <w:tcPr>
            <w:tcW w:w="480" w:type="dxa"/>
            <w:vAlign w:val="bottom"/>
          </w:tcPr>
          <w:p>
            <w:pPr>
              <w:spacing w:after="0"/>
              <w:rPr>
                <w:sz w:val="24"/>
                <w:szCs w:val="24"/>
                <w:color w:val="auto"/>
              </w:rPr>
            </w:pPr>
          </w:p>
        </w:tc>
        <w:tc>
          <w:tcPr>
            <w:tcW w:w="7160" w:type="dxa"/>
            <w:vAlign w:val="bottom"/>
            <w:gridSpan w:val="14"/>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gridSpan w:val="2"/>
          </w:tcPr>
          <w:p>
            <w:pPr>
              <w:jc w:val="center"/>
              <w:ind w:right="700"/>
              <w:spacing w:after="0"/>
              <w:rPr>
                <w:rFonts w:ascii="Arial" w:cs="Arial" w:eastAsia="Arial" w:hAnsi="Arial"/>
                <w:sz w:val="16"/>
                <w:szCs w:val="16"/>
                <w:color w:val="0000EE"/>
                <w:w w:val="78"/>
              </w:rPr>
            </w:pPr>
            <w:hyperlink w:anchor="page47">
              <w:r>
                <w:rPr>
                  <w:rFonts w:ascii="Arial" w:cs="Arial" w:eastAsia="Arial" w:hAnsi="Arial"/>
                  <w:sz w:val="16"/>
                  <w:szCs w:val="16"/>
                  <w:color w:val="0000EE"/>
                  <w:w w:val="78"/>
                </w:rPr>
                <w:t>47</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740" w:type="dxa"/>
            <w:vAlign w:val="bottom"/>
            <w:gridSpan w:val="8"/>
          </w:tcPr>
          <w:p>
            <w:pPr>
              <w:spacing w:after="0" w:line="20" w:lineRule="exact"/>
              <w:rPr>
                <w:sz w:val="1"/>
                <w:szCs w:val="1"/>
                <w:color w:val="auto"/>
              </w:rPr>
            </w:pPr>
          </w:p>
        </w:tc>
        <w:tc>
          <w:tcPr>
            <w:tcW w:w="3900" w:type="dxa"/>
            <w:vAlign w:val="bottom"/>
            <w:gridSpan w:val="7"/>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Arial" w:cs="Arial" w:eastAsia="Arial" w:hAnsi="Arial"/>
                <w:sz w:val="20"/>
                <w:szCs w:val="20"/>
                <w:color w:val="auto"/>
              </w:rPr>
              <w:t>Item 2.</w:t>
            </w:r>
          </w:p>
        </w:tc>
        <w:tc>
          <w:tcPr>
            <w:tcW w:w="160" w:type="dxa"/>
            <w:vAlign w:val="bottom"/>
          </w:tcPr>
          <w:p>
            <w:pPr>
              <w:spacing w:after="0"/>
              <w:rPr>
                <w:sz w:val="24"/>
                <w:szCs w:val="24"/>
                <w:color w:val="auto"/>
              </w:rPr>
            </w:pPr>
          </w:p>
        </w:tc>
        <w:tc>
          <w:tcPr>
            <w:tcW w:w="8640" w:type="dxa"/>
            <w:vAlign w:val="bottom"/>
            <w:gridSpan w:val="20"/>
          </w:tcPr>
          <w:p>
            <w:pPr>
              <w:spacing w:after="0"/>
              <w:rPr>
                <w:rFonts w:ascii="Arial" w:cs="Arial" w:eastAsia="Arial" w:hAnsi="Arial"/>
                <w:sz w:val="20"/>
                <w:szCs w:val="20"/>
                <w:color w:val="0000FF"/>
              </w:rPr>
            </w:pPr>
            <w:hyperlink w:anchor="page47">
              <w:r>
                <w:rPr>
                  <w:rFonts w:ascii="Arial" w:cs="Arial" w:eastAsia="Arial" w:hAnsi="Arial"/>
                  <w:sz w:val="20"/>
                  <w:szCs w:val="20"/>
                  <w:color w:val="0000FF"/>
                </w:rPr>
                <w:t>Unregistered Sales of Equity Securities and Use of Proceeds</w:t>
              </w:r>
            </w:hyperlink>
          </w:p>
        </w:tc>
        <w:tc>
          <w:tcPr>
            <w:tcW w:w="1600" w:type="dxa"/>
            <w:vAlign w:val="bottom"/>
            <w:gridSpan w:val="3"/>
          </w:tcPr>
          <w:p>
            <w:pPr>
              <w:jc w:val="center"/>
              <w:spacing w:after="0"/>
              <w:rPr>
                <w:rFonts w:ascii="Arial" w:cs="Arial" w:eastAsia="Arial" w:hAnsi="Arial"/>
                <w:sz w:val="20"/>
                <w:szCs w:val="20"/>
                <w:color w:val="0000EE"/>
                <w:w w:val="89"/>
              </w:rPr>
            </w:pPr>
            <w:hyperlink w:anchor="page47">
              <w:r>
                <w:rPr>
                  <w:rFonts w:ascii="Arial" w:cs="Arial" w:eastAsia="Arial" w:hAnsi="Arial"/>
                  <w:sz w:val="20"/>
                  <w:szCs w:val="20"/>
                  <w:color w:val="0000EE"/>
                  <w:w w:val="89"/>
                </w:rPr>
                <w:t>47</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Arial" w:cs="Arial" w:eastAsia="Arial" w:hAnsi="Arial"/>
                <w:sz w:val="20"/>
                <w:szCs w:val="20"/>
                <w:color w:val="auto"/>
              </w:rPr>
              <w:t>Item 6.</w:t>
            </w:r>
          </w:p>
        </w:tc>
        <w:tc>
          <w:tcPr>
            <w:tcW w:w="160" w:type="dxa"/>
            <w:vAlign w:val="bottom"/>
          </w:tcPr>
          <w:p>
            <w:pPr>
              <w:spacing w:after="0"/>
              <w:rPr>
                <w:sz w:val="24"/>
                <w:szCs w:val="24"/>
                <w:color w:val="auto"/>
              </w:rPr>
            </w:pPr>
          </w:p>
        </w:tc>
        <w:tc>
          <w:tcPr>
            <w:tcW w:w="4740" w:type="dxa"/>
            <w:vAlign w:val="bottom"/>
            <w:gridSpan w:val="13"/>
          </w:tcPr>
          <w:p>
            <w:pPr>
              <w:spacing w:after="0"/>
              <w:rPr>
                <w:rFonts w:ascii="Arial" w:cs="Arial" w:eastAsia="Arial" w:hAnsi="Arial"/>
                <w:sz w:val="20"/>
                <w:szCs w:val="20"/>
                <w:color w:val="0000FF"/>
              </w:rPr>
            </w:pPr>
            <w:hyperlink w:anchor="page48">
              <w:r>
                <w:rPr>
                  <w:rFonts w:ascii="Arial" w:cs="Arial" w:eastAsia="Arial" w:hAnsi="Arial"/>
                  <w:sz w:val="20"/>
                  <w:szCs w:val="20"/>
                  <w:color w:val="0000FF"/>
                </w:rPr>
                <w:t>Exhibits</w:t>
              </w:r>
            </w:hyperlink>
          </w:p>
        </w:tc>
        <w:tc>
          <w:tcPr>
            <w:tcW w:w="3900" w:type="dxa"/>
            <w:vAlign w:val="bottom"/>
            <w:gridSpan w:val="7"/>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gridSpan w:val="2"/>
          </w:tcPr>
          <w:p>
            <w:pPr>
              <w:jc w:val="center"/>
              <w:ind w:right="700"/>
              <w:spacing w:after="0"/>
              <w:rPr>
                <w:rFonts w:ascii="Arial" w:cs="Arial" w:eastAsia="Arial" w:hAnsi="Arial"/>
                <w:sz w:val="16"/>
                <w:szCs w:val="16"/>
                <w:color w:val="0000EE"/>
                <w:w w:val="78"/>
              </w:rPr>
            </w:pPr>
            <w:hyperlink w:anchor="page48">
              <w:r>
                <w:rPr>
                  <w:rFonts w:ascii="Arial" w:cs="Arial" w:eastAsia="Arial" w:hAnsi="Arial"/>
                  <w:sz w:val="16"/>
                  <w:szCs w:val="16"/>
                  <w:color w:val="0000EE"/>
                  <w:w w:val="78"/>
                </w:rPr>
                <w:t>48</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80" w:type="dxa"/>
            <w:vAlign w:val="bottom"/>
            <w:gridSpan w:val="16"/>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547"/>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40" w:type="dxa"/>
            <w:vAlign w:val="bottom"/>
            <w:gridSpan w:val="20"/>
          </w:tcPr>
          <w:p>
            <w:pPr>
              <w:spacing w:after="0"/>
              <w:rPr>
                <w:rFonts w:ascii="Arial" w:cs="Arial" w:eastAsia="Arial" w:hAnsi="Arial"/>
                <w:sz w:val="20"/>
                <w:szCs w:val="20"/>
                <w:color w:val="0000FF"/>
              </w:rPr>
            </w:pPr>
            <w:hyperlink w:anchor="page49">
              <w:r>
                <w:rPr>
                  <w:rFonts w:ascii="Arial" w:cs="Arial" w:eastAsia="Arial" w:hAnsi="Arial"/>
                  <w:sz w:val="20"/>
                  <w:szCs w:val="20"/>
                  <w:color w:val="0000FF"/>
                </w:rPr>
                <w:t>Signature</w:t>
              </w:r>
            </w:hyperlink>
          </w:p>
        </w:tc>
        <w:tc>
          <w:tcPr>
            <w:tcW w:w="1600" w:type="dxa"/>
            <w:vAlign w:val="bottom"/>
            <w:gridSpan w:val="3"/>
          </w:tcPr>
          <w:p>
            <w:pPr>
              <w:jc w:val="center"/>
              <w:spacing w:after="0"/>
              <w:rPr>
                <w:rFonts w:ascii="Arial" w:cs="Arial" w:eastAsia="Arial" w:hAnsi="Arial"/>
                <w:sz w:val="20"/>
                <w:szCs w:val="20"/>
                <w:color w:val="0000EE"/>
                <w:w w:val="89"/>
              </w:rPr>
            </w:pPr>
            <w:hyperlink w:anchor="page49">
              <w:r>
                <w:rPr>
                  <w:rFonts w:ascii="Arial" w:cs="Arial" w:eastAsia="Arial" w:hAnsi="Arial"/>
                  <w:sz w:val="20"/>
                  <w:szCs w:val="20"/>
                  <w:color w:val="0000EE"/>
                  <w:w w:val="89"/>
                </w:rPr>
                <w:t>49</w:t>
              </w:r>
            </w:hyperlink>
          </w:p>
        </w:tc>
      </w:tr>
      <w:tr>
        <w:trPr>
          <w:trHeight w:val="507"/>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top w:val="single" w:sz="8" w:color="0000FF"/>
            </w:tcBorders>
            <w:gridSpan w:val="4"/>
          </w:tcPr>
          <w:p>
            <w:pPr>
              <w:spacing w:after="0"/>
              <w:rPr>
                <w:sz w:val="24"/>
                <w:szCs w:val="24"/>
                <w:color w:val="auto"/>
              </w:rPr>
            </w:pPr>
          </w:p>
        </w:tc>
        <w:tc>
          <w:tcPr>
            <w:tcW w:w="3980" w:type="dxa"/>
            <w:vAlign w:val="bottom"/>
            <w:gridSpan w:val="9"/>
          </w:tcPr>
          <w:p>
            <w:pPr>
              <w:jc w:val="center"/>
              <w:ind w:left="3470"/>
              <w:spacing w:after="0"/>
              <w:rPr>
                <w:sz w:val="20"/>
                <w:szCs w:val="20"/>
                <w:color w:val="auto"/>
              </w:rPr>
            </w:pPr>
            <w:r>
              <w:rPr>
                <w:rFonts w:ascii="Arial" w:cs="Arial" w:eastAsia="Arial" w:hAnsi="Arial"/>
                <w:sz w:val="18"/>
                <w:szCs w:val="18"/>
                <w:color w:val="auto"/>
                <w:w w:val="99"/>
              </w:rPr>
              <w:t>2</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jc w:val="center"/>
        <w:spacing w:after="0"/>
        <w:rPr>
          <w:sz w:val="20"/>
          <w:szCs w:val="20"/>
          <w:color w:val="auto"/>
        </w:rPr>
      </w:pPr>
      <w:r>
        <w:rPr>
          <w:rFonts w:ascii="Arial" w:cs="Arial" w:eastAsia="Arial" w:hAnsi="Arial"/>
          <w:sz w:val="20"/>
          <w:szCs w:val="20"/>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 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5"/>
                <w:szCs w:val="15"/>
                <w:b w:val="1"/>
                <w:bCs w:val="1"/>
                <w:color w:val="auto"/>
              </w:rPr>
              <w:t>APRIL 1, 2018</w:t>
            </w:r>
          </w:p>
        </w:tc>
        <w:tc>
          <w:tcPr>
            <w:tcW w:w="1580" w:type="dxa"/>
            <w:vAlign w:val="bottom"/>
            <w:gridSpan w:val="2"/>
          </w:tcPr>
          <w:p>
            <w:pPr>
              <w:jc w:val="right"/>
              <w:spacing w:after="0"/>
              <w:rPr>
                <w:sz w:val="20"/>
                <w:szCs w:val="20"/>
                <w:color w:val="auto"/>
              </w:rPr>
            </w:pPr>
            <w:r>
              <w:rPr>
                <w:rFonts w:ascii="Arial" w:cs="Arial" w:eastAsia="Arial" w:hAnsi="Arial"/>
                <w:sz w:val="15"/>
                <w:szCs w:val="15"/>
                <w:b w:val="1"/>
                <w:bCs w:val="1"/>
                <w:color w:val="auto"/>
              </w:rPr>
              <w:t>DECEMBER 31, 2017</w:t>
            </w:r>
          </w:p>
        </w:tc>
      </w:tr>
      <w:tr>
        <w:trPr>
          <w:trHeight w:val="237"/>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105,840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8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128,263</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Current portion of restricted cash and cash equivalents</w:t>
            </w:r>
          </w:p>
        </w:tc>
        <w:tc>
          <w:tcPr>
            <w:tcW w:w="1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1,280</w:t>
            </w: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50,182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51,264</w:t>
            </w:r>
          </w:p>
        </w:tc>
      </w:tr>
      <w:tr>
        <w:trPr>
          <w:trHeight w:val="270"/>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current assets, net</w:t>
            </w: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115,269</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179,402</w:t>
            </w:r>
          </w:p>
        </w:tc>
      </w:tr>
      <w:tr>
        <w:trPr>
          <w:trHeight w:val="23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271,291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360,209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Property, fixtures and equipment, net</w:t>
            </w:r>
          </w:p>
        </w:tc>
        <w:tc>
          <w:tcPr>
            <w:tcW w:w="1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1,166,960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1,173,414</w:t>
            </w: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310,824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310,234</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1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519,147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522,290</w:t>
            </w: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58,427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60,486</w:t>
            </w:r>
          </w:p>
        </w:tc>
      </w:tr>
      <w:tr>
        <w:trPr>
          <w:trHeight w:val="27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assets, net</w:t>
            </w: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127,619</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135,261</w:t>
            </w:r>
          </w:p>
        </w:tc>
      </w:tr>
      <w:tr>
        <w:trPr>
          <w:trHeight w:val="244"/>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2,454,268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2,561,894</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4"/>
        </w:trPr>
        <w:tc>
          <w:tcPr>
            <w:tcW w:w="8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 AND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172,310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8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185,461</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Accrued and other current liabilities</w:t>
            </w:r>
          </w:p>
        </w:tc>
        <w:tc>
          <w:tcPr>
            <w:tcW w:w="1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233,719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270,840</w:t>
            </w: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Unearned revenue</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235,731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330,756</w:t>
            </w:r>
          </w:p>
        </w:tc>
      </w:tr>
      <w:tr>
        <w:trPr>
          <w:trHeight w:val="270"/>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25,620</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26,335</w:t>
            </w:r>
          </w:p>
        </w:tc>
      </w:tr>
      <w:tr>
        <w:trPr>
          <w:trHeight w:val="23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667,380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813,392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Deferred rent</w:t>
            </w:r>
          </w:p>
        </w:tc>
        <w:tc>
          <w:tcPr>
            <w:tcW w:w="1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162,497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160,047</w:t>
            </w: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17,159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16,926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Long-term debt, net</w:t>
            </w:r>
          </w:p>
        </w:tc>
        <w:tc>
          <w:tcPr>
            <w:tcW w:w="1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1,116,570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1,091,769</w:t>
            </w: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gain on sale-leaseback transactions, net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185,017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188,086</w:t>
            </w:r>
          </w:p>
        </w:tc>
      </w:tr>
      <w:tr>
        <w:trPr>
          <w:trHeight w:val="27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long-term liabilities, net</w:t>
            </w: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197,210</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210,443</w:t>
            </w:r>
          </w:p>
        </w:tc>
      </w:tr>
      <w:tr>
        <w:trPr>
          <w:trHeight w:val="264"/>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2,345,833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2,480,663</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Commitments and contingencies (Note 13)</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Bloomin’ Brands Stockholders’ Equity</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2"/>
              </w:rPr>
              <w:t>Preferred stock, $0.01 par value, 25,000,000 shares authorized; no shares issued and outstanding as of April 1, 2018 and</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December 31, 2017</w:t>
            </w:r>
          </w:p>
        </w:tc>
        <w:tc>
          <w:tcPr>
            <w:tcW w:w="1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8340" w:type="dxa"/>
            <w:vAlign w:val="bottom"/>
          </w:tcPr>
          <w:p>
            <w:pPr>
              <w:ind w:left="380"/>
              <w:spacing w:after="0"/>
              <w:rPr>
                <w:sz w:val="20"/>
                <w:szCs w:val="20"/>
                <w:color w:val="auto"/>
              </w:rPr>
            </w:pPr>
            <w:r>
              <w:rPr>
                <w:rFonts w:ascii="Arial" w:cs="Arial" w:eastAsia="Arial" w:hAnsi="Arial"/>
                <w:sz w:val="16"/>
                <w:szCs w:val="16"/>
                <w:color w:val="auto"/>
                <w:w w:val="99"/>
              </w:rPr>
              <w:t>Common stock, $0.01 par value, 475,000,000 shares authorized; 91,415,604 and 91,912,546 shares issued and</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6"/>
        </w:trPr>
        <w:tc>
          <w:tcPr>
            <w:tcW w:w="8340" w:type="dxa"/>
            <w:vAlign w:val="bottom"/>
          </w:tcPr>
          <w:p>
            <w:pPr>
              <w:ind w:left="380"/>
              <w:spacing w:after="0"/>
              <w:rPr>
                <w:sz w:val="20"/>
                <w:szCs w:val="20"/>
                <w:color w:val="auto"/>
              </w:rPr>
            </w:pPr>
            <w:r>
              <w:rPr>
                <w:rFonts w:ascii="Arial" w:cs="Arial" w:eastAsia="Arial" w:hAnsi="Arial"/>
                <w:sz w:val="16"/>
                <w:szCs w:val="16"/>
                <w:color w:val="auto"/>
              </w:rPr>
              <w:t>outstanding as of April 1, 2018 and December 31, 2017, respectively</w:t>
            </w:r>
          </w:p>
        </w:tc>
        <w:tc>
          <w:tcPr>
            <w:tcW w:w="16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914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919</w:t>
            </w: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1,092,147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1,081,813</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Accumulated deficit</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(898,768)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(913,191)</w:t>
            </w: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(96,636)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(99,199)</w:t>
            </w:r>
          </w:p>
        </w:tc>
      </w:tr>
      <w:tr>
        <w:trPr>
          <w:trHeight w:val="224"/>
        </w:trPr>
        <w:tc>
          <w:tcPr>
            <w:tcW w:w="8340" w:type="dxa"/>
            <w:vAlign w:val="bottom"/>
          </w:tcPr>
          <w:p>
            <w:pPr>
              <w:ind w:left="720"/>
              <w:spacing w:after="0"/>
              <w:rPr>
                <w:sz w:val="20"/>
                <w:szCs w:val="20"/>
                <w:color w:val="auto"/>
              </w:rPr>
            </w:pPr>
            <w:r>
              <w:rPr>
                <w:rFonts w:ascii="Arial" w:cs="Arial" w:eastAsia="Arial" w:hAnsi="Arial"/>
                <w:sz w:val="16"/>
                <w:szCs w:val="16"/>
                <w:color w:val="auto"/>
              </w:rPr>
              <w:t>Total Bloomin’ Brands stockholders’ equity</w:t>
            </w:r>
          </w:p>
        </w:tc>
        <w:tc>
          <w:tcPr>
            <w:tcW w:w="1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97,657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70,342</w:t>
            </w: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Noncontrolling interests</w:t>
            </w:r>
          </w:p>
        </w:tc>
        <w:tc>
          <w:tcPr>
            <w:tcW w:w="1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10,778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10,889</w:t>
            </w:r>
          </w:p>
        </w:tc>
      </w:tr>
      <w:tr>
        <w:trPr>
          <w:trHeight w:val="270"/>
        </w:trPr>
        <w:tc>
          <w:tcPr>
            <w:tcW w:w="834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108,435</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81,231</w:t>
            </w:r>
          </w:p>
        </w:tc>
      </w:tr>
      <w:tr>
        <w:trPr>
          <w:trHeight w:val="244"/>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2,454,268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2,561,894</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900" w:h="16838" w:orient="portrait"/>
          <w:cols w:equalWidth="0" w:num="1">
            <w:col w:w="11420"/>
          </w:cols>
          <w:pgMar w:left="240" w:top="121"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OPERATIONS AND COMPREHENSIVE INCOME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 UNAUDITED)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7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264"/>
        </w:trPr>
        <w:tc>
          <w:tcPr>
            <w:tcW w:w="87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9"/>
              </w:rPr>
              <w:t>APRIL 1, 2018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9"/>
              </w:rPr>
              <w:t>MARCH 26, 2017</w:t>
            </w:r>
          </w:p>
        </w:tc>
        <w:tc>
          <w:tcPr>
            <w:tcW w:w="0" w:type="dxa"/>
            <w:vAlign w:val="bottom"/>
          </w:tcPr>
          <w:p>
            <w:pPr>
              <w:spacing w:after="0"/>
              <w:rPr>
                <w:sz w:val="1"/>
                <w:szCs w:val="1"/>
                <w:color w:val="auto"/>
              </w:rPr>
            </w:pPr>
          </w:p>
        </w:tc>
      </w:tr>
      <w:tr>
        <w:trPr>
          <w:trHeight w:val="237"/>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Restaurant sales</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1,099,003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1,143,831</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Franchise and other revenues</w:t>
            </w: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17,462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10,880</w:t>
            </w:r>
          </w:p>
        </w:tc>
        <w:tc>
          <w:tcPr>
            <w:tcW w:w="0" w:type="dxa"/>
            <w:vAlign w:val="bottom"/>
          </w:tcPr>
          <w:p>
            <w:pPr>
              <w:spacing w:after="0"/>
              <w:rPr>
                <w:sz w:val="1"/>
                <w:szCs w:val="1"/>
                <w:color w:val="auto"/>
              </w:rPr>
            </w:pPr>
          </w:p>
        </w:tc>
      </w:tr>
      <w:tr>
        <w:trPr>
          <w:trHeight w:val="270"/>
        </w:trPr>
        <w:tc>
          <w:tcPr>
            <w:tcW w:w="870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1,116,465</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1,154,711</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Costs and expenses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Cost of sales</w:t>
            </w:r>
          </w:p>
        </w:tc>
        <w:tc>
          <w:tcPr>
            <w:tcW w:w="1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352,132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364,748</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Labor and other related</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311,062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324,398</w:t>
            </w:r>
          </w:p>
        </w:tc>
        <w:tc>
          <w:tcPr>
            <w:tcW w:w="0" w:type="dxa"/>
            <w:vAlign w:val="bottom"/>
          </w:tcPr>
          <w:p>
            <w:pPr>
              <w:spacing w:after="0"/>
              <w:rPr>
                <w:sz w:val="1"/>
                <w:szCs w:val="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Other restaurant operating</w:t>
            </w:r>
          </w:p>
        </w:tc>
        <w:tc>
          <w:tcPr>
            <w:tcW w:w="1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253,345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251,124</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50,120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46,590</w:t>
            </w:r>
          </w:p>
        </w:tc>
        <w:tc>
          <w:tcPr>
            <w:tcW w:w="0" w:type="dxa"/>
            <w:vAlign w:val="bottom"/>
          </w:tcPr>
          <w:p>
            <w:pPr>
              <w:spacing w:after="0"/>
              <w:rPr>
                <w:sz w:val="1"/>
                <w:szCs w:val="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68,696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71,941</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impaired assets and restaurant closings</w:t>
            </w: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2,739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19,076</w:t>
            </w:r>
          </w:p>
        </w:tc>
        <w:tc>
          <w:tcPr>
            <w:tcW w:w="0" w:type="dxa"/>
            <w:vAlign w:val="bottom"/>
          </w:tcPr>
          <w:p>
            <w:pPr>
              <w:spacing w:after="0"/>
              <w:rPr>
                <w:sz w:val="1"/>
                <w:szCs w:val="1"/>
                <w:color w:val="auto"/>
              </w:rPr>
            </w:pPr>
          </w:p>
        </w:tc>
      </w:tr>
      <w:tr>
        <w:trPr>
          <w:trHeight w:val="270"/>
        </w:trPr>
        <w:tc>
          <w:tcPr>
            <w:tcW w:w="870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Total costs and expenses</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1,038,094</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1,077,877</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78,371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76,834</w:t>
            </w:r>
          </w:p>
        </w:tc>
        <w:tc>
          <w:tcPr>
            <w:tcW w:w="0" w:type="dxa"/>
            <w:vAlign w:val="bottom"/>
          </w:tcPr>
          <w:p>
            <w:pPr>
              <w:spacing w:after="0"/>
              <w:rPr>
                <w:sz w:val="1"/>
                <w:szCs w:val="1"/>
                <w:color w:val="auto"/>
              </w:rPr>
            </w:pPr>
          </w:p>
        </w:tc>
      </w:tr>
      <w:tr>
        <w:trPr>
          <w:trHeight w:val="237"/>
        </w:trPr>
        <w:tc>
          <w:tcPr>
            <w:tcW w:w="870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1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(10,310)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(9,141)</w:t>
            </w:r>
          </w:p>
        </w:tc>
        <w:tc>
          <w:tcPr>
            <w:tcW w:w="0" w:type="dxa"/>
            <w:vAlign w:val="bottom"/>
          </w:tcPr>
          <w:p>
            <w:pPr>
              <w:spacing w:after="0"/>
              <w:rPr>
                <w:sz w:val="1"/>
                <w:szCs w:val="1"/>
                <w:color w:val="auto"/>
              </w:rPr>
            </w:pPr>
          </w:p>
        </w:tc>
      </w:tr>
      <w:tr>
        <w:trPr>
          <w:trHeight w:val="224"/>
        </w:trPr>
        <w:tc>
          <w:tcPr>
            <w:tcW w:w="8700" w:type="dxa"/>
            <w:vAlign w:val="bottom"/>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14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68,062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67,642</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18,004</w:t>
            </w:r>
          </w:p>
        </w:tc>
        <w:tc>
          <w:tcPr>
            <w:tcW w:w="0" w:type="dxa"/>
            <w:vAlign w:val="bottom"/>
          </w:tcPr>
          <w:p>
            <w:pPr>
              <w:spacing w:after="0"/>
              <w:rPr>
                <w:sz w:val="1"/>
                <w:szCs w:val="1"/>
                <w:color w:val="auto"/>
              </w:rPr>
            </w:pPr>
          </w:p>
        </w:tc>
      </w:tr>
      <w:tr>
        <w:trPr>
          <w:trHeight w:val="224"/>
        </w:trPr>
        <w:tc>
          <w:tcPr>
            <w:tcW w:w="87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66,137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49,638</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income attributable to noncontrolling interests</w:t>
            </w: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739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1,013</w:t>
            </w:r>
          </w:p>
        </w:tc>
        <w:tc>
          <w:tcPr>
            <w:tcW w:w="0" w:type="dxa"/>
            <w:vAlign w:val="bottom"/>
          </w:tcPr>
          <w:p>
            <w:pPr>
              <w:spacing w:after="0"/>
              <w:rPr>
                <w:sz w:val="1"/>
                <w:szCs w:val="1"/>
                <w:color w:val="auto"/>
              </w:rPr>
            </w:pPr>
          </w:p>
        </w:tc>
      </w:tr>
      <w:tr>
        <w:trPr>
          <w:trHeight w:val="290"/>
        </w:trPr>
        <w:tc>
          <w:tcPr>
            <w:tcW w:w="8700" w:type="dxa"/>
            <w:vAlign w:val="bottom"/>
          </w:tcPr>
          <w:p>
            <w:pPr>
              <w:ind w:left="40"/>
              <w:spacing w:after="0"/>
              <w:rPr>
                <w:sz w:val="20"/>
                <w:szCs w:val="20"/>
                <w:color w:val="auto"/>
              </w:rPr>
            </w:pPr>
            <w:r>
              <w:rPr>
                <w:rFonts w:ascii="Arial" w:cs="Arial" w:eastAsia="Arial" w:hAnsi="Arial"/>
                <w:sz w:val="16"/>
                <w:szCs w:val="16"/>
                <w:color w:val="auto"/>
              </w:rPr>
              <w:t>Net income attributable to Bloomin’ Brands</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65,398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48,625</w:t>
            </w:r>
          </w:p>
        </w:tc>
        <w:tc>
          <w:tcPr>
            <w:tcW w:w="0" w:type="dxa"/>
            <w:vAlign w:val="bottom"/>
          </w:tcPr>
          <w:p>
            <w:pPr>
              <w:spacing w:after="0"/>
              <w:rPr>
                <w:sz w:val="1"/>
                <w:szCs w:val="1"/>
                <w:color w:val="auto"/>
              </w:rPr>
            </w:pPr>
          </w:p>
        </w:tc>
      </w:tr>
      <w:tr>
        <w:trPr>
          <w:trHeight w:val="271"/>
        </w:trPr>
        <w:tc>
          <w:tcPr>
            <w:tcW w:w="87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7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66,137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49,638</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 net of tax</w:t>
            </w:r>
          </w:p>
        </w:tc>
        <w:tc>
          <w:tcPr>
            <w:tcW w:w="1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1,349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20,489</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Unrealized gain on derivatives, net of tax</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70"/>
        </w:trPr>
        <w:tc>
          <w:tcPr>
            <w:tcW w:w="8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Reclassification of adjustment for loss on derivatives included in Net income, net of tax</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308</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784</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68,682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71,012</w:t>
            </w:r>
          </w:p>
        </w:tc>
        <w:tc>
          <w:tcPr>
            <w:tcW w:w="0" w:type="dxa"/>
            <w:vAlign w:val="bottom"/>
          </w:tcPr>
          <w:p>
            <w:pPr>
              <w:spacing w:after="0"/>
              <w:rPr>
                <w:sz w:val="1"/>
                <w:szCs w:val="1"/>
                <w:color w:val="auto"/>
              </w:rPr>
            </w:pPr>
          </w:p>
        </w:tc>
      </w:tr>
      <w:tr>
        <w:trPr>
          <w:trHeight w:val="270"/>
        </w:trPr>
        <w:tc>
          <w:tcPr>
            <w:tcW w:w="8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Less: comprehensive income attributable to noncontrolling interests</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721</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925</w:t>
            </w:r>
          </w:p>
        </w:tc>
        <w:tc>
          <w:tcPr>
            <w:tcW w:w="0" w:type="dxa"/>
            <w:vAlign w:val="bottom"/>
          </w:tcPr>
          <w:p>
            <w:pPr>
              <w:spacing w:after="0"/>
              <w:rPr>
                <w:sz w:val="1"/>
                <w:szCs w:val="1"/>
                <w:color w:val="auto"/>
              </w:rPr>
            </w:pPr>
          </w:p>
        </w:tc>
      </w:tr>
      <w:tr>
        <w:trPr>
          <w:trHeight w:val="244"/>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attributable to Bloomin’ Brands</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67,961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70,087</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share: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8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0.71</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0.47</w:t>
            </w:r>
          </w:p>
        </w:tc>
        <w:tc>
          <w:tcPr>
            <w:tcW w:w="0" w:type="dxa"/>
            <w:vAlign w:val="bottom"/>
          </w:tcPr>
          <w:p>
            <w:pPr>
              <w:spacing w:after="0"/>
              <w:rPr>
                <w:sz w:val="1"/>
                <w:szCs w:val="1"/>
                <w:color w:val="auto"/>
              </w:rPr>
            </w:pPr>
          </w:p>
        </w:tc>
      </w:tr>
      <w:tr>
        <w:trPr>
          <w:trHeight w:val="237"/>
        </w:trPr>
        <w:tc>
          <w:tcPr>
            <w:tcW w:w="8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0.46</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7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92,268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103,074</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95,782</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106,413</w:t>
            </w:r>
          </w:p>
        </w:tc>
        <w:tc>
          <w:tcPr>
            <w:tcW w:w="0" w:type="dxa"/>
            <w:vAlign w:val="bottom"/>
          </w:tcPr>
          <w:p>
            <w:pPr>
              <w:spacing w:after="0"/>
              <w:rPr>
                <w:sz w:val="1"/>
                <w:szCs w:val="1"/>
                <w:color w:val="auto"/>
              </w:rPr>
            </w:pPr>
          </w:p>
        </w:tc>
      </w:tr>
      <w:tr>
        <w:trPr>
          <w:trHeight w:val="284"/>
        </w:trPr>
        <w:tc>
          <w:tcPr>
            <w:tcW w:w="87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700" w:type="dxa"/>
            <w:vAlign w:val="bottom"/>
          </w:tcPr>
          <w:p>
            <w:pPr>
              <w:ind w:left="40"/>
              <w:spacing w:after="0"/>
              <w:rPr>
                <w:sz w:val="20"/>
                <w:szCs w:val="20"/>
                <w:color w:val="auto"/>
              </w:rPr>
            </w:pPr>
            <w:r>
              <w:rPr>
                <w:rFonts w:ascii="Arial" w:cs="Arial" w:eastAsia="Arial" w:hAnsi="Arial"/>
                <w:sz w:val="16"/>
                <w:szCs w:val="16"/>
                <w:color w:val="auto"/>
              </w:rPr>
              <w:t>Cash dividends declared per common share</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0.09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900" w:h="16838" w:orient="portrait"/>
          <w:cols w:equalWidth="0" w:num="1">
            <w:col w:w="11420"/>
          </w:cols>
          <w:pgMar w:left="240" w:top="12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CHANGES IN STOCKHOLDERS’ EQUITY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 UNAUDITED)</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9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BLOOMIN’ BRANDS, INC.</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960" w:type="dxa"/>
            <w:vAlign w:val="bottom"/>
          </w:tcPr>
          <w:p>
            <w:pPr>
              <w:spacing w:after="0"/>
              <w:rPr>
                <w:sz w:val="13"/>
                <w:szCs w:val="13"/>
                <w:color w:val="auto"/>
              </w:rPr>
            </w:pPr>
          </w:p>
        </w:tc>
        <w:tc>
          <w:tcPr>
            <w:tcW w:w="220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960" w:type="dxa"/>
            <w:vAlign w:val="bottom"/>
          </w:tcPr>
          <w:p>
            <w:pPr>
              <w:spacing w:after="0"/>
              <w:rPr>
                <w:sz w:val="14"/>
                <w:szCs w:val="14"/>
                <w:color w:val="auto"/>
              </w:rPr>
            </w:pPr>
          </w:p>
        </w:tc>
        <w:tc>
          <w:tcPr>
            <w:tcW w:w="2200" w:type="dxa"/>
            <w:vAlign w:val="bottom"/>
            <w:tcBorders>
              <w:bottom w:val="single" w:sz="8" w:color="auto"/>
            </w:tcBorders>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960" w:type="dxa"/>
            <w:vAlign w:val="bottom"/>
          </w:tcPr>
          <w:p>
            <w:pPr>
              <w:spacing w:after="0"/>
              <w:rPr>
                <w:sz w:val="9"/>
                <w:szCs w:val="9"/>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9"/>
                <w:szCs w:val="9"/>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9"/>
                <w:szCs w:val="9"/>
                <w:color w:val="auto"/>
              </w:rPr>
            </w:pPr>
          </w:p>
        </w:tc>
        <w:tc>
          <w:tcPr>
            <w:tcW w:w="1340" w:type="dxa"/>
            <w:vAlign w:val="bottom"/>
            <w:gridSpan w:val="2"/>
          </w:tcPr>
          <w:p>
            <w:pPr>
              <w:ind w:left="60"/>
              <w:spacing w:after="0" w:line="113" w:lineRule="exact"/>
              <w:rPr>
                <w:sz w:val="20"/>
                <w:szCs w:val="20"/>
                <w:color w:val="auto"/>
              </w:rPr>
            </w:pPr>
            <w:r>
              <w:rPr>
                <w:rFonts w:ascii="Arial" w:cs="Arial" w:eastAsia="Arial" w:hAnsi="Arial"/>
                <w:sz w:val="13"/>
                <w:szCs w:val="13"/>
                <w:b w:val="1"/>
                <w:bCs w:val="1"/>
                <w:color w:val="auto"/>
              </w:rPr>
              <w:t>ADDITIONAL</w:t>
            </w:r>
          </w:p>
        </w:tc>
        <w:tc>
          <w:tcPr>
            <w:tcW w:w="1360" w:type="dxa"/>
            <w:vAlign w:val="bottom"/>
            <w:gridSpan w:val="3"/>
          </w:tcPr>
          <w:p>
            <w:pPr>
              <w:ind w:left="40"/>
              <w:spacing w:after="0" w:line="113"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9"/>
                <w:szCs w:val="9"/>
                <w:color w:val="auto"/>
              </w:rPr>
            </w:pPr>
          </w:p>
        </w:tc>
        <w:tc>
          <w:tcPr>
            <w:tcW w:w="1640" w:type="dxa"/>
            <w:vAlign w:val="bottom"/>
            <w:gridSpan w:val="2"/>
          </w:tcPr>
          <w:p>
            <w:pPr>
              <w:jc w:val="center"/>
              <w:ind w:right="260"/>
              <w:spacing w:after="0" w:line="113" w:lineRule="exact"/>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9"/>
                <w:szCs w:val="9"/>
                <w:color w:val="auto"/>
              </w:rPr>
            </w:pPr>
          </w:p>
        </w:tc>
        <w:tc>
          <w:tcPr>
            <w:tcW w:w="1420" w:type="dxa"/>
            <w:vAlign w:val="bottom"/>
            <w:gridSpan w:val="2"/>
          </w:tcPr>
          <w:p>
            <w:pPr>
              <w:jc w:val="center"/>
              <w:ind w:right="240"/>
              <w:spacing w:after="0" w:line="113" w:lineRule="exact"/>
              <w:rPr>
                <w:sz w:val="20"/>
                <w:szCs w:val="20"/>
                <w:color w:val="auto"/>
              </w:rPr>
            </w:pPr>
            <w:r>
              <w:rPr>
                <w:rFonts w:ascii="Arial" w:cs="Arial" w:eastAsia="Arial" w:hAnsi="Arial"/>
                <w:sz w:val="13"/>
                <w:szCs w:val="13"/>
                <w:b w:val="1"/>
                <w:bCs w:val="1"/>
                <w:color w:val="auto"/>
              </w:rPr>
              <w:t>CONTROLLING</w:t>
            </w:r>
          </w:p>
        </w:tc>
        <w:tc>
          <w:tcPr>
            <w:tcW w:w="160" w:type="dxa"/>
            <w:vAlign w:val="bottom"/>
          </w:tcPr>
          <w:p>
            <w:pPr>
              <w:spacing w:after="0"/>
              <w:rPr>
                <w:sz w:val="9"/>
                <w:szCs w:val="9"/>
                <w:color w:val="auto"/>
              </w:rPr>
            </w:pPr>
          </w:p>
        </w:tc>
        <w:tc>
          <w:tcPr>
            <w:tcW w:w="74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19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520" w:type="dxa"/>
            <w:vAlign w:val="bottom"/>
            <w:gridSpan w:val="3"/>
          </w:tcPr>
          <w:p>
            <w:pPr>
              <w:ind w:left="100"/>
              <w:spacing w:after="0"/>
              <w:rPr>
                <w:sz w:val="20"/>
                <w:szCs w:val="20"/>
                <w:color w:val="auto"/>
              </w:rPr>
            </w:pPr>
            <w:r>
              <w:rPr>
                <w:rFonts w:ascii="Arial" w:cs="Arial" w:eastAsia="Arial" w:hAnsi="Arial"/>
                <w:sz w:val="14"/>
                <w:szCs w:val="14"/>
                <w:b w:val="1"/>
                <w:bCs w:val="1"/>
                <w:color w:val="auto"/>
              </w:rPr>
              <w:t>PAID-IN CAPITAL</w:t>
            </w:r>
          </w:p>
        </w:tc>
        <w:tc>
          <w:tcPr>
            <w:tcW w:w="22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LOSS</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1"/>
                <w:shd w:val="clear" w:color="auto" w:fill="CCEEFF"/>
              </w:rPr>
              <w:t>Balance, December 31, 2017</w:t>
            </w:r>
          </w:p>
        </w:tc>
        <w:tc>
          <w:tcPr>
            <w:tcW w:w="10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91,913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1,081,813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(913,191)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(99,199)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10,889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81,231</w:t>
            </w:r>
          </w:p>
        </w:tc>
        <w:tc>
          <w:tcPr>
            <w:tcW w:w="0" w:type="dxa"/>
            <w:vAlign w:val="bottom"/>
          </w:tcPr>
          <w:p>
            <w:pPr>
              <w:spacing w:after="0"/>
              <w:rPr>
                <w:sz w:val="1"/>
                <w:szCs w:val="1"/>
                <w:color w:val="auto"/>
              </w:rPr>
            </w:pP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65,398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818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66,216</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net of tax</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2,563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2,545</w:t>
            </w:r>
          </w:p>
        </w:tc>
        <w:tc>
          <w:tcPr>
            <w:tcW w:w="0" w:type="dxa"/>
            <w:vAlign w:val="bottom"/>
          </w:tcPr>
          <w:p>
            <w:pPr>
              <w:spacing w:after="0"/>
              <w:rPr>
                <w:sz w:val="1"/>
                <w:szCs w:val="1"/>
                <w:color w:val="auto"/>
              </w:rPr>
            </w:pPr>
          </w:p>
        </w:tc>
      </w:tr>
      <w:tr>
        <w:trPr>
          <w:trHeight w:val="220"/>
        </w:trPr>
        <w:tc>
          <w:tcPr>
            <w:tcW w:w="1960" w:type="dxa"/>
            <w:vAlign w:val="bottom"/>
          </w:tcPr>
          <w:p>
            <w:pPr>
              <w:ind w:left="40"/>
              <w:spacing w:after="0"/>
              <w:rPr>
                <w:sz w:val="20"/>
                <w:szCs w:val="20"/>
                <w:color w:val="auto"/>
              </w:rPr>
            </w:pPr>
            <w:r>
              <w:rPr>
                <w:rFonts w:ascii="Arial" w:cs="Arial" w:eastAsia="Arial" w:hAnsi="Arial"/>
                <w:sz w:val="16"/>
                <w:szCs w:val="16"/>
                <w:color w:val="auto"/>
              </w:rPr>
              <w:t>Cash dividends declared,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40"/>
              <w:spacing w:after="0"/>
              <w:rPr>
                <w:sz w:val="20"/>
                <w:szCs w:val="20"/>
                <w:color w:val="auto"/>
              </w:rPr>
            </w:pPr>
            <w:r>
              <w:rPr>
                <w:rFonts w:ascii="Arial" w:cs="Arial" w:eastAsia="Arial" w:hAnsi="Arial"/>
                <w:sz w:val="16"/>
                <w:szCs w:val="16"/>
                <w:color w:val="auto"/>
              </w:rPr>
              <w:t>$0.09 per common share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(8,371)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(8,371)</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Repurchase and retirement</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common stock</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(50,975)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(50,996)</w:t>
            </w:r>
          </w:p>
        </w:tc>
        <w:tc>
          <w:tcPr>
            <w:tcW w:w="0" w:type="dxa"/>
            <w:vAlign w:val="bottom"/>
          </w:tcPr>
          <w:p>
            <w:pPr>
              <w:spacing w:after="0"/>
              <w:rPr>
                <w:sz w:val="1"/>
                <w:szCs w:val="1"/>
                <w:color w:val="auto"/>
              </w:rPr>
            </w:pP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w w:val="98"/>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5,121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5,121</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Common stock issued under</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plans (1)</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1,619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13,663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13,679</w:t>
            </w:r>
          </w:p>
        </w:tc>
        <w:tc>
          <w:tcPr>
            <w:tcW w:w="0" w:type="dxa"/>
            <w:vAlign w:val="bottom"/>
          </w:tcPr>
          <w:p>
            <w:pPr>
              <w:spacing w:after="0"/>
              <w:rPr>
                <w:sz w:val="1"/>
                <w:szCs w:val="1"/>
                <w:color w:val="auto"/>
              </w:rPr>
            </w:pPr>
          </w:p>
        </w:tc>
      </w:tr>
      <w:tr>
        <w:trPr>
          <w:trHeight w:val="220"/>
        </w:trPr>
        <w:tc>
          <w:tcPr>
            <w:tcW w:w="1960" w:type="dxa"/>
            <w:vAlign w:val="bottom"/>
          </w:tcPr>
          <w:p>
            <w:pPr>
              <w:ind w:left="40"/>
              <w:spacing w:after="0"/>
              <w:rPr>
                <w:sz w:val="20"/>
                <w:szCs w:val="20"/>
                <w:color w:val="auto"/>
              </w:rPr>
            </w:pPr>
            <w:r>
              <w:rPr>
                <w:rFonts w:ascii="Arial" w:cs="Arial" w:eastAsia="Arial" w:hAnsi="Arial"/>
                <w:sz w:val="16"/>
                <w:szCs w:val="16"/>
                <w:color w:val="auto"/>
              </w:rPr>
              <w:t>Change in the redemption</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60" w:type="dxa"/>
            <w:vAlign w:val="bottom"/>
          </w:tcPr>
          <w:p>
            <w:pPr>
              <w:ind w:left="40"/>
              <w:spacing w:after="0"/>
              <w:rPr>
                <w:sz w:val="20"/>
                <w:szCs w:val="20"/>
                <w:color w:val="auto"/>
              </w:rPr>
            </w:pPr>
            <w:r>
              <w:rPr>
                <w:rFonts w:ascii="Arial" w:cs="Arial" w:eastAsia="Arial" w:hAnsi="Arial"/>
                <w:sz w:val="16"/>
                <w:szCs w:val="16"/>
                <w:color w:val="auto"/>
              </w:rPr>
              <w:t>value of redeemable</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40"/>
              <w:spacing w:after="0"/>
              <w:rPr>
                <w:sz w:val="20"/>
                <w:szCs w:val="20"/>
                <w:color w:val="auto"/>
              </w:rPr>
            </w:pPr>
            <w:r>
              <w:rPr>
                <w:rFonts w:ascii="Arial" w:cs="Arial" w:eastAsia="Arial" w:hAnsi="Arial"/>
                <w:sz w:val="16"/>
                <w:szCs w:val="16"/>
                <w:color w:val="auto"/>
              </w:rPr>
              <w:t>interests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Distributions to</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0" w:type="dxa"/>
            <w:vAlign w:val="bottom"/>
          </w:tcPr>
          <w:p>
            <w:pPr>
              <w:spacing w:after="0"/>
              <w:rPr>
                <w:sz w:val="1"/>
                <w:szCs w:val="1"/>
                <w:color w:val="auto"/>
              </w:rPr>
            </w:pPr>
          </w:p>
        </w:tc>
      </w:tr>
      <w:tr>
        <w:trPr>
          <w:trHeight w:val="220"/>
        </w:trPr>
        <w:tc>
          <w:tcPr>
            <w:tcW w:w="1960" w:type="dxa"/>
            <w:vAlign w:val="bottom"/>
          </w:tcPr>
          <w:p>
            <w:pPr>
              <w:ind w:left="40"/>
              <w:spacing w:after="0"/>
              <w:rPr>
                <w:sz w:val="20"/>
                <w:szCs w:val="20"/>
                <w:color w:val="auto"/>
              </w:rPr>
            </w:pPr>
            <w:r>
              <w:rPr>
                <w:rFonts w:ascii="Arial" w:cs="Arial" w:eastAsia="Arial" w:hAnsi="Arial"/>
                <w:sz w:val="16"/>
                <w:szCs w:val="16"/>
                <w:color w:val="auto"/>
              </w:rPr>
              <w:t>Contributions from</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6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20" w:type="dxa"/>
            <w:vAlign w:val="bottom"/>
            <w:vMerge w:val="restart"/>
          </w:tcPr>
          <w:p>
            <w:pPr>
              <w:jc w:val="right"/>
              <w:ind w:right="21"/>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restart"/>
          </w:tcPr>
          <w:p>
            <w:pPr>
              <w:jc w:val="right"/>
              <w:ind w:right="20"/>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39"/>
        </w:trPr>
        <w:tc>
          <w:tcPr>
            <w:tcW w:w="196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1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April 1, 2018</w:t>
            </w:r>
          </w:p>
        </w:tc>
        <w:tc>
          <w:tcPr>
            <w:tcW w:w="10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91,416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1,092,147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(898,768)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10,778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108,435</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ind w:left="10140"/>
        <w:spacing w:after="0"/>
        <w:rPr>
          <w:sz w:val="20"/>
          <w:szCs w:val="20"/>
          <w:color w:val="auto"/>
        </w:rPr>
      </w:pPr>
      <w:r>
        <w:rPr>
          <w:rFonts w:ascii="Arial" w:cs="Arial" w:eastAsia="Arial" w:hAnsi="Arial"/>
          <w:sz w:val="16"/>
          <w:szCs w:val="16"/>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CHANGES IN STOCKHOLDERS’ EQUITY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 UNAUDITED)</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9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BLOOMIN’ BRANDS, INC.</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960" w:type="dxa"/>
            <w:vAlign w:val="bottom"/>
          </w:tcPr>
          <w:p>
            <w:pPr>
              <w:spacing w:after="0"/>
              <w:rPr>
                <w:sz w:val="13"/>
                <w:szCs w:val="13"/>
                <w:color w:val="auto"/>
              </w:rPr>
            </w:pPr>
          </w:p>
        </w:tc>
        <w:tc>
          <w:tcPr>
            <w:tcW w:w="220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960" w:type="dxa"/>
            <w:vAlign w:val="bottom"/>
          </w:tcPr>
          <w:p>
            <w:pPr>
              <w:spacing w:after="0"/>
              <w:rPr>
                <w:sz w:val="14"/>
                <w:szCs w:val="14"/>
                <w:color w:val="auto"/>
              </w:rPr>
            </w:pPr>
          </w:p>
        </w:tc>
        <w:tc>
          <w:tcPr>
            <w:tcW w:w="2200" w:type="dxa"/>
            <w:vAlign w:val="bottom"/>
            <w:tcBorders>
              <w:bottom w:val="single" w:sz="8" w:color="auto"/>
            </w:tcBorders>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960" w:type="dxa"/>
            <w:vAlign w:val="bottom"/>
          </w:tcPr>
          <w:p>
            <w:pPr>
              <w:spacing w:after="0"/>
              <w:rPr>
                <w:sz w:val="9"/>
                <w:szCs w:val="9"/>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9"/>
                <w:szCs w:val="9"/>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9"/>
                <w:szCs w:val="9"/>
                <w:color w:val="auto"/>
              </w:rPr>
            </w:pPr>
          </w:p>
        </w:tc>
        <w:tc>
          <w:tcPr>
            <w:tcW w:w="1340" w:type="dxa"/>
            <w:vAlign w:val="bottom"/>
            <w:gridSpan w:val="2"/>
          </w:tcPr>
          <w:p>
            <w:pPr>
              <w:ind w:left="60"/>
              <w:spacing w:after="0" w:line="113" w:lineRule="exact"/>
              <w:rPr>
                <w:sz w:val="20"/>
                <w:szCs w:val="20"/>
                <w:color w:val="auto"/>
              </w:rPr>
            </w:pPr>
            <w:r>
              <w:rPr>
                <w:rFonts w:ascii="Arial" w:cs="Arial" w:eastAsia="Arial" w:hAnsi="Arial"/>
                <w:sz w:val="13"/>
                <w:szCs w:val="13"/>
                <w:b w:val="1"/>
                <w:bCs w:val="1"/>
                <w:color w:val="auto"/>
              </w:rPr>
              <w:t>ADDITIONAL</w:t>
            </w:r>
          </w:p>
        </w:tc>
        <w:tc>
          <w:tcPr>
            <w:tcW w:w="1360" w:type="dxa"/>
            <w:vAlign w:val="bottom"/>
            <w:gridSpan w:val="3"/>
          </w:tcPr>
          <w:p>
            <w:pPr>
              <w:ind w:left="40"/>
              <w:spacing w:after="0" w:line="113"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9"/>
                <w:szCs w:val="9"/>
                <w:color w:val="auto"/>
              </w:rPr>
            </w:pPr>
          </w:p>
        </w:tc>
        <w:tc>
          <w:tcPr>
            <w:tcW w:w="1640" w:type="dxa"/>
            <w:vAlign w:val="bottom"/>
            <w:gridSpan w:val="2"/>
          </w:tcPr>
          <w:p>
            <w:pPr>
              <w:jc w:val="center"/>
              <w:ind w:right="260"/>
              <w:spacing w:after="0" w:line="113" w:lineRule="exact"/>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9"/>
                <w:szCs w:val="9"/>
                <w:color w:val="auto"/>
              </w:rPr>
            </w:pPr>
          </w:p>
        </w:tc>
        <w:tc>
          <w:tcPr>
            <w:tcW w:w="1420" w:type="dxa"/>
            <w:vAlign w:val="bottom"/>
            <w:gridSpan w:val="2"/>
          </w:tcPr>
          <w:p>
            <w:pPr>
              <w:jc w:val="center"/>
              <w:ind w:right="240"/>
              <w:spacing w:after="0" w:line="113" w:lineRule="exact"/>
              <w:rPr>
                <w:sz w:val="20"/>
                <w:szCs w:val="20"/>
                <w:color w:val="auto"/>
              </w:rPr>
            </w:pPr>
            <w:r>
              <w:rPr>
                <w:rFonts w:ascii="Arial" w:cs="Arial" w:eastAsia="Arial" w:hAnsi="Arial"/>
                <w:sz w:val="13"/>
                <w:szCs w:val="13"/>
                <w:b w:val="1"/>
                <w:bCs w:val="1"/>
                <w:color w:val="auto"/>
              </w:rPr>
              <w:t>CONTROLLING</w:t>
            </w:r>
          </w:p>
        </w:tc>
        <w:tc>
          <w:tcPr>
            <w:tcW w:w="160" w:type="dxa"/>
            <w:vAlign w:val="bottom"/>
          </w:tcPr>
          <w:p>
            <w:pPr>
              <w:spacing w:after="0"/>
              <w:rPr>
                <w:sz w:val="9"/>
                <w:szCs w:val="9"/>
                <w:color w:val="auto"/>
              </w:rPr>
            </w:pPr>
          </w:p>
        </w:tc>
        <w:tc>
          <w:tcPr>
            <w:tcW w:w="74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19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520" w:type="dxa"/>
            <w:vAlign w:val="bottom"/>
            <w:gridSpan w:val="3"/>
          </w:tcPr>
          <w:p>
            <w:pPr>
              <w:ind w:left="100"/>
              <w:spacing w:after="0"/>
              <w:rPr>
                <w:sz w:val="20"/>
                <w:szCs w:val="20"/>
                <w:color w:val="auto"/>
              </w:rPr>
            </w:pPr>
            <w:r>
              <w:rPr>
                <w:rFonts w:ascii="Arial" w:cs="Arial" w:eastAsia="Arial" w:hAnsi="Arial"/>
                <w:sz w:val="14"/>
                <w:szCs w:val="14"/>
                <w:b w:val="1"/>
                <w:bCs w:val="1"/>
                <w:color w:val="auto"/>
              </w:rPr>
              <w:t>PAID-IN CAPITAL</w:t>
            </w:r>
          </w:p>
        </w:tc>
        <w:tc>
          <w:tcPr>
            <w:tcW w:w="22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LOSS</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1"/>
              </w:rPr>
              <w:t>Balance, December 25, 2016</w:t>
            </w:r>
          </w:p>
        </w:tc>
        <w:tc>
          <w:tcPr>
            <w:tcW w:w="10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103,922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1,079,583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(756,070)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(111,143)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12,654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226,063</w:t>
            </w:r>
          </w:p>
        </w:tc>
        <w:tc>
          <w:tcPr>
            <w:tcW w:w="0" w:type="dxa"/>
            <w:vAlign w:val="bottom"/>
          </w:tcPr>
          <w:p>
            <w:pPr>
              <w:spacing w:after="0"/>
              <w:rPr>
                <w:sz w:val="1"/>
                <w:szCs w:val="1"/>
                <w:color w:val="auto"/>
              </w:rPr>
            </w:pP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48,625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1,068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49,693</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net of tax</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21,462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21,369</w:t>
            </w:r>
          </w:p>
        </w:tc>
        <w:tc>
          <w:tcPr>
            <w:tcW w:w="0" w:type="dxa"/>
            <w:vAlign w:val="bottom"/>
          </w:tcPr>
          <w:p>
            <w:pPr>
              <w:spacing w:after="0"/>
              <w:rPr>
                <w:sz w:val="1"/>
                <w:szCs w:val="1"/>
                <w:color w:val="auto"/>
              </w:rPr>
            </w:pPr>
          </w:p>
        </w:tc>
      </w:tr>
      <w:tr>
        <w:trPr>
          <w:trHeight w:val="220"/>
        </w:trPr>
        <w:tc>
          <w:tcPr>
            <w:tcW w:w="1960" w:type="dxa"/>
            <w:vAlign w:val="bottom"/>
          </w:tcPr>
          <w:p>
            <w:pPr>
              <w:ind w:left="40"/>
              <w:spacing w:after="0"/>
              <w:rPr>
                <w:sz w:val="20"/>
                <w:szCs w:val="20"/>
                <w:color w:val="auto"/>
              </w:rPr>
            </w:pPr>
            <w:r>
              <w:rPr>
                <w:rFonts w:ascii="Arial" w:cs="Arial" w:eastAsia="Arial" w:hAnsi="Arial"/>
                <w:sz w:val="16"/>
                <w:szCs w:val="16"/>
                <w:color w:val="auto"/>
              </w:rPr>
              <w:t>Cash dividends declared,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40"/>
              <w:spacing w:after="0"/>
              <w:rPr>
                <w:sz w:val="20"/>
                <w:szCs w:val="20"/>
                <w:color w:val="auto"/>
              </w:rPr>
            </w:pPr>
            <w:r>
              <w:rPr>
                <w:rFonts w:ascii="Arial" w:cs="Arial" w:eastAsia="Arial" w:hAnsi="Arial"/>
                <w:sz w:val="16"/>
                <w:szCs w:val="16"/>
                <w:color w:val="auto"/>
              </w:rPr>
              <w:t>$0.08 per common share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(8,254)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(8,254)</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Repurchase and retirement</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common stock</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(53,024)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(53,053)</w:t>
            </w:r>
          </w:p>
        </w:tc>
        <w:tc>
          <w:tcPr>
            <w:tcW w:w="0" w:type="dxa"/>
            <w:vAlign w:val="bottom"/>
          </w:tcPr>
          <w:p>
            <w:pPr>
              <w:spacing w:after="0"/>
              <w:rPr>
                <w:sz w:val="1"/>
                <w:szCs w:val="1"/>
                <w:color w:val="auto"/>
              </w:rPr>
            </w:pP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w w:val="98"/>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5,990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5,990</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Common stock issued under</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plans (1)</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20"/>
        </w:trPr>
        <w:tc>
          <w:tcPr>
            <w:tcW w:w="1960" w:type="dxa"/>
            <w:vAlign w:val="bottom"/>
          </w:tcPr>
          <w:p>
            <w:pPr>
              <w:ind w:left="40"/>
              <w:spacing w:after="0"/>
              <w:rPr>
                <w:sz w:val="20"/>
                <w:szCs w:val="20"/>
                <w:color w:val="auto"/>
              </w:rPr>
            </w:pPr>
            <w:r>
              <w:rPr>
                <w:rFonts w:ascii="Arial" w:cs="Arial" w:eastAsia="Arial" w:hAnsi="Arial"/>
                <w:sz w:val="16"/>
                <w:szCs w:val="16"/>
                <w:color w:val="auto"/>
              </w:rPr>
              <w:t>Purchase of noncontrolling</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40"/>
              <w:spacing w:after="0"/>
              <w:rPr>
                <w:sz w:val="20"/>
                <w:szCs w:val="20"/>
                <w:color w:val="auto"/>
              </w:rPr>
            </w:pPr>
            <w:r>
              <w:rPr>
                <w:rFonts w:ascii="Arial" w:cs="Arial" w:eastAsia="Arial" w:hAnsi="Arial"/>
                <w:sz w:val="16"/>
                <w:szCs w:val="16"/>
                <w:color w:val="auto"/>
              </w:rPr>
              <w:t>interests, net of tax of $45</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Distributions to</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0" w:type="dxa"/>
            <w:vAlign w:val="bottom"/>
          </w:tcPr>
          <w:p>
            <w:pPr>
              <w:spacing w:after="0"/>
              <w:rPr>
                <w:sz w:val="1"/>
                <w:szCs w:val="1"/>
                <w:color w:val="auto"/>
              </w:rPr>
            </w:pPr>
          </w:p>
        </w:tc>
      </w:tr>
      <w:tr>
        <w:trPr>
          <w:trHeight w:val="220"/>
        </w:trPr>
        <w:tc>
          <w:tcPr>
            <w:tcW w:w="1960" w:type="dxa"/>
            <w:vAlign w:val="bottom"/>
          </w:tcPr>
          <w:p>
            <w:pPr>
              <w:ind w:left="40"/>
              <w:spacing w:after="0"/>
              <w:rPr>
                <w:sz w:val="20"/>
                <w:szCs w:val="20"/>
                <w:color w:val="auto"/>
              </w:rPr>
            </w:pPr>
            <w:r>
              <w:rPr>
                <w:rFonts w:ascii="Arial" w:cs="Arial" w:eastAsia="Arial" w:hAnsi="Arial"/>
                <w:sz w:val="16"/>
                <w:szCs w:val="16"/>
                <w:color w:val="auto"/>
              </w:rPr>
              <w:t>Contributions from</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Cumulative-effect from a</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accounting</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14,364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14,364</w:t>
            </w:r>
          </w:p>
        </w:tc>
        <w:tc>
          <w:tcPr>
            <w:tcW w:w="0" w:type="dxa"/>
            <w:vAlign w:val="bottom"/>
          </w:tcPr>
          <w:p>
            <w:pPr>
              <w:spacing w:after="0"/>
              <w:rPr>
                <w:sz w:val="1"/>
                <w:szCs w:val="1"/>
                <w:color w:val="auto"/>
              </w:rPr>
            </w:pPr>
          </w:p>
        </w:tc>
      </w:tr>
      <w:tr>
        <w:trPr>
          <w:trHeight w:val="233"/>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principle</w:t>
            </w:r>
          </w:p>
        </w:tc>
        <w:tc>
          <w:tcPr>
            <w:tcW w:w="116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4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96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Balance, March 26, 2017</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101,480</w:t>
            </w: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1,015</w:t>
            </w: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1,077,473</w:t>
            </w:r>
          </w:p>
        </w:tc>
        <w:tc>
          <w:tcPr>
            <w:tcW w:w="120" w:type="dxa"/>
            <w:vAlign w:val="bottom"/>
            <w:tcBorders>
              <w:top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(746,248)</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(89,681)</w:t>
            </w:r>
          </w:p>
        </w:tc>
        <w:tc>
          <w:tcPr>
            <w:tcW w:w="100" w:type="dxa"/>
            <w:vAlign w:val="bottom"/>
            <w:tcBorders>
              <w:top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12,014</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254,573</w:t>
            </w: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96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of forfeitures and shares withheld for employee taxes.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CASH FLOWS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UNAUDITED)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7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264"/>
        </w:trPr>
        <w:tc>
          <w:tcPr>
            <w:tcW w:w="8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1, 2018</w:t>
            </w:r>
          </w:p>
        </w:tc>
        <w:tc>
          <w:tcPr>
            <w:tcW w:w="12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4"/>
                <w:szCs w:val="14"/>
                <w:b w:val="1"/>
                <w:bCs w:val="1"/>
                <w:color w:val="auto"/>
                <w:w w:val="99"/>
              </w:rPr>
              <w:t>MARCH 26, 2017</w:t>
            </w:r>
          </w:p>
        </w:tc>
        <w:tc>
          <w:tcPr>
            <w:tcW w:w="0" w:type="dxa"/>
            <w:vAlign w:val="bottom"/>
          </w:tcPr>
          <w:p>
            <w:pPr>
              <w:spacing w:after="0"/>
              <w:rPr>
                <w:sz w:val="1"/>
                <w:szCs w:val="1"/>
                <w:color w:val="auto"/>
              </w:rPr>
            </w:pPr>
          </w:p>
        </w:tc>
      </w:tr>
      <w:tr>
        <w:trPr>
          <w:trHeight w:val="237"/>
        </w:trPr>
        <w:tc>
          <w:tcPr>
            <w:tcW w:w="8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provided by operating activities:</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7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66,137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49,638</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cash provided by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70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50,120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46,590</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deferred discounts and issuance costs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1,004</w:t>
            </w:r>
          </w:p>
        </w:tc>
        <w:tc>
          <w:tcPr>
            <w:tcW w:w="0" w:type="dxa"/>
            <w:vAlign w:val="bottom"/>
          </w:tcPr>
          <w:p>
            <w:pPr>
              <w:spacing w:after="0"/>
              <w:rPr>
                <w:sz w:val="1"/>
                <w:szCs w:val="1"/>
                <w:color w:val="auto"/>
              </w:rPr>
            </w:pPr>
          </w:p>
        </w:tc>
      </w:tr>
      <w:tr>
        <w:trPr>
          <w:trHeight w:val="237"/>
        </w:trPr>
        <w:tc>
          <w:tcPr>
            <w:tcW w:w="8700" w:type="dxa"/>
            <w:vAlign w:val="bottom"/>
          </w:tcPr>
          <w:p>
            <w:pPr>
              <w:ind w:left="380"/>
              <w:spacing w:after="0"/>
              <w:rPr>
                <w:sz w:val="20"/>
                <w:szCs w:val="20"/>
                <w:color w:val="auto"/>
              </w:rPr>
            </w:pPr>
            <w:r>
              <w:rPr>
                <w:rFonts w:ascii="Arial" w:cs="Arial" w:eastAsia="Arial" w:hAnsi="Arial"/>
                <w:sz w:val="16"/>
                <w:szCs w:val="16"/>
                <w:color w:val="auto"/>
              </w:rPr>
              <w:t>Amortization of deferred gift card sales commissions</w:t>
            </w:r>
          </w:p>
        </w:tc>
        <w:tc>
          <w:tcPr>
            <w:tcW w:w="1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9,415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7,902</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Provision for impaired assets and restaurant closings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19,076</w:t>
            </w:r>
          </w:p>
        </w:tc>
        <w:tc>
          <w:tcPr>
            <w:tcW w:w="0" w:type="dxa"/>
            <w:vAlign w:val="bottom"/>
          </w:tcPr>
          <w:p>
            <w:pPr>
              <w:spacing w:after="0"/>
              <w:rPr>
                <w:sz w:val="1"/>
                <w:szCs w:val="1"/>
                <w:color w:val="auto"/>
              </w:rPr>
            </w:pPr>
          </w:p>
        </w:tc>
      </w:tr>
      <w:tr>
        <w:trPr>
          <w:trHeight w:val="237"/>
        </w:trPr>
        <w:tc>
          <w:tcPr>
            <w:tcW w:w="8700" w:type="dxa"/>
            <w:vAlign w:val="bottom"/>
          </w:tcPr>
          <w:p>
            <w:pPr>
              <w:ind w:left="380"/>
              <w:spacing w:after="0"/>
              <w:rPr>
                <w:sz w:val="20"/>
                <w:szCs w:val="20"/>
                <w:color w:val="auto"/>
              </w:rPr>
            </w:pPr>
            <w:r>
              <w:rPr>
                <w:rFonts w:ascii="Arial" w:cs="Arial" w:eastAsia="Arial" w:hAnsi="Arial"/>
                <w:sz w:val="16"/>
                <w:szCs w:val="16"/>
                <w:color w:val="auto"/>
              </w:rPr>
              <w:t>Stock-based and other non-cash compensation expense</w:t>
            </w:r>
          </w:p>
        </w:tc>
        <w:tc>
          <w:tcPr>
            <w:tcW w:w="1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6,058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6,672</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shd w:val="clear" w:color="auto" w:fill="CCEEFF"/>
              </w:rPr>
              <w:t>Deferred income tax expense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2,195</w:t>
            </w:r>
          </w:p>
        </w:tc>
        <w:tc>
          <w:tcPr>
            <w:tcW w:w="0" w:type="dxa"/>
            <w:vAlign w:val="bottom"/>
          </w:tcPr>
          <w:p>
            <w:pPr>
              <w:spacing w:after="0"/>
              <w:rPr>
                <w:sz w:val="1"/>
                <w:szCs w:val="1"/>
                <w:color w:val="auto"/>
              </w:rPr>
            </w:pPr>
          </w:p>
        </w:tc>
      </w:tr>
      <w:tr>
        <w:trPr>
          <w:trHeight w:val="237"/>
        </w:trPr>
        <w:tc>
          <w:tcPr>
            <w:tcW w:w="8700" w:type="dxa"/>
            <w:vAlign w:val="bottom"/>
          </w:tcPr>
          <w:p>
            <w:pPr>
              <w:ind w:left="380"/>
              <w:spacing w:after="0"/>
              <w:rPr>
                <w:sz w:val="20"/>
                <w:szCs w:val="20"/>
                <w:color w:val="auto"/>
              </w:rPr>
            </w:pPr>
            <w:r>
              <w:rPr>
                <w:rFonts w:ascii="Arial" w:cs="Arial" w:eastAsia="Arial" w:hAnsi="Arial"/>
                <w:sz w:val="16"/>
                <w:szCs w:val="16"/>
                <w:color w:val="auto"/>
              </w:rPr>
              <w:t>Recognition of deferred gain on sale-leaseback transactions</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(2,897)</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non-cash items, net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684</w:t>
            </w:r>
          </w:p>
        </w:tc>
        <w:tc>
          <w:tcPr>
            <w:tcW w:w="0" w:type="dxa"/>
            <w:vAlign w:val="bottom"/>
          </w:tcPr>
          <w:p>
            <w:pPr>
              <w:spacing w:after="0"/>
              <w:rPr>
                <w:sz w:val="1"/>
                <w:szCs w:val="1"/>
                <w:color w:val="auto"/>
              </w:rPr>
            </w:pPr>
          </w:p>
        </w:tc>
      </w:tr>
      <w:tr>
        <w:trPr>
          <w:trHeight w:val="270"/>
        </w:trPr>
        <w:tc>
          <w:tcPr>
            <w:tcW w:w="87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Change in assets and liabilities</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(80,748)</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5,334</w:t>
            </w:r>
          </w:p>
        </w:tc>
        <w:tc>
          <w:tcPr>
            <w:tcW w:w="0" w:type="dxa"/>
            <w:vAlign w:val="bottom"/>
          </w:tcPr>
          <w:p>
            <w:pPr>
              <w:spacing w:after="0"/>
              <w:rPr>
                <w:sz w:val="1"/>
                <w:szCs w:val="1"/>
                <w:color w:val="auto"/>
              </w:rPr>
            </w:pPr>
          </w:p>
        </w:tc>
      </w:tr>
      <w:tr>
        <w:trPr>
          <w:trHeight w:val="264"/>
        </w:trPr>
        <w:tc>
          <w:tcPr>
            <w:tcW w:w="87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Net cash provided by operating activities</w:t>
            </w: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51,535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136,198</w:t>
            </w:r>
          </w:p>
        </w:tc>
        <w:tc>
          <w:tcPr>
            <w:tcW w:w="0" w:type="dxa"/>
            <w:vAlign w:val="bottom"/>
          </w:tcPr>
          <w:p>
            <w:pPr>
              <w:spacing w:after="0"/>
              <w:rPr>
                <w:sz w:val="1"/>
                <w:szCs w:val="1"/>
                <w:color w:val="auto"/>
              </w:rPr>
            </w:pPr>
          </w:p>
        </w:tc>
      </w:tr>
      <w:tr>
        <w:trPr>
          <w:trHeight w:val="217"/>
        </w:trPr>
        <w:tc>
          <w:tcPr>
            <w:tcW w:w="8700" w:type="dxa"/>
            <w:vAlign w:val="bottom"/>
          </w:tcPr>
          <w:p>
            <w:pPr>
              <w:ind w:left="40"/>
              <w:spacing w:after="0"/>
              <w:rPr>
                <w:sz w:val="20"/>
                <w:szCs w:val="20"/>
                <w:color w:val="auto"/>
              </w:rPr>
            </w:pPr>
            <w:r>
              <w:rPr>
                <w:rFonts w:ascii="Arial" w:cs="Arial" w:eastAsia="Arial" w:hAnsi="Arial"/>
                <w:sz w:val="16"/>
                <w:szCs w:val="16"/>
                <w:color w:val="auto"/>
              </w:rPr>
              <w:t>Cash flows used in investing activities: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sale-leaseback transactions, net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38,776</w:t>
            </w:r>
          </w:p>
        </w:tc>
        <w:tc>
          <w:tcPr>
            <w:tcW w:w="0" w:type="dxa"/>
            <w:vAlign w:val="bottom"/>
          </w:tcPr>
          <w:p>
            <w:pPr>
              <w:spacing w:after="0"/>
              <w:rPr>
                <w:sz w:val="1"/>
                <w:szCs w:val="1"/>
                <w:color w:val="auto"/>
              </w:rPr>
            </w:pPr>
          </w:p>
        </w:tc>
      </w:tr>
      <w:tr>
        <w:trPr>
          <w:trHeight w:val="237"/>
        </w:trPr>
        <w:tc>
          <w:tcPr>
            <w:tcW w:w="8700" w:type="dxa"/>
            <w:vAlign w:val="bottom"/>
          </w:tcPr>
          <w:p>
            <w:pPr>
              <w:ind w:left="380"/>
              <w:spacing w:after="0"/>
              <w:rPr>
                <w:sz w:val="20"/>
                <w:szCs w:val="20"/>
                <w:color w:val="auto"/>
              </w:rPr>
            </w:pPr>
            <w:r>
              <w:rPr>
                <w:rFonts w:ascii="Arial" w:cs="Arial" w:eastAsia="Arial" w:hAnsi="Arial"/>
                <w:sz w:val="16"/>
                <w:szCs w:val="16"/>
                <w:color w:val="auto"/>
              </w:rPr>
              <w:t>Capital expenditures</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(48,347)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(58,237)</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investments, net</w:t>
            </w: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2,137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w:t>
            </w:r>
          </w:p>
        </w:tc>
        <w:tc>
          <w:tcPr>
            <w:tcW w:w="0" w:type="dxa"/>
            <w:vAlign w:val="bottom"/>
          </w:tcPr>
          <w:p>
            <w:pPr>
              <w:spacing w:after="0"/>
              <w:rPr>
                <w:sz w:val="1"/>
                <w:szCs w:val="1"/>
                <w:color w:val="auto"/>
              </w:rPr>
            </w:pPr>
          </w:p>
        </w:tc>
      </w:tr>
      <w:tr>
        <w:trPr>
          <w:trHeight w:val="270"/>
        </w:trPr>
        <w:tc>
          <w:tcPr>
            <w:tcW w:w="8700" w:type="dxa"/>
            <w:vAlign w:val="bottom"/>
            <w:tcBorders>
              <w:bottom w:val="single" w:sz="8" w:color="CCEEFF"/>
            </w:tcBorders>
          </w:tcPr>
          <w:p>
            <w:pPr>
              <w:ind w:left="1040"/>
              <w:spacing w:after="0"/>
              <w:rPr>
                <w:sz w:val="20"/>
                <w:szCs w:val="20"/>
                <w:color w:val="auto"/>
              </w:rPr>
            </w:pPr>
            <w:r>
              <w:rPr>
                <w:rFonts w:ascii="Arial" w:cs="Arial" w:eastAsia="Arial" w:hAnsi="Arial"/>
                <w:sz w:val="16"/>
                <w:szCs w:val="16"/>
                <w:color w:val="auto"/>
              </w:rPr>
              <w:t>Net cash used in investing activities</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(46,210)</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(20,581)</w:t>
            </w:r>
          </w:p>
        </w:tc>
        <w:tc>
          <w:tcPr>
            <w:tcW w:w="0" w:type="dxa"/>
            <w:vAlign w:val="bottom"/>
          </w:tcPr>
          <w:p>
            <w:pPr>
              <w:spacing w:after="0"/>
              <w:rPr>
                <w:sz w:val="1"/>
                <w:szCs w:val="1"/>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used in 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700" w:type="dxa"/>
            <w:vAlign w:val="bottom"/>
          </w:tcPr>
          <w:p>
            <w:pPr>
              <w:ind w:left="380"/>
              <w:spacing w:after="0"/>
              <w:rPr>
                <w:sz w:val="20"/>
                <w:szCs w:val="20"/>
                <w:color w:val="auto"/>
              </w:rPr>
            </w:pPr>
            <w:r>
              <w:rPr>
                <w:rFonts w:ascii="Arial" w:cs="Arial" w:eastAsia="Arial" w:hAnsi="Arial"/>
                <w:sz w:val="16"/>
                <w:szCs w:val="16"/>
                <w:color w:val="auto"/>
              </w:rPr>
              <w:t>Repayments of long-term debt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(6,436)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(42,878)</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borrowings on revolving credit facilities, net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151,829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115,500</w:t>
            </w:r>
          </w:p>
        </w:tc>
        <w:tc>
          <w:tcPr>
            <w:tcW w:w="0" w:type="dxa"/>
            <w:vAlign w:val="bottom"/>
          </w:tcPr>
          <w:p>
            <w:pPr>
              <w:spacing w:after="0"/>
              <w:rPr>
                <w:sz w:val="1"/>
                <w:szCs w:val="1"/>
                <w:color w:val="auto"/>
              </w:rPr>
            </w:pPr>
          </w:p>
        </w:tc>
      </w:tr>
      <w:tr>
        <w:trPr>
          <w:trHeight w:val="237"/>
        </w:trPr>
        <w:tc>
          <w:tcPr>
            <w:tcW w:w="8700" w:type="dxa"/>
            <w:vAlign w:val="bottom"/>
          </w:tcPr>
          <w:p>
            <w:pPr>
              <w:ind w:left="380"/>
              <w:spacing w:after="0"/>
              <w:rPr>
                <w:sz w:val="20"/>
                <w:szCs w:val="20"/>
                <w:color w:val="auto"/>
              </w:rPr>
            </w:pPr>
            <w:r>
              <w:rPr>
                <w:rFonts w:ascii="Arial" w:cs="Arial" w:eastAsia="Arial" w:hAnsi="Arial"/>
                <w:sz w:val="16"/>
                <w:szCs w:val="16"/>
                <w:color w:val="auto"/>
              </w:rPr>
              <w:t>Repayments of borrowings on revolving credit facilities</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(122,000)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(160,500)</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failed sale-leaseback transactions, net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5,942</w:t>
            </w:r>
          </w:p>
        </w:tc>
        <w:tc>
          <w:tcPr>
            <w:tcW w:w="0" w:type="dxa"/>
            <w:vAlign w:val="bottom"/>
          </w:tcPr>
          <w:p>
            <w:pPr>
              <w:spacing w:after="0"/>
              <w:rPr>
                <w:sz w:val="1"/>
                <w:szCs w:val="1"/>
                <w:color w:val="auto"/>
              </w:rPr>
            </w:pPr>
          </w:p>
        </w:tc>
      </w:tr>
      <w:tr>
        <w:trPr>
          <w:trHeight w:val="237"/>
        </w:trPr>
        <w:tc>
          <w:tcPr>
            <w:tcW w:w="8700" w:type="dxa"/>
            <w:vAlign w:val="bottom"/>
          </w:tcPr>
          <w:p>
            <w:pPr>
              <w:ind w:left="380"/>
              <w:spacing w:after="0"/>
              <w:rPr>
                <w:sz w:val="20"/>
                <w:szCs w:val="20"/>
                <w:color w:val="auto"/>
              </w:rPr>
            </w:pPr>
            <w:r>
              <w:rPr>
                <w:rFonts w:ascii="Arial" w:cs="Arial" w:eastAsia="Arial" w:hAnsi="Arial"/>
                <w:sz w:val="16"/>
                <w:szCs w:val="16"/>
                <w:color w:val="auto"/>
              </w:rPr>
              <w:t>Proceeds from the exercise of share-based compensation</w:t>
            </w:r>
          </w:p>
        </w:tc>
        <w:tc>
          <w:tcPr>
            <w:tcW w:w="1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13,679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Distributions to noncontrolling interests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0" w:type="dxa"/>
            <w:vAlign w:val="bottom"/>
          </w:tcPr>
          <w:p>
            <w:pPr>
              <w:spacing w:after="0"/>
              <w:rPr>
                <w:sz w:val="1"/>
                <w:szCs w:val="1"/>
                <w:color w:val="auto"/>
              </w:rPr>
            </w:pPr>
          </w:p>
        </w:tc>
      </w:tr>
      <w:tr>
        <w:trPr>
          <w:trHeight w:val="237"/>
        </w:trPr>
        <w:tc>
          <w:tcPr>
            <w:tcW w:w="8700" w:type="dxa"/>
            <w:vAlign w:val="bottom"/>
          </w:tcPr>
          <w:p>
            <w:pPr>
              <w:ind w:left="380"/>
              <w:spacing w:after="0"/>
              <w:rPr>
                <w:sz w:val="20"/>
                <w:szCs w:val="20"/>
                <w:color w:val="auto"/>
              </w:rPr>
            </w:pPr>
            <w:r>
              <w:rPr>
                <w:rFonts w:ascii="Arial" w:cs="Arial" w:eastAsia="Arial" w:hAnsi="Arial"/>
                <w:sz w:val="16"/>
                <w:szCs w:val="16"/>
                <w:color w:val="auto"/>
              </w:rPr>
              <w:t>Contributions from noncontrolling interests</w:t>
            </w:r>
          </w:p>
        </w:tc>
        <w:tc>
          <w:tcPr>
            <w:tcW w:w="1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 of limited partnership and noncontrolling interests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(3,158)</w:t>
            </w:r>
          </w:p>
        </w:tc>
        <w:tc>
          <w:tcPr>
            <w:tcW w:w="0" w:type="dxa"/>
            <w:vAlign w:val="bottom"/>
          </w:tcPr>
          <w:p>
            <w:pPr>
              <w:spacing w:after="0"/>
              <w:rPr>
                <w:sz w:val="1"/>
                <w:szCs w:val="1"/>
                <w:color w:val="auto"/>
              </w:rPr>
            </w:pPr>
          </w:p>
        </w:tc>
      </w:tr>
      <w:tr>
        <w:trPr>
          <w:trHeight w:val="237"/>
        </w:trPr>
        <w:tc>
          <w:tcPr>
            <w:tcW w:w="8700" w:type="dxa"/>
            <w:vAlign w:val="bottom"/>
          </w:tcPr>
          <w:p>
            <w:pPr>
              <w:ind w:left="380"/>
              <w:spacing w:after="0"/>
              <w:rPr>
                <w:sz w:val="20"/>
                <w:szCs w:val="20"/>
                <w:color w:val="auto"/>
              </w:rPr>
            </w:pPr>
            <w:r>
              <w:rPr>
                <w:rFonts w:ascii="Arial" w:cs="Arial" w:eastAsia="Arial" w:hAnsi="Arial"/>
                <w:sz w:val="16"/>
                <w:szCs w:val="16"/>
                <w:color w:val="auto"/>
              </w:rPr>
              <w:t>Repayments of partner deposits and accrued partner obligations</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(4,432)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(6,367)</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Repurchase of 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(53,196)</w:t>
            </w:r>
          </w:p>
        </w:tc>
        <w:tc>
          <w:tcPr>
            <w:tcW w:w="0" w:type="dxa"/>
            <w:vAlign w:val="bottom"/>
          </w:tcPr>
          <w:p>
            <w:pPr>
              <w:spacing w:after="0"/>
              <w:rPr>
                <w:sz w:val="1"/>
                <w:szCs w:val="1"/>
                <w:color w:val="auto"/>
              </w:rPr>
            </w:pPr>
          </w:p>
        </w:tc>
      </w:tr>
      <w:tr>
        <w:trPr>
          <w:trHeight w:val="270"/>
        </w:trPr>
        <w:tc>
          <w:tcPr>
            <w:tcW w:w="87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Cash dividends paid on common stock</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(8,371)</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(8,254)</w:t>
            </w:r>
          </w:p>
        </w:tc>
        <w:tc>
          <w:tcPr>
            <w:tcW w:w="0" w:type="dxa"/>
            <w:vAlign w:val="bottom"/>
          </w:tcPr>
          <w:p>
            <w:pPr>
              <w:spacing w:after="0"/>
              <w:rPr>
                <w:sz w:val="1"/>
                <w:szCs w:val="1"/>
                <w:color w:val="auto"/>
              </w:rPr>
            </w:pPr>
          </w:p>
        </w:tc>
      </w:tr>
      <w:tr>
        <w:trPr>
          <w:trHeight w:val="257"/>
        </w:trPr>
        <w:tc>
          <w:tcPr>
            <w:tcW w:w="87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Net cash used in financing activities</w:t>
            </w: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(29,082)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(154,355)</w:t>
            </w:r>
          </w:p>
        </w:tc>
        <w:tc>
          <w:tcPr>
            <w:tcW w:w="0" w:type="dxa"/>
            <w:vAlign w:val="bottom"/>
          </w:tcPr>
          <w:p>
            <w:pPr>
              <w:spacing w:after="0"/>
              <w:rPr>
                <w:sz w:val="1"/>
                <w:szCs w:val="1"/>
                <w:color w:val="auto"/>
              </w:rPr>
            </w:pPr>
          </w:p>
        </w:tc>
      </w:tr>
      <w:tr>
        <w:trPr>
          <w:trHeight w:val="270"/>
        </w:trPr>
        <w:tc>
          <w:tcPr>
            <w:tcW w:w="8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1,740</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 cash, cash equivalents and restricted cash</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(23,703)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(36,998)</w:t>
            </w:r>
          </w:p>
        </w:tc>
        <w:tc>
          <w:tcPr>
            <w:tcW w:w="0" w:type="dxa"/>
            <w:vAlign w:val="bottom"/>
          </w:tcPr>
          <w:p>
            <w:pPr>
              <w:spacing w:after="0"/>
              <w:rPr>
                <w:sz w:val="1"/>
                <w:szCs w:val="1"/>
                <w:color w:val="auto"/>
              </w:rPr>
            </w:pPr>
          </w:p>
        </w:tc>
      </w:tr>
      <w:tr>
        <w:trPr>
          <w:trHeight w:val="270"/>
        </w:trPr>
        <w:tc>
          <w:tcPr>
            <w:tcW w:w="8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cash equivalents and restricted cash as of the beginning of the period</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129,543</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136,186</w:t>
            </w:r>
          </w:p>
        </w:tc>
        <w:tc>
          <w:tcPr>
            <w:tcW w:w="0" w:type="dxa"/>
            <w:vAlign w:val="bottom"/>
          </w:tcPr>
          <w:p>
            <w:pPr>
              <w:spacing w:after="0"/>
              <w:rPr>
                <w:sz w:val="1"/>
                <w:szCs w:val="1"/>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as of the end of the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105,840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99,188</w:t>
            </w:r>
          </w:p>
        </w:tc>
        <w:tc>
          <w:tcPr>
            <w:tcW w:w="0" w:type="dxa"/>
            <w:vAlign w:val="bottom"/>
          </w:tcPr>
          <w:p>
            <w:pPr>
              <w:spacing w:after="0"/>
              <w:rPr>
                <w:sz w:val="1"/>
                <w:szCs w:val="1"/>
                <w:color w:val="auto"/>
              </w:rPr>
            </w:pPr>
          </w:p>
        </w:tc>
      </w:tr>
      <w:tr>
        <w:trPr>
          <w:trHeight w:val="20"/>
        </w:trPr>
        <w:tc>
          <w:tcPr>
            <w:tcW w:w="8700" w:type="dxa"/>
            <w:vAlign w:val="bottom"/>
            <w:vMerge w:val="restart"/>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paid for interest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8,334</w:t>
            </w:r>
          </w:p>
        </w:tc>
        <w:tc>
          <w:tcPr>
            <w:tcW w:w="0" w:type="dxa"/>
            <w:vAlign w:val="bottom"/>
          </w:tcPr>
          <w:p>
            <w:pPr>
              <w:spacing w:after="0"/>
              <w:rPr>
                <w:sz w:val="1"/>
                <w:szCs w:val="1"/>
                <w:color w:val="auto"/>
              </w:rPr>
            </w:pPr>
          </w:p>
        </w:tc>
      </w:tr>
      <w:tr>
        <w:trPr>
          <w:trHeight w:val="237"/>
        </w:trPr>
        <w:tc>
          <w:tcPr>
            <w:tcW w:w="8700" w:type="dxa"/>
            <w:vAlign w:val="bottom"/>
          </w:tcPr>
          <w:p>
            <w:pPr>
              <w:ind w:left="380"/>
              <w:spacing w:after="0"/>
              <w:rPr>
                <w:sz w:val="20"/>
                <w:szCs w:val="20"/>
                <w:color w:val="auto"/>
              </w:rPr>
            </w:pPr>
            <w:r>
              <w:rPr>
                <w:rFonts w:ascii="Arial" w:cs="Arial" w:eastAsia="Arial" w:hAnsi="Arial"/>
                <w:sz w:val="16"/>
                <w:szCs w:val="16"/>
                <w:color w:val="auto"/>
              </w:rPr>
              <w:t>Cash paid for income taxes, net of refunds</w:t>
            </w:r>
          </w:p>
        </w:tc>
        <w:tc>
          <w:tcPr>
            <w:tcW w:w="1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1,696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4,906</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700" w:type="dxa"/>
            <w:vAlign w:val="bottom"/>
          </w:tcPr>
          <w:p>
            <w:pPr>
              <w:ind w:left="380"/>
              <w:spacing w:after="0"/>
              <w:rPr>
                <w:sz w:val="20"/>
                <w:szCs w:val="20"/>
                <w:color w:val="auto"/>
              </w:rPr>
            </w:pPr>
            <w:r>
              <w:rPr>
                <w:rFonts w:ascii="Arial" w:cs="Arial" w:eastAsia="Arial" w:hAnsi="Arial"/>
                <w:sz w:val="16"/>
                <w:szCs w:val="16"/>
                <w:color w:val="auto"/>
              </w:rPr>
              <w:t>Decrease in liabilities from the acquisition of property, fixtures and equipment or capital leases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(4,985)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(4,139)</w:t>
            </w:r>
          </w:p>
        </w:tc>
        <w:tc>
          <w:tcPr>
            <w:tcW w:w="0" w:type="dxa"/>
            <w:vAlign w:val="bottom"/>
          </w:tcPr>
          <w:p>
            <w:pPr>
              <w:spacing w:after="0"/>
              <w:rPr>
                <w:sz w:val="1"/>
                <w:szCs w:val="1"/>
                <w:color w:val="auto"/>
              </w:rPr>
            </w:pPr>
          </w:p>
        </w:tc>
      </w:tr>
    </w:tbl>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56"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6"/>
          <w:szCs w:val="16"/>
          <w:color w:val="auto"/>
        </w:rPr>
        <w:t>Description of the Business and Basis of Presentation</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Description of the Business - </w:t>
      </w:r>
      <w:r>
        <w:rPr>
          <w:rFonts w:ascii="Arial" w:cs="Arial" w:eastAsia="Arial" w:hAnsi="Arial"/>
          <w:sz w:val="20"/>
          <w:szCs w:val="20"/>
          <w:color w:val="auto"/>
        </w:rPr>
        <w:t>Bloomin’ Brands, Inc., through its subsidiaries (“Bloomin’ Brands” or the “Company”), owns and operates</w:t>
      </w:r>
      <w:r>
        <w:rPr>
          <w:rFonts w:ascii="Arial" w:cs="Arial" w:eastAsia="Arial" w:hAnsi="Arial"/>
          <w:sz w:val="20"/>
          <w:szCs w:val="20"/>
          <w:i w:val="1"/>
          <w:iCs w:val="1"/>
          <w:color w:val="auto"/>
        </w:rPr>
        <w:t xml:space="preserve"> </w:t>
      </w:r>
      <w:r>
        <w:rPr>
          <w:rFonts w:ascii="Arial" w:cs="Arial" w:eastAsia="Arial" w:hAnsi="Arial"/>
          <w:sz w:val="20"/>
          <w:szCs w:val="20"/>
          <w:color w:val="auto"/>
        </w:rPr>
        <w:t>casual, upscale casual and fine dining restaurants. The Company’s restaurant portfolio has four concepts: Outback Steakhouse, Carrabba’s Italian Grill, Bonefish Grill and Fleming’s Prime Steakhouse &amp; Wine Bar. Each of the Company’s concepts has additional restaurants in which it has no direct investment and are operated under franchise agreements.</w:t>
      </w:r>
    </w:p>
    <w:p>
      <w:pPr>
        <w:spacing w:after="0" w:line="205" w:lineRule="exact"/>
        <w:rPr>
          <w:sz w:val="20"/>
          <w:szCs w:val="20"/>
          <w:color w:val="auto"/>
        </w:rPr>
      </w:pPr>
    </w:p>
    <w:p>
      <w:pPr>
        <w:jc w:val="both"/>
        <w:spacing w:after="0" w:line="258" w:lineRule="auto"/>
        <w:rPr>
          <w:sz w:val="20"/>
          <w:szCs w:val="20"/>
          <w:color w:val="auto"/>
        </w:rPr>
      </w:pPr>
      <w:r>
        <w:rPr>
          <w:rFonts w:ascii="Arial" w:cs="Arial" w:eastAsia="Arial" w:hAnsi="Arial"/>
          <w:sz w:val="19"/>
          <w:szCs w:val="19"/>
          <w:i w:val="1"/>
          <w:iCs w:val="1"/>
          <w:color w:val="auto"/>
        </w:rPr>
        <w:t xml:space="preserve">Basis of Presentation - </w:t>
      </w:r>
      <w:r>
        <w:rPr>
          <w:rFonts w:ascii="Arial" w:cs="Arial" w:eastAsia="Arial" w:hAnsi="Arial"/>
          <w:sz w:val="19"/>
          <w:szCs w:val="19"/>
          <w:color w:val="auto"/>
        </w:rPr>
        <w:t>The accompanying interim unaudited consolidated financial statements have been prepared by the Company pursuant to</w:t>
      </w:r>
      <w:r>
        <w:rPr>
          <w:rFonts w:ascii="Arial" w:cs="Arial" w:eastAsia="Arial" w:hAnsi="Arial"/>
          <w:sz w:val="19"/>
          <w:szCs w:val="19"/>
          <w:i w:val="1"/>
          <w:iCs w:val="1"/>
          <w:color w:val="auto"/>
        </w:rPr>
        <w:t xml:space="preserve"> </w:t>
      </w:r>
      <w:r>
        <w:rPr>
          <w:rFonts w:ascii="Arial" w:cs="Arial" w:eastAsia="Arial" w:hAnsi="Arial"/>
          <w:sz w:val="19"/>
          <w:szCs w:val="19"/>
          <w:color w:val="auto"/>
        </w:rPr>
        <w:t>the rules and regulations of the Securities and Exchange Commission. Accordingly, they do not include all the information and footnotes required by generally accepted accounting principles in the United States (“U.S. GAAP”) for complete financial statements. In the opinion of the Company, all adjustments necessary for fair financial statement presentation for the periods presented have been included and are of a normal, recurring nature. The results of operations for interim periods are not necessarily indicative of the results to be expected for the full year. These financial statements should be read in conjunction with the audited financial statements and notes thereto included in the Company’s Annual Report on Form 10-K for the year ended December 31, 2017.</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9"/>
          <w:szCs w:val="19"/>
          <w:i w:val="1"/>
          <w:iCs w:val="1"/>
          <w:color w:val="auto"/>
        </w:rPr>
        <w:t xml:space="preserve">Recently Adopted Financial Accounting Standards </w:t>
      </w:r>
      <w:r>
        <w:rPr>
          <w:rFonts w:ascii="Arial" w:cs="Arial" w:eastAsia="Arial" w:hAnsi="Arial"/>
          <w:sz w:val="19"/>
          <w:szCs w:val="19"/>
          <w:color w:val="auto"/>
        </w:rPr>
        <w:t>- On January 1, 2018, the Company elected to early adopt Accounting Standards Update</w:t>
      </w:r>
      <w:r>
        <w:rPr>
          <w:rFonts w:ascii="Arial" w:cs="Arial" w:eastAsia="Arial" w:hAnsi="Arial"/>
          <w:sz w:val="19"/>
          <w:szCs w:val="19"/>
          <w:i w:val="1"/>
          <w:iCs w:val="1"/>
          <w:color w:val="auto"/>
        </w:rPr>
        <w:t xml:space="preserve"> </w:t>
      </w:r>
      <w:r>
        <w:rPr>
          <w:rFonts w:ascii="Arial" w:cs="Arial" w:eastAsia="Arial" w:hAnsi="Arial"/>
          <w:sz w:val="19"/>
          <w:szCs w:val="19"/>
          <w:color w:val="auto"/>
        </w:rPr>
        <w:t>(“ASU”) No. 2017-04, “Intangibles - Goodwill and Other (Topic 350): Simplifying the Test for Goodwill Impairment,” (“ASU No. 2017-04”) on a prospective basis. ASU No. 2017-04 eliminates the second step of goodwill impairment, which requires a hypothetical purchase price allocation. Under ASU No. 2017-04, goodwill impairment is calculated as the amount a reporting unit’s carrying value exceeds its calculated fair value. The adoption of ASU No. 2017-04 did not impact the Company’s Consolidated Financial Statements. Goodwill and indefinite-lived intangible assets are tested for impairment annually, as of the first day of the second fiscal quarter, or whenever events or changes in circumstances indicate that the carrying amount may not be recoverable.</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January 1, 2018, the Company adopted ASU No. 2014-09 “Revenue Recognition (Topic 606), Revenue from Contracts with Customers” (“ASU No. 2014-09”) using the full retrospective transition method. Under ASU No. 2014-09, revenue is recognized in an amount that reflects the consideration an entity expects to receive for the transfer of goods and services. The standard also requires additional disclosures about the nature, timing and uncertainty of revenue and cash flows arising from contracts with customers. Under the new standard, the Company recognizes gift card breakage proportional to redemptions, which are highest in the Company’s first fiscal quarter. Previously, under the remote method, the majority of breakage revenue was recorded in the Company’s fourth fiscal quarter corresponding with the timing of the original gift card sale. Advertising fees charged to franchisees, which were previously recorded as a reduction to Other restaurant operating expenses, are recognized as Franchise revenue. In addition, initial franchise and renewal fees are recognized over the term of the franchise agreements. As part of the adoption of ASU No. 2014-09, the Company applied the practical expedient to use the portfolio approach to assess contracts and performance obligations. In connection with adoption of ASU No. 2014-09, a cumulative effect adjustment of $33.1 million, net of tax, was recorded as a credit to the ending balance of Accumulated deficit as of December 27, 2015.</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includes a restatement of the Company’s Consolidated Statement of Operations and Comprehensive Income for the thirteen weeks ended March 26, 2017 for the retrospective adoption of ASU No. 2014-09: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6"/>
          </w:tcPr>
          <w:p>
            <w:pPr>
              <w:jc w:val="center"/>
              <w:ind w:left="700"/>
              <w:spacing w:after="0"/>
              <w:rPr>
                <w:sz w:val="20"/>
                <w:szCs w:val="20"/>
                <w:color w:val="auto"/>
              </w:rPr>
            </w:pPr>
            <w:r>
              <w:rPr>
                <w:rFonts w:ascii="Arial" w:cs="Arial" w:eastAsia="Arial" w:hAnsi="Arial"/>
                <w:sz w:val="14"/>
                <w:szCs w:val="14"/>
                <w:b w:val="1"/>
                <w:bCs w:val="1"/>
                <w:color w:val="auto"/>
              </w:rPr>
              <w:t>THIRTEEN WEEKS ENDED</w:t>
            </w:r>
          </w:p>
        </w:tc>
        <w:tc>
          <w:tcPr>
            <w:tcW w:w="880" w:type="dxa"/>
            <w:vAlign w:val="bottom"/>
          </w:tcPr>
          <w:p>
            <w:pPr>
              <w:spacing w:after="0"/>
              <w:rPr>
                <w:sz w:val="16"/>
                <w:szCs w:val="16"/>
                <w:color w:val="auto"/>
              </w:rPr>
            </w:pPr>
          </w:p>
        </w:tc>
      </w:tr>
      <w:tr>
        <w:trPr>
          <w:trHeight w:val="276"/>
        </w:trPr>
        <w:tc>
          <w:tcPr>
            <w:tcW w:w="75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9"/>
              </w:rPr>
              <w:t>MARCH 26, 2017</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 except per share data)</w:t>
            </w:r>
          </w:p>
        </w:tc>
        <w:tc>
          <w:tcPr>
            <w:tcW w:w="120" w:type="dxa"/>
            <w:vAlign w:val="bottom"/>
          </w:tcPr>
          <w:p>
            <w:pPr>
              <w:spacing w:after="0"/>
              <w:rPr>
                <w:sz w:val="22"/>
                <w:szCs w:val="22"/>
                <w:color w:val="auto"/>
              </w:rPr>
            </w:pPr>
          </w:p>
        </w:tc>
        <w:tc>
          <w:tcPr>
            <w:tcW w:w="1160" w:type="dxa"/>
            <w:vAlign w:val="bottom"/>
          </w:tcPr>
          <w:p>
            <w:pPr>
              <w:jc w:val="right"/>
              <w:ind w:right="40"/>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Pr>
          <w:p>
            <w:pPr>
              <w:spacing w:after="0"/>
              <w:rPr>
                <w:sz w:val="22"/>
                <w:szCs w:val="22"/>
                <w:color w:val="auto"/>
              </w:rPr>
            </w:pP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rPr>
              <w:t>2014-09 IMPACT</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RESTATED</w:t>
            </w:r>
          </w:p>
        </w:tc>
      </w:tr>
      <w:tr>
        <w:trPr>
          <w:trHeight w:val="250"/>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180"/>
              <w:spacing w:after="0"/>
              <w:rPr>
                <w:sz w:val="20"/>
                <w:szCs w:val="20"/>
                <w:color w:val="auto"/>
              </w:rPr>
            </w:pPr>
            <w:r>
              <w:rPr>
                <w:rFonts w:ascii="Arial" w:cs="Arial" w:eastAsia="Arial" w:hAnsi="Arial"/>
                <w:sz w:val="16"/>
                <w:szCs w:val="16"/>
                <w:color w:val="auto"/>
              </w:rPr>
              <w:t>Restaurant sales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1,135,488</w:t>
            </w:r>
          </w:p>
        </w:tc>
        <w:tc>
          <w:tcPr>
            <w:tcW w:w="520" w:type="dxa"/>
            <w:vAlign w:val="bottom"/>
            <w:gridSpan w:val="2"/>
          </w:tcPr>
          <w:p>
            <w:pPr>
              <w:jc w:val="right"/>
              <w:ind w:right="208"/>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8,343</w:t>
            </w:r>
          </w:p>
        </w:tc>
        <w:tc>
          <w:tcPr>
            <w:tcW w:w="10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1,143,831</w:t>
            </w:r>
          </w:p>
        </w:tc>
      </w:tr>
      <w:tr>
        <w:trPr>
          <w:trHeight w:val="33"/>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4"/>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Franchise and other revenues</w:t>
            </w:r>
          </w:p>
        </w:tc>
        <w:tc>
          <w:tcPr>
            <w:tcW w:w="1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8,335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10,880</w:t>
            </w:r>
          </w:p>
        </w:tc>
      </w:tr>
      <w:tr>
        <w:trPr>
          <w:trHeight w:val="270"/>
        </w:trPr>
        <w:tc>
          <w:tcPr>
            <w:tcW w:w="7540" w:type="dxa"/>
            <w:vAlign w:val="bottom"/>
          </w:tcPr>
          <w:p>
            <w:pPr>
              <w:ind w:left="820"/>
              <w:spacing w:after="0"/>
              <w:rPr>
                <w:sz w:val="20"/>
                <w:szCs w:val="20"/>
                <w:color w:val="auto"/>
              </w:rPr>
            </w:pPr>
            <w:r>
              <w:rPr>
                <w:rFonts w:ascii="Arial" w:cs="Arial" w:eastAsia="Arial" w:hAnsi="Arial"/>
                <w:sz w:val="16"/>
                <w:szCs w:val="16"/>
                <w:color w:val="auto"/>
              </w:rPr>
              <w:t>Total revenues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1,143,823</w:t>
            </w:r>
          </w:p>
        </w:tc>
        <w:tc>
          <w:tcPr>
            <w:tcW w:w="520" w:type="dxa"/>
            <w:vAlign w:val="bottom"/>
            <w:gridSpan w:val="2"/>
          </w:tcPr>
          <w:p>
            <w:pPr>
              <w:jc w:val="right"/>
              <w:ind w:right="208"/>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10,888</w:t>
            </w:r>
          </w:p>
        </w:tc>
        <w:tc>
          <w:tcPr>
            <w:tcW w:w="100" w:type="dxa"/>
            <w:vAlign w:val="bottom"/>
          </w:tcPr>
          <w:p>
            <w:pPr>
              <w:spacing w:after="0"/>
              <w:rPr>
                <w:sz w:val="23"/>
                <w:szCs w:val="23"/>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1,154,711</w:t>
            </w:r>
          </w:p>
        </w:tc>
      </w:tr>
      <w:tr>
        <w:trPr>
          <w:trHeight w:val="244"/>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Costs and expenses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180"/>
              <w:spacing w:after="0"/>
              <w:rPr>
                <w:sz w:val="20"/>
                <w:szCs w:val="20"/>
                <w:color w:val="auto"/>
              </w:rPr>
            </w:pPr>
            <w:r>
              <w:rPr>
                <w:rFonts w:ascii="Arial" w:cs="Arial" w:eastAsia="Arial" w:hAnsi="Arial"/>
                <w:sz w:val="16"/>
                <w:szCs w:val="16"/>
                <w:color w:val="auto"/>
              </w:rPr>
              <w:t>Other restaurant operating</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247,940</w:t>
            </w:r>
          </w:p>
        </w:tc>
        <w:tc>
          <w:tcPr>
            <w:tcW w:w="520" w:type="dxa"/>
            <w:vAlign w:val="bottom"/>
            <w:gridSpan w:val="2"/>
          </w:tcPr>
          <w:p>
            <w:pPr>
              <w:jc w:val="right"/>
              <w:ind w:right="208"/>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3,184</w:t>
            </w:r>
          </w:p>
        </w:tc>
        <w:tc>
          <w:tcPr>
            <w:tcW w:w="10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251,124</w:t>
            </w:r>
          </w:p>
        </w:tc>
      </w:tr>
      <w:tr>
        <w:trPr>
          <w:trHeight w:val="33"/>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69,130</w:t>
            </w:r>
          </w:p>
        </w:tc>
        <w:tc>
          <w:tcPr>
            <w:tcW w:w="520" w:type="dxa"/>
            <w:vAlign w:val="bottom"/>
            <w:tcBorders>
              <w:bottom w:val="single" w:sz="8" w:color="CCEEFF"/>
            </w:tcBorders>
            <w:gridSpan w:val="2"/>
            <w:shd w:val="clear" w:color="auto" w:fill="CCEEFF"/>
          </w:tcPr>
          <w:p>
            <w:pPr>
              <w:jc w:val="right"/>
              <w:ind w:right="208"/>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76,834</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59,938</w:t>
            </w:r>
          </w:p>
        </w:tc>
        <w:tc>
          <w:tcPr>
            <w:tcW w:w="520" w:type="dxa"/>
            <w:vAlign w:val="bottom"/>
            <w:gridSpan w:val="2"/>
          </w:tcPr>
          <w:p>
            <w:pPr>
              <w:jc w:val="right"/>
              <w:ind w:right="208"/>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7,704</w:t>
            </w:r>
          </w:p>
        </w:tc>
        <w:tc>
          <w:tcPr>
            <w:tcW w:w="10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67,642</w:t>
            </w:r>
          </w:p>
        </w:tc>
      </w:tr>
      <w:tr>
        <w:trPr>
          <w:trHeight w:val="33"/>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15,015</w:t>
            </w:r>
          </w:p>
        </w:tc>
        <w:tc>
          <w:tcPr>
            <w:tcW w:w="520" w:type="dxa"/>
            <w:vAlign w:val="bottom"/>
            <w:tcBorders>
              <w:bottom w:val="single" w:sz="8" w:color="CCEEFF"/>
            </w:tcBorders>
            <w:gridSpan w:val="2"/>
            <w:shd w:val="clear" w:color="auto" w:fill="CCEEFF"/>
          </w:tcPr>
          <w:p>
            <w:pPr>
              <w:jc w:val="right"/>
              <w:ind w:right="208"/>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18,004</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44,923</w:t>
            </w:r>
          </w:p>
        </w:tc>
        <w:tc>
          <w:tcPr>
            <w:tcW w:w="520" w:type="dxa"/>
            <w:vAlign w:val="bottom"/>
            <w:gridSpan w:val="2"/>
          </w:tcPr>
          <w:p>
            <w:pPr>
              <w:jc w:val="right"/>
              <w:ind w:right="208"/>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4,715</w:t>
            </w:r>
          </w:p>
        </w:tc>
        <w:tc>
          <w:tcPr>
            <w:tcW w:w="10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49,638</w:t>
            </w:r>
          </w:p>
        </w:tc>
      </w:tr>
      <w:tr>
        <w:trPr>
          <w:trHeight w:val="33"/>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Bloomin’ Brands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43,910</w:t>
            </w:r>
          </w:p>
        </w:tc>
        <w:tc>
          <w:tcPr>
            <w:tcW w:w="520" w:type="dxa"/>
            <w:vAlign w:val="bottom"/>
            <w:tcBorders>
              <w:bottom w:val="single" w:sz="8" w:color="CCEEFF"/>
            </w:tcBorders>
            <w:gridSpan w:val="2"/>
            <w:shd w:val="clear" w:color="auto" w:fill="CCEEFF"/>
          </w:tcPr>
          <w:p>
            <w:pPr>
              <w:jc w:val="right"/>
              <w:ind w:right="208"/>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48,625</w:t>
            </w:r>
          </w:p>
        </w:tc>
      </w:tr>
      <w:tr>
        <w:trPr>
          <w:trHeight w:val="324"/>
        </w:trPr>
        <w:tc>
          <w:tcPr>
            <w:tcW w:w="7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0.43</w:t>
            </w:r>
          </w:p>
        </w:tc>
        <w:tc>
          <w:tcPr>
            <w:tcW w:w="520" w:type="dxa"/>
            <w:vAlign w:val="bottom"/>
            <w:tcBorders>
              <w:bottom w:val="single" w:sz="8" w:color="CCEEFF"/>
            </w:tcBorders>
            <w:gridSpan w:val="2"/>
            <w:shd w:val="clear" w:color="auto" w:fill="CCEEFF"/>
          </w:tcPr>
          <w:p>
            <w:pPr>
              <w:jc w:val="right"/>
              <w:ind w:right="208"/>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0.47</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0.41</w:t>
            </w:r>
          </w:p>
        </w:tc>
        <w:tc>
          <w:tcPr>
            <w:tcW w:w="520" w:type="dxa"/>
            <w:vAlign w:val="bottom"/>
            <w:gridSpan w:val="2"/>
          </w:tcPr>
          <w:p>
            <w:pPr>
              <w:jc w:val="right"/>
              <w:ind w:right="208"/>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0.46</w:t>
            </w:r>
          </w:p>
        </w:tc>
      </w:tr>
    </w:tbl>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includes a restatement of the Company’s Consolidated Balance Sheet as of December 31, 2017 for the retrospective adoption of ASU No. 2014-09: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2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22"/>
                <w:szCs w:val="22"/>
                <w:color w:val="auto"/>
              </w:rPr>
            </w:pPr>
          </w:p>
        </w:tc>
        <w:tc>
          <w:tcPr>
            <w:tcW w:w="1240" w:type="dxa"/>
            <w:vAlign w:val="bottom"/>
          </w:tcPr>
          <w:p>
            <w:pPr>
              <w:jc w:val="right"/>
              <w:ind w:right="120"/>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2014-09 IMPACT</w:t>
            </w:r>
          </w:p>
        </w:tc>
        <w:tc>
          <w:tcPr>
            <w:tcW w:w="120" w:type="dxa"/>
            <w:vAlign w:val="bottom"/>
          </w:tcPr>
          <w:p>
            <w:pPr>
              <w:spacing w:after="0"/>
              <w:rPr>
                <w:sz w:val="22"/>
                <w:szCs w:val="22"/>
                <w:color w:val="auto"/>
              </w:rPr>
            </w:pPr>
          </w:p>
        </w:tc>
        <w:tc>
          <w:tcPr>
            <w:tcW w:w="1120" w:type="dxa"/>
            <w:vAlign w:val="bottom"/>
          </w:tcPr>
          <w:p>
            <w:pPr>
              <w:jc w:val="right"/>
              <w:ind w:right="60"/>
              <w:spacing w:after="0"/>
              <w:rPr>
                <w:sz w:val="20"/>
                <w:szCs w:val="20"/>
                <w:color w:val="auto"/>
              </w:rPr>
            </w:pPr>
            <w:r>
              <w:rPr>
                <w:rFonts w:ascii="Arial" w:cs="Arial" w:eastAsia="Arial" w:hAnsi="Arial"/>
                <w:sz w:val="14"/>
                <w:szCs w:val="14"/>
                <w:b w:val="1"/>
                <w:bCs w:val="1"/>
                <w:color w:val="auto"/>
                <w:w w:val="97"/>
              </w:rPr>
              <w:t>AS RESTATED</w:t>
            </w:r>
          </w:p>
        </w:tc>
        <w:tc>
          <w:tcPr>
            <w:tcW w:w="0" w:type="dxa"/>
            <w:vAlign w:val="bottom"/>
          </w:tcPr>
          <w:p>
            <w:pPr>
              <w:spacing w:after="0"/>
              <w:rPr>
                <w:sz w:val="1"/>
                <w:szCs w:val="1"/>
                <w:color w:val="auto"/>
              </w:rPr>
            </w:pPr>
          </w:p>
        </w:tc>
      </w:tr>
      <w:tr>
        <w:trPr>
          <w:trHeight w:val="250"/>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2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Deferred income tax assets,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71,499</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(11,013)</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60,486</w:t>
            </w:r>
          </w:p>
        </w:tc>
        <w:tc>
          <w:tcPr>
            <w:tcW w:w="0" w:type="dxa"/>
            <w:vAlign w:val="bottom"/>
          </w:tcPr>
          <w:p>
            <w:pPr>
              <w:spacing w:after="0"/>
              <w:rPr>
                <w:sz w:val="1"/>
                <w:szCs w:val="1"/>
                <w:color w:val="auto"/>
              </w:rPr>
            </w:pPr>
          </w:p>
        </w:tc>
      </w:tr>
      <w:tr>
        <w:trPr>
          <w:trHeight w:val="244"/>
        </w:trPr>
        <w:tc>
          <w:tcPr>
            <w:tcW w:w="7200" w:type="dxa"/>
            <w:vAlign w:val="bottom"/>
            <w:shd w:val="clear" w:color="auto" w:fill="CCEEFF"/>
          </w:tcPr>
          <w:p>
            <w:pPr>
              <w:ind w:left="820"/>
              <w:spacing w:after="0"/>
              <w:rPr>
                <w:sz w:val="20"/>
                <w:szCs w:val="20"/>
                <w:color w:val="auto"/>
              </w:rPr>
            </w:pPr>
            <w:r>
              <w:rPr>
                <w:rFonts w:ascii="Arial" w:cs="Arial" w:eastAsia="Arial" w:hAnsi="Arial"/>
                <w:sz w:val="16"/>
                <w:szCs w:val="16"/>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2,572,907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2,561,894</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2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Unearned revenue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Deferred gift card revenue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371,455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(47,827)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323,628</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loyalty revenue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6,667</w:t>
            </w:r>
          </w:p>
        </w:tc>
        <w:tc>
          <w:tcPr>
            <w:tcW w:w="0" w:type="dxa"/>
            <w:vAlign w:val="bottom"/>
          </w:tcPr>
          <w:p>
            <w:pPr>
              <w:spacing w:after="0"/>
              <w:rPr>
                <w:sz w:val="1"/>
                <w:szCs w:val="1"/>
                <w:color w:val="auto"/>
              </w:rPr>
            </w:pPr>
          </w:p>
        </w:tc>
      </w:tr>
      <w:tr>
        <w:trPr>
          <w:trHeight w:val="270"/>
        </w:trPr>
        <w:tc>
          <w:tcPr>
            <w:tcW w:w="72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Deferred franchise fees - current</w:t>
            </w: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356</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461</w:t>
            </w: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Unearned revenue</w:t>
            </w:r>
          </w:p>
        </w:tc>
        <w:tc>
          <w:tcPr>
            <w:tcW w:w="1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378,227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(47,471)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330,756</w:t>
            </w:r>
          </w:p>
        </w:tc>
        <w:tc>
          <w:tcPr>
            <w:tcW w:w="0" w:type="dxa"/>
            <w:vAlign w:val="bottom"/>
          </w:tcPr>
          <w:p>
            <w:pPr>
              <w:spacing w:after="0"/>
              <w:rPr>
                <w:sz w:val="1"/>
                <w:szCs w:val="1"/>
                <w:color w:val="auto"/>
              </w:rPr>
            </w:pPr>
          </w:p>
        </w:tc>
      </w:tr>
      <w:tr>
        <w:trPr>
          <w:trHeight w:val="224"/>
        </w:trPr>
        <w:tc>
          <w:tcPr>
            <w:tcW w:w="7200" w:type="dxa"/>
            <w:vAlign w:val="bottom"/>
          </w:tcPr>
          <w:p>
            <w:pPr>
              <w:ind w:left="60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860,863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(47,471)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813,392</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 net (1)</w:t>
            </w:r>
          </w:p>
        </w:tc>
        <w:tc>
          <w:tcPr>
            <w:tcW w:w="1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205,745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4,698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210,443</w:t>
            </w:r>
          </w:p>
        </w:tc>
        <w:tc>
          <w:tcPr>
            <w:tcW w:w="0" w:type="dxa"/>
            <w:vAlign w:val="bottom"/>
          </w:tcPr>
          <w:p>
            <w:pPr>
              <w:spacing w:after="0"/>
              <w:rPr>
                <w:sz w:val="1"/>
                <w:szCs w:val="1"/>
                <w:color w:val="auto"/>
              </w:rPr>
            </w:pPr>
          </w:p>
        </w:tc>
      </w:tr>
      <w:tr>
        <w:trPr>
          <w:trHeight w:val="270"/>
        </w:trPr>
        <w:tc>
          <w:tcPr>
            <w:tcW w:w="720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2,523,436</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(42,773)</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2,480,663</w:t>
            </w: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Bloomin’ Brands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2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Accumulated deficit</w:t>
            </w: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(944,951)</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31,760</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(913,191)</w:t>
            </w:r>
          </w:p>
        </w:tc>
        <w:tc>
          <w:tcPr>
            <w:tcW w:w="0" w:type="dxa"/>
            <w:vAlign w:val="bottom"/>
          </w:tcPr>
          <w:p>
            <w:pPr>
              <w:spacing w:after="0"/>
              <w:rPr>
                <w:sz w:val="1"/>
                <w:szCs w:val="1"/>
                <w:color w:val="auto"/>
              </w:rPr>
            </w:pPr>
          </w:p>
        </w:tc>
      </w:tr>
      <w:tr>
        <w:trPr>
          <w:trHeight w:val="257"/>
        </w:trPr>
        <w:tc>
          <w:tcPr>
            <w:tcW w:w="72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Bloomin’ Brands stockholders’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38,582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31,760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70,342</w:t>
            </w:r>
          </w:p>
        </w:tc>
        <w:tc>
          <w:tcPr>
            <w:tcW w:w="0" w:type="dxa"/>
            <w:vAlign w:val="bottom"/>
          </w:tcPr>
          <w:p>
            <w:pPr>
              <w:spacing w:after="0"/>
              <w:rPr>
                <w:sz w:val="1"/>
                <w:szCs w:val="1"/>
                <w:color w:val="auto"/>
              </w:rPr>
            </w:pPr>
          </w:p>
        </w:tc>
      </w:tr>
      <w:tr>
        <w:trPr>
          <w:trHeight w:val="270"/>
        </w:trPr>
        <w:tc>
          <w:tcPr>
            <w:tcW w:w="7200" w:type="dxa"/>
            <w:vAlign w:val="bottom"/>
            <w:tcBorders>
              <w:top w:val="single" w:sz="8" w:color="CCEEFF"/>
              <w:bottom w:val="single" w:sz="8" w:color="CCEEFF"/>
            </w:tcBorders>
          </w:tcPr>
          <w:p>
            <w:pPr>
              <w:ind w:left="72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49,471</w:t>
            </w:r>
          </w:p>
        </w:tc>
        <w:tc>
          <w:tcPr>
            <w:tcW w:w="120" w:type="dxa"/>
            <w:vAlign w:val="bottom"/>
            <w:tcBorders>
              <w:top w:val="single" w:sz="8" w:color="CCEEFF"/>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31,760</w:t>
            </w:r>
          </w:p>
        </w:tc>
        <w:tc>
          <w:tcPr>
            <w:tcW w:w="120" w:type="dxa"/>
            <w:vAlign w:val="bottom"/>
            <w:tcBorders>
              <w:top w:val="single" w:sz="8" w:color="CCEEFF"/>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81,231</w:t>
            </w:r>
          </w:p>
        </w:tc>
        <w:tc>
          <w:tcPr>
            <w:tcW w:w="0" w:type="dxa"/>
            <w:vAlign w:val="bottom"/>
          </w:tcPr>
          <w:p>
            <w:pPr>
              <w:spacing w:after="0"/>
              <w:rPr>
                <w:sz w:val="1"/>
                <w:szCs w:val="1"/>
                <w:color w:val="auto"/>
              </w:rPr>
            </w:pPr>
          </w:p>
        </w:tc>
      </w:tr>
      <w:tr>
        <w:trPr>
          <w:trHeight w:val="244"/>
        </w:trPr>
        <w:tc>
          <w:tcPr>
            <w:tcW w:w="7200" w:type="dxa"/>
            <w:vAlign w:val="bottom"/>
            <w:shd w:val="clear" w:color="auto" w:fill="CCEEFF"/>
          </w:tcPr>
          <w:p>
            <w:pPr>
              <w:ind w:left="82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2,572,907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2,561,894</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2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the non-current portion of deferred franchise fees.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See Note 2 - </w:t>
      </w:r>
      <w:r>
        <w:rPr>
          <w:rFonts w:ascii="Arial" w:cs="Arial" w:eastAsia="Arial" w:hAnsi="Arial"/>
          <w:sz w:val="20"/>
          <w:szCs w:val="20"/>
          <w:i w:val="1"/>
          <w:iCs w:val="1"/>
          <w:color w:val="auto"/>
        </w:rPr>
        <w:t>Revenue Recognition</w:t>
      </w:r>
      <w:r>
        <w:rPr>
          <w:rFonts w:ascii="Arial" w:cs="Arial" w:eastAsia="Arial" w:hAnsi="Arial"/>
          <w:sz w:val="20"/>
          <w:szCs w:val="20"/>
          <w:color w:val="auto"/>
        </w:rPr>
        <w:t xml:space="preserve"> for required disclosures under ASU No. 2014-09.</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Effective June 26, 2017, the Company adopted ASU No. 2016-18, “Statement of Cash Flows (Topic 230), Restricted Cash” (“ASU No. 2016-18”). ASU No. 2016-18 provides guidance on the presentation of restricted cash and restricted cash equivalents, which are now included with cash and cash equivalents when reconciling the beginning and ending cash amounts shown on the statements of cash flows. Using the retrospective transition method required under the standard, the Company has adjusted the presentation of its Condensed Consolidated Statements of Cash Flows for all periods presented. The adoption of ASU No. 2016-18 did not have any other impact on the Company’s Consolidated Financial Statements.</w:t>
      </w:r>
    </w:p>
    <w:p>
      <w:pPr>
        <w:spacing w:after="0" w:line="21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following table provides additional details by financial statement line item of the restated presentation in the Company’s Condensed Consolidated Statement of Cash Flows for the thirteen weeks ended March 26, 2017:</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6"/>
          </w:tcPr>
          <w:p>
            <w:pPr>
              <w:jc w:val="center"/>
              <w:ind w:left="400"/>
              <w:spacing w:after="0"/>
              <w:rPr>
                <w:sz w:val="20"/>
                <w:szCs w:val="20"/>
                <w:color w:val="auto"/>
              </w:rPr>
            </w:pPr>
            <w:r>
              <w:rPr>
                <w:rFonts w:ascii="Arial" w:cs="Arial" w:eastAsia="Arial" w:hAnsi="Arial"/>
                <w:sz w:val="14"/>
                <w:szCs w:val="14"/>
                <w:b w:val="1"/>
                <w:bCs w:val="1"/>
                <w:color w:val="auto"/>
              </w:rPr>
              <w:t>THIRTEEN WEEKS ENDED</w:t>
            </w:r>
          </w:p>
        </w:tc>
        <w:tc>
          <w:tcPr>
            <w:tcW w:w="760" w:type="dxa"/>
            <w:vAlign w:val="bottom"/>
          </w:tcPr>
          <w:p>
            <w:pPr>
              <w:spacing w:after="0"/>
              <w:rPr>
                <w:sz w:val="16"/>
                <w:szCs w:val="16"/>
                <w:color w:val="auto"/>
              </w:rPr>
            </w:pPr>
          </w:p>
        </w:tc>
      </w:tr>
      <w:tr>
        <w:trPr>
          <w:trHeight w:val="276"/>
        </w:trPr>
        <w:tc>
          <w:tcPr>
            <w:tcW w:w="77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MARCH 26, 2017</w:t>
            </w:r>
          </w:p>
        </w:tc>
        <w:tc>
          <w:tcPr>
            <w:tcW w:w="3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r>
      <w:tr>
        <w:trPr>
          <w:trHeight w:val="153"/>
        </w:trPr>
        <w:tc>
          <w:tcPr>
            <w:tcW w:w="7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ind w:right="141"/>
              <w:spacing w:after="0" w:line="153" w:lineRule="exact"/>
              <w:rPr>
                <w:sz w:val="20"/>
                <w:szCs w:val="20"/>
                <w:color w:val="auto"/>
              </w:rPr>
            </w:pPr>
            <w:r>
              <w:rPr>
                <w:rFonts w:ascii="Arial" w:cs="Arial" w:eastAsia="Arial" w:hAnsi="Arial"/>
                <w:sz w:val="14"/>
                <w:szCs w:val="14"/>
                <w:b w:val="1"/>
                <w:bCs w:val="1"/>
                <w:color w:val="auto"/>
                <w:w w:val="93"/>
              </w:rPr>
              <w:t>2016-18</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05"/>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AS REPORTED</w:t>
            </w:r>
          </w:p>
        </w:tc>
        <w:tc>
          <w:tcPr>
            <w:tcW w:w="2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IMPACT</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RESTATED</w:t>
            </w: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used in investing activities: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Decrease in restricted cash</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14,079</w:t>
            </w:r>
          </w:p>
        </w:tc>
        <w:tc>
          <w:tcPr>
            <w:tcW w:w="12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(14,079)</w:t>
            </w:r>
          </w:p>
        </w:tc>
        <w:tc>
          <w:tcPr>
            <w:tcW w:w="100" w:type="dxa"/>
            <w:vAlign w:val="bottom"/>
          </w:tcPr>
          <w:p>
            <w:pPr>
              <w:spacing w:after="0"/>
              <w:rPr>
                <w:sz w:val="20"/>
                <w:szCs w:val="20"/>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in restricted cash</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5,873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104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(12,375)</w:t>
            </w:r>
          </w:p>
        </w:tc>
        <w:tc>
          <w:tcPr>
            <w:tcW w:w="12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(8,206)</w:t>
            </w:r>
          </w:p>
        </w:tc>
        <w:tc>
          <w:tcPr>
            <w:tcW w:w="100" w:type="dxa"/>
            <w:vAlign w:val="bottom"/>
          </w:tcPr>
          <w:p>
            <w:pPr>
              <w:spacing w:after="0"/>
              <w:rPr>
                <w:sz w:val="20"/>
                <w:szCs w:val="20"/>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(20,581)</w:t>
            </w:r>
          </w:p>
        </w:tc>
      </w:tr>
      <w:tr>
        <w:trPr>
          <w:trHeight w:val="33"/>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324"/>
        </w:trPr>
        <w:tc>
          <w:tcPr>
            <w:tcW w:w="77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Net decrease in cash, cash equivalents and restricted cash</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(28,793)</w:t>
            </w:r>
          </w:p>
        </w:tc>
        <w:tc>
          <w:tcPr>
            <w:tcW w:w="12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(8,205)</w:t>
            </w:r>
          </w:p>
        </w:tc>
        <w:tc>
          <w:tcPr>
            <w:tcW w:w="100" w:type="dxa"/>
            <w:vAlign w:val="bottom"/>
          </w:tcPr>
          <w:p>
            <w:pPr>
              <w:spacing w:after="0"/>
              <w:rPr>
                <w:sz w:val="20"/>
                <w:szCs w:val="20"/>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(36,998)</w:t>
            </w:r>
          </w:p>
        </w:tc>
      </w:tr>
      <w:tr>
        <w:trPr>
          <w:trHeight w:val="33"/>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as of the beginning of the period</w:t>
            </w:r>
          </w:p>
        </w:tc>
        <w:tc>
          <w:tcPr>
            <w:tcW w:w="3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127,176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9,010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136,186</w:t>
            </w: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as of the end of the period</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98,383</w:t>
            </w:r>
          </w:p>
        </w:tc>
        <w:tc>
          <w:tcPr>
            <w:tcW w:w="120" w:type="dxa"/>
            <w:vAlign w:val="bottom"/>
          </w:tcPr>
          <w:p>
            <w:pPr>
              <w:spacing w:after="0"/>
              <w:rPr>
                <w:sz w:val="21"/>
                <w:szCs w:val="21"/>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805</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99,188</w:t>
            </w:r>
          </w:p>
        </w:tc>
      </w:tr>
      <w:tr>
        <w:trPr>
          <w:trHeight w:val="20"/>
        </w:trPr>
        <w:tc>
          <w:tcPr>
            <w:tcW w:w="7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9"/>
          <w:szCs w:val="19"/>
          <w:i w:val="1"/>
          <w:iCs w:val="1"/>
          <w:color w:val="auto"/>
        </w:rPr>
        <w:t xml:space="preserve">Recently Issued Financial Accounting Standards Not Yet Adopted </w:t>
      </w:r>
      <w:r>
        <w:rPr>
          <w:rFonts w:ascii="Arial" w:cs="Arial" w:eastAsia="Arial" w:hAnsi="Arial"/>
          <w:sz w:val="19"/>
          <w:szCs w:val="19"/>
          <w:color w:val="auto"/>
        </w:rPr>
        <w:t>- In February 2016, the Financial Accounting Standards Board (“FASB”)</w:t>
      </w:r>
      <w:r>
        <w:rPr>
          <w:rFonts w:ascii="Arial" w:cs="Arial" w:eastAsia="Arial" w:hAnsi="Arial"/>
          <w:sz w:val="19"/>
          <w:szCs w:val="19"/>
          <w:i w:val="1"/>
          <w:iCs w:val="1"/>
          <w:color w:val="auto"/>
        </w:rPr>
        <w:t xml:space="preserve"> </w:t>
      </w:r>
      <w:r>
        <w:rPr>
          <w:rFonts w:ascii="Arial" w:cs="Arial" w:eastAsia="Arial" w:hAnsi="Arial"/>
          <w:sz w:val="19"/>
          <w:szCs w:val="19"/>
          <w:color w:val="auto"/>
        </w:rPr>
        <w:t>issued ASU No. 2016-02: “Leases (Topic 842)” (“ASU No. 2016-02”). ASU No. 2016-02 requires the lease rights and obligations arising from lease contracts, including existing and new arrangements, to be recognized as assets and liabilities on the balance sheet. ASU No. 2016-02 is effective for the Company in 2019 and must be adopted using a modified retrospective approach. The Company has begun evaluating and planning for adoption and implementation of ASU No. 2016-02, including selecting a new lease accounting system, evaluating practical expedients and accounting policy elections, and assessing the overall financial statement impact. The Company expects the adoption of ASU No. 2016-02 to have a significant impact on its Consolidated Balance Sheets due to recognition of right-of-use assets and lease liabilities for operating leases. The Company’s evaluation of ASU No. 2016-02 is ongoing and may identify additional impacts on its Consolidated Financial Statements and related disclosures.</w:t>
      </w:r>
    </w:p>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August 2017, the FASB issued ASU No. 2017-12, Derivatives and Hedging (Topic 815): Targeted Improvements to Accounting for Hedging Activities (“ASU No. 2017-12”) which provides guidance for reporting the economic results of hedging activities and to simplify the disclosures of risk exposures and hedging strategies. ASU No. 2017-12 will be effective for the Company in 2019, with early adoption permitted and is not expected to have a material impact on the Company’s Consolidated Financial Statements and related disclosures.</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Reclassifications - </w:t>
      </w:r>
      <w:r>
        <w:rPr>
          <w:rFonts w:ascii="Arial" w:cs="Arial" w:eastAsia="Arial" w:hAnsi="Arial"/>
          <w:sz w:val="20"/>
          <w:szCs w:val="20"/>
          <w:color w:val="auto"/>
        </w:rPr>
        <w:t>The Company reclassified certain items in the accompanying Consolidated Financial Statements for prior periods to be</w:t>
      </w:r>
      <w:r>
        <w:rPr>
          <w:rFonts w:ascii="Arial" w:cs="Arial" w:eastAsia="Arial" w:hAnsi="Arial"/>
          <w:sz w:val="20"/>
          <w:szCs w:val="20"/>
          <w:i w:val="1"/>
          <w:iCs w:val="1"/>
          <w:color w:val="auto"/>
        </w:rPr>
        <w:t xml:space="preserve"> </w:t>
      </w:r>
      <w:r>
        <w:rPr>
          <w:rFonts w:ascii="Arial" w:cs="Arial" w:eastAsia="Arial" w:hAnsi="Arial"/>
          <w:sz w:val="20"/>
          <w:szCs w:val="20"/>
          <w:color w:val="auto"/>
        </w:rPr>
        <w:t>comparable with the classification for the current period.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16"/>
          <w:szCs w:val="16"/>
          <w:color w:val="auto"/>
        </w:rPr>
        <w:t>Revenue Recognition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Company records food and beverage revenues, net of discounts and taxes, upon sale. Franchise-related revenues are included in Franchise and other revenues in the Company’s Consolidated Statements of Operations and Comprehensive Income. Royalties, which are a percentage of net sales of the franchisee, are recognized as income when earned. The following table includes the categories of revenue included in the Company’s Consolidated Statement of Operations and Comprehensive Income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9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right"/>
              <w:ind w:right="222"/>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53"/>
        </w:trPr>
        <w:tc>
          <w:tcPr>
            <w:tcW w:w="8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APRIL 1, 2018</w:t>
            </w:r>
          </w:p>
        </w:tc>
        <w:tc>
          <w:tcPr>
            <w:tcW w:w="120" w:type="dxa"/>
            <w:vAlign w:val="bottom"/>
          </w:tcPr>
          <w:p>
            <w:pPr>
              <w:spacing w:after="0"/>
              <w:rPr>
                <w:sz w:val="13"/>
                <w:szCs w:val="13"/>
                <w:color w:val="auto"/>
              </w:rPr>
            </w:pPr>
          </w:p>
        </w:tc>
        <w:tc>
          <w:tcPr>
            <w:tcW w:w="100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rPr>
              <w:t>MARCH 26,</w:t>
            </w:r>
          </w:p>
        </w:tc>
        <w:tc>
          <w:tcPr>
            <w:tcW w:w="0" w:type="dxa"/>
            <w:vAlign w:val="bottom"/>
          </w:tcPr>
          <w:p>
            <w:pPr>
              <w:spacing w:after="0"/>
              <w:rPr>
                <w:sz w:val="1"/>
                <w:szCs w:val="1"/>
                <w:color w:val="auto"/>
              </w:rPr>
            </w:pPr>
          </w:p>
        </w:tc>
      </w:tr>
      <w:tr>
        <w:trPr>
          <w:trHeight w:val="186"/>
        </w:trPr>
        <w:tc>
          <w:tcPr>
            <w:tcW w:w="8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89"/>
        </w:trPr>
        <w:tc>
          <w:tcPr>
            <w:tcW w:w="8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(Restated) (1)</w:t>
            </w:r>
          </w:p>
        </w:tc>
        <w:tc>
          <w:tcPr>
            <w:tcW w:w="0" w:type="dxa"/>
            <w:vAlign w:val="bottom"/>
          </w:tcPr>
          <w:p>
            <w:pPr>
              <w:spacing w:after="0"/>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920" w:type="dxa"/>
            <w:vAlign w:val="bottom"/>
          </w:tcPr>
          <w:p>
            <w:pPr>
              <w:ind w:left="180"/>
              <w:spacing w:after="0"/>
              <w:rPr>
                <w:sz w:val="20"/>
                <w:szCs w:val="20"/>
                <w:color w:val="auto"/>
              </w:rPr>
            </w:pPr>
            <w:r>
              <w:rPr>
                <w:rFonts w:ascii="Arial" w:cs="Arial" w:eastAsia="Arial" w:hAnsi="Arial"/>
                <w:sz w:val="16"/>
                <w:szCs w:val="16"/>
                <w:color w:val="auto"/>
              </w:rPr>
              <w:t>Restaurant sales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1,099,003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1,143,831</w:t>
            </w: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Franchise and other revenues: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920" w:type="dxa"/>
            <w:vAlign w:val="bottom"/>
          </w:tcPr>
          <w:p>
            <w:pPr>
              <w:ind w:left="280"/>
              <w:spacing w:after="0"/>
              <w:rPr>
                <w:sz w:val="20"/>
                <w:szCs w:val="20"/>
                <w:color w:val="auto"/>
              </w:rPr>
            </w:pPr>
            <w:r>
              <w:rPr>
                <w:rFonts w:ascii="Arial" w:cs="Arial" w:eastAsia="Arial" w:hAnsi="Arial"/>
                <w:sz w:val="16"/>
                <w:szCs w:val="16"/>
                <w:color w:val="auto"/>
              </w:rPr>
              <w:t>Franchise revenue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14,215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9,097</w:t>
            </w: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revenue</w:t>
            </w:r>
          </w:p>
        </w:tc>
        <w:tc>
          <w:tcPr>
            <w:tcW w:w="1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3,247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1,783</w:t>
            </w:r>
          </w:p>
        </w:tc>
        <w:tc>
          <w:tcPr>
            <w:tcW w:w="0" w:type="dxa"/>
            <w:vAlign w:val="bottom"/>
          </w:tcPr>
          <w:p>
            <w:pPr>
              <w:spacing w:after="0"/>
              <w:rPr>
                <w:sz w:val="1"/>
                <w:szCs w:val="1"/>
                <w:color w:val="auto"/>
              </w:rPr>
            </w:pPr>
          </w:p>
        </w:tc>
      </w:tr>
      <w:tr>
        <w:trPr>
          <w:trHeight w:val="270"/>
        </w:trPr>
        <w:tc>
          <w:tcPr>
            <w:tcW w:w="89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Franchise and other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17,462</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10,880</w:t>
            </w:r>
          </w:p>
        </w:tc>
        <w:tc>
          <w:tcPr>
            <w:tcW w:w="0" w:type="dxa"/>
            <w:vAlign w:val="bottom"/>
          </w:tcPr>
          <w:p>
            <w:pPr>
              <w:spacing w:after="0"/>
              <w:rPr>
                <w:sz w:val="1"/>
                <w:szCs w:val="1"/>
                <w:color w:val="auto"/>
              </w:rPr>
            </w:pPr>
          </w:p>
        </w:tc>
      </w:tr>
      <w:tr>
        <w:trPr>
          <w:trHeight w:val="244"/>
        </w:trPr>
        <w:tc>
          <w:tcPr>
            <w:tcW w:w="89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1,116,465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1,154,711</w:t>
            </w:r>
          </w:p>
        </w:tc>
        <w:tc>
          <w:tcPr>
            <w:tcW w:w="0" w:type="dxa"/>
            <w:vAlign w:val="bottom"/>
          </w:tcPr>
          <w:p>
            <w:pPr>
              <w:spacing w:after="0"/>
              <w:rPr>
                <w:sz w:val="1"/>
                <w:szCs w:val="1"/>
                <w:color w:val="auto"/>
              </w:rPr>
            </w:pPr>
          </w:p>
        </w:tc>
      </w:tr>
      <w:tr>
        <w:trPr>
          <w:trHeight w:val="20"/>
        </w:trPr>
        <w:tc>
          <w:tcPr>
            <w:tcW w:w="892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9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See Note 1 - </w:t>
      </w:r>
      <w:r>
        <w:rPr>
          <w:rFonts w:ascii="Arial" w:cs="Arial" w:eastAsia="Arial" w:hAnsi="Arial"/>
          <w:sz w:val="16"/>
          <w:szCs w:val="16"/>
          <w:i w:val="1"/>
          <w:iCs w:val="1"/>
          <w:color w:val="auto"/>
        </w:rPr>
        <w:t>Description of the Business and Basis of Presentation</w:t>
      </w:r>
      <w:r>
        <w:rPr>
          <w:rFonts w:ascii="Arial" w:cs="Arial" w:eastAsia="Arial" w:hAnsi="Arial"/>
          <w:sz w:val="16"/>
          <w:szCs w:val="16"/>
          <w:color w:val="auto"/>
        </w:rPr>
        <w:t xml:space="preserve"> for details of the impact of implementing ASU No. 2014-09.</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includes the disaggregation of Restaurant sales and Franchise revenue, by restaurant concept and major international market, for the periods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gridSpan w:val="5"/>
          </w:tcPr>
          <w:p>
            <w:pPr>
              <w:ind w:left="320"/>
              <w:spacing w:after="0"/>
              <w:rPr>
                <w:sz w:val="20"/>
                <w:szCs w:val="20"/>
                <w:color w:val="auto"/>
              </w:rPr>
            </w:pPr>
            <w:r>
              <w:rPr>
                <w:rFonts w:ascii="Arial" w:cs="Arial" w:eastAsia="Arial" w:hAnsi="Arial"/>
                <w:sz w:val="14"/>
                <w:szCs w:val="14"/>
                <w:b w:val="1"/>
                <w:bCs w:val="1"/>
                <w:color w:val="auto"/>
              </w:rPr>
              <w:t>THIRTEEN WEEKS ENDED</w:t>
            </w:r>
          </w:p>
        </w:tc>
        <w:tc>
          <w:tcPr>
            <w:tcW w:w="140" w:type="dxa"/>
            <w:vAlign w:val="bottom"/>
          </w:tcPr>
          <w:p>
            <w:pPr>
              <w:spacing w:after="0"/>
              <w:rPr>
                <w:sz w:val="16"/>
                <w:szCs w:val="16"/>
                <w:color w:val="auto"/>
              </w:rPr>
            </w:pPr>
          </w:p>
        </w:tc>
        <w:tc>
          <w:tcPr>
            <w:tcW w:w="2560" w:type="dxa"/>
            <w:vAlign w:val="bottom"/>
            <w:gridSpan w:val="4"/>
          </w:tcPr>
          <w:p>
            <w:pPr>
              <w:jc w:val="right"/>
              <w:ind w:right="321"/>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276"/>
        </w:trPr>
        <w:tc>
          <w:tcPr>
            <w:tcW w:w="58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64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4"/>
                <w:szCs w:val="14"/>
                <w:b w:val="1"/>
                <w:bCs w:val="1"/>
                <w:color w:val="auto"/>
              </w:rPr>
              <w:t>APRIL 1, 2018</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560" w:type="dxa"/>
            <w:vAlign w:val="bottom"/>
            <w:tcBorders>
              <w:bottom w:val="single" w:sz="8" w:color="auto"/>
            </w:tcBorders>
            <w:gridSpan w:val="4"/>
          </w:tcPr>
          <w:p>
            <w:pPr>
              <w:jc w:val="right"/>
              <w:ind w:right="701"/>
              <w:spacing w:after="0"/>
              <w:rPr>
                <w:sz w:val="20"/>
                <w:szCs w:val="20"/>
                <w:color w:val="auto"/>
              </w:rPr>
            </w:pPr>
            <w:r>
              <w:rPr>
                <w:rFonts w:ascii="Arial" w:cs="Arial" w:eastAsia="Arial" w:hAnsi="Arial"/>
                <w:sz w:val="14"/>
                <w:szCs w:val="14"/>
                <w:b w:val="1"/>
                <w:bCs w:val="1"/>
                <w:color w:val="auto"/>
              </w:rPr>
              <w:t>MARCH 26, 2017</w:t>
            </w:r>
          </w:p>
        </w:tc>
        <w:tc>
          <w:tcPr>
            <w:tcW w:w="0" w:type="dxa"/>
            <w:vAlign w:val="bottom"/>
          </w:tcPr>
          <w:p>
            <w:pPr>
              <w:spacing w:after="0"/>
              <w:rPr>
                <w:sz w:val="1"/>
                <w:szCs w:val="1"/>
                <w:color w:val="auto"/>
              </w:rPr>
            </w:pPr>
          </w:p>
        </w:tc>
      </w:tr>
      <w:tr>
        <w:trPr>
          <w:trHeight w:val="153"/>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RESTAURANT</w:t>
            </w:r>
          </w:p>
        </w:tc>
        <w:tc>
          <w:tcPr>
            <w:tcW w:w="160" w:type="dxa"/>
            <w:vAlign w:val="bottom"/>
          </w:tcPr>
          <w:p>
            <w:pPr>
              <w:spacing w:after="0"/>
              <w:rPr>
                <w:sz w:val="13"/>
                <w:szCs w:val="13"/>
                <w:color w:val="auto"/>
              </w:rPr>
            </w:pPr>
          </w:p>
        </w:tc>
        <w:tc>
          <w:tcPr>
            <w:tcW w:w="12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FRANCHISE</w:t>
            </w:r>
          </w:p>
        </w:tc>
        <w:tc>
          <w:tcPr>
            <w:tcW w:w="14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RESTAURANT</w:t>
            </w:r>
          </w:p>
        </w:tc>
        <w:tc>
          <w:tcPr>
            <w:tcW w:w="160" w:type="dxa"/>
            <w:vAlign w:val="bottom"/>
          </w:tcPr>
          <w:p>
            <w:pPr>
              <w:spacing w:after="0"/>
              <w:rPr>
                <w:sz w:val="13"/>
                <w:szCs w:val="13"/>
                <w:color w:val="auto"/>
              </w:rPr>
            </w:pPr>
          </w:p>
        </w:tc>
        <w:tc>
          <w:tcPr>
            <w:tcW w:w="1080" w:type="dxa"/>
            <w:vAlign w:val="bottom"/>
          </w:tcPr>
          <w:p>
            <w:pPr>
              <w:jc w:val="center"/>
              <w:ind w:right="81"/>
              <w:spacing w:after="0" w:line="153" w:lineRule="exact"/>
              <w:rPr>
                <w:sz w:val="20"/>
                <w:szCs w:val="20"/>
                <w:color w:val="auto"/>
              </w:rPr>
            </w:pPr>
            <w:r>
              <w:rPr>
                <w:rFonts w:ascii="Arial" w:cs="Arial" w:eastAsia="Arial" w:hAnsi="Arial"/>
                <w:sz w:val="14"/>
                <w:szCs w:val="14"/>
                <w:b w:val="1"/>
                <w:bCs w:val="1"/>
                <w:color w:val="auto"/>
              </w:rPr>
              <w:t>FRANCHISE</w:t>
            </w:r>
          </w:p>
        </w:tc>
        <w:tc>
          <w:tcPr>
            <w:tcW w:w="0" w:type="dxa"/>
            <w:vAlign w:val="bottom"/>
          </w:tcPr>
          <w:p>
            <w:pPr>
              <w:spacing w:after="0"/>
              <w:rPr>
                <w:sz w:val="1"/>
                <w:szCs w:val="1"/>
                <w:color w:val="auto"/>
              </w:rPr>
            </w:pPr>
          </w:p>
        </w:tc>
      </w:tr>
      <w:tr>
        <w:trPr>
          <w:trHeight w:val="205"/>
        </w:trPr>
        <w:tc>
          <w:tcPr>
            <w:tcW w:w="58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SALES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8"/>
              </w:rPr>
              <w:t>SALES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70"/>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3"/>
              </w:rPr>
              <w:t>(Restated) (1)</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center"/>
              <w:ind w:right="81"/>
              <w:spacing w:after="0"/>
              <w:rPr>
                <w:sz w:val="20"/>
                <w:szCs w:val="20"/>
                <w:color w:val="auto"/>
              </w:rPr>
            </w:pPr>
            <w:r>
              <w:rPr>
                <w:rFonts w:ascii="Arial" w:cs="Arial" w:eastAsia="Arial" w:hAnsi="Arial"/>
                <w:sz w:val="14"/>
                <w:szCs w:val="14"/>
                <w:b w:val="1"/>
                <w:bCs w:val="1"/>
                <w:color w:val="auto"/>
                <w:w w:val="93"/>
              </w:rPr>
              <w:t>(Restated) (1)</w:t>
            </w:r>
          </w:p>
        </w:tc>
        <w:tc>
          <w:tcPr>
            <w:tcW w:w="0" w:type="dxa"/>
            <w:vAlign w:val="bottom"/>
          </w:tcPr>
          <w:p>
            <w:pPr>
              <w:spacing w:after="0"/>
              <w:rPr>
                <w:sz w:val="1"/>
                <w:szCs w:val="1"/>
                <w:color w:val="auto"/>
              </w:rPr>
            </w:pP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color w:val="auto"/>
              </w:rPr>
              <w:t>Outback Steakhouse (2)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571,479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11,074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611,475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6,234</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Carrabba’s Italian Grill (2)</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173,927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182,650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color w:val="auto"/>
              </w:rPr>
              <w:t>Bonefish Grill</w:t>
            </w:r>
          </w:p>
        </w:tc>
        <w:tc>
          <w:tcPr>
            <w:tcW w:w="16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156,849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163,644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Fleming’s Prime Steakhouse &amp; Wine Bar</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80,990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77,786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820" w:type="dxa"/>
            <w:vAlign w:val="bottom"/>
          </w:tcPr>
          <w:p>
            <w:pPr>
              <w:ind w:left="18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23"/>
                <w:szCs w:val="23"/>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1,099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58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 Total</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984,344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1,035,555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6,582</w:t>
            </w: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International</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Outback Steakhouse-Brazil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95,123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90,890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8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19,536</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2,754</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17,386</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2,515</w:t>
            </w:r>
          </w:p>
        </w:tc>
        <w:tc>
          <w:tcPr>
            <w:tcW w:w="0" w:type="dxa"/>
            <w:vAlign w:val="bottom"/>
          </w:tcPr>
          <w:p>
            <w:pPr>
              <w:spacing w:after="0"/>
              <w:rPr>
                <w:sz w:val="1"/>
                <w:szCs w:val="1"/>
                <w:color w:val="auto"/>
              </w:rPr>
            </w:pPr>
          </w:p>
        </w:tc>
      </w:tr>
      <w:tr>
        <w:trPr>
          <w:trHeight w:val="257"/>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International 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114,659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2,754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108,276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2,515</w:t>
            </w:r>
          </w:p>
        </w:tc>
        <w:tc>
          <w:tcPr>
            <w:tcW w:w="0" w:type="dxa"/>
            <w:vAlign w:val="bottom"/>
          </w:tcPr>
          <w:p>
            <w:pPr>
              <w:spacing w:after="0"/>
              <w:rPr>
                <w:sz w:val="1"/>
                <w:szCs w:val="1"/>
                <w:color w:val="auto"/>
              </w:rPr>
            </w:pPr>
          </w:p>
        </w:tc>
      </w:tr>
      <w:tr>
        <w:trPr>
          <w:trHeight w:val="250"/>
        </w:trPr>
        <w:tc>
          <w:tcPr>
            <w:tcW w:w="5820" w:type="dxa"/>
            <w:vAlign w:val="bottom"/>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1,099,003</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14,215</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1,143,831</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9,097</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See Note 1 - </w:t>
      </w:r>
      <w:r>
        <w:rPr>
          <w:rFonts w:ascii="Arial" w:cs="Arial" w:eastAsia="Arial" w:hAnsi="Arial"/>
          <w:sz w:val="16"/>
          <w:szCs w:val="16"/>
          <w:i w:val="1"/>
          <w:iCs w:val="1"/>
          <w:color w:val="auto"/>
        </w:rPr>
        <w:t>Description of the Business and Basis of Presentation</w:t>
      </w:r>
      <w:r>
        <w:rPr>
          <w:rFonts w:ascii="Arial" w:cs="Arial" w:eastAsia="Arial" w:hAnsi="Arial"/>
          <w:sz w:val="16"/>
          <w:szCs w:val="16"/>
          <w:color w:val="auto"/>
        </w:rPr>
        <w:t xml:space="preserve"> for details of the impact of implementing ASU No. 2014-09.</w:t>
      </w:r>
    </w:p>
    <w:p>
      <w:pPr>
        <w:spacing w:after="0" w:line="18" w:lineRule="exact"/>
        <w:rPr>
          <w:rFonts w:ascii="Arial" w:cs="Arial" w:eastAsia="Arial" w:hAnsi="Arial"/>
          <w:sz w:val="16"/>
          <w:szCs w:val="16"/>
          <w:color w:val="auto"/>
        </w:rPr>
      </w:pPr>
    </w:p>
    <w:p>
      <w:pPr>
        <w:ind w:left="660" w:hanging="652"/>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2017, the Company sold 53 Outback Steakhouse restaurants and one Carrabba’s Italian Grill restaurant, which are now operated as franchises.</w:t>
      </w:r>
    </w:p>
    <w:p>
      <w:pPr>
        <w:spacing w:after="0" w:line="21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Gift Card Revenue - </w:t>
      </w:r>
      <w:r>
        <w:rPr>
          <w:rFonts w:ascii="Arial" w:cs="Arial" w:eastAsia="Arial" w:hAnsi="Arial"/>
          <w:sz w:val="20"/>
          <w:szCs w:val="20"/>
          <w:color w:val="auto"/>
        </w:rPr>
        <w:t>Proceeds from the sale of gift cards, which do not have expiration dates, are recorded as deferred revenue and recognized</w:t>
      </w:r>
      <w:r>
        <w:rPr>
          <w:rFonts w:ascii="Arial" w:cs="Arial" w:eastAsia="Arial" w:hAnsi="Arial"/>
          <w:sz w:val="20"/>
          <w:szCs w:val="20"/>
          <w:i w:val="1"/>
          <w:iCs w:val="1"/>
          <w:color w:val="auto"/>
        </w:rPr>
        <w:t xml:space="preserve"> </w:t>
      </w:r>
      <w:r>
        <w:rPr>
          <w:rFonts w:ascii="Arial" w:cs="Arial" w:eastAsia="Arial" w:hAnsi="Arial"/>
          <w:sz w:val="20"/>
          <w:szCs w:val="20"/>
          <w:color w:val="auto"/>
        </w:rPr>
        <w:t>as revenue upon redemption by the customer. Gift cards sold at a discount are recorded as revenue upon redemption of the associated gift cards at an amount net of the related discount. Gift card breakage, the amount of gift cards which will not be redeemed, is recognized using estimates based on historical redemption patterns.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If actual redemptions vary from the estimated breakage, gift card breakage income may differ from the amount recorded. The Company periodically updates its estimates used for breakage. Gift card sales that are accompanied by a bonus card to be used by the customer at a future visit result in a separate deferral of a portion of the original gift card sale. Revenue is recorded when the bonus card is redeemed at the estimated fair market value of the bonus card. Approximately 87% of the current deferred gift card revenue is expected to be recognized over the next 12 months.</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Gift card sales commissions paid to third-party providers are initially capitalized and subsequently amortized to Other restaurant operating expenses upon redemption of the associated gift card.</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Advertising Fees - </w:t>
      </w:r>
      <w:r>
        <w:rPr>
          <w:rFonts w:ascii="Arial" w:cs="Arial" w:eastAsia="Arial" w:hAnsi="Arial"/>
          <w:sz w:val="20"/>
          <w:szCs w:val="20"/>
          <w:color w:val="auto"/>
        </w:rPr>
        <w:t>Advertising fees charged to franchisees are recognized as Franchise revenue in the Company’s Consolidated Statements of</w:t>
      </w:r>
      <w:r>
        <w:rPr>
          <w:rFonts w:ascii="Arial" w:cs="Arial" w:eastAsia="Arial" w:hAnsi="Arial"/>
          <w:sz w:val="20"/>
          <w:szCs w:val="20"/>
          <w:i w:val="1"/>
          <w:iCs w:val="1"/>
          <w:color w:val="auto"/>
        </w:rPr>
        <w:t xml:space="preserve"> </w:t>
      </w:r>
      <w:r>
        <w:rPr>
          <w:rFonts w:ascii="Arial" w:cs="Arial" w:eastAsia="Arial" w:hAnsi="Arial"/>
          <w:sz w:val="20"/>
          <w:szCs w:val="20"/>
          <w:color w:val="auto"/>
        </w:rPr>
        <w:t>Operations and Comprehensive Income.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Franchise Fees - </w:t>
      </w:r>
      <w:r>
        <w:rPr>
          <w:rFonts w:ascii="Arial" w:cs="Arial" w:eastAsia="Arial" w:hAnsi="Arial"/>
          <w:sz w:val="18"/>
          <w:szCs w:val="18"/>
          <w:color w:val="auto"/>
        </w:rPr>
        <w:t>Initial franchise and renewal fees are recognized over the term of the franchise agreement and renewal period,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The weighted average remaining term of franchise agreements and renewal periods was approximately 15 years as of April 1, 2018.</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Loyalty Program - </w:t>
      </w:r>
      <w:r>
        <w:rPr>
          <w:rFonts w:ascii="Arial" w:cs="Arial" w:eastAsia="Arial" w:hAnsi="Arial"/>
          <w:sz w:val="18"/>
          <w:szCs w:val="18"/>
          <w:color w:val="auto"/>
        </w:rPr>
        <w:t>The Company maintains a customer loyalty program, Dine Rewards, in the U.S., where customers have the ability to earn a</w:t>
      </w:r>
      <w:r>
        <w:rPr>
          <w:rFonts w:ascii="Arial" w:cs="Arial" w:eastAsia="Arial" w:hAnsi="Arial"/>
          <w:sz w:val="18"/>
          <w:szCs w:val="18"/>
          <w:i w:val="1"/>
          <w:iCs w:val="1"/>
          <w:color w:val="auto"/>
        </w:rPr>
        <w:t xml:space="preserve"> </w:t>
      </w:r>
      <w:r>
        <w:rPr>
          <w:rFonts w:ascii="Arial" w:cs="Arial" w:eastAsia="Arial" w:hAnsi="Arial"/>
          <w:sz w:val="18"/>
          <w:szCs w:val="18"/>
          <w:color w:val="auto"/>
        </w:rPr>
        <w:t>reward after a number of qualified visits. The Company has developed an estimated value of the partial reward earned from each qualified visit, which is recorded as deferred revenue. Each reward has a maximum value and must be redeemed within three months of earning such reward. The revenue associated with the fair value of the qualified visit is recognized upon the earlier of redemption or expiration of the reward.</w:t>
      </w:r>
    </w:p>
    <w:p>
      <w:pPr>
        <w:spacing w:after="0" w:line="17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following table includes a detail of assets and liabilities from contracts with customers included on the Company’s Consolidated Balance Sheets as of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5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7"/>
                <w:szCs w:val="17"/>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1, 2018</w:t>
            </w: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20" w:type="dxa"/>
            <w:vAlign w:val="bottom"/>
          </w:tcPr>
          <w:p>
            <w:pPr>
              <w:spacing w:after="0"/>
              <w:rPr>
                <w:sz w:val="21"/>
                <w:szCs w:val="21"/>
                <w:color w:val="auto"/>
              </w:rPr>
            </w:pPr>
          </w:p>
        </w:tc>
        <w:tc>
          <w:tcPr>
            <w:tcW w:w="8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assets, net</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Deferred gift card sales commissions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10,039</w:t>
            </w:r>
          </w:p>
        </w:tc>
        <w:tc>
          <w:tcPr>
            <w:tcW w:w="100" w:type="dxa"/>
            <w:vAlign w:val="bottom"/>
          </w:tcPr>
          <w:p>
            <w:pPr>
              <w:spacing w:after="0"/>
              <w:rPr>
                <w:sz w:val="20"/>
                <w:szCs w:val="20"/>
                <w:color w:val="auto"/>
              </w:rPr>
            </w:pPr>
          </w:p>
        </w:tc>
        <w:tc>
          <w:tcPr>
            <w:tcW w:w="46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16,231</w:t>
            </w:r>
          </w:p>
        </w:tc>
      </w:tr>
      <w:tr>
        <w:trPr>
          <w:trHeight w:val="33"/>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97"/>
        </w:trPr>
        <w:tc>
          <w:tcPr>
            <w:tcW w:w="20" w:type="dxa"/>
            <w:vAlign w:val="bottom"/>
          </w:tcPr>
          <w:p>
            <w:pPr>
              <w:spacing w:after="0"/>
              <w:rPr>
                <w:sz w:val="24"/>
                <w:szCs w:val="24"/>
                <w:color w:val="auto"/>
              </w:rPr>
            </w:pPr>
          </w:p>
        </w:tc>
        <w:tc>
          <w:tcPr>
            <w:tcW w:w="8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8560" w:type="dxa"/>
            <w:vAlign w:val="bottom"/>
          </w:tcPr>
          <w:p>
            <w:pPr>
              <w:ind w:left="20"/>
              <w:spacing w:after="0"/>
              <w:rPr>
                <w:sz w:val="20"/>
                <w:szCs w:val="20"/>
                <w:color w:val="auto"/>
              </w:rPr>
            </w:pPr>
            <w:r>
              <w:rPr>
                <w:rFonts w:ascii="Arial" w:cs="Arial" w:eastAsia="Arial" w:hAnsi="Arial"/>
                <w:sz w:val="16"/>
                <w:szCs w:val="16"/>
                <w:color w:val="auto"/>
              </w:rPr>
              <w:t>Unearned revenue</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Deferred gift card revenue (1)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227,783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323,628</w:t>
            </w:r>
          </w:p>
        </w:tc>
      </w:tr>
      <w:tr>
        <w:trPr>
          <w:trHeight w:val="237"/>
        </w:trPr>
        <w:tc>
          <w:tcPr>
            <w:tcW w:w="20" w:type="dxa"/>
            <w:vAlign w:val="bottom"/>
          </w:tcPr>
          <w:p>
            <w:pPr>
              <w:spacing w:after="0"/>
              <w:rPr>
                <w:sz w:val="20"/>
                <w:szCs w:val="20"/>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Deferred loyalty revenue</w:t>
            </w:r>
          </w:p>
        </w:tc>
        <w:tc>
          <w:tcPr>
            <w:tcW w:w="14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7,377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6,667</w:t>
            </w:r>
          </w:p>
        </w:tc>
      </w:tr>
      <w:tr>
        <w:trPr>
          <w:trHeight w:val="33"/>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Deferred franchise fees - current (1)</w:t>
            </w:r>
          </w:p>
        </w:tc>
        <w:tc>
          <w:tcPr>
            <w:tcW w:w="1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571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461</w:t>
            </w:r>
          </w:p>
        </w:tc>
      </w:tr>
      <w:tr>
        <w:trPr>
          <w:trHeight w:val="290"/>
        </w:trPr>
        <w:tc>
          <w:tcPr>
            <w:tcW w:w="20" w:type="dxa"/>
            <w:vAlign w:val="bottom"/>
          </w:tcPr>
          <w:p>
            <w:pPr>
              <w:spacing w:after="0"/>
              <w:rPr>
                <w:sz w:val="24"/>
                <w:szCs w:val="24"/>
                <w:color w:val="auto"/>
              </w:rPr>
            </w:pPr>
          </w:p>
        </w:tc>
        <w:tc>
          <w:tcPr>
            <w:tcW w:w="85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Unearned 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235,731</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330,756</w:t>
            </w:r>
          </w:p>
        </w:tc>
      </w:tr>
      <w:tr>
        <w:trPr>
          <w:trHeight w:val="284"/>
        </w:trPr>
        <w:tc>
          <w:tcPr>
            <w:tcW w:w="20" w:type="dxa"/>
            <w:vAlign w:val="bottom"/>
          </w:tcPr>
          <w:p>
            <w:pPr>
              <w:spacing w:after="0"/>
              <w:rPr>
                <w:sz w:val="24"/>
                <w:szCs w:val="24"/>
                <w:color w:val="auto"/>
              </w:rPr>
            </w:pPr>
          </w:p>
        </w:tc>
        <w:tc>
          <w:tcPr>
            <w:tcW w:w="8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8560" w:type="dxa"/>
            <w:vAlign w:val="bottom"/>
          </w:tcPr>
          <w:p>
            <w:pPr>
              <w:ind w:left="20"/>
              <w:spacing w:after="0"/>
              <w:rPr>
                <w:sz w:val="20"/>
                <w:szCs w:val="20"/>
                <w:color w:val="auto"/>
              </w:rPr>
            </w:pPr>
            <w:r>
              <w:rPr>
                <w:rFonts w:ascii="Arial" w:cs="Arial" w:eastAsia="Arial" w:hAnsi="Arial"/>
                <w:sz w:val="16"/>
                <w:szCs w:val="16"/>
                <w:color w:val="auto"/>
              </w:rPr>
              <w:t>Other long-term liabilities, net</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Deferred franchise fees - non-current (1)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4,686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4,698</w:t>
            </w:r>
          </w:p>
        </w:tc>
      </w:tr>
      <w:tr>
        <w:trPr>
          <w:trHeight w:val="193"/>
        </w:trPr>
        <w:tc>
          <w:tcPr>
            <w:tcW w:w="20" w:type="dxa"/>
            <w:vAlign w:val="bottom"/>
          </w:tcPr>
          <w:p>
            <w:pPr>
              <w:spacing w:after="0"/>
              <w:rPr>
                <w:sz w:val="16"/>
                <w:szCs w:val="16"/>
                <w:color w:val="auto"/>
              </w:rPr>
            </w:pPr>
          </w:p>
        </w:tc>
        <w:tc>
          <w:tcPr>
            <w:tcW w:w="8560" w:type="dxa"/>
            <w:vAlign w:val="bottom"/>
          </w:tcPr>
          <w:p>
            <w:pPr>
              <w:spacing w:after="0"/>
              <w:rPr>
                <w:sz w:val="20"/>
                <w:szCs w:val="20"/>
                <w:color w:val="auto"/>
              </w:rPr>
            </w:pPr>
            <w:r>
              <w:rPr>
                <w:rFonts w:ascii="Arial" w:cs="Arial" w:eastAsia="Arial" w:hAnsi="Arial"/>
                <w:sz w:val="16"/>
                <w:szCs w:val="16"/>
                <w:color w:val="auto"/>
              </w:rPr>
              <w:t>____________________</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r>
    </w:tbl>
    <w:p>
      <w:pPr>
        <w:ind w:left="660" w:hanging="652"/>
        <w:spacing w:after="0" w:line="275"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See Note 1 - </w:t>
      </w:r>
      <w:r>
        <w:rPr>
          <w:rFonts w:ascii="Arial" w:cs="Arial" w:eastAsia="Arial" w:hAnsi="Arial"/>
          <w:sz w:val="16"/>
          <w:szCs w:val="16"/>
          <w:i w:val="1"/>
          <w:iCs w:val="1"/>
          <w:color w:val="auto"/>
        </w:rPr>
        <w:t>Description of the Business and Basis of Presentation</w:t>
      </w:r>
      <w:r>
        <w:rPr>
          <w:rFonts w:ascii="Arial" w:cs="Arial" w:eastAsia="Arial" w:hAnsi="Arial"/>
          <w:sz w:val="16"/>
          <w:szCs w:val="16"/>
          <w:color w:val="auto"/>
        </w:rPr>
        <w:t xml:space="preserve"> for details of the impact of implementing ASU No. 2014-09 on the Company’s Consolidated Balance Sheet as of December 31, 2017.</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rollforward of deferred gift card sales commissions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4"/>
                <w:szCs w:val="14"/>
                <w:b w:val="1"/>
                <w:bCs w:val="1"/>
                <w:color w:val="auto"/>
              </w:rPr>
              <w:t>THIRTEEN WEEKS ENDED</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22"/>
                <w:szCs w:val="22"/>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1, 2018</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26, 2017</w:t>
            </w:r>
          </w:p>
        </w:tc>
      </w:tr>
      <w:tr>
        <w:trPr>
          <w:trHeight w:val="237"/>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beginning of period</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16,231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15,584</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Deferred gift card sales commissions amortization</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(9,415)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(7,902)</w:t>
            </w:r>
          </w:p>
        </w:tc>
      </w:tr>
      <w:tr>
        <w:trPr>
          <w:trHeight w:val="3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gift card sales commissions capitalization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3,858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3,730</w:t>
            </w:r>
          </w:p>
        </w:tc>
      </w:tr>
      <w:tr>
        <w:trPr>
          <w:trHeight w:val="270"/>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(1,186)</w:t>
            </w: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10,039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10,226</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rollforward of unearned gift card revenue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22"/>
                <w:szCs w:val="22"/>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1, 2018</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26, 2017</w:t>
            </w:r>
          </w:p>
        </w:tc>
        <w:tc>
          <w:tcPr>
            <w:tcW w:w="0" w:type="dxa"/>
            <w:vAlign w:val="bottom"/>
          </w:tcPr>
          <w:p>
            <w:pPr>
              <w:spacing w:after="0"/>
              <w:rPr>
                <w:sz w:val="1"/>
                <w:szCs w:val="1"/>
                <w:color w:val="auto"/>
              </w:rPr>
            </w:pPr>
          </w:p>
        </w:tc>
      </w:tr>
      <w:tr>
        <w:trPr>
          <w:trHeight w:val="237"/>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beginning of period</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323,628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331,803</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Gift card sales</w:t>
            </w:r>
          </w:p>
        </w:tc>
        <w:tc>
          <w:tcPr>
            <w:tcW w:w="14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56,285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58,870</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Gift card redemptions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(144,556)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(164,153)</w:t>
            </w:r>
          </w:p>
        </w:tc>
        <w:tc>
          <w:tcPr>
            <w:tcW w:w="0" w:type="dxa"/>
            <w:vAlign w:val="bottom"/>
          </w:tcPr>
          <w:p>
            <w:pPr>
              <w:spacing w:after="0"/>
              <w:rPr>
                <w:sz w:val="1"/>
                <w:szCs w:val="1"/>
                <w:color w:val="auto"/>
              </w:rPr>
            </w:pPr>
          </w:p>
        </w:tc>
      </w:tr>
      <w:tr>
        <w:trPr>
          <w:trHeight w:val="270"/>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Gift card breakage (1)</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(7,574)</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(8,648)</w:t>
            </w: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227,783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217,872</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line="275"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See Note 1 - </w:t>
      </w:r>
      <w:r>
        <w:rPr>
          <w:rFonts w:ascii="Arial" w:cs="Arial" w:eastAsia="Arial" w:hAnsi="Arial"/>
          <w:sz w:val="16"/>
          <w:szCs w:val="16"/>
          <w:i w:val="1"/>
          <w:iCs w:val="1"/>
          <w:color w:val="auto"/>
        </w:rPr>
        <w:t>Description of the Business and Basis of Presentation</w:t>
      </w:r>
      <w:r>
        <w:rPr>
          <w:rFonts w:ascii="Arial" w:cs="Arial" w:eastAsia="Arial" w:hAnsi="Arial"/>
          <w:sz w:val="16"/>
          <w:szCs w:val="16"/>
          <w:color w:val="auto"/>
        </w:rPr>
        <w:t xml:space="preserve"> for details of the impact of implementing ASU No. 2014-09 for the thirteen weeks ended March 26, 2017.</w:t>
      </w:r>
    </w:p>
    <w:p>
      <w:pPr>
        <w:spacing w:after="0" w:line="165"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16"/>
          <w:szCs w:val="16"/>
          <w:color w:val="auto"/>
        </w:rPr>
        <w:t>Impairments and Exit Costs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Provision for impaired assets and restaurant closings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7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THIRTEEN WEEKS ENDED</w:t>
            </w:r>
          </w:p>
        </w:tc>
      </w:tr>
      <w:tr>
        <w:trPr>
          <w:trHeight w:val="264"/>
        </w:trPr>
        <w:tc>
          <w:tcPr>
            <w:tcW w:w="8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1, 2018</w:t>
            </w:r>
          </w:p>
        </w:tc>
        <w:tc>
          <w:tcPr>
            <w:tcW w:w="120" w:type="dxa"/>
            <w:vAlign w:val="bottom"/>
          </w:tcPr>
          <w:p>
            <w:pPr>
              <w:spacing w:after="0"/>
              <w:rPr>
                <w:sz w:val="22"/>
                <w:szCs w:val="22"/>
                <w:color w:val="auto"/>
              </w:rPr>
            </w:pPr>
          </w:p>
        </w:tc>
        <w:tc>
          <w:tcPr>
            <w:tcW w:w="1240" w:type="dxa"/>
            <w:vAlign w:val="bottom"/>
          </w:tcPr>
          <w:p>
            <w:pPr>
              <w:jc w:val="right"/>
              <w:ind w:right="40"/>
              <w:spacing w:after="0"/>
              <w:rPr>
                <w:sz w:val="20"/>
                <w:szCs w:val="20"/>
                <w:color w:val="auto"/>
              </w:rPr>
            </w:pPr>
            <w:r>
              <w:rPr>
                <w:rFonts w:ascii="Arial" w:cs="Arial" w:eastAsia="Arial" w:hAnsi="Arial"/>
                <w:sz w:val="14"/>
                <w:szCs w:val="14"/>
                <w:b w:val="1"/>
                <w:bCs w:val="1"/>
                <w:color w:val="auto"/>
                <w:w w:val="99"/>
              </w:rPr>
              <w:t>MARCH 26, 2017</w:t>
            </w:r>
          </w:p>
        </w:tc>
      </w:tr>
      <w:tr>
        <w:trPr>
          <w:trHeight w:val="250"/>
        </w:trPr>
        <w:tc>
          <w:tcPr>
            <w:tcW w:w="8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Impairment losses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8700" w:type="dxa"/>
            <w:vAlign w:val="bottom"/>
          </w:tcPr>
          <w:p>
            <w:pPr>
              <w:ind w:left="280"/>
              <w:spacing w:after="0"/>
              <w:rPr>
                <w:sz w:val="20"/>
                <w:szCs w:val="20"/>
                <w:color w:val="auto"/>
              </w:rPr>
            </w:pPr>
            <w:r>
              <w:rPr>
                <w:rFonts w:ascii="Arial" w:cs="Arial" w:eastAsia="Arial" w:hAnsi="Arial"/>
                <w:sz w:val="16"/>
                <w:szCs w:val="16"/>
                <w:color w:val="auto"/>
              </w:rPr>
              <w:t>U.S.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920</w:t>
            </w: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4"/>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2,160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7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impairment losses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2,271</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920</w:t>
            </w: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Restaurant closure expenses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8700" w:type="dxa"/>
            <w:vAlign w:val="bottom"/>
          </w:tcPr>
          <w:p>
            <w:pPr>
              <w:ind w:left="280"/>
              <w:spacing w:after="0"/>
              <w:rPr>
                <w:sz w:val="20"/>
                <w:szCs w:val="20"/>
                <w:color w:val="auto"/>
              </w:rPr>
            </w:pPr>
            <w:r>
              <w:rPr>
                <w:rFonts w:ascii="Arial" w:cs="Arial" w:eastAsia="Arial" w:hAnsi="Arial"/>
                <w:sz w:val="16"/>
                <w:szCs w:val="16"/>
                <w:color w:val="auto"/>
              </w:rPr>
              <w:t>U.S.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18,156</w:t>
            </w: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4"/>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7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restaurant closure expenses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468</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18,156</w:t>
            </w: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impaired assets and restaurant closings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2,739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19,076</w:t>
            </w:r>
          </w:p>
        </w:tc>
      </w:tr>
      <w:tr>
        <w:trPr>
          <w:trHeight w:val="20"/>
        </w:trPr>
        <w:tc>
          <w:tcPr>
            <w:tcW w:w="8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Closure Initiatives and Restructuring Costs </w:t>
      </w:r>
      <w:r>
        <w:rPr>
          <w:rFonts w:ascii="Arial" w:cs="Arial" w:eastAsia="Arial" w:hAnsi="Arial"/>
          <w:sz w:val="18"/>
          <w:szCs w:val="18"/>
          <w:color w:val="auto"/>
        </w:rPr>
        <w:t>- In 2017, the Company decided to close certain underperforming restaurants in the U.S. and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Abbraccio restaurants outside of the core markets of São Paulo and Rio de Janeiro in Brazil and in 2016 the Company decided to close certain Bonefish Grill restaurants (collectively, the “Closure Initiatives”). Following is a summary of expenses related to the Closure Initiatives recognized in the Company’s Consolidated Statements of Operations and Comprehensive Income for the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58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INCOME STATEMENT LOCATION</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99"/>
              </w:rPr>
              <w:t>APRIL 1, 2018</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26, 2017</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Impairment, facility closure and other expenses (1)</w:t>
            </w:r>
          </w:p>
        </w:tc>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Provision for impaired assets and restaurant closings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18,256</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Severance and other expenses</w:t>
            </w:r>
          </w:p>
        </w:tc>
        <w:tc>
          <w:tcPr>
            <w:tcW w:w="4700" w:type="dxa"/>
            <w:vAlign w:val="bottom"/>
            <w:gridSpan w:val="2"/>
          </w:tcPr>
          <w:p>
            <w:pPr>
              <w:ind w:left="4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2,182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Reversal of deferred rent liability</w:t>
            </w:r>
          </w:p>
        </w:tc>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restaurant operating</w:t>
            </w: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(4,941)</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tcBorders>
          </w:tcPr>
          <w:p>
            <w:pPr>
              <w:ind w:left="280"/>
              <w:spacing w:after="0"/>
              <w:rPr>
                <w:sz w:val="20"/>
                <w:szCs w:val="20"/>
                <w:color w:val="auto"/>
              </w:rPr>
            </w:pPr>
            <w:r>
              <w:rPr>
                <w:rFonts w:ascii="Arial" w:cs="Arial" w:eastAsia="Arial" w:hAnsi="Arial"/>
                <w:sz w:val="16"/>
                <w:szCs w:val="16"/>
                <w:color w:val="auto"/>
              </w:rPr>
              <w:t>Total</w:t>
            </w:r>
          </w:p>
        </w:tc>
        <w:tc>
          <w:tcPr>
            <w:tcW w:w="45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147</w:t>
            </w:r>
          </w:p>
        </w:tc>
        <w:tc>
          <w:tcPr>
            <w:tcW w:w="120" w:type="dxa"/>
            <w:vAlign w:val="bottom"/>
            <w:tcBorders>
              <w:top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15,497</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120" w:type="dxa"/>
            <w:vAlign w:val="bottom"/>
            <w:vMerge w:val="continue"/>
          </w:tcPr>
          <w:p>
            <w:pPr>
              <w:spacing w:after="0"/>
              <w:rPr>
                <w:sz w:val="15"/>
                <w:szCs w:val="15"/>
                <w:color w:val="auto"/>
              </w:rPr>
            </w:pPr>
          </w:p>
        </w:tc>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Impairments related to the Closure Initiatives for the thirteen weeks ended April 1, 2018 and March 26, 2017 were recognized within the U.S. segment.</w:t>
      </w:r>
    </w:p>
    <w:p>
      <w:pPr>
        <w:spacing w:after="0" w:line="21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remaining restaurant impairment and closing charges resulted primarily from the carrying value of a restaurant’s assets exceeding its estimated fair market value, primarily due to locations identified for remodel, relocation or closure.</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i w:val="1"/>
          <w:iCs w:val="1"/>
          <w:color w:val="auto"/>
        </w:rPr>
        <w:t xml:space="preserve">Projected Future Expenses and Cash Expenditures </w:t>
      </w:r>
      <w:r>
        <w:rPr>
          <w:rFonts w:ascii="Arial" w:cs="Arial" w:eastAsia="Arial" w:hAnsi="Arial"/>
          <w:sz w:val="19"/>
          <w:szCs w:val="19"/>
          <w:color w:val="auto"/>
        </w:rPr>
        <w:t>- The Company currently expects to incur additional charges for the Closure Initiatives over</w:t>
      </w:r>
      <w:r>
        <w:rPr>
          <w:rFonts w:ascii="Arial" w:cs="Arial" w:eastAsia="Arial" w:hAnsi="Arial"/>
          <w:sz w:val="19"/>
          <w:szCs w:val="19"/>
          <w:i w:val="1"/>
          <w:iCs w:val="1"/>
          <w:color w:val="auto"/>
        </w:rPr>
        <w:t xml:space="preserve"> </w:t>
      </w:r>
      <w:r>
        <w:rPr>
          <w:rFonts w:ascii="Arial" w:cs="Arial" w:eastAsia="Arial" w:hAnsi="Arial"/>
          <w:sz w:val="19"/>
          <w:szCs w:val="19"/>
          <w:color w:val="auto"/>
        </w:rPr>
        <w:t>the next year, including costs associated with lease obligations, employee terminations and other closure-related obligations. Following is a summary of remaining estimated pre-tax expense and future cash expenditures, by type, as of April 1, 2018:</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2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i w:val="1"/>
                <w:iCs w:val="1"/>
                <w:color w:val="auto"/>
              </w:rPr>
              <w:t xml:space="preserve">Estimated future expense </w:t>
            </w:r>
            <w:r>
              <w:rPr>
                <w:rFonts w:ascii="Arial" w:cs="Arial" w:eastAsia="Arial" w:hAnsi="Arial"/>
                <w:sz w:val="16"/>
                <w:szCs w:val="16"/>
                <w:b w:val="1"/>
                <w:bCs w:val="1"/>
                <w:color w:val="auto"/>
              </w:rPr>
              <w:t>(dollars in millions)</w:t>
            </w:r>
          </w:p>
        </w:tc>
        <w:tc>
          <w:tcPr>
            <w:tcW w:w="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center"/>
              <w:ind w:right="99"/>
              <w:spacing w:after="0"/>
              <w:rPr>
                <w:sz w:val="20"/>
                <w:szCs w:val="20"/>
                <w:color w:val="auto"/>
              </w:rPr>
            </w:pPr>
            <w:r>
              <w:rPr>
                <w:rFonts w:ascii="Arial" w:cs="Arial" w:eastAsia="Arial" w:hAnsi="Arial"/>
                <w:sz w:val="14"/>
                <w:szCs w:val="14"/>
                <w:b w:val="1"/>
                <w:bCs w:val="1"/>
                <w:color w:val="auto"/>
              </w:rPr>
              <w:t>CLOSURE INITIATIVES</w:t>
            </w: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related liabilities, net of subleases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3.3</w:t>
            </w:r>
          </w:p>
        </w:tc>
        <w:tc>
          <w:tcPr>
            <w:tcW w:w="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to</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r>
      <w:tr>
        <w:trPr>
          <w:trHeight w:val="270"/>
        </w:trPr>
        <w:tc>
          <w:tcPr>
            <w:tcW w:w="9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Employee severance and other obligations</w:t>
            </w: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0.3</w:t>
            </w:r>
          </w:p>
        </w:tc>
        <w:tc>
          <w:tcPr>
            <w:tcW w:w="3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9"/>
              </w:rPr>
              <w:t>to</w:t>
            </w:r>
          </w:p>
        </w:tc>
        <w:tc>
          <w:tcPr>
            <w:tcW w:w="3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0.9</w:t>
            </w: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estimated future expense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3.6</w:t>
            </w:r>
          </w:p>
        </w:tc>
        <w:tc>
          <w:tcPr>
            <w:tcW w:w="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to</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r>
      <w:tr>
        <w:trPr>
          <w:trHeight w:val="20"/>
        </w:trPr>
        <w:tc>
          <w:tcPr>
            <w:tcW w:w="9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84"/>
        </w:trPr>
        <w:tc>
          <w:tcPr>
            <w:tcW w:w="9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estimated future cash expenditures (dollars in millions)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22.2</w:t>
            </w:r>
          </w:p>
        </w:tc>
        <w:tc>
          <w:tcPr>
            <w:tcW w:w="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to</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29.0</w:t>
            </w:r>
          </w:p>
        </w:tc>
      </w:tr>
      <w:tr>
        <w:trPr>
          <w:trHeight w:val="20"/>
        </w:trPr>
        <w:tc>
          <w:tcPr>
            <w:tcW w:w="9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Total future undiscounted cash expenditures for the Closure Initiatives, primarily related to lease liabilities, are expected to occur over the remaining lease terms with the final term ending in January 2029.</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Accrued Facility Closure and Other Costs Rollforward </w:t>
      </w:r>
      <w:r>
        <w:rPr>
          <w:rFonts w:ascii="Arial" w:cs="Arial" w:eastAsia="Arial" w:hAnsi="Arial"/>
          <w:sz w:val="20"/>
          <w:szCs w:val="20"/>
          <w:color w:val="auto"/>
        </w:rPr>
        <w:t>- The following table summarizes the Company’s accrual activity related to facility</w:t>
      </w:r>
      <w:r>
        <w:rPr>
          <w:rFonts w:ascii="Arial" w:cs="Arial" w:eastAsia="Arial" w:hAnsi="Arial"/>
          <w:sz w:val="20"/>
          <w:szCs w:val="20"/>
          <w:i w:val="1"/>
          <w:iCs w:val="1"/>
          <w:color w:val="auto"/>
        </w:rPr>
        <w:t xml:space="preserve"> </w:t>
      </w:r>
      <w:r>
        <w:rPr>
          <w:rFonts w:ascii="Arial" w:cs="Arial" w:eastAsia="Arial" w:hAnsi="Arial"/>
          <w:sz w:val="20"/>
          <w:szCs w:val="20"/>
          <w:color w:val="auto"/>
        </w:rPr>
        <w:t>closure and other costs, primarily associated with the Closure Initiatives, during the thirteen weeks ended April 1, 2018:</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center"/>
              <w:ind w:right="122"/>
              <w:spacing w:after="0"/>
              <w:rPr>
                <w:sz w:val="20"/>
                <w:szCs w:val="20"/>
                <w:color w:val="auto"/>
              </w:rPr>
            </w:pPr>
            <w:r>
              <w:rPr>
                <w:rFonts w:ascii="Arial" w:cs="Arial" w:eastAsia="Arial" w:hAnsi="Arial"/>
                <w:sz w:val="14"/>
                <w:szCs w:val="14"/>
                <w:b w:val="1"/>
                <w:bCs w:val="1"/>
                <w:color w:val="auto"/>
              </w:rPr>
              <w:t>THIRTEEN WEEKS</w:t>
            </w:r>
          </w:p>
        </w:tc>
        <w:tc>
          <w:tcPr>
            <w:tcW w:w="0" w:type="dxa"/>
            <w:vAlign w:val="bottom"/>
          </w:tcPr>
          <w:p>
            <w:pPr>
              <w:spacing w:after="0"/>
              <w:rPr>
                <w:sz w:val="1"/>
                <w:szCs w:val="1"/>
                <w:color w:val="auto"/>
              </w:rPr>
            </w:pPr>
          </w:p>
        </w:tc>
      </w:tr>
      <w:tr>
        <w:trPr>
          <w:trHeight w:val="186"/>
        </w:trPr>
        <w:tc>
          <w:tcPr>
            <w:tcW w:w="9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center"/>
              <w:ind w:right="102"/>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222"/>
        </w:trPr>
        <w:tc>
          <w:tcPr>
            <w:tcW w:w="9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7"/>
              </w:rPr>
              <w:t>APRIL 1, 2018</w:t>
            </w:r>
          </w:p>
        </w:tc>
        <w:tc>
          <w:tcPr>
            <w:tcW w:w="0" w:type="dxa"/>
            <w:vAlign w:val="bottom"/>
          </w:tcPr>
          <w:p>
            <w:pPr>
              <w:spacing w:after="0"/>
              <w:rPr>
                <w:sz w:val="1"/>
                <w:szCs w:val="1"/>
                <w:color w:val="auto"/>
              </w:rPr>
            </w:pPr>
          </w:p>
        </w:tc>
      </w:tr>
      <w:tr>
        <w:trPr>
          <w:trHeight w:val="23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beginning of the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22,709</w:t>
            </w:r>
          </w:p>
        </w:tc>
        <w:tc>
          <w:tcPr>
            <w:tcW w:w="0" w:type="dxa"/>
            <w:vAlign w:val="bottom"/>
          </w:tcPr>
          <w:p>
            <w:pPr>
              <w:spacing w:after="0"/>
              <w:rPr>
                <w:sz w:val="1"/>
                <w:szCs w:val="1"/>
                <w:color w:val="auto"/>
              </w:rPr>
            </w:pPr>
          </w:p>
        </w:tc>
      </w:tr>
      <w:tr>
        <w:trPr>
          <w:trHeight w:val="224"/>
        </w:trPr>
        <w:tc>
          <w:tcPr>
            <w:tcW w:w="9600" w:type="dxa"/>
            <w:vAlign w:val="bottom"/>
          </w:tcPr>
          <w:p>
            <w:pPr>
              <w:ind w:left="180"/>
              <w:spacing w:after="0"/>
              <w:rPr>
                <w:sz w:val="20"/>
                <w:szCs w:val="20"/>
                <w:color w:val="auto"/>
              </w:rPr>
            </w:pPr>
            <w:r>
              <w:rPr>
                <w:rFonts w:ascii="Arial" w:cs="Arial" w:eastAsia="Arial" w:hAnsi="Arial"/>
                <w:sz w:val="16"/>
                <w:szCs w:val="16"/>
                <w:color w:val="auto"/>
              </w:rPr>
              <w:t>Charges</w:t>
            </w:r>
          </w:p>
        </w:tc>
        <w:tc>
          <w:tcPr>
            <w:tcW w:w="180" w:type="dxa"/>
            <w:vAlign w:val="bottom"/>
          </w:tcPr>
          <w:p>
            <w:pPr>
              <w:spacing w:after="0"/>
              <w:rPr>
                <w:sz w:val="19"/>
                <w:szCs w:val="19"/>
                <w:color w:val="auto"/>
              </w:rPr>
            </w:pPr>
          </w:p>
        </w:tc>
        <w:tc>
          <w:tcPr>
            <w:tcW w:w="1640" w:type="dxa"/>
            <w:vAlign w:val="bottom"/>
          </w:tcPr>
          <w:p>
            <w:pPr>
              <w:jc w:val="right"/>
              <w:ind w:right="22"/>
              <w:spacing w:after="0"/>
              <w:rPr>
                <w:sz w:val="20"/>
                <w:szCs w:val="20"/>
                <w:color w:val="auto"/>
              </w:rPr>
            </w:pPr>
            <w:r>
              <w:rPr>
                <w:rFonts w:ascii="Arial" w:cs="Arial" w:eastAsia="Arial" w:hAnsi="Arial"/>
                <w:sz w:val="16"/>
                <w:szCs w:val="16"/>
                <w:color w:val="auto"/>
              </w:rPr>
              <w:t>1,436</w:t>
            </w:r>
          </w:p>
        </w:tc>
        <w:tc>
          <w:tcPr>
            <w:tcW w:w="0" w:type="dxa"/>
            <w:vAlign w:val="bottom"/>
          </w:tcPr>
          <w:p>
            <w:pPr>
              <w:spacing w:after="0"/>
              <w:rPr>
                <w:sz w:val="1"/>
                <w:szCs w:val="1"/>
                <w:color w:val="auto"/>
              </w:rPr>
            </w:pPr>
          </w:p>
        </w:tc>
      </w:tr>
      <w:tr>
        <w:trPr>
          <w:trHeight w:val="33"/>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payments</w:t>
            </w: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(1,657)</w:t>
            </w:r>
          </w:p>
        </w:tc>
        <w:tc>
          <w:tcPr>
            <w:tcW w:w="0" w:type="dxa"/>
            <w:vAlign w:val="bottom"/>
          </w:tcPr>
          <w:p>
            <w:pPr>
              <w:spacing w:after="0"/>
              <w:rPr>
                <w:sz w:val="1"/>
                <w:szCs w:val="1"/>
                <w:color w:val="auto"/>
              </w:rPr>
            </w:pPr>
          </w:p>
        </w:tc>
      </w:tr>
      <w:tr>
        <w:trPr>
          <w:trHeight w:val="270"/>
        </w:trPr>
        <w:tc>
          <w:tcPr>
            <w:tcW w:w="96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Adjustments</w:t>
            </w:r>
          </w:p>
        </w:tc>
        <w:tc>
          <w:tcPr>
            <w:tcW w:w="18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w:t>
            </w:r>
          </w:p>
        </w:tc>
        <w:tc>
          <w:tcPr>
            <w:tcW w:w="0" w:type="dxa"/>
            <w:vAlign w:val="bottom"/>
          </w:tcPr>
          <w:p>
            <w:pPr>
              <w:spacing w:after="0"/>
              <w:rPr>
                <w:sz w:val="1"/>
                <w:szCs w:val="1"/>
                <w:color w:val="auto"/>
              </w:rPr>
            </w:pPr>
          </w:p>
        </w:tc>
      </w:tr>
      <w:tr>
        <w:trPr>
          <w:trHeight w:val="244"/>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end of the period (1)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21,520</w:t>
            </w:r>
          </w:p>
        </w:tc>
        <w:tc>
          <w:tcPr>
            <w:tcW w:w="0" w:type="dxa"/>
            <w:vAlign w:val="bottom"/>
          </w:tcPr>
          <w:p>
            <w:pPr>
              <w:spacing w:after="0"/>
              <w:rPr>
                <w:sz w:val="1"/>
                <w:szCs w:val="1"/>
                <w:color w:val="auto"/>
              </w:rPr>
            </w:pPr>
          </w:p>
        </w:tc>
      </w:tr>
      <w:tr>
        <w:trPr>
          <w:trHeight w:val="20"/>
        </w:trPr>
        <w:tc>
          <w:tcPr>
            <w:tcW w:w="960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960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660" w:hanging="652"/>
        <w:spacing w:after="0" w:line="257"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 of April 1, 2018, the Company had exit-related accruals of $6.1 million recorded in Accrued and other current liabilities and $15.4 million recorded in Other long-term liabilities, net in the Consolidated Balance Sheet.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4.</w:t>
      </w:r>
      <w:r>
        <w:rPr>
          <w:sz w:val="20"/>
          <w:szCs w:val="20"/>
          <w:color w:val="auto"/>
        </w:rPr>
        <w:tab/>
      </w:r>
      <w:r>
        <w:rPr>
          <w:rFonts w:ascii="Arial" w:cs="Arial" w:eastAsia="Arial" w:hAnsi="Arial"/>
          <w:sz w:val="16"/>
          <w:szCs w:val="16"/>
          <w:color w:val="auto"/>
        </w:rPr>
        <w:t>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computation of basic and diluted earnings per share: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7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341"/>
              <w:spacing w:after="0"/>
              <w:rPr>
                <w:sz w:val="20"/>
                <w:szCs w:val="20"/>
                <w:color w:val="auto"/>
              </w:rPr>
            </w:pPr>
            <w:r>
              <w:rPr>
                <w:rFonts w:ascii="Arial" w:cs="Arial" w:eastAsia="Arial" w:hAnsi="Arial"/>
                <w:sz w:val="14"/>
                <w:szCs w:val="14"/>
                <w:b w:val="1"/>
                <w:bCs w:val="1"/>
                <w:color w:val="auto"/>
              </w:rPr>
              <w:t>THIRTEEN WEEKS ENDED</w:t>
            </w:r>
          </w:p>
        </w:tc>
      </w:tr>
      <w:tr>
        <w:trPr>
          <w:trHeight w:val="258"/>
        </w:trPr>
        <w:tc>
          <w:tcPr>
            <w:tcW w:w="8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1, 2018</w:t>
            </w:r>
          </w:p>
        </w:tc>
        <w:tc>
          <w:tcPr>
            <w:tcW w:w="120" w:type="dxa"/>
            <w:vAlign w:val="bottom"/>
          </w:tcPr>
          <w:p>
            <w:pPr>
              <w:spacing w:after="0"/>
              <w:rPr>
                <w:sz w:val="22"/>
                <w:szCs w:val="22"/>
                <w:color w:val="auto"/>
              </w:rPr>
            </w:pPr>
          </w:p>
        </w:tc>
        <w:tc>
          <w:tcPr>
            <w:tcW w:w="1240" w:type="dxa"/>
            <w:vAlign w:val="bottom"/>
          </w:tcPr>
          <w:p>
            <w:pPr>
              <w:jc w:val="right"/>
              <w:ind w:right="41"/>
              <w:spacing w:after="0"/>
              <w:rPr>
                <w:sz w:val="20"/>
                <w:szCs w:val="20"/>
                <w:color w:val="auto"/>
              </w:rPr>
            </w:pPr>
            <w:r>
              <w:rPr>
                <w:rFonts w:ascii="Arial" w:cs="Arial" w:eastAsia="Arial" w:hAnsi="Arial"/>
                <w:sz w:val="14"/>
                <w:szCs w:val="14"/>
                <w:b w:val="1"/>
                <w:bCs w:val="1"/>
                <w:color w:val="auto"/>
                <w:w w:val="99"/>
              </w:rPr>
              <w:t>MARCH 26, 2017</w:t>
            </w:r>
          </w:p>
        </w:tc>
      </w:tr>
      <w:tr>
        <w:trPr>
          <w:trHeight w:val="289"/>
        </w:trPr>
        <w:tc>
          <w:tcPr>
            <w:tcW w:w="8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(Restated) (1)</w:t>
            </w: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Bloomin’ Brands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65,398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48,625</w:t>
            </w:r>
          </w:p>
        </w:tc>
      </w:tr>
      <w:tr>
        <w:trPr>
          <w:trHeight w:val="20"/>
        </w:trPr>
        <w:tc>
          <w:tcPr>
            <w:tcW w:w="8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71"/>
        </w:trPr>
        <w:tc>
          <w:tcPr>
            <w:tcW w:w="8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weighted average common shares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92,268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103,074</w:t>
            </w:r>
          </w:p>
        </w:tc>
      </w:tr>
      <w:tr>
        <w:trPr>
          <w:trHeight w:val="284"/>
        </w:trPr>
        <w:tc>
          <w:tcPr>
            <w:tcW w:w="8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diluted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Stock options</w:t>
            </w:r>
          </w:p>
        </w:tc>
        <w:tc>
          <w:tcPr>
            <w:tcW w:w="1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2,950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2,933</w:t>
            </w: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Nonvested restricted stock and restricted stock units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354</w:t>
            </w:r>
          </w:p>
        </w:tc>
      </w:tr>
      <w:tr>
        <w:trPr>
          <w:trHeight w:val="270"/>
        </w:trPr>
        <w:tc>
          <w:tcPr>
            <w:tcW w:w="8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Nonvested performance-based share units</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52</w:t>
            </w: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weighted average common shares outstanding</w:t>
            </w: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95,782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106,413</w:t>
            </w:r>
          </w:p>
        </w:tc>
      </w:tr>
      <w:tr>
        <w:trPr>
          <w:trHeight w:val="20"/>
        </w:trPr>
        <w:tc>
          <w:tcPr>
            <w:tcW w:w="8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71"/>
        </w:trPr>
        <w:tc>
          <w:tcPr>
            <w:tcW w:w="8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0.47</w:t>
            </w:r>
          </w:p>
        </w:tc>
      </w:tr>
      <w:tr>
        <w:trPr>
          <w:trHeight w:val="237"/>
        </w:trPr>
        <w:tc>
          <w:tcPr>
            <w:tcW w:w="870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0.68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0.46</w:t>
            </w:r>
          </w:p>
        </w:tc>
      </w:tr>
      <w:tr>
        <w:trPr>
          <w:trHeight w:val="226"/>
        </w:trPr>
        <w:tc>
          <w:tcPr>
            <w:tcW w:w="8700" w:type="dxa"/>
            <w:vAlign w:val="bottom"/>
          </w:tcPr>
          <w:p>
            <w:pPr>
              <w:spacing w:after="0"/>
              <w:rPr>
                <w:sz w:val="20"/>
                <w:szCs w:val="20"/>
                <w:color w:val="auto"/>
              </w:rPr>
            </w:pPr>
            <w:r>
              <w:rPr>
                <w:rFonts w:ascii="Arial" w:cs="Arial" w:eastAsia="Arial" w:hAnsi="Arial"/>
                <w:sz w:val="16"/>
                <w:szCs w:val="16"/>
                <w:color w:val="auto"/>
              </w:rPr>
              <w:t>____________________</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See Note 1 - </w:t>
      </w:r>
      <w:r>
        <w:rPr>
          <w:rFonts w:ascii="Arial" w:cs="Arial" w:eastAsia="Arial" w:hAnsi="Arial"/>
          <w:sz w:val="16"/>
          <w:szCs w:val="16"/>
          <w:i w:val="1"/>
          <w:iCs w:val="1"/>
          <w:color w:val="auto"/>
        </w:rPr>
        <w:t>Description of the Business and Basis of Presentation</w:t>
      </w:r>
      <w:r>
        <w:rPr>
          <w:rFonts w:ascii="Arial" w:cs="Arial" w:eastAsia="Arial" w:hAnsi="Arial"/>
          <w:sz w:val="16"/>
          <w:szCs w:val="16"/>
          <w:color w:val="auto"/>
        </w:rPr>
        <w:t xml:space="preserve"> for details of the impact of implementing ASU No. 2014-09.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Dilutive securities outstanding not included in the computation of earnings per share because their effect was antidilutive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700" w:type="dxa"/>
            <w:vAlign w:val="bottom"/>
          </w:tcPr>
          <w:p>
            <w:pPr>
              <w:spacing w:after="0"/>
              <w:rPr>
                <w:sz w:val="17"/>
                <w:szCs w:val="17"/>
                <w:color w:val="auto"/>
              </w:rPr>
            </w:pPr>
          </w:p>
        </w:tc>
        <w:tc>
          <w:tcPr>
            <w:tcW w:w="2720" w:type="dxa"/>
            <w:vAlign w:val="bottom"/>
            <w:tcBorders>
              <w:bottom w:val="single" w:sz="8" w:color="auto"/>
            </w:tcBorders>
            <w:gridSpan w:val="3"/>
          </w:tcPr>
          <w:p>
            <w:pPr>
              <w:jc w:val="right"/>
              <w:ind w:right="341"/>
              <w:spacing w:after="0"/>
              <w:rPr>
                <w:sz w:val="20"/>
                <w:szCs w:val="20"/>
                <w:color w:val="auto"/>
              </w:rPr>
            </w:pPr>
            <w:r>
              <w:rPr>
                <w:rFonts w:ascii="Arial" w:cs="Arial" w:eastAsia="Arial" w:hAnsi="Arial"/>
                <w:sz w:val="14"/>
                <w:szCs w:val="14"/>
                <w:b w:val="1"/>
                <w:bCs w:val="1"/>
                <w:color w:val="auto"/>
              </w:rPr>
              <w:t>THIRTEEN WEEKS ENDED</w:t>
            </w:r>
          </w:p>
        </w:tc>
      </w:tr>
      <w:tr>
        <w:trPr>
          <w:trHeight w:val="264"/>
        </w:trPr>
        <w:tc>
          <w:tcPr>
            <w:tcW w:w="8700" w:type="dxa"/>
            <w:vAlign w:val="bottom"/>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1, 2018</w:t>
            </w:r>
          </w:p>
        </w:tc>
        <w:tc>
          <w:tcPr>
            <w:tcW w:w="1360" w:type="dxa"/>
            <w:vAlign w:val="bottom"/>
          </w:tcPr>
          <w:p>
            <w:pPr>
              <w:jc w:val="right"/>
              <w:ind w:right="41"/>
              <w:spacing w:after="0"/>
              <w:rPr>
                <w:sz w:val="20"/>
                <w:szCs w:val="20"/>
                <w:color w:val="auto"/>
              </w:rPr>
            </w:pPr>
            <w:r>
              <w:rPr>
                <w:rFonts w:ascii="Arial" w:cs="Arial" w:eastAsia="Arial" w:hAnsi="Arial"/>
                <w:sz w:val="14"/>
                <w:szCs w:val="14"/>
                <w:b w:val="1"/>
                <w:bCs w:val="1"/>
                <w:color w:val="auto"/>
              </w:rPr>
              <w:t>MARCH 26, 2017</w:t>
            </w:r>
          </w:p>
        </w:tc>
      </w:tr>
      <w:tr>
        <w:trPr>
          <w:trHeight w:val="237"/>
        </w:trPr>
        <w:tc>
          <w:tcPr>
            <w:tcW w:w="8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Stock options</w:t>
            </w:r>
          </w:p>
        </w:tc>
        <w:tc>
          <w:tcPr>
            <w:tcW w:w="126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1,950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5,566</w:t>
            </w:r>
          </w:p>
        </w:tc>
      </w:tr>
      <w:tr>
        <w:trPr>
          <w:trHeight w:val="237"/>
        </w:trPr>
        <w:tc>
          <w:tcPr>
            <w:tcW w:w="8700" w:type="dxa"/>
            <w:vAlign w:val="bottom"/>
          </w:tcPr>
          <w:p>
            <w:pPr>
              <w:ind w:left="40"/>
              <w:spacing w:after="0"/>
              <w:rPr>
                <w:sz w:val="20"/>
                <w:szCs w:val="20"/>
                <w:color w:val="auto"/>
              </w:rPr>
            </w:pPr>
            <w:r>
              <w:rPr>
                <w:rFonts w:ascii="Arial" w:cs="Arial" w:eastAsia="Arial" w:hAnsi="Arial"/>
                <w:sz w:val="16"/>
                <w:szCs w:val="16"/>
                <w:color w:val="auto"/>
              </w:rPr>
              <w:t>Nonvested restricted stock and restricted stock units</w:t>
            </w: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191</w:t>
            </w:r>
          </w:p>
        </w:tc>
      </w:tr>
      <w:tr>
        <w:trPr>
          <w:trHeight w:val="33"/>
        </w:trPr>
        <w:tc>
          <w:tcPr>
            <w:tcW w:w="8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0"/>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Nonvested performance-based share units</w:t>
            </w: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371</w:t>
            </w:r>
          </w:p>
        </w:tc>
      </w:tr>
      <w:tr>
        <w:trPr>
          <w:trHeight w:val="41"/>
        </w:trPr>
        <w:tc>
          <w:tcPr>
            <w:tcW w:w="87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r>
    </w:tbl>
    <w:p>
      <w:pPr>
        <w:spacing w:after="0" w:line="213"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5.</w:t>
      </w:r>
      <w:r>
        <w:rPr>
          <w:sz w:val="20"/>
          <w:szCs w:val="20"/>
          <w:color w:val="auto"/>
        </w:rPr>
        <w:tab/>
      </w:r>
      <w:r>
        <w:rPr>
          <w:rFonts w:ascii="Arial" w:cs="Arial" w:eastAsia="Arial" w:hAnsi="Arial"/>
          <w:sz w:val="16"/>
          <w:szCs w:val="16"/>
          <w:color w:val="auto"/>
        </w:rPr>
        <w:t>Stock-based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Company recognized stock-based compensation expense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7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341"/>
              <w:spacing w:after="0"/>
              <w:rPr>
                <w:sz w:val="20"/>
                <w:szCs w:val="20"/>
                <w:color w:val="auto"/>
              </w:rPr>
            </w:pPr>
            <w:r>
              <w:rPr>
                <w:rFonts w:ascii="Arial" w:cs="Arial" w:eastAsia="Arial" w:hAnsi="Arial"/>
                <w:sz w:val="14"/>
                <w:szCs w:val="14"/>
                <w:b w:val="1"/>
                <w:bCs w:val="1"/>
                <w:color w:val="auto"/>
              </w:rPr>
              <w:t>THIRTEEN WEEKS ENDED</w:t>
            </w:r>
          </w:p>
        </w:tc>
      </w:tr>
      <w:tr>
        <w:trPr>
          <w:trHeight w:val="264"/>
        </w:trPr>
        <w:tc>
          <w:tcPr>
            <w:tcW w:w="8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1, 2018</w:t>
            </w:r>
          </w:p>
        </w:tc>
        <w:tc>
          <w:tcPr>
            <w:tcW w:w="120" w:type="dxa"/>
            <w:vAlign w:val="bottom"/>
          </w:tcPr>
          <w:p>
            <w:pPr>
              <w:spacing w:after="0"/>
              <w:rPr>
                <w:sz w:val="22"/>
                <w:szCs w:val="22"/>
                <w:color w:val="auto"/>
              </w:rPr>
            </w:pPr>
          </w:p>
        </w:tc>
        <w:tc>
          <w:tcPr>
            <w:tcW w:w="1240" w:type="dxa"/>
            <w:vAlign w:val="bottom"/>
          </w:tcPr>
          <w:p>
            <w:pPr>
              <w:jc w:val="right"/>
              <w:ind w:right="41"/>
              <w:spacing w:after="0"/>
              <w:rPr>
                <w:sz w:val="20"/>
                <w:szCs w:val="20"/>
                <w:color w:val="auto"/>
              </w:rPr>
            </w:pPr>
            <w:r>
              <w:rPr>
                <w:rFonts w:ascii="Arial" w:cs="Arial" w:eastAsia="Arial" w:hAnsi="Arial"/>
                <w:sz w:val="14"/>
                <w:szCs w:val="14"/>
                <w:b w:val="1"/>
                <w:bCs w:val="1"/>
                <w:color w:val="auto"/>
                <w:w w:val="99"/>
              </w:rPr>
              <w:t>MARCH 26, 2017</w:t>
            </w:r>
          </w:p>
        </w:tc>
      </w:tr>
      <w:tr>
        <w:trPr>
          <w:trHeight w:val="237"/>
        </w:trPr>
        <w:tc>
          <w:tcPr>
            <w:tcW w:w="8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1,897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2,755</w:t>
            </w:r>
          </w:p>
        </w:tc>
      </w:tr>
      <w:tr>
        <w:trPr>
          <w:trHeight w:val="237"/>
        </w:trPr>
        <w:tc>
          <w:tcPr>
            <w:tcW w:w="8700" w:type="dxa"/>
            <w:vAlign w:val="bottom"/>
          </w:tcPr>
          <w:p>
            <w:pPr>
              <w:ind w:left="40"/>
              <w:spacing w:after="0"/>
              <w:rPr>
                <w:sz w:val="20"/>
                <w:szCs w:val="20"/>
                <w:color w:val="auto"/>
              </w:rPr>
            </w:pPr>
            <w:r>
              <w:rPr>
                <w:rFonts w:ascii="Arial" w:cs="Arial" w:eastAsia="Arial" w:hAnsi="Arial"/>
                <w:sz w:val="16"/>
                <w:szCs w:val="16"/>
                <w:color w:val="auto"/>
              </w:rPr>
              <w:t>Restricted stock and restricted stock units</w:t>
            </w:r>
          </w:p>
        </w:tc>
        <w:tc>
          <w:tcPr>
            <w:tcW w:w="14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2,332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2,553</w:t>
            </w: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Performance-based share units</w:t>
            </w: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596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416</w:t>
            </w:r>
          </w:p>
        </w:tc>
      </w:tr>
      <w:tr>
        <w:trPr>
          <w:trHeight w:val="224"/>
        </w:trPr>
        <w:tc>
          <w:tcPr>
            <w:tcW w:w="87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4,825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5,724</w:t>
            </w:r>
          </w:p>
        </w:tc>
      </w:tr>
      <w:tr>
        <w:trPr>
          <w:trHeight w:val="33"/>
        </w:trPr>
        <w:tc>
          <w:tcPr>
            <w:tcW w:w="8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8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thirteen weeks ended April 1, 2018, the Company made grants to its employees of 0.5 million stock options, 0.3 million time-based restricted stock units and 0.2 million performance-based share units.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in the Black-Scholes option pricing model and the weighted-average fair value of option awards granted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6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THIRTEEN WEEKS ENDED</w:t>
            </w:r>
          </w:p>
        </w:tc>
      </w:tr>
      <w:tr>
        <w:trPr>
          <w:trHeight w:val="264"/>
        </w:trPr>
        <w:tc>
          <w:tcPr>
            <w:tcW w:w="20" w:type="dxa"/>
            <w:vAlign w:val="bottom"/>
          </w:tcPr>
          <w:p>
            <w:pPr>
              <w:spacing w:after="0"/>
              <w:rPr>
                <w:sz w:val="22"/>
                <w:szCs w:val="22"/>
                <w:color w:val="auto"/>
              </w:rPr>
            </w:pPr>
          </w:p>
        </w:tc>
        <w:tc>
          <w:tcPr>
            <w:tcW w:w="8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1, 2018</w:t>
            </w:r>
          </w:p>
        </w:tc>
        <w:tc>
          <w:tcPr>
            <w:tcW w:w="120" w:type="dxa"/>
            <w:vAlign w:val="bottom"/>
          </w:tcPr>
          <w:p>
            <w:pPr>
              <w:spacing w:after="0"/>
              <w:rPr>
                <w:sz w:val="22"/>
                <w:szCs w:val="22"/>
                <w:color w:val="auto"/>
              </w:rPr>
            </w:pPr>
          </w:p>
        </w:tc>
        <w:tc>
          <w:tcPr>
            <w:tcW w:w="1280" w:type="dxa"/>
            <w:vAlign w:val="bottom"/>
          </w:tcPr>
          <w:p>
            <w:pPr>
              <w:jc w:val="right"/>
              <w:ind w:right="80"/>
              <w:spacing w:after="0"/>
              <w:rPr>
                <w:sz w:val="20"/>
                <w:szCs w:val="20"/>
                <w:color w:val="auto"/>
              </w:rPr>
            </w:pPr>
            <w:r>
              <w:rPr>
                <w:rFonts w:ascii="Arial" w:cs="Arial" w:eastAsia="Arial" w:hAnsi="Arial"/>
                <w:sz w:val="14"/>
                <w:szCs w:val="14"/>
                <w:b w:val="1"/>
                <w:bCs w:val="1"/>
                <w:color w:val="auto"/>
                <w:w w:val="99"/>
              </w:rPr>
              <w:t>MARCH 26, 2017</w:t>
            </w:r>
          </w:p>
        </w:tc>
      </w:tr>
      <w:tr>
        <w:trPr>
          <w:trHeight w:val="250"/>
        </w:trPr>
        <w:tc>
          <w:tcPr>
            <w:tcW w:w="20" w:type="dxa"/>
            <w:vAlign w:val="bottom"/>
          </w:tcPr>
          <w:p>
            <w:pPr>
              <w:spacing w:after="0"/>
              <w:rPr>
                <w:sz w:val="21"/>
                <w:szCs w:val="21"/>
                <w:color w:val="auto"/>
              </w:rPr>
            </w:pPr>
          </w:p>
        </w:tc>
        <w:tc>
          <w:tcPr>
            <w:tcW w:w="8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Assumptions: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8600" w:type="dxa"/>
            <w:vAlign w:val="bottom"/>
          </w:tcPr>
          <w:p>
            <w:pPr>
              <w:ind w:left="160"/>
              <w:spacing w:after="0"/>
              <w:rPr>
                <w:sz w:val="20"/>
                <w:szCs w:val="20"/>
                <w:color w:val="auto"/>
              </w:rPr>
            </w:pPr>
            <w:r>
              <w:rPr>
                <w:rFonts w:ascii="Arial" w:cs="Arial" w:eastAsia="Arial" w:hAnsi="Arial"/>
                <w:sz w:val="16"/>
                <w:szCs w:val="16"/>
                <w:color w:val="auto"/>
              </w:rPr>
              <w:t>Weighted-average risk-free interest rate (1)</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1.93%</w:t>
            </w:r>
          </w:p>
        </w:tc>
      </w:tr>
      <w:tr>
        <w:trPr>
          <w:trHeight w:val="33"/>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Dividend yield (2)</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w:t>
            </w:r>
          </w:p>
        </w:tc>
      </w:tr>
      <w:tr>
        <w:trPr>
          <w:trHeight w:val="237"/>
        </w:trPr>
        <w:tc>
          <w:tcPr>
            <w:tcW w:w="20" w:type="dxa"/>
            <w:vAlign w:val="bottom"/>
          </w:tcPr>
          <w:p>
            <w:pPr>
              <w:spacing w:after="0"/>
              <w:rPr>
                <w:sz w:val="20"/>
                <w:szCs w:val="20"/>
                <w:color w:val="auto"/>
              </w:rPr>
            </w:pPr>
          </w:p>
        </w:tc>
        <w:tc>
          <w:tcPr>
            <w:tcW w:w="8600" w:type="dxa"/>
            <w:vAlign w:val="bottom"/>
          </w:tcPr>
          <w:p>
            <w:pPr>
              <w:ind w:left="160"/>
              <w:spacing w:after="0"/>
              <w:rPr>
                <w:sz w:val="20"/>
                <w:szCs w:val="20"/>
                <w:color w:val="auto"/>
              </w:rPr>
            </w:pPr>
            <w:r>
              <w:rPr>
                <w:rFonts w:ascii="Arial" w:cs="Arial" w:eastAsia="Arial" w:hAnsi="Arial"/>
                <w:sz w:val="16"/>
                <w:szCs w:val="16"/>
                <w:color w:val="auto"/>
              </w:rPr>
              <w:t>Expected term (3)</w:t>
            </w:r>
          </w:p>
        </w:tc>
        <w:tc>
          <w:tcPr>
            <w:tcW w:w="140" w:type="dxa"/>
            <w:vAlign w:val="bottom"/>
          </w:tcPr>
          <w:p>
            <w:pPr>
              <w:spacing w:after="0"/>
              <w:rPr>
                <w:sz w:val="20"/>
                <w:szCs w:val="20"/>
                <w:color w:val="auto"/>
              </w:rPr>
            </w:pPr>
          </w:p>
        </w:tc>
        <w:tc>
          <w:tcPr>
            <w:tcW w:w="1260" w:type="dxa"/>
            <w:vAlign w:val="bottom"/>
            <w:gridSpan w:val="2"/>
          </w:tcPr>
          <w:p>
            <w:pPr>
              <w:ind w:left="400"/>
              <w:spacing w:after="0"/>
              <w:rPr>
                <w:sz w:val="20"/>
                <w:szCs w:val="20"/>
                <w:color w:val="auto"/>
              </w:rPr>
            </w:pPr>
            <w:r>
              <w:rPr>
                <w:rFonts w:ascii="Arial" w:cs="Arial" w:eastAsia="Arial" w:hAnsi="Arial"/>
                <w:sz w:val="16"/>
                <w:szCs w:val="16"/>
                <w:color w:val="auto"/>
              </w:rPr>
              <w:t>5.8 years</w:t>
            </w:r>
          </w:p>
        </w:tc>
        <w:tc>
          <w:tcPr>
            <w:tcW w:w="120" w:type="dxa"/>
            <w:vAlign w:val="bottom"/>
          </w:tcPr>
          <w:p>
            <w:pPr>
              <w:spacing w:after="0"/>
              <w:rPr>
                <w:sz w:val="20"/>
                <w:szCs w:val="20"/>
                <w:color w:val="auto"/>
              </w:rPr>
            </w:pPr>
          </w:p>
        </w:tc>
        <w:tc>
          <w:tcPr>
            <w:tcW w:w="1280" w:type="dxa"/>
            <w:vAlign w:val="bottom"/>
          </w:tcPr>
          <w:p>
            <w:pPr>
              <w:jc w:val="right"/>
              <w:ind w:right="80"/>
              <w:spacing w:after="0"/>
              <w:rPr>
                <w:sz w:val="20"/>
                <w:szCs w:val="20"/>
                <w:color w:val="auto"/>
              </w:rPr>
            </w:pPr>
            <w:r>
              <w:rPr>
                <w:rFonts w:ascii="Arial" w:cs="Arial" w:eastAsia="Arial" w:hAnsi="Arial"/>
                <w:sz w:val="16"/>
                <w:szCs w:val="16"/>
                <w:color w:val="auto"/>
              </w:rPr>
              <w:t>6.3 years</w:t>
            </w:r>
          </w:p>
        </w:tc>
      </w:tr>
      <w:tr>
        <w:trPr>
          <w:trHeight w:val="33"/>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Weighted-average volatility (4)</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33.74%</w:t>
            </w:r>
          </w:p>
        </w:tc>
      </w:tr>
      <w:tr>
        <w:trPr>
          <w:trHeight w:val="297"/>
        </w:trPr>
        <w:tc>
          <w:tcPr>
            <w:tcW w:w="2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grant date fair value per option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7.23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5.05</w:t>
            </w:r>
          </w:p>
        </w:tc>
      </w:tr>
      <w:tr>
        <w:trPr>
          <w:trHeight w:val="193"/>
        </w:trPr>
        <w:tc>
          <w:tcPr>
            <w:tcW w:w="20" w:type="dxa"/>
            <w:vAlign w:val="bottom"/>
          </w:tcPr>
          <w:p>
            <w:pPr>
              <w:spacing w:after="0"/>
              <w:rPr>
                <w:sz w:val="16"/>
                <w:szCs w:val="16"/>
                <w:color w:val="auto"/>
              </w:rPr>
            </w:pPr>
          </w:p>
        </w:tc>
        <w:tc>
          <w:tcPr>
            <w:tcW w:w="8600" w:type="dxa"/>
            <w:vAlign w:val="bottom"/>
          </w:tcPr>
          <w:p>
            <w:pPr>
              <w:spacing w:after="0"/>
              <w:rPr>
                <w:sz w:val="20"/>
                <w:szCs w:val="20"/>
                <w:color w:val="auto"/>
              </w:rPr>
            </w:pPr>
            <w:r>
              <w:rPr>
                <w:rFonts w:ascii="Arial" w:cs="Arial" w:eastAsia="Arial" w:hAnsi="Arial"/>
                <w:sz w:val="16"/>
                <w:szCs w:val="16"/>
                <w:color w:val="auto"/>
              </w:rPr>
              <w:t>________________</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r>
    </w:tbl>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Risk-free interest rate is the U.S. Treasury yield curve in effect as of the grant date for periods within the expected term of the option.</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Dividend yield is the level of dividends expected to be paid on the Company’s common stock over the expected term of the option.</w:t>
      </w:r>
    </w:p>
    <w:p>
      <w:pPr>
        <w:spacing w:after="0" w:line="5" w:lineRule="exact"/>
        <w:rPr>
          <w:rFonts w:ascii="Arial" w:cs="Arial" w:eastAsia="Arial" w:hAnsi="Arial"/>
          <w:sz w:val="16"/>
          <w:szCs w:val="16"/>
          <w:color w:val="auto"/>
        </w:rPr>
      </w:pPr>
    </w:p>
    <w:p>
      <w:pPr>
        <w:ind w:left="660" w:hanging="652"/>
        <w:spacing w:after="0" w:line="246"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Expected term represents the period of time that the options are expected to be outstanding. The Company estimates the expected term based on historical exercise experience for its stock options.</w:t>
      </w:r>
    </w:p>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the historical volatility of the Company’s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unrecognized stock compensation expense and the remaining weighted-average vesting period as of April 1,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UNRECOGNIZED</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REMAINING WEIGHTED-</w:t>
            </w:r>
          </w:p>
        </w:tc>
        <w:tc>
          <w:tcPr>
            <w:tcW w:w="0" w:type="dxa"/>
            <w:vAlign w:val="bottom"/>
          </w:tcPr>
          <w:p>
            <w:pPr>
              <w:spacing w:after="0"/>
              <w:rPr>
                <w:sz w:val="1"/>
                <w:szCs w:val="1"/>
                <w:color w:val="auto"/>
              </w:rPr>
            </w:pPr>
          </w:p>
        </w:tc>
      </w:tr>
      <w:tr>
        <w:trPr>
          <w:trHeight w:val="149"/>
        </w:trPr>
        <w:tc>
          <w:tcPr>
            <w:tcW w:w="7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AVERAGE VESTING</w:t>
            </w:r>
          </w:p>
        </w:tc>
        <w:tc>
          <w:tcPr>
            <w:tcW w:w="0" w:type="dxa"/>
            <w:vAlign w:val="bottom"/>
          </w:tcPr>
          <w:p>
            <w:pPr>
              <w:spacing w:after="0"/>
              <w:rPr>
                <w:sz w:val="1"/>
                <w:szCs w:val="1"/>
                <w:color w:val="auto"/>
              </w:rPr>
            </w:pPr>
          </w:p>
        </w:tc>
      </w:tr>
      <w:tr>
        <w:trPr>
          <w:trHeight w:val="149"/>
        </w:trPr>
        <w:tc>
          <w:tcPr>
            <w:tcW w:w="7400" w:type="dxa"/>
            <w:vAlign w:val="bottom"/>
          </w:tcPr>
          <w:p>
            <w:pPr>
              <w:spacing w:after="0"/>
              <w:rPr>
                <w:sz w:val="12"/>
                <w:szCs w:val="12"/>
                <w:color w:val="auto"/>
              </w:rPr>
            </w:pPr>
          </w:p>
        </w:tc>
        <w:tc>
          <w:tcPr>
            <w:tcW w:w="20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COMPENSATION EXPENSE</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05"/>
        </w:trPr>
        <w:tc>
          <w:tcPr>
            <w:tcW w:w="7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(dollars in thousands)</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37"/>
        </w:trPr>
        <w:tc>
          <w:tcPr>
            <w:tcW w:w="7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13,290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37"/>
        </w:trPr>
        <w:tc>
          <w:tcPr>
            <w:tcW w:w="7400" w:type="dxa"/>
            <w:vAlign w:val="bottom"/>
          </w:tcPr>
          <w:p>
            <w:pPr>
              <w:ind w:left="40"/>
              <w:spacing w:after="0"/>
              <w:rPr>
                <w:sz w:val="20"/>
                <w:szCs w:val="20"/>
                <w:color w:val="auto"/>
              </w:rPr>
            </w:pPr>
            <w:r>
              <w:rPr>
                <w:rFonts w:ascii="Arial" w:cs="Arial" w:eastAsia="Arial" w:hAnsi="Arial"/>
                <w:sz w:val="16"/>
                <w:szCs w:val="16"/>
                <w:color w:val="auto"/>
              </w:rPr>
              <w:t>Restricted stock and restricted stock units</w:t>
            </w: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43"/>
              <w:spacing w:after="0"/>
              <w:rPr>
                <w:sz w:val="20"/>
                <w:szCs w:val="20"/>
                <w:color w:val="auto"/>
              </w:rPr>
            </w:pPr>
            <w:r>
              <w:rPr>
                <w:rFonts w:ascii="Arial" w:cs="Arial" w:eastAsia="Arial" w:hAnsi="Arial"/>
                <w:sz w:val="16"/>
                <w:szCs w:val="16"/>
                <w:color w:val="auto"/>
              </w:rPr>
              <w:t>20,676</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Performance-based share units</w:t>
            </w:r>
          </w:p>
        </w:tc>
        <w:tc>
          <w:tcPr>
            <w:tcW w:w="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6,253</w:t>
            </w: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7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April 1, 2018, the maximum number of shares of common stock available for issuance pursuant to the Bloomin’ Brands, Inc. 2016 Omnibus Incentive Compensation Plan was 4,330,569.</w:t>
      </w:r>
    </w:p>
    <w:p>
      <w:pPr>
        <w:spacing w:after="0" w:line="190"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6.</w:t>
      </w:r>
      <w:r>
        <w:rPr>
          <w:sz w:val="20"/>
          <w:szCs w:val="20"/>
          <w:color w:val="auto"/>
        </w:rPr>
        <w:tab/>
      </w:r>
      <w:r>
        <w:rPr>
          <w:rFonts w:ascii="Arial" w:cs="Arial" w:eastAsia="Arial" w:hAnsi="Arial"/>
          <w:sz w:val="16"/>
          <w:szCs w:val="16"/>
          <w:color w:val="auto"/>
        </w:rPr>
        <w:t>Other Current Assets, Net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Other current assets, net, consisted of the following: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1, 2018</w:t>
            </w: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89"/>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(Restated) (1)</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46,113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40,688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Accounts receivable - gift cards, net</w:t>
            </w:r>
          </w:p>
        </w:tc>
        <w:tc>
          <w:tcPr>
            <w:tcW w:w="14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8,732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66,361</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 - vendors, net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19,483</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Accounts receivable - franchisees, net</w:t>
            </w:r>
          </w:p>
        </w:tc>
        <w:tc>
          <w:tcPr>
            <w:tcW w:w="14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 - other, net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19,129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22,808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Deferred gift card sales commissions</w:t>
            </w:r>
          </w:p>
        </w:tc>
        <w:tc>
          <w:tcPr>
            <w:tcW w:w="14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10,039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16,231</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 held for sale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6,217</w:t>
            </w:r>
          </w:p>
        </w:tc>
        <w:tc>
          <w:tcPr>
            <w:tcW w:w="0" w:type="dxa"/>
            <w:vAlign w:val="bottom"/>
          </w:tcPr>
          <w:p>
            <w:pPr>
              <w:spacing w:after="0"/>
              <w:rPr>
                <w:sz w:val="1"/>
                <w:szCs w:val="1"/>
                <w:color w:val="auto"/>
              </w:rPr>
            </w:pPr>
          </w:p>
        </w:tc>
      </w:tr>
      <w:tr>
        <w:trPr>
          <w:trHeight w:val="270"/>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current assets, net</w:t>
            </w: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14,655</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5,597</w:t>
            </w: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115,269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179,402</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5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See Note 1 - </w:t>
      </w:r>
      <w:r>
        <w:rPr>
          <w:rFonts w:ascii="Arial" w:cs="Arial" w:eastAsia="Arial" w:hAnsi="Arial"/>
          <w:sz w:val="16"/>
          <w:szCs w:val="16"/>
          <w:i w:val="1"/>
          <w:iCs w:val="1"/>
          <w:color w:val="auto"/>
        </w:rPr>
        <w:t>Description of the Business and Basis of Presentation</w:t>
      </w:r>
      <w:r>
        <w:rPr>
          <w:rFonts w:ascii="Arial" w:cs="Arial" w:eastAsia="Arial" w:hAnsi="Arial"/>
          <w:sz w:val="16"/>
          <w:szCs w:val="16"/>
          <w:color w:val="auto"/>
        </w:rPr>
        <w:t xml:space="preserve"> for details of the impact of implementing ASU No. 2014-09.</w:t>
      </w:r>
    </w:p>
    <w:p>
      <w:pPr>
        <w:spacing w:after="0" w:line="200" w:lineRule="exact"/>
        <w:rPr>
          <w:rFonts w:ascii="Arial" w:cs="Arial" w:eastAsia="Arial" w:hAnsi="Arial"/>
          <w:sz w:val="16"/>
          <w:szCs w:val="16"/>
          <w:color w:val="auto"/>
        </w:rPr>
      </w:pPr>
    </w:p>
    <w:p>
      <w:pPr>
        <w:spacing w:after="0" w:line="259"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bl>
      <w:tblPr>
        <w:tblLayout w:type="fixed"/>
        <w:tblInd w:w="0" w:type="dxa"/>
        <w:tblCellMar>
          <w:top w:w="0" w:type="dxa"/>
          <w:left w:w="0" w:type="dxa"/>
          <w:bottom w:w="0" w:type="dxa"/>
          <w:right w:w="0" w:type="dxa"/>
        </w:tblCellMar>
      </w:tblPr>
      <w:tr>
        <w:trPr>
          <w:trHeight w:val="276"/>
        </w:trPr>
        <w:tc>
          <w:tcPr>
            <w:tcW w:w="42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7560" w:type="dxa"/>
            <w:vAlign w:val="bottom"/>
          </w:tcPr>
          <w:p>
            <w:pPr>
              <w:jc w:val="center"/>
              <w:ind w:left="1721"/>
              <w:spacing w:after="0"/>
              <w:rPr>
                <w:sz w:val="20"/>
                <w:szCs w:val="20"/>
                <w:color w:val="auto"/>
              </w:rPr>
            </w:pPr>
            <w:r>
              <w:rPr>
                <w:rFonts w:ascii="Arial" w:cs="Arial" w:eastAsia="Arial" w:hAnsi="Arial"/>
                <w:sz w:val="20"/>
                <w:szCs w:val="20"/>
                <w:b w:val="1"/>
                <w:bCs w:val="1"/>
                <w:color w:val="auto"/>
                <w:w w:val="99"/>
              </w:rPr>
              <w:t>BLOOMIN’ BRANDS, INC.</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97"/>
        </w:trPr>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560" w:type="dxa"/>
            <w:vAlign w:val="bottom"/>
          </w:tcPr>
          <w:p>
            <w:pPr>
              <w:jc w:val="center"/>
              <w:ind w:left="1721"/>
              <w:spacing w:after="0"/>
              <w:rPr>
                <w:sz w:val="20"/>
                <w:szCs w:val="20"/>
                <w:color w:val="auto"/>
              </w:rPr>
            </w:pPr>
            <w:r>
              <w:rPr>
                <w:rFonts w:ascii="Arial" w:cs="Arial" w:eastAsia="Arial" w:hAnsi="Arial"/>
                <w:sz w:val="20"/>
                <w:szCs w:val="20"/>
                <w:b w:val="1"/>
                <w:bCs w:val="1"/>
                <w:color w:val="auto"/>
                <w:w w:val="99"/>
              </w:rPr>
              <w:t>NOTES TO CONSOLIDATED FINANCIAL STATEMENTS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6"/>
        </w:trPr>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560" w:type="dxa"/>
            <w:vAlign w:val="bottom"/>
          </w:tcPr>
          <w:p>
            <w:pPr>
              <w:jc w:val="center"/>
              <w:ind w:left="1721"/>
              <w:spacing w:after="0"/>
              <w:rPr>
                <w:sz w:val="20"/>
                <w:szCs w:val="20"/>
                <w:color w:val="auto"/>
              </w:rPr>
            </w:pPr>
            <w:r>
              <w:rPr>
                <w:rFonts w:ascii="Arial" w:cs="Arial" w:eastAsia="Arial" w:hAnsi="Arial"/>
                <w:sz w:val="20"/>
                <w:szCs w:val="20"/>
                <w:b w:val="1"/>
                <w:bCs w:val="1"/>
                <w:color w:val="auto"/>
                <w:w w:val="96"/>
              </w:rPr>
              <w:t>(UNAUDITED) - Continued</w:t>
            </w: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473"/>
        </w:trPr>
        <w:tc>
          <w:tcPr>
            <w:tcW w:w="420" w:type="dxa"/>
            <w:vAlign w:val="bottom"/>
          </w:tcPr>
          <w:p>
            <w:pPr>
              <w:spacing w:after="0"/>
              <w:rPr>
                <w:sz w:val="20"/>
                <w:szCs w:val="20"/>
                <w:color w:val="auto"/>
              </w:rPr>
            </w:pPr>
            <w:r>
              <w:rPr>
                <w:rFonts w:ascii="Arial" w:cs="Arial" w:eastAsia="Arial" w:hAnsi="Arial"/>
                <w:sz w:val="20"/>
                <w:szCs w:val="20"/>
                <w:color w:val="auto"/>
              </w:rPr>
              <w:t>7.</w:t>
            </w:r>
          </w:p>
        </w:tc>
        <w:tc>
          <w:tcPr>
            <w:tcW w:w="8160" w:type="dxa"/>
            <w:vAlign w:val="bottom"/>
            <w:gridSpan w:val="2"/>
          </w:tcPr>
          <w:p>
            <w:pPr>
              <w:ind w:left="260"/>
              <w:spacing w:after="0"/>
              <w:rPr>
                <w:sz w:val="20"/>
                <w:szCs w:val="20"/>
                <w:color w:val="auto"/>
              </w:rPr>
            </w:pPr>
            <w:r>
              <w:rPr>
                <w:rFonts w:ascii="Arial" w:cs="Arial" w:eastAsia="Arial" w:hAnsi="Arial"/>
                <w:sz w:val="20"/>
                <w:szCs w:val="20"/>
                <w:color w:val="auto"/>
              </w:rPr>
              <w:t>Accrued and Other Current Liabilities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59"/>
        </w:trPr>
        <w:tc>
          <w:tcPr>
            <w:tcW w:w="8580" w:type="dxa"/>
            <w:vAlign w:val="bottom"/>
            <w:gridSpan w:val="3"/>
          </w:tcPr>
          <w:p>
            <w:pPr>
              <w:spacing w:after="0"/>
              <w:rPr>
                <w:sz w:val="20"/>
                <w:szCs w:val="20"/>
                <w:color w:val="auto"/>
              </w:rPr>
            </w:pPr>
            <w:r>
              <w:rPr>
                <w:rFonts w:ascii="Arial" w:cs="Arial" w:eastAsia="Arial" w:hAnsi="Arial"/>
                <w:sz w:val="20"/>
                <w:szCs w:val="20"/>
                <w:color w:val="auto"/>
              </w:rPr>
              <w:t>Accrued and other current liabilities consisted of the following:</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95"/>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24"/>
                <w:szCs w:val="24"/>
                <w:color w:val="auto"/>
              </w:rPr>
            </w:pPr>
          </w:p>
        </w:tc>
        <w:tc>
          <w:tcPr>
            <w:tcW w:w="2700" w:type="dxa"/>
            <w:vAlign w:val="bottom"/>
            <w:gridSpan w:val="4"/>
          </w:tcPr>
          <w:p>
            <w:pPr>
              <w:jc w:val="right"/>
              <w:spacing w:after="0"/>
              <w:rPr>
                <w:sz w:val="20"/>
                <w:szCs w:val="20"/>
                <w:color w:val="auto"/>
              </w:rPr>
            </w:pPr>
            <w:r>
              <w:rPr>
                <w:rFonts w:ascii="Arial" w:cs="Arial" w:eastAsia="Arial" w:hAnsi="Arial"/>
                <w:sz w:val="14"/>
                <w:szCs w:val="14"/>
                <w:b w:val="1"/>
                <w:bCs w:val="1"/>
                <w:color w:val="auto"/>
                <w:w w:val="99"/>
              </w:rPr>
              <w:t>APRIL 1, 2018DECEMBER 31, 2017</w:t>
            </w:r>
          </w:p>
        </w:tc>
      </w:tr>
      <w:tr>
        <w:trPr>
          <w:trHeight w:val="237"/>
        </w:trPr>
        <w:tc>
          <w:tcPr>
            <w:tcW w:w="858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Accrued payroll and other compensation</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6"/>
                <w:szCs w:val="16"/>
                <w:color w:val="auto"/>
              </w:rPr>
              <w:t>93,629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113,636</w:t>
            </w:r>
          </w:p>
        </w:tc>
      </w:tr>
      <w:tr>
        <w:trPr>
          <w:trHeight w:val="237"/>
        </w:trPr>
        <w:tc>
          <w:tcPr>
            <w:tcW w:w="8580" w:type="dxa"/>
            <w:vAlign w:val="bottom"/>
            <w:gridSpan w:val="3"/>
          </w:tcPr>
          <w:p>
            <w:pPr>
              <w:ind w:left="40"/>
              <w:spacing w:after="0"/>
              <w:rPr>
                <w:sz w:val="20"/>
                <w:szCs w:val="20"/>
                <w:color w:val="auto"/>
              </w:rPr>
            </w:pPr>
            <w:r>
              <w:rPr>
                <w:rFonts w:ascii="Arial" w:cs="Arial" w:eastAsia="Arial" w:hAnsi="Arial"/>
                <w:sz w:val="16"/>
                <w:szCs w:val="16"/>
                <w:color w:val="auto"/>
              </w:rPr>
              <w:t>Accrued insurance</w:t>
            </w:r>
          </w:p>
        </w:tc>
        <w:tc>
          <w:tcPr>
            <w:tcW w:w="140" w:type="dxa"/>
            <w:vAlign w:val="bottom"/>
          </w:tcPr>
          <w:p>
            <w:pPr>
              <w:spacing w:after="0"/>
              <w:rPr>
                <w:sz w:val="20"/>
                <w:szCs w:val="20"/>
                <w:color w:val="auto"/>
              </w:rPr>
            </w:pPr>
          </w:p>
        </w:tc>
        <w:tc>
          <w:tcPr>
            <w:tcW w:w="1140" w:type="dxa"/>
            <w:vAlign w:val="bottom"/>
          </w:tcPr>
          <w:p>
            <w:pPr>
              <w:jc w:val="right"/>
              <w:ind w:right="53"/>
              <w:spacing w:after="0"/>
              <w:rPr>
                <w:sz w:val="20"/>
                <w:szCs w:val="20"/>
                <w:color w:val="auto"/>
              </w:rPr>
            </w:pPr>
            <w:r>
              <w:rPr>
                <w:rFonts w:ascii="Arial" w:cs="Arial" w:eastAsia="Arial" w:hAnsi="Arial"/>
                <w:sz w:val="16"/>
                <w:szCs w:val="16"/>
                <w:color w:val="auto"/>
              </w:rPr>
              <w:t>24,347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23,482</w:t>
            </w:r>
          </w:p>
        </w:tc>
      </w:tr>
      <w:tr>
        <w:trPr>
          <w:trHeight w:val="33"/>
        </w:trPr>
        <w:tc>
          <w:tcPr>
            <w:tcW w:w="1020" w:type="dxa"/>
            <w:vAlign w:val="bottom"/>
            <w:gridSpan w:val="2"/>
          </w:tcPr>
          <w:p>
            <w:pPr>
              <w:spacing w:after="0"/>
              <w:rPr>
                <w:sz w:val="2"/>
                <w:szCs w:val="2"/>
                <w:color w:val="auto"/>
              </w:rPr>
            </w:pPr>
          </w:p>
        </w:tc>
        <w:tc>
          <w:tcPr>
            <w:tcW w:w="7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9"/>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current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6"/>
                <w:szCs w:val="16"/>
                <w:color w:val="auto"/>
              </w:rPr>
              <w:t>115,743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133,722</w:t>
            </w:r>
          </w:p>
        </w:tc>
      </w:tr>
      <w:tr>
        <w:trPr>
          <w:trHeight w:val="224"/>
        </w:trPr>
        <w:tc>
          <w:tcPr>
            <w:tcW w:w="4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756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53"/>
              <w:spacing w:after="0"/>
              <w:rPr>
                <w:sz w:val="20"/>
                <w:szCs w:val="20"/>
                <w:color w:val="auto"/>
              </w:rPr>
            </w:pPr>
            <w:r>
              <w:rPr>
                <w:rFonts w:ascii="Arial" w:cs="Arial" w:eastAsia="Arial" w:hAnsi="Arial"/>
                <w:sz w:val="16"/>
                <w:szCs w:val="16"/>
                <w:color w:val="auto"/>
              </w:rPr>
              <w:t>233,719</w:t>
            </w:r>
          </w:p>
        </w:tc>
        <w:tc>
          <w:tcPr>
            <w:tcW w:w="100" w:type="dxa"/>
            <w:vAlign w:val="bottom"/>
            <w:tcBorders>
              <w:top w:val="single" w:sz="8" w:color="CCEEFF"/>
            </w:tcBorders>
          </w:tcPr>
          <w:p>
            <w:pPr>
              <w:spacing w:after="0"/>
              <w:rPr>
                <w:sz w:val="19"/>
                <w:szCs w:val="19"/>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270,840</w:t>
            </w:r>
          </w:p>
        </w:tc>
      </w:tr>
      <w:tr>
        <w:trPr>
          <w:trHeight w:val="33"/>
        </w:trPr>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tabs>
          <w:tab w:leader="none" w:pos="340" w:val="left"/>
        </w:tabs>
        <w:rPr>
          <w:sz w:val="20"/>
          <w:szCs w:val="20"/>
          <w:color w:val="auto"/>
        </w:rPr>
      </w:pPr>
      <w:r>
        <w:rPr>
          <w:rFonts w:ascii="Arial" w:cs="Arial" w:eastAsia="Arial" w:hAnsi="Arial"/>
          <w:sz w:val="20"/>
          <w:szCs w:val="20"/>
          <w:color w:val="auto"/>
        </w:rPr>
        <w:t>8.</w:t>
      </w:r>
      <w:r>
        <w:rPr>
          <w:sz w:val="20"/>
          <w:szCs w:val="20"/>
          <w:color w:val="auto"/>
        </w:rPr>
        <w:tab/>
      </w:r>
      <w:r>
        <w:rPr>
          <w:rFonts w:ascii="Arial" w:cs="Arial" w:eastAsia="Arial" w:hAnsi="Arial"/>
          <w:sz w:val="18"/>
          <w:szCs w:val="18"/>
          <w:color w:val="auto"/>
        </w:rPr>
        <w:t>Long-term Debt,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outstanding long-term debt: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332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rPr>
              <w:t>APRIL 1, 2018</w:t>
            </w:r>
          </w:p>
        </w:tc>
        <w:tc>
          <w:tcPr>
            <w:tcW w:w="120" w:type="dxa"/>
            <w:vAlign w:val="bottom"/>
          </w:tcPr>
          <w:p>
            <w:pPr>
              <w:spacing w:after="0"/>
              <w:rPr>
                <w:sz w:val="17"/>
                <w:szCs w:val="17"/>
                <w:color w:val="auto"/>
              </w:rPr>
            </w:pPr>
          </w:p>
        </w:tc>
        <w:tc>
          <w:tcPr>
            <w:tcW w:w="332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3"/>
        </w:trPr>
        <w:tc>
          <w:tcPr>
            <w:tcW w:w="17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OUTSTANDING</w:t>
            </w:r>
          </w:p>
        </w:tc>
        <w:tc>
          <w:tcPr>
            <w:tcW w:w="16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INTEREST RATE</w:t>
            </w:r>
          </w:p>
        </w:tc>
        <w:tc>
          <w:tcPr>
            <w:tcW w:w="120" w:type="dxa"/>
            <w:vAlign w:val="bottom"/>
            <w:vMerge w:val="restart"/>
          </w:tcPr>
          <w:p>
            <w:pPr>
              <w:spacing w:after="0"/>
              <w:rPr>
                <w:sz w:val="13"/>
                <w:szCs w:val="13"/>
                <w:color w:val="auto"/>
              </w:rPr>
            </w:pPr>
          </w:p>
        </w:tc>
        <w:tc>
          <w:tcPr>
            <w:tcW w:w="16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OUTSTANDING</w:t>
            </w:r>
          </w:p>
        </w:tc>
        <w:tc>
          <w:tcPr>
            <w:tcW w:w="16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205"/>
        </w:trPr>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7"/>
                <w:szCs w:val="17"/>
                <w:color w:val="auto"/>
              </w:rPr>
            </w:pPr>
          </w:p>
        </w:tc>
        <w:tc>
          <w:tcPr>
            <w:tcW w:w="162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7"/>
                <w:szCs w:val="17"/>
                <w:color w:val="auto"/>
              </w:rPr>
            </w:pPr>
          </w:p>
        </w:tc>
        <w:tc>
          <w:tcPr>
            <w:tcW w:w="16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-8255</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4380" w:space="280"/>
            <w:col w:w="6760"/>
          </w:cols>
          <w:pgMar w:left="240" w:top="114"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Senior Secured Credit Facility:</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660" w:type="dxa"/>
            <w:vAlign w:val="bottom"/>
          </w:tcPr>
          <w:p>
            <w:pPr>
              <w:ind w:left="520"/>
              <w:spacing w:after="0"/>
              <w:rPr>
                <w:sz w:val="20"/>
                <w:szCs w:val="20"/>
                <w:color w:val="auto"/>
              </w:rPr>
            </w:pPr>
            <w:r>
              <w:rPr>
                <w:rFonts w:ascii="Arial" w:cs="Arial" w:eastAsia="Arial" w:hAnsi="Arial"/>
                <w:sz w:val="16"/>
                <w:szCs w:val="16"/>
                <w:color w:val="auto"/>
              </w:rPr>
              <w:t>Term loan A (1)</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493,750</w:t>
            </w:r>
          </w:p>
        </w:tc>
        <w:tc>
          <w:tcPr>
            <w:tcW w:w="1860" w:type="dxa"/>
            <w:vAlign w:val="bottom"/>
          </w:tcPr>
          <w:p>
            <w:pPr>
              <w:jc w:val="right"/>
              <w:ind w:right="59"/>
              <w:spacing w:after="0"/>
              <w:rPr>
                <w:sz w:val="20"/>
                <w:szCs w:val="20"/>
                <w:color w:val="auto"/>
              </w:rPr>
            </w:pPr>
            <w:r>
              <w:rPr>
                <w:rFonts w:ascii="Arial" w:cs="Arial" w:eastAsia="Arial" w:hAnsi="Arial"/>
                <w:sz w:val="16"/>
                <w:szCs w:val="16"/>
                <w:color w:val="auto"/>
              </w:rPr>
              <w:t>3.54%</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500,000</w:t>
            </w:r>
          </w:p>
        </w:tc>
        <w:tc>
          <w:tcPr>
            <w:tcW w:w="1740" w:type="dxa"/>
            <w:vAlign w:val="bottom"/>
          </w:tcPr>
          <w:p>
            <w:pPr>
              <w:jc w:val="right"/>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Revolving credit facility (1)</w:t>
            </w:r>
          </w:p>
        </w:tc>
        <w:tc>
          <w:tcPr>
            <w:tcW w:w="4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631,000</w:t>
            </w:r>
          </w:p>
        </w:tc>
        <w:tc>
          <w:tcPr>
            <w:tcW w:w="1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3.53%</w:t>
            </w:r>
          </w:p>
        </w:tc>
        <w:tc>
          <w:tcPr>
            <w:tcW w:w="4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600,000</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Senior Secured Credit Facility</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1,124,750</w:t>
            </w:r>
          </w:p>
        </w:tc>
        <w:tc>
          <w:tcPr>
            <w:tcW w:w="186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1,100,000</w:t>
            </w:r>
          </w:p>
        </w:tc>
        <w:tc>
          <w:tcPr>
            <w:tcW w:w="17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obligations</w:t>
            </w:r>
          </w:p>
        </w:tc>
        <w:tc>
          <w:tcPr>
            <w:tcW w:w="4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19,575</w:t>
            </w:r>
          </w:p>
        </w:tc>
        <w:tc>
          <w:tcPr>
            <w:tcW w:w="18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7.65% to 7.82%</w:t>
            </w: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19,579</w:t>
            </w:r>
          </w:p>
        </w:tc>
        <w:tc>
          <w:tcPr>
            <w:tcW w:w="1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7.52% to 7.82%</w:t>
            </w:r>
          </w:p>
        </w:tc>
        <w:tc>
          <w:tcPr>
            <w:tcW w:w="0" w:type="dxa"/>
            <w:vAlign w:val="bottom"/>
          </w:tcPr>
          <w:p>
            <w:pPr>
              <w:spacing w:after="0"/>
              <w:rPr>
                <w:sz w:val="1"/>
                <w:szCs w:val="1"/>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6"/>
                <w:szCs w:val="16"/>
                <w:color w:val="auto"/>
              </w:rPr>
              <w:t>Capital lease obligations</w:t>
            </w:r>
          </w:p>
        </w:tc>
        <w:tc>
          <w:tcPr>
            <w:tcW w:w="4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1,892</w:t>
            </w:r>
          </w:p>
        </w:tc>
        <w:tc>
          <w:tcPr>
            <w:tcW w:w="1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2,015</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notes payable</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w:t>
            </w:r>
          </w:p>
        </w:tc>
        <w:tc>
          <w:tcPr>
            <w:tcW w:w="18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1.03% to 2.18%</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904</w:t>
            </w:r>
          </w:p>
        </w:tc>
        <w:tc>
          <w:tcPr>
            <w:tcW w:w="1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0.00% to 2.18%</w:t>
            </w: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unamortized debt discount and issuance costs</w:t>
            </w:r>
          </w:p>
        </w:tc>
        <w:tc>
          <w:tcPr>
            <w:tcW w:w="4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(4,168)</w:t>
            </w:r>
          </w:p>
        </w:tc>
        <w:tc>
          <w:tcPr>
            <w:tcW w:w="186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(4,394)</w:t>
            </w:r>
          </w:p>
        </w:tc>
        <w:tc>
          <w:tcPr>
            <w:tcW w:w="17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debt, net</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1,142,190</w:t>
            </w:r>
          </w:p>
        </w:tc>
        <w:tc>
          <w:tcPr>
            <w:tcW w:w="18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1,118,104</w:t>
            </w:r>
          </w:p>
        </w:tc>
        <w:tc>
          <w:tcPr>
            <w:tcW w:w="1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current portion of long-term debt</w:t>
            </w:r>
          </w:p>
        </w:tc>
        <w:tc>
          <w:tcPr>
            <w:tcW w:w="4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(25,620)</w:t>
            </w:r>
          </w:p>
        </w:tc>
        <w:tc>
          <w:tcPr>
            <w:tcW w:w="186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(26,335)</w:t>
            </w:r>
          </w:p>
        </w:tc>
        <w:tc>
          <w:tcPr>
            <w:tcW w:w="17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net</w:t>
            </w: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1,116,570</w:t>
            </w:r>
          </w:p>
        </w:tc>
        <w:tc>
          <w:tcPr>
            <w:tcW w:w="18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1,091,769</w:t>
            </w: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66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the weighted-average interest rate for the respective period.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Debt Covenants - </w:t>
      </w:r>
      <w:r>
        <w:rPr>
          <w:rFonts w:ascii="Arial" w:cs="Arial" w:eastAsia="Arial" w:hAnsi="Arial"/>
          <w:sz w:val="20"/>
          <w:szCs w:val="20"/>
          <w:color w:val="auto"/>
        </w:rPr>
        <w:t>As of April 1, 2018 and December 31, 2017, the Company was in compliance with its debt covenants.</w:t>
      </w:r>
    </w:p>
    <w:p>
      <w:pPr>
        <w:spacing w:after="0" w:line="229"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Stockholders’ Equity</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Share Repurchases </w:t>
      </w:r>
      <w:r>
        <w:rPr>
          <w:rFonts w:ascii="Arial" w:cs="Arial" w:eastAsia="Arial" w:hAnsi="Arial"/>
          <w:sz w:val="20"/>
          <w:szCs w:val="20"/>
          <w:color w:val="auto"/>
        </w:rPr>
        <w:t>- On February 16, 2018, the Company’s Board of Directors (the “Board”) canceled the remaining $55.0 million of</w:t>
      </w:r>
      <w:r>
        <w:rPr>
          <w:rFonts w:ascii="Arial" w:cs="Arial" w:eastAsia="Arial" w:hAnsi="Arial"/>
          <w:sz w:val="20"/>
          <w:szCs w:val="20"/>
          <w:i w:val="1"/>
          <w:iCs w:val="1"/>
          <w:color w:val="auto"/>
        </w:rPr>
        <w:t xml:space="preserve"> </w:t>
      </w:r>
      <w:r>
        <w:rPr>
          <w:rFonts w:ascii="Arial" w:cs="Arial" w:eastAsia="Arial" w:hAnsi="Arial"/>
          <w:sz w:val="20"/>
          <w:szCs w:val="20"/>
          <w:color w:val="auto"/>
        </w:rPr>
        <w:t>authorization under the 2017 Share Repurchase Program and approved a new $150.0 million authorization (the “2018 Share Repurchase Program”). The 2018 Share Repurchase Program will expire on August 16, 2019.</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shares repurchased under the Company’s share repurchase program during fiscal year 2018:</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NUMBER OF SHARES</w:t>
            </w:r>
          </w:p>
        </w:tc>
        <w:tc>
          <w:tcPr>
            <w:tcW w:w="24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1460" w:type="dxa"/>
            <w:vAlign w:val="bottom"/>
            <w:vMerge w:val="restart"/>
          </w:tcPr>
          <w:p>
            <w:pPr>
              <w:jc w:val="center"/>
              <w:ind w:right="45"/>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REPURCHASE PRICE</w:t>
            </w:r>
          </w:p>
        </w:tc>
        <w:tc>
          <w:tcPr>
            <w:tcW w:w="1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7"/>
                <w:szCs w:val="17"/>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PER SHARE</w:t>
            </w:r>
          </w:p>
        </w:tc>
        <w:tc>
          <w:tcPr>
            <w:tcW w:w="120" w:type="dxa"/>
            <w:vAlign w:val="bottom"/>
          </w:tcPr>
          <w:p>
            <w:pPr>
              <w:spacing w:after="0"/>
              <w:rPr>
                <w:sz w:val="17"/>
                <w:szCs w:val="17"/>
                <w:color w:val="auto"/>
              </w:rPr>
            </w:pPr>
          </w:p>
        </w:tc>
        <w:tc>
          <w:tcPr>
            <w:tcW w:w="1460" w:type="dxa"/>
            <w:vAlign w:val="bottom"/>
          </w:tcPr>
          <w:p>
            <w:pPr>
              <w:jc w:val="center"/>
              <w:ind w:right="45"/>
              <w:spacing w:after="0"/>
              <w:rPr>
                <w:sz w:val="20"/>
                <w:szCs w:val="20"/>
                <w:color w:val="auto"/>
              </w:rPr>
            </w:pPr>
            <w:r>
              <w:rPr>
                <w:rFonts w:ascii="Arial" w:cs="Arial" w:eastAsia="Arial" w:hAnsi="Arial"/>
                <w:sz w:val="14"/>
                <w:szCs w:val="14"/>
                <w:b w:val="1"/>
                <w:bCs w:val="1"/>
                <w:color w:val="auto"/>
                <w:w w:val="91"/>
              </w:rPr>
              <w:t>(dollars in thousands)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60" w:type="dxa"/>
            <w:vAlign w:val="bottom"/>
            <w:tcBorders>
              <w:top w:val="single" w:sz="8" w:color="CCEEFF"/>
              <w:bottom w:val="single" w:sz="8" w:color="CCEEFF"/>
            </w:tcBorders>
            <w:shd w:val="clear" w:color="auto" w:fill="CCEEFF"/>
          </w:tcPr>
          <w:p>
            <w:pPr>
              <w:jc w:val="right"/>
              <w:ind w:right="4739"/>
              <w:spacing w:after="0"/>
              <w:rPr>
                <w:sz w:val="20"/>
                <w:szCs w:val="20"/>
                <w:color w:val="auto"/>
              </w:rPr>
            </w:pPr>
            <w:r>
              <w:rPr>
                <w:rFonts w:ascii="Arial" w:cs="Arial" w:eastAsia="Arial" w:hAnsi="Arial"/>
                <w:sz w:val="16"/>
                <w:szCs w:val="16"/>
                <w:color w:val="auto"/>
                <w:w w:val="93"/>
              </w:rPr>
              <w:t>First fiscal quarter (1)</w:t>
            </w:r>
          </w:p>
        </w:tc>
        <w:tc>
          <w:tcPr>
            <w:tcW w:w="1740" w:type="dxa"/>
            <w:vAlign w:val="bottom"/>
            <w:tcBorders>
              <w:top w:val="single" w:sz="8" w:color="auto"/>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2,116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24.10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50,996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60" w:type="dxa"/>
            <w:vAlign w:val="bottom"/>
          </w:tcPr>
          <w:p>
            <w:pPr>
              <w:jc w:val="right"/>
              <w:ind w:right="4899"/>
              <w:spacing w:after="0"/>
              <w:rPr>
                <w:sz w:val="20"/>
                <w:szCs w:val="20"/>
                <w:color w:val="auto"/>
              </w:rPr>
            </w:pPr>
            <w:r>
              <w:rPr>
                <w:rFonts w:ascii="Arial" w:cs="Arial" w:eastAsia="Arial" w:hAnsi="Arial"/>
                <w:sz w:val="16"/>
                <w:szCs w:val="16"/>
                <w:color w:val="auto"/>
                <w:w w:val="88"/>
              </w:rPr>
              <w:t>________________</w:t>
            </w: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Excludes the repurchase of 0.2 million shares for $4.0 million pursuant to trades executed in, but not settled until after, the thirteen weeks ended April 1, 2018.</w:t>
      </w:r>
    </w:p>
    <w:p>
      <w:pPr>
        <w:spacing w:after="0" w:line="200" w:lineRule="exact"/>
        <w:rPr>
          <w:rFonts w:ascii="Arial" w:cs="Arial" w:eastAsia="Arial" w:hAnsi="Arial"/>
          <w:sz w:val="15"/>
          <w:szCs w:val="15"/>
          <w:color w:val="auto"/>
        </w:rPr>
      </w:pPr>
    </w:p>
    <w:p>
      <w:pPr>
        <w:spacing w:after="0" w:line="270" w:lineRule="exact"/>
        <w:rPr>
          <w:rFonts w:ascii="Arial" w:cs="Arial" w:eastAsia="Arial" w:hAnsi="Arial"/>
          <w:sz w:val="15"/>
          <w:szCs w:val="15"/>
          <w:color w:val="auto"/>
        </w:rPr>
      </w:pPr>
    </w:p>
    <w:p>
      <w:pPr>
        <w:ind w:left="5620"/>
        <w:spacing w:after="0"/>
        <w:rPr>
          <w:rFonts w:ascii="Arial" w:cs="Arial" w:eastAsia="Arial" w:hAnsi="Arial"/>
          <w:sz w:val="15"/>
          <w:szCs w:val="15"/>
          <w:color w:val="auto"/>
        </w:rPr>
      </w:pPr>
      <w:r>
        <w:rPr>
          <w:rFonts w:ascii="Arial" w:cs="Arial" w:eastAsia="Arial" w:hAnsi="Arial"/>
          <w:sz w:val="18"/>
          <w:szCs w:val="18"/>
          <w:color w:val="auto"/>
        </w:rPr>
        <w:t>17</w:t>
      </w:r>
    </w:p>
    <w:p>
      <w:pPr>
        <w:sectPr>
          <w:pgSz w:w="11900" w:h="16838" w:orient="portrait"/>
          <w:cols w:equalWidth="0" w:num="1">
            <w:col w:w="11420"/>
          </w:cols>
          <w:pgMar w:left="240" w:top="114" w:right="2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Dividends - </w:t>
      </w:r>
      <w:r>
        <w:rPr>
          <w:rFonts w:ascii="Arial" w:cs="Arial" w:eastAsia="Arial" w:hAnsi="Arial"/>
          <w:sz w:val="20"/>
          <w:szCs w:val="20"/>
          <w:color w:val="auto"/>
        </w:rPr>
        <w:t>The Company declared and paid dividends per share during fiscal year 2018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DIVIDENDS PER</w:t>
            </w:r>
          </w:p>
        </w:tc>
        <w:tc>
          <w:tcPr>
            <w:tcW w:w="160" w:type="dxa"/>
            <w:vAlign w:val="bottom"/>
          </w:tcPr>
          <w:p>
            <w:pPr>
              <w:spacing w:after="0"/>
              <w:rPr>
                <w:sz w:val="14"/>
                <w:szCs w:val="14"/>
                <w:color w:val="auto"/>
              </w:rPr>
            </w:pPr>
          </w:p>
        </w:tc>
        <w:tc>
          <w:tcPr>
            <w:tcW w:w="1640" w:type="dxa"/>
            <w:vAlign w:val="bottom"/>
          </w:tcPr>
          <w:p>
            <w:pPr>
              <w:jc w:val="center"/>
              <w:ind w:right="105"/>
              <w:spacing w:after="0"/>
              <w:rPr>
                <w:sz w:val="20"/>
                <w:szCs w:val="20"/>
                <w:color w:val="auto"/>
              </w:rPr>
            </w:pPr>
            <w:r>
              <w:rPr>
                <w:rFonts w:ascii="Arial" w:cs="Arial" w:eastAsia="Arial" w:hAnsi="Arial"/>
                <w:sz w:val="14"/>
                <w:szCs w:val="14"/>
                <w:b w:val="1"/>
                <w:bCs w:val="1"/>
                <w:color w:val="auto"/>
              </w:rPr>
              <w:t>AMOUNT</w:t>
            </w:r>
          </w:p>
        </w:tc>
      </w:tr>
      <w:tr>
        <w:trPr>
          <w:trHeight w:val="205"/>
        </w:trPr>
        <w:tc>
          <w:tcPr>
            <w:tcW w:w="8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w:t>
            </w:r>
          </w:p>
        </w:tc>
        <w:tc>
          <w:tcPr>
            <w:tcW w:w="160" w:type="dxa"/>
            <w:vAlign w:val="bottom"/>
          </w:tcPr>
          <w:p>
            <w:pPr>
              <w:spacing w:after="0"/>
              <w:rPr>
                <w:sz w:val="17"/>
                <w:szCs w:val="17"/>
                <w:color w:val="auto"/>
              </w:rPr>
            </w:pPr>
          </w:p>
        </w:tc>
        <w:tc>
          <w:tcPr>
            <w:tcW w:w="1640" w:type="dxa"/>
            <w:vAlign w:val="bottom"/>
          </w:tcPr>
          <w:p>
            <w:pPr>
              <w:jc w:val="center"/>
              <w:ind w:right="105"/>
              <w:spacing w:after="0"/>
              <w:rPr>
                <w:sz w:val="20"/>
                <w:szCs w:val="20"/>
                <w:color w:val="auto"/>
              </w:rPr>
            </w:pPr>
            <w:r>
              <w:rPr>
                <w:rFonts w:ascii="Arial" w:cs="Arial" w:eastAsia="Arial" w:hAnsi="Arial"/>
                <w:sz w:val="14"/>
                <w:szCs w:val="14"/>
                <w:b w:val="1"/>
                <w:bCs w:val="1"/>
                <w:color w:val="auto"/>
                <w:w w:val="91"/>
              </w:rPr>
              <w:t>(dollars in thousands)</w:t>
            </w:r>
          </w:p>
        </w:tc>
      </w:tr>
      <w:tr>
        <w:trPr>
          <w:trHeight w:val="224"/>
        </w:trPr>
        <w:tc>
          <w:tcPr>
            <w:tcW w:w="8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First fiscal quarter</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0.09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8,371</w:t>
            </w:r>
          </w:p>
        </w:tc>
      </w:tr>
      <w:tr>
        <w:trPr>
          <w:trHeight w:val="33"/>
        </w:trPr>
        <w:tc>
          <w:tcPr>
            <w:tcW w:w="80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April 2018, the Board declared a quarterly cash dividend of $0.09 per share, payable on May 18, 2018, to shareholders of record at the close of business on May 7, 2018.</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Accumulated Other Comprehensive Loss - </w:t>
      </w:r>
      <w:r>
        <w:rPr>
          <w:rFonts w:ascii="Arial" w:cs="Arial" w:eastAsia="Arial" w:hAnsi="Arial"/>
          <w:sz w:val="20"/>
          <w:szCs w:val="20"/>
          <w:color w:val="auto"/>
        </w:rPr>
        <w:t>Following are the components of Accumulated other comprehensive loss: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7"/>
                <w:szCs w:val="17"/>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1, 2018</w:t>
            </w: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2017</w:t>
            </w:r>
          </w:p>
        </w:tc>
      </w:tr>
      <w:tr>
        <w:trPr>
          <w:trHeight w:val="237"/>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(97,206)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(98,573)</w:t>
            </w:r>
          </w:p>
        </w:tc>
      </w:tr>
      <w:tr>
        <w:trPr>
          <w:trHeight w:val="270"/>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Unrealized gains (losses) on derivatives, net of tax</w:t>
            </w: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570</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w:t>
            </w: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(96,636)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(99,199)</w:t>
            </w: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Following are the components of the Company’s Other comprehensive income during the periods presented: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7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264"/>
        </w:trPr>
        <w:tc>
          <w:tcPr>
            <w:tcW w:w="8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1, 2018</w:t>
            </w:r>
          </w:p>
        </w:tc>
        <w:tc>
          <w:tcPr>
            <w:tcW w:w="120" w:type="dxa"/>
            <w:vAlign w:val="bottom"/>
          </w:tcPr>
          <w:p>
            <w:pPr>
              <w:spacing w:after="0"/>
              <w:rPr>
                <w:sz w:val="22"/>
                <w:szCs w:val="22"/>
                <w:color w:val="auto"/>
              </w:rPr>
            </w:pPr>
          </w:p>
        </w:tc>
        <w:tc>
          <w:tcPr>
            <w:tcW w:w="1240" w:type="dxa"/>
            <w:vAlign w:val="bottom"/>
          </w:tcPr>
          <w:p>
            <w:pPr>
              <w:jc w:val="right"/>
              <w:ind w:right="40"/>
              <w:spacing w:after="0"/>
              <w:rPr>
                <w:sz w:val="20"/>
                <w:szCs w:val="20"/>
                <w:color w:val="auto"/>
              </w:rPr>
            </w:pPr>
            <w:r>
              <w:rPr>
                <w:rFonts w:ascii="Arial" w:cs="Arial" w:eastAsia="Arial" w:hAnsi="Arial"/>
                <w:sz w:val="14"/>
                <w:szCs w:val="14"/>
                <w:b w:val="1"/>
                <w:bCs w:val="1"/>
                <w:color w:val="auto"/>
                <w:w w:val="99"/>
              </w:rPr>
              <w:t>MARCH 26, 2017</w:t>
            </w:r>
          </w:p>
        </w:tc>
        <w:tc>
          <w:tcPr>
            <w:tcW w:w="0" w:type="dxa"/>
            <w:vAlign w:val="bottom"/>
          </w:tcPr>
          <w:p>
            <w:pPr>
              <w:spacing w:after="0"/>
              <w:rPr>
                <w:sz w:val="1"/>
                <w:szCs w:val="1"/>
                <w:color w:val="auto"/>
              </w:rPr>
            </w:pPr>
          </w:p>
        </w:tc>
      </w:tr>
      <w:tr>
        <w:trPr>
          <w:trHeight w:val="237"/>
        </w:trPr>
        <w:tc>
          <w:tcPr>
            <w:tcW w:w="8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translation adjustment, net of tax (1)</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20,577</w:t>
            </w:r>
          </w:p>
        </w:tc>
        <w:tc>
          <w:tcPr>
            <w:tcW w:w="0" w:type="dxa"/>
            <w:vAlign w:val="bottom"/>
          </w:tcPr>
          <w:p>
            <w:pPr>
              <w:spacing w:after="0"/>
              <w:rPr>
                <w:sz w:val="1"/>
                <w:szCs w:val="1"/>
                <w:color w:val="auto"/>
              </w:rPr>
            </w:pPr>
          </w:p>
        </w:tc>
      </w:tr>
      <w:tr>
        <w:trPr>
          <w:trHeight w:val="297"/>
        </w:trPr>
        <w:tc>
          <w:tcPr>
            <w:tcW w:w="8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Unrealized gain on derivatives, net of tax (2)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70"/>
        </w:trPr>
        <w:tc>
          <w:tcPr>
            <w:tcW w:w="8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Reclassification of adjustment for loss on derivatives included in Net income, net of tax (3)</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308</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784</w:t>
            </w:r>
          </w:p>
        </w:tc>
        <w:tc>
          <w:tcPr>
            <w:tcW w:w="0" w:type="dxa"/>
            <w:vAlign w:val="bottom"/>
          </w:tcPr>
          <w:p>
            <w:pPr>
              <w:spacing w:after="0"/>
              <w:rPr>
                <w:sz w:val="1"/>
                <w:szCs w:val="1"/>
                <w:color w:val="auto"/>
              </w:rPr>
            </w:pPr>
          </w:p>
        </w:tc>
      </w:tr>
      <w:tr>
        <w:trPr>
          <w:trHeight w:val="257"/>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unrealized gain on derivatives, net of tax</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1,196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885</w:t>
            </w:r>
          </w:p>
        </w:tc>
        <w:tc>
          <w:tcPr>
            <w:tcW w:w="0" w:type="dxa"/>
            <w:vAlign w:val="bottom"/>
          </w:tcPr>
          <w:p>
            <w:pPr>
              <w:spacing w:after="0"/>
              <w:rPr>
                <w:sz w:val="1"/>
                <w:szCs w:val="1"/>
                <w:color w:val="auto"/>
              </w:rPr>
            </w:pPr>
          </w:p>
        </w:tc>
      </w:tr>
      <w:tr>
        <w:trPr>
          <w:trHeight w:val="250"/>
        </w:trPr>
        <w:tc>
          <w:tcPr>
            <w:tcW w:w="8700" w:type="dxa"/>
            <w:vAlign w:val="bottom"/>
          </w:tcPr>
          <w:p>
            <w:pPr>
              <w:ind w:left="40"/>
              <w:spacing w:after="0"/>
              <w:rPr>
                <w:sz w:val="20"/>
                <w:szCs w:val="20"/>
                <w:color w:val="auto"/>
              </w:rPr>
            </w:pPr>
            <w:r>
              <w:rPr>
                <w:rFonts w:ascii="Arial" w:cs="Arial" w:eastAsia="Arial" w:hAnsi="Arial"/>
                <w:sz w:val="16"/>
                <w:szCs w:val="16"/>
                <w:color w:val="auto"/>
              </w:rPr>
              <w:t>Other comprehensive income attributable to Bloomin’ Brands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2,563</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21,462</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Foreign currency translation adjustment is net of tax of $0.1 million for the thirteen weeks ended April 1, 2018.</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Unrealized gain on derivatives is net of tax of $0.3 million and $0.1 million for the thirteen weeks ended April 1, 2018 and March 26, 2017, respectively.</w:t>
      </w:r>
    </w:p>
    <w:p>
      <w:pPr>
        <w:spacing w:after="0" w:line="5" w:lineRule="exact"/>
        <w:rPr>
          <w:rFonts w:ascii="Arial" w:cs="Arial" w:eastAsia="Arial" w:hAnsi="Arial"/>
          <w:sz w:val="16"/>
          <w:szCs w:val="16"/>
          <w:color w:val="auto"/>
        </w:rPr>
      </w:pPr>
    </w:p>
    <w:p>
      <w:pPr>
        <w:ind w:left="660" w:hanging="652"/>
        <w:spacing w:after="0" w:line="257"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Reclassifications of adjustments for losses on derivatives are net of tax of $0.1 million and $0.5 million for the thirteen weeks ended April 1, 2018 and March 26, 2017, respectively.</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10.</w:t>
      </w:r>
      <w:r>
        <w:rPr>
          <w:sz w:val="20"/>
          <w:szCs w:val="20"/>
          <w:color w:val="auto"/>
        </w:rPr>
        <w:tab/>
      </w:r>
      <w:r>
        <w:rPr>
          <w:rFonts w:ascii="Arial" w:cs="Arial" w:eastAsia="Arial" w:hAnsi="Arial"/>
          <w:sz w:val="18"/>
          <w:szCs w:val="18"/>
          <w:color w:val="auto"/>
        </w:rPr>
        <w:t>Derivative Instruments and Hedging Activities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 xml:space="preserve">Cash Flow Hedges of Interest Rate Risk - </w:t>
      </w:r>
      <w:r>
        <w:rPr>
          <w:rFonts w:ascii="Arial" w:cs="Arial" w:eastAsia="Arial" w:hAnsi="Arial"/>
          <w:sz w:val="18"/>
          <w:szCs w:val="18"/>
          <w:color w:val="252525"/>
        </w:rPr>
        <w:t>On September 9, 2014, the Company entered into variable-to-fixed interest rate swap agreements</w:t>
      </w:r>
      <w:r>
        <w:rPr>
          <w:rFonts w:ascii="Arial" w:cs="Arial" w:eastAsia="Arial" w:hAnsi="Arial"/>
          <w:sz w:val="18"/>
          <w:szCs w:val="18"/>
          <w:i w:val="1"/>
          <w:iCs w:val="1"/>
          <w:color w:val="auto"/>
        </w:rPr>
        <w:t xml:space="preserve"> </w:t>
      </w:r>
      <w:r>
        <w:rPr>
          <w:rFonts w:ascii="Arial" w:cs="Arial" w:eastAsia="Arial" w:hAnsi="Arial"/>
          <w:sz w:val="18"/>
          <w:szCs w:val="18"/>
          <w:color w:val="252525"/>
        </w:rPr>
        <w:t>with eight counterparties to hedge a portion of the cash flows of the Company’s variable rate debt. The swap agreements have an aggregate notional amount of $400.0 million, a start date of June 30, 2015, and mature on May 16, 2019. Under the terms of the swap agreements, the Company pays a weighted-average fixed rate of 2.02% on the $400.0 million notional amount and receives payments from the counterparty based on the 30-day LIBOR rate. The interest rate swaps, which have been designated and qualify as a cash flow hedge, are recognized on the Company’s Consolidated Balance Sheets at fair value and are classified based on the instruments’ maturity dates.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252525"/>
        </w:rPr>
        <w:t>The following table presents the fair value and classification of the Company’s interest rate swaps: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80" w:type="dxa"/>
            <w:vAlign w:val="bottom"/>
          </w:tcPr>
          <w:p>
            <w:pPr>
              <w:jc w:val="center"/>
              <w:spacing w:after="0"/>
              <w:rPr>
                <w:sz w:val="20"/>
                <w:szCs w:val="20"/>
                <w:color w:val="auto"/>
              </w:rPr>
            </w:pPr>
            <w:r>
              <w:rPr>
                <w:rFonts w:ascii="Arial" w:cs="Arial" w:eastAsia="Arial" w:hAnsi="Arial"/>
                <w:sz w:val="14"/>
                <w:szCs w:val="14"/>
                <w:b w:val="1"/>
                <w:bCs w:val="1"/>
                <w:color w:val="auto"/>
              </w:rPr>
              <w:t>CONSOLIDATED BALANCE SHEET</w:t>
            </w:r>
          </w:p>
        </w:tc>
      </w:tr>
      <w:tr>
        <w:trPr>
          <w:trHeight w:val="205"/>
        </w:trPr>
        <w:tc>
          <w:tcPr>
            <w:tcW w:w="526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7"/>
                <w:szCs w:val="17"/>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1, 2018</w:t>
            </w: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Pr>
          <w:p>
            <w:pPr>
              <w:spacing w:after="0"/>
              <w:rPr>
                <w:sz w:val="17"/>
                <w:szCs w:val="17"/>
                <w:color w:val="auto"/>
              </w:rPr>
            </w:pPr>
          </w:p>
        </w:tc>
        <w:tc>
          <w:tcPr>
            <w:tcW w:w="3180" w:type="dxa"/>
            <w:vAlign w:val="bottom"/>
          </w:tcPr>
          <w:p>
            <w:pPr>
              <w:jc w:val="center"/>
              <w:spacing w:after="0"/>
              <w:rPr>
                <w:sz w:val="20"/>
                <w:szCs w:val="20"/>
                <w:color w:val="auto"/>
              </w:rPr>
            </w:pPr>
            <w:r>
              <w:rPr>
                <w:rFonts w:ascii="Arial" w:cs="Arial" w:eastAsia="Arial" w:hAnsi="Arial"/>
                <w:sz w:val="14"/>
                <w:szCs w:val="14"/>
                <w:b w:val="1"/>
                <w:bCs w:val="1"/>
                <w:color w:val="auto"/>
              </w:rPr>
              <w:t>CLASSIFICATION</w:t>
            </w:r>
          </w:p>
        </w:tc>
      </w:tr>
      <w:tr>
        <w:trPr>
          <w:trHeight w:val="237"/>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swaps - asset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assets, net</w:t>
            </w:r>
          </w:p>
        </w:tc>
      </w:tr>
      <w:tr>
        <w:trPr>
          <w:trHeight w:val="270"/>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Interest rate swaps - asset</w:t>
            </w: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219</w:t>
            </w:r>
          </w:p>
        </w:tc>
        <w:tc>
          <w:tcPr>
            <w:tcW w:w="12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tcPr>
          <w:p>
            <w:pPr>
              <w:spacing w:after="0"/>
              <w:rPr>
                <w:sz w:val="23"/>
                <w:szCs w:val="23"/>
                <w:color w:val="auto"/>
              </w:rPr>
            </w:pPr>
          </w:p>
        </w:tc>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 net</w:t>
            </w: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fair value of derivative instruments - assets (1)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668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spacing w:after="0"/>
              <w:rPr>
                <w:sz w:val="21"/>
                <w:szCs w:val="21"/>
                <w:color w:val="auto"/>
              </w:rPr>
            </w:pP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84"/>
        </w:trPr>
        <w:tc>
          <w:tcPr>
            <w:tcW w:w="5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rate swaps - liability (1)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1,010</w:t>
            </w:r>
          </w:p>
        </w:tc>
        <w:tc>
          <w:tcPr>
            <w:tcW w:w="120" w:type="dxa"/>
            <w:vAlign w:val="bottom"/>
            <w:shd w:val="clear" w:color="auto" w:fill="CCEEFF"/>
          </w:tcPr>
          <w:p>
            <w:pPr>
              <w:spacing w:after="0"/>
              <w:rPr>
                <w:sz w:val="23"/>
                <w:szCs w:val="23"/>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and other current liabilities</w:t>
            </w:r>
          </w:p>
        </w:tc>
      </w:tr>
      <w:tr>
        <w:trPr>
          <w:trHeight w:val="187"/>
        </w:trPr>
        <w:tc>
          <w:tcPr>
            <w:tcW w:w="526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____________________</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180" w:type="dxa"/>
            <w:vAlign w:val="bottom"/>
            <w:tcBorders>
              <w:top w:val="single" w:sz="8" w:color="CCEEFF"/>
            </w:tcBorders>
          </w:tcPr>
          <w:p>
            <w:pPr>
              <w:spacing w:after="0"/>
              <w:rPr>
                <w:sz w:val="16"/>
                <w:szCs w:val="16"/>
                <w:color w:val="auto"/>
              </w:rPr>
            </w:pPr>
          </w:p>
        </w:tc>
      </w:tr>
    </w:tbl>
    <w:p>
      <w:pPr>
        <w:ind w:left="660" w:hanging="652"/>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252525"/>
        </w:rPr>
        <w:t xml:space="preserve">See Note </w:t>
      </w:r>
      <w:r>
        <w:rPr>
          <w:rFonts w:ascii="Arial" w:cs="Arial" w:eastAsia="Arial" w:hAnsi="Arial"/>
          <w:sz w:val="16"/>
          <w:szCs w:val="16"/>
          <w:color w:val="000000"/>
        </w:rPr>
        <w:t>11</w:t>
      </w:r>
      <w:r>
        <w:rPr>
          <w:rFonts w:ascii="Arial" w:cs="Arial" w:eastAsia="Arial" w:hAnsi="Arial"/>
          <w:sz w:val="16"/>
          <w:szCs w:val="16"/>
          <w:color w:val="252525"/>
        </w:rPr>
        <w:t xml:space="preserve"> - </w:t>
      </w:r>
      <w:r>
        <w:rPr>
          <w:rFonts w:ascii="Arial" w:cs="Arial" w:eastAsia="Arial" w:hAnsi="Arial"/>
          <w:sz w:val="16"/>
          <w:szCs w:val="16"/>
          <w:i w:val="1"/>
          <w:iCs w:val="1"/>
          <w:color w:val="000000"/>
        </w:rPr>
        <w:t>Fair Value Measurements</w:t>
      </w:r>
      <w:r>
        <w:rPr>
          <w:rFonts w:ascii="Arial" w:cs="Arial" w:eastAsia="Arial" w:hAnsi="Arial"/>
          <w:sz w:val="16"/>
          <w:szCs w:val="16"/>
          <w:color w:val="252525"/>
        </w:rPr>
        <w:t xml:space="preserve"> for fair value discussion of the interest rate swaps.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252525"/>
        </w:rPr>
        <w:t>The following table summarizes the effects of the interest rate swaps on Net income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7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341"/>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264"/>
        </w:trPr>
        <w:tc>
          <w:tcPr>
            <w:tcW w:w="8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1, 2018</w:t>
            </w:r>
          </w:p>
        </w:tc>
        <w:tc>
          <w:tcPr>
            <w:tcW w:w="120" w:type="dxa"/>
            <w:vAlign w:val="bottom"/>
          </w:tcPr>
          <w:p>
            <w:pPr>
              <w:spacing w:after="0"/>
              <w:rPr>
                <w:sz w:val="22"/>
                <w:szCs w:val="22"/>
                <w:color w:val="auto"/>
              </w:rPr>
            </w:pPr>
          </w:p>
        </w:tc>
        <w:tc>
          <w:tcPr>
            <w:tcW w:w="1240" w:type="dxa"/>
            <w:vAlign w:val="bottom"/>
          </w:tcPr>
          <w:p>
            <w:pPr>
              <w:jc w:val="right"/>
              <w:ind w:right="41"/>
              <w:spacing w:after="0"/>
              <w:rPr>
                <w:sz w:val="20"/>
                <w:szCs w:val="20"/>
                <w:color w:val="auto"/>
              </w:rPr>
            </w:pPr>
            <w:r>
              <w:rPr>
                <w:rFonts w:ascii="Arial" w:cs="Arial" w:eastAsia="Arial" w:hAnsi="Arial"/>
                <w:sz w:val="14"/>
                <w:szCs w:val="14"/>
                <w:b w:val="1"/>
                <w:bCs w:val="1"/>
                <w:color w:val="auto"/>
                <w:w w:val="99"/>
              </w:rPr>
              <w:t>MARCH 26, 2017</w:t>
            </w:r>
          </w:p>
        </w:tc>
        <w:tc>
          <w:tcPr>
            <w:tcW w:w="0" w:type="dxa"/>
            <w:vAlign w:val="bottom"/>
          </w:tcPr>
          <w:p>
            <w:pPr>
              <w:spacing w:after="0"/>
              <w:rPr>
                <w:sz w:val="1"/>
                <w:szCs w:val="1"/>
                <w:color w:val="auto"/>
              </w:rPr>
            </w:pPr>
          </w:p>
        </w:tc>
      </w:tr>
      <w:tr>
        <w:trPr>
          <w:trHeight w:val="237"/>
        </w:trPr>
        <w:tc>
          <w:tcPr>
            <w:tcW w:w="8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expense recognized in Interest expense, net (1)</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(1,265)</w:t>
            </w:r>
          </w:p>
        </w:tc>
        <w:tc>
          <w:tcPr>
            <w:tcW w:w="0" w:type="dxa"/>
            <w:vAlign w:val="bottom"/>
          </w:tcPr>
          <w:p>
            <w:pPr>
              <w:spacing w:after="0"/>
              <w:rPr>
                <w:sz w:val="1"/>
                <w:szCs w:val="1"/>
                <w:color w:val="auto"/>
              </w:rPr>
            </w:pPr>
          </w:p>
        </w:tc>
      </w:tr>
      <w:tr>
        <w:trPr>
          <w:trHeight w:val="270"/>
        </w:trPr>
        <w:tc>
          <w:tcPr>
            <w:tcW w:w="8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benefit recognized in Provision for income taxes</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244"/>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effects of the interest rate swaps on 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9"/>
        </w:numPr>
        <w:rPr>
          <w:rFonts w:ascii="Arial" w:cs="Arial" w:eastAsia="Arial" w:hAnsi="Arial"/>
          <w:sz w:val="15"/>
          <w:szCs w:val="15"/>
          <w:color w:val="auto"/>
        </w:rPr>
      </w:pPr>
      <w:r>
        <w:rPr>
          <w:rFonts w:ascii="Arial" w:cs="Arial" w:eastAsia="Arial" w:hAnsi="Arial"/>
          <w:sz w:val="15"/>
          <w:szCs w:val="15"/>
          <w:color w:val="252525"/>
        </w:rPr>
        <w:t>During the thirteen weeks ended April 1, 2018 and March 26, 2017, the Company did not recognize any gain or loss as a result of hedge ineffectiveness.</w:t>
      </w:r>
    </w:p>
    <w:p>
      <w:pPr>
        <w:spacing w:after="0" w:line="225" w:lineRule="exact"/>
        <w:rPr>
          <w:sz w:val="20"/>
          <w:szCs w:val="20"/>
          <w:color w:val="auto"/>
        </w:rPr>
      </w:pPr>
    </w:p>
    <w:p>
      <w:pPr>
        <w:ind w:left="440" w:hanging="432"/>
        <w:spacing w:after="0"/>
        <w:tabs>
          <w:tab w:leader="none" w:pos="4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Fair Value Measurements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Fair value is the price that would be received for an asset or paid to transfer a liability, or the exit price, in an orderly transaction between market participants on the measurement date. Fair value is categorized into one of the following three levels based on the lowest level of significant input:</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Level 1</w:t>
            </w:r>
          </w:p>
        </w:tc>
        <w:tc>
          <w:tcPr>
            <w:tcW w:w="10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Unadjusted quoted market prices in active markets for identical assets or liabilities</w:t>
            </w:r>
          </w:p>
        </w:tc>
      </w:tr>
      <w:tr>
        <w:trPr>
          <w:trHeight w:val="224"/>
        </w:trPr>
        <w:tc>
          <w:tcPr>
            <w:tcW w:w="860" w:type="dxa"/>
            <w:vAlign w:val="bottom"/>
          </w:tcPr>
          <w:p>
            <w:pPr>
              <w:ind w:left="20"/>
              <w:spacing w:after="0"/>
              <w:rPr>
                <w:sz w:val="20"/>
                <w:szCs w:val="20"/>
                <w:color w:val="auto"/>
              </w:rPr>
            </w:pPr>
            <w:r>
              <w:rPr>
                <w:rFonts w:ascii="Arial" w:cs="Arial" w:eastAsia="Arial" w:hAnsi="Arial"/>
                <w:sz w:val="16"/>
                <w:szCs w:val="16"/>
                <w:color w:val="auto"/>
              </w:rPr>
              <w:t>Level 2</w:t>
            </w:r>
          </w:p>
        </w:tc>
        <w:tc>
          <w:tcPr>
            <w:tcW w:w="10520" w:type="dxa"/>
            <w:vAlign w:val="bottom"/>
          </w:tcPr>
          <w:p>
            <w:pPr>
              <w:ind w:left="360"/>
              <w:spacing w:after="0"/>
              <w:rPr>
                <w:sz w:val="20"/>
                <w:szCs w:val="20"/>
                <w:color w:val="auto"/>
              </w:rPr>
            </w:pPr>
            <w:r>
              <w:rPr>
                <w:rFonts w:ascii="Arial" w:cs="Arial" w:eastAsia="Arial" w:hAnsi="Arial"/>
                <w:sz w:val="16"/>
                <w:szCs w:val="16"/>
                <w:color w:val="auto"/>
              </w:rPr>
              <w:t>Observable inputs available at measurement date other than quoted prices included in Level 1</w:t>
            </w:r>
          </w:p>
        </w:tc>
      </w:tr>
      <w:tr>
        <w:trPr>
          <w:trHeight w:val="47"/>
        </w:trPr>
        <w:tc>
          <w:tcPr>
            <w:tcW w:w="860" w:type="dxa"/>
            <w:vAlign w:val="bottom"/>
          </w:tcPr>
          <w:p>
            <w:pPr>
              <w:spacing w:after="0"/>
              <w:rPr>
                <w:sz w:val="4"/>
                <w:szCs w:val="4"/>
                <w:color w:val="auto"/>
              </w:rPr>
            </w:pPr>
          </w:p>
        </w:tc>
        <w:tc>
          <w:tcPr>
            <w:tcW w:w="10520" w:type="dxa"/>
            <w:vAlign w:val="bottom"/>
          </w:tcPr>
          <w:p>
            <w:pPr>
              <w:spacing w:after="0"/>
              <w:rPr>
                <w:sz w:val="4"/>
                <w:szCs w:val="4"/>
                <w:color w:val="auto"/>
              </w:rPr>
            </w:pPr>
          </w:p>
        </w:tc>
      </w:tr>
      <w:tr>
        <w:trPr>
          <w:trHeight w:val="224"/>
        </w:trPr>
        <w:tc>
          <w:tcPr>
            <w:tcW w:w="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Level 3</w:t>
            </w:r>
          </w:p>
        </w:tc>
        <w:tc>
          <w:tcPr>
            <w:tcW w:w="10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Unobservable inputs that cannot be corroborated by observable market data</w:t>
            </w:r>
          </w:p>
        </w:tc>
      </w:tr>
      <w:tr>
        <w:trPr>
          <w:trHeight w:val="47"/>
        </w:trPr>
        <w:tc>
          <w:tcPr>
            <w:tcW w:w="860" w:type="dxa"/>
            <w:vAlign w:val="bottom"/>
            <w:shd w:val="clear" w:color="auto" w:fill="CCEEFF"/>
          </w:tcPr>
          <w:p>
            <w:pPr>
              <w:spacing w:after="0"/>
              <w:rPr>
                <w:sz w:val="4"/>
                <w:szCs w:val="4"/>
                <w:color w:val="auto"/>
              </w:rPr>
            </w:pPr>
          </w:p>
        </w:tc>
        <w:tc>
          <w:tcPr>
            <w:tcW w:w="10520" w:type="dxa"/>
            <w:vAlign w:val="bottom"/>
            <w:shd w:val="clear" w:color="auto" w:fill="CCEEFF"/>
          </w:tcPr>
          <w:p>
            <w:pPr>
              <w:spacing w:after="0"/>
              <w:rPr>
                <w:sz w:val="4"/>
                <w:szCs w:val="4"/>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i w:val="1"/>
          <w:iCs w:val="1"/>
          <w:color w:val="auto"/>
        </w:rPr>
        <w:t xml:space="preserve">Fair Value Measurements on a Recurring Basis - </w:t>
      </w:r>
      <w:r>
        <w:rPr>
          <w:rFonts w:ascii="Arial" w:cs="Arial" w:eastAsia="Arial" w:hAnsi="Arial"/>
          <w:sz w:val="20"/>
          <w:szCs w:val="20"/>
          <w:color w:val="auto"/>
        </w:rPr>
        <w:t>The following table summarizes the Company’s financial assets and liabilities measured at</w:t>
      </w:r>
      <w:r>
        <w:rPr>
          <w:rFonts w:ascii="Arial" w:cs="Arial" w:eastAsia="Arial" w:hAnsi="Arial"/>
          <w:sz w:val="20"/>
          <w:szCs w:val="20"/>
          <w:i w:val="1"/>
          <w:iCs w:val="1"/>
          <w:color w:val="auto"/>
        </w:rPr>
        <w:t xml:space="preserve"> </w:t>
      </w:r>
      <w:r>
        <w:rPr>
          <w:rFonts w:ascii="Arial" w:cs="Arial" w:eastAsia="Arial" w:hAnsi="Arial"/>
          <w:sz w:val="20"/>
          <w:szCs w:val="20"/>
          <w:color w:val="auto"/>
        </w:rPr>
        <w:t>fair value by hierarchy level on a recurring basis as of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9"/>
              </w:rPr>
              <w:t>APRIL 1, 2018</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6"/>
          </w:tcPr>
          <w:p>
            <w:pPr>
              <w:jc w:val="center"/>
              <w:ind w:right="19"/>
              <w:spacing w:after="0"/>
              <w:rPr>
                <w:sz w:val="20"/>
                <w:szCs w:val="20"/>
                <w:color w:val="auto"/>
              </w:rPr>
            </w:pPr>
            <w:r>
              <w:rPr>
                <w:rFonts w:ascii="Arial" w:cs="Arial" w:eastAsia="Arial" w:hAnsi="Arial"/>
                <w:sz w:val="14"/>
                <w:szCs w:val="14"/>
                <w:b w:val="1"/>
                <w:bCs w:val="1"/>
                <w:color w:val="auto"/>
                <w:w w:val="98"/>
              </w:rPr>
              <w:t>DECEMBER 31, 2017</w:t>
            </w:r>
          </w:p>
        </w:tc>
        <w:tc>
          <w:tcPr>
            <w:tcW w:w="940" w:type="dxa"/>
            <w:vAlign w:val="bottom"/>
            <w:tcBorders>
              <w:bottom w:val="single" w:sz="8" w:color="auto"/>
            </w:tcBorders>
          </w:tcPr>
          <w:p>
            <w:pPr>
              <w:spacing w:after="0"/>
              <w:rPr>
                <w:sz w:val="17"/>
                <w:szCs w:val="17"/>
                <w:color w:val="auto"/>
              </w:rPr>
            </w:pPr>
          </w:p>
        </w:tc>
      </w:tr>
      <w:tr>
        <w:trPr>
          <w:trHeight w:val="264"/>
        </w:trPr>
        <w:tc>
          <w:tcPr>
            <w:tcW w:w="226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22"/>
                <w:szCs w:val="22"/>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22"/>
                <w:szCs w:val="22"/>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22"/>
                <w:szCs w:val="22"/>
                <w:color w:val="auto"/>
              </w:rPr>
            </w:pPr>
          </w:p>
        </w:tc>
        <w:tc>
          <w:tcPr>
            <w:tcW w:w="840" w:type="dxa"/>
            <w:vAlign w:val="bottom"/>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22"/>
                <w:szCs w:val="22"/>
                <w:color w:val="auto"/>
              </w:rPr>
            </w:pPr>
          </w:p>
        </w:tc>
        <w:tc>
          <w:tcPr>
            <w:tcW w:w="940" w:type="dxa"/>
            <w:vAlign w:val="bottom"/>
          </w:tcPr>
          <w:p>
            <w:pPr>
              <w:jc w:val="right"/>
              <w:ind w:right="180"/>
              <w:spacing w:after="0"/>
              <w:rPr>
                <w:sz w:val="20"/>
                <w:szCs w:val="20"/>
                <w:color w:val="auto"/>
              </w:rPr>
            </w:pPr>
            <w:r>
              <w:rPr>
                <w:rFonts w:ascii="Arial" w:cs="Arial" w:eastAsia="Arial" w:hAnsi="Arial"/>
                <w:sz w:val="14"/>
                <w:szCs w:val="14"/>
                <w:b w:val="1"/>
                <w:bCs w:val="1"/>
                <w:color w:val="auto"/>
              </w:rPr>
              <w:t>LEVEL 2</w:t>
            </w:r>
          </w:p>
        </w:tc>
      </w:tr>
      <w:tr>
        <w:trPr>
          <w:trHeight w:val="250"/>
        </w:trPr>
        <w:tc>
          <w:tcPr>
            <w:tcW w:w="2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7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260" w:type="dxa"/>
            <w:vAlign w:val="bottom"/>
          </w:tcPr>
          <w:p>
            <w:pPr>
              <w:ind w:left="180"/>
              <w:spacing w:after="0"/>
              <w:rPr>
                <w:sz w:val="20"/>
                <w:szCs w:val="20"/>
                <w:color w:val="auto"/>
              </w:rPr>
            </w:pPr>
            <w:r>
              <w:rPr>
                <w:rFonts w:ascii="Arial" w:cs="Arial" w:eastAsia="Arial" w:hAnsi="Arial"/>
                <w:sz w:val="16"/>
                <w:szCs w:val="16"/>
                <w:color w:val="auto"/>
              </w:rPr>
              <w:t>Cash equivalents:</w:t>
            </w: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2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Fixed income funds</w:t>
            </w:r>
          </w:p>
        </w:tc>
        <w:tc>
          <w:tcPr>
            <w:tcW w:w="1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1,765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1,830</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2260" w:type="dxa"/>
            <w:vAlign w:val="bottom"/>
          </w:tcPr>
          <w:p>
            <w:pPr>
              <w:ind w:left="280"/>
              <w:spacing w:after="0"/>
              <w:rPr>
                <w:sz w:val="20"/>
                <w:szCs w:val="20"/>
                <w:color w:val="auto"/>
              </w:rPr>
            </w:pPr>
            <w:r>
              <w:rPr>
                <w:rFonts w:ascii="Arial" w:cs="Arial" w:eastAsia="Arial" w:hAnsi="Arial"/>
                <w:sz w:val="16"/>
                <w:szCs w:val="16"/>
                <w:color w:val="auto"/>
              </w:rPr>
              <w:t>Money market funds</w:t>
            </w: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24,368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24,368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24,656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24,656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2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cash equivalents:</w:t>
            </w:r>
          </w:p>
        </w:tc>
        <w:tc>
          <w:tcPr>
            <w:tcW w:w="1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2260" w:type="dxa"/>
            <w:vAlign w:val="bottom"/>
          </w:tcPr>
          <w:p>
            <w:pPr>
              <w:ind w:left="280"/>
              <w:spacing w:after="0"/>
              <w:rPr>
                <w:sz w:val="20"/>
                <w:szCs w:val="20"/>
                <w:color w:val="auto"/>
              </w:rPr>
            </w:pPr>
            <w:r>
              <w:rPr>
                <w:rFonts w:ascii="Arial" w:cs="Arial" w:eastAsia="Arial" w:hAnsi="Arial"/>
                <w:sz w:val="16"/>
                <w:szCs w:val="16"/>
                <w:color w:val="auto"/>
              </w:rPr>
              <w:t>Money market funds</w:t>
            </w: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1,280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1,280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2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 net</w:t>
            </w:r>
          </w:p>
        </w:tc>
        <w:tc>
          <w:tcPr>
            <w:tcW w:w="1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gridSpan w:val="2"/>
          </w:tcPr>
          <w:p>
            <w:pPr>
              <w:ind w:left="280"/>
              <w:spacing w:after="0"/>
              <w:rPr>
                <w:sz w:val="20"/>
                <w:szCs w:val="20"/>
                <w:color w:val="auto"/>
              </w:rPr>
            </w:pPr>
            <w:r>
              <w:rPr>
                <w:rFonts w:ascii="Arial" w:cs="Arial" w:eastAsia="Arial" w:hAnsi="Arial"/>
                <w:sz w:val="16"/>
                <w:szCs w:val="16"/>
                <w:color w:val="auto"/>
              </w:rPr>
              <w:t>Derivative instruments - interest rate swaps</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2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assets, net:</w:t>
            </w:r>
          </w:p>
        </w:tc>
        <w:tc>
          <w:tcPr>
            <w:tcW w:w="1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70"/>
        </w:trPr>
        <w:tc>
          <w:tcPr>
            <w:tcW w:w="400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Derivative instruments - interest rate swaps</w:t>
            </w: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219</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67</w:t>
            </w:r>
          </w:p>
        </w:tc>
      </w:tr>
      <w:tr>
        <w:trPr>
          <w:trHeight w:val="244"/>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asset recurring fair value measurements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26,801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26,133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668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27,833</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27,766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67</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2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gridSpan w:val="2"/>
          </w:tcPr>
          <w:p>
            <w:pPr>
              <w:ind w:left="180"/>
              <w:spacing w:after="0"/>
              <w:rPr>
                <w:sz w:val="20"/>
                <w:szCs w:val="20"/>
                <w:color w:val="auto"/>
              </w:rPr>
            </w:pPr>
            <w:r>
              <w:rPr>
                <w:rFonts w:ascii="Arial" w:cs="Arial" w:eastAsia="Arial" w:hAnsi="Arial"/>
                <w:sz w:val="16"/>
                <w:szCs w:val="16"/>
                <w:color w:val="auto"/>
              </w:rPr>
              <w:t>Accrued and other current liabilities: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4"/>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Derivative instruments - interest rate swaps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1,010</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1,010</w:t>
            </w:r>
          </w:p>
        </w:tc>
      </w:tr>
      <w:tr>
        <w:trPr>
          <w:trHeight w:val="250"/>
        </w:trPr>
        <w:tc>
          <w:tcPr>
            <w:tcW w:w="4000" w:type="dxa"/>
            <w:vAlign w:val="bottom"/>
            <w:gridSpan w:val="2"/>
          </w:tcPr>
          <w:p>
            <w:pPr>
              <w:ind w:left="40"/>
              <w:spacing w:after="0"/>
              <w:rPr>
                <w:sz w:val="20"/>
                <w:szCs w:val="20"/>
                <w:color w:val="auto"/>
              </w:rPr>
            </w:pPr>
            <w:r>
              <w:rPr>
                <w:rFonts w:ascii="Arial" w:cs="Arial" w:eastAsia="Arial" w:hAnsi="Arial"/>
                <w:sz w:val="16"/>
                <w:szCs w:val="16"/>
                <w:color w:val="auto"/>
              </w:rPr>
              <w:t>Total liability recurring fair value measurements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1,010</w:t>
            </w:r>
          </w:p>
        </w:tc>
        <w:tc>
          <w:tcPr>
            <w:tcW w:w="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1,010</w:t>
            </w:r>
          </w:p>
        </w:tc>
      </w:tr>
      <w:tr>
        <w:trPr>
          <w:trHeight w:val="20"/>
        </w:trPr>
        <w:tc>
          <w:tcPr>
            <w:tcW w:w="400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50"/>
        </w:trPr>
        <w:tc>
          <w:tcPr>
            <w:tcW w:w="6800" w:type="dxa"/>
            <w:vAlign w:val="bottom"/>
            <w:gridSpan w:val="9"/>
          </w:tcPr>
          <w:p>
            <w:pPr>
              <w:spacing w:after="0"/>
              <w:rPr>
                <w:sz w:val="20"/>
                <w:szCs w:val="20"/>
                <w:color w:val="auto"/>
              </w:rPr>
            </w:pPr>
            <w:r>
              <w:rPr>
                <w:rFonts w:ascii="Arial" w:cs="Arial" w:eastAsia="Arial" w:hAnsi="Arial"/>
                <w:sz w:val="20"/>
                <w:szCs w:val="20"/>
                <w:color w:val="auto"/>
                <w:w w:val="90"/>
              </w:rPr>
              <w:t>Fair value of each class of financial instrument is determined based on the following:</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22"/>
        </w:trPr>
        <w:tc>
          <w:tcPr>
            <w:tcW w:w="2260" w:type="dxa"/>
            <w:vAlign w:val="bottom"/>
          </w:tcPr>
          <w:p>
            <w:pPr>
              <w:ind w:left="40"/>
              <w:spacing w:after="0"/>
              <w:rPr>
                <w:sz w:val="20"/>
                <w:szCs w:val="20"/>
                <w:color w:val="auto"/>
              </w:rPr>
            </w:pPr>
            <w:r>
              <w:rPr>
                <w:rFonts w:ascii="Arial" w:cs="Arial" w:eastAsia="Arial" w:hAnsi="Arial"/>
                <w:sz w:val="14"/>
                <w:szCs w:val="14"/>
                <w:b w:val="1"/>
                <w:bCs w:val="1"/>
                <w:color w:val="auto"/>
              </w:rPr>
              <w:t>FINANCIAL INSTRUMENT</w:t>
            </w:r>
          </w:p>
        </w:tc>
        <w:tc>
          <w:tcPr>
            <w:tcW w:w="3020" w:type="dxa"/>
            <w:vAlign w:val="bottom"/>
            <w:gridSpan w:val="4"/>
          </w:tcPr>
          <w:p>
            <w:pPr>
              <w:ind w:left="280"/>
              <w:spacing w:after="0"/>
              <w:rPr>
                <w:sz w:val="20"/>
                <w:szCs w:val="20"/>
                <w:color w:val="auto"/>
              </w:rPr>
            </w:pPr>
            <w:r>
              <w:rPr>
                <w:rFonts w:ascii="Arial" w:cs="Arial" w:eastAsia="Arial" w:hAnsi="Arial"/>
                <w:sz w:val="14"/>
                <w:szCs w:val="14"/>
                <w:b w:val="1"/>
                <w:bCs w:val="1"/>
                <w:color w:val="auto"/>
              </w:rPr>
              <w:t>METHODS AND ASSUMPTIONS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110"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Fixed income funds and Money market funds</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Carrying value approximates fair value because maturities are less than three months.</w:t>
      </w:r>
    </w:p>
    <w:p>
      <w:pPr>
        <w:spacing w:after="0" w:line="298" w:lineRule="exact"/>
        <w:rPr>
          <w:sz w:val="20"/>
          <w:szCs w:val="20"/>
          <w:color w:val="auto"/>
        </w:rPr>
      </w:pPr>
    </w:p>
    <w:p>
      <w:pPr>
        <w:sectPr>
          <w:pgSz w:w="11900" w:h="16838" w:orient="portrait"/>
          <w:cols w:equalWidth="0" w:num="2">
            <w:col w:w="2100" w:space="440"/>
            <w:col w:w="8880"/>
          </w:cols>
          <w:pgMar w:left="240" w:top="121" w:right="239" w:bottom="1440" w:gutter="0" w:footer="0" w:header="0"/>
          <w:type w:val="continuous"/>
        </w:sectPr>
      </w:pPr>
    </w:p>
    <w:p>
      <w:pPr>
        <w:ind w:left="40"/>
        <w:spacing w:after="0"/>
        <w:tabs>
          <w:tab w:leader="none" w:pos="2520" w:val="left"/>
        </w:tabs>
        <w:rPr>
          <w:sz w:val="20"/>
          <w:szCs w:val="20"/>
          <w:color w:val="auto"/>
        </w:rPr>
      </w:pPr>
      <w:r>
        <w:rPr>
          <w:rFonts w:ascii="Arial" w:cs="Arial" w:eastAsia="Arial" w:hAnsi="Arial"/>
          <w:sz w:val="16"/>
          <w:szCs w:val="16"/>
          <w:color w:val="auto"/>
        </w:rPr>
        <w:t>Derivative instruments</w:t>
      </w:r>
      <w:r>
        <w:rPr>
          <w:sz w:val="20"/>
          <w:szCs w:val="20"/>
          <w:color w:val="auto"/>
        </w:rPr>
        <w:tab/>
      </w:r>
      <w:r>
        <w:rPr>
          <w:rFonts w:ascii="Arial" w:cs="Arial" w:eastAsia="Arial" w:hAnsi="Arial"/>
          <w:sz w:val="14"/>
          <w:szCs w:val="14"/>
          <w:color w:val="auto"/>
        </w:rPr>
        <w:t>The Company’s derivative instruments include interest rate swaps. Fair value measurements are based on the contractual terms of the</w:t>
      </w:r>
    </w:p>
    <w:p>
      <w:pPr>
        <w:spacing w:after="0" w:line="22" w:lineRule="exact"/>
        <w:rPr>
          <w:sz w:val="20"/>
          <w:szCs w:val="20"/>
          <w:color w:val="auto"/>
        </w:rPr>
      </w:pPr>
    </w:p>
    <w:p>
      <w:pPr>
        <w:ind w:left="2540"/>
        <w:spacing w:after="0"/>
        <w:rPr>
          <w:sz w:val="20"/>
          <w:szCs w:val="20"/>
          <w:color w:val="auto"/>
        </w:rPr>
      </w:pPr>
      <w:r>
        <w:rPr>
          <w:rFonts w:ascii="Arial" w:cs="Arial" w:eastAsia="Arial" w:hAnsi="Arial"/>
          <w:sz w:val="15"/>
          <w:szCs w:val="15"/>
          <w:color w:val="auto"/>
        </w:rPr>
        <w:t>derivatives and use observable market-based inputs. The interest rate swaps are valued using a discounted cash flow analysis on the</w:t>
      </w:r>
    </w:p>
    <w:p>
      <w:pPr>
        <w:spacing w:after="0" w:line="30" w:lineRule="exact"/>
        <w:rPr>
          <w:sz w:val="20"/>
          <w:szCs w:val="20"/>
          <w:color w:val="auto"/>
        </w:rPr>
      </w:pPr>
    </w:p>
    <w:p>
      <w:pPr>
        <w:ind w:left="2540"/>
        <w:spacing w:after="0"/>
        <w:rPr>
          <w:sz w:val="20"/>
          <w:szCs w:val="20"/>
          <w:color w:val="auto"/>
        </w:rPr>
      </w:pPr>
      <w:r>
        <w:rPr>
          <w:rFonts w:ascii="Arial" w:cs="Arial" w:eastAsia="Arial" w:hAnsi="Arial"/>
          <w:sz w:val="15"/>
          <w:szCs w:val="15"/>
          <w:color w:val="auto"/>
        </w:rPr>
        <w:t>expected cash flows of each derivative using observable inputs including interest rate curves and credit spreads. The Company also</w:t>
      </w:r>
    </w:p>
    <w:p>
      <w:pPr>
        <w:spacing w:after="0" w:line="30" w:lineRule="exact"/>
        <w:rPr>
          <w:sz w:val="20"/>
          <w:szCs w:val="20"/>
          <w:color w:val="auto"/>
        </w:rPr>
      </w:pPr>
    </w:p>
    <w:p>
      <w:pPr>
        <w:ind w:left="2540"/>
        <w:spacing w:after="0"/>
        <w:rPr>
          <w:sz w:val="20"/>
          <w:szCs w:val="20"/>
          <w:color w:val="auto"/>
        </w:rPr>
      </w:pPr>
      <w:r>
        <w:rPr>
          <w:rFonts w:ascii="Arial" w:cs="Arial" w:eastAsia="Arial" w:hAnsi="Arial"/>
          <w:sz w:val="15"/>
          <w:szCs w:val="15"/>
          <w:color w:val="auto"/>
        </w:rPr>
        <w:t>considers  its  own  nonperformance  risk  and  the  respective  counterparty’s  nonperformance  risk  when  performing  fair  value</w:t>
      </w:r>
    </w:p>
    <w:p>
      <w:pPr>
        <w:spacing w:after="0" w:line="30" w:lineRule="exact"/>
        <w:rPr>
          <w:sz w:val="20"/>
          <w:szCs w:val="20"/>
          <w:color w:val="auto"/>
        </w:rPr>
      </w:pPr>
    </w:p>
    <w:p>
      <w:pPr>
        <w:ind w:left="2540"/>
        <w:spacing w:after="0"/>
        <w:rPr>
          <w:sz w:val="20"/>
          <w:szCs w:val="20"/>
          <w:color w:val="auto"/>
        </w:rPr>
      </w:pPr>
      <w:r>
        <w:rPr>
          <w:rFonts w:ascii="Arial" w:cs="Arial" w:eastAsia="Arial" w:hAnsi="Arial"/>
          <w:sz w:val="14"/>
          <w:szCs w:val="14"/>
          <w:color w:val="auto"/>
        </w:rPr>
        <w:t>measurements. As of April 1, 2018 and December 31, 2017, the Company has determined that the credit valuation adjustments are not</w:t>
      </w:r>
    </w:p>
    <w:p>
      <w:pPr>
        <w:spacing w:after="0" w:line="42"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significant to the overall valuation of its derivatives.</w:t>
      </w:r>
    </w:p>
    <w:p>
      <w:pPr>
        <w:spacing w:after="0" w:line="26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i w:val="1"/>
          <w:iCs w:val="1"/>
          <w:color w:val="auto"/>
        </w:rPr>
        <w:t xml:space="preserve">Fair Value Measurements on a Nonrecurring Basis - </w:t>
      </w:r>
      <w:r>
        <w:rPr>
          <w:rFonts w:ascii="Arial" w:cs="Arial" w:eastAsia="Arial" w:hAnsi="Arial"/>
          <w:sz w:val="19"/>
          <w:szCs w:val="19"/>
          <w:color w:val="auto"/>
        </w:rPr>
        <w:t>Assets and liabilities that are measured at fair value on a nonrecurring basis relate</w:t>
      </w:r>
      <w:r>
        <w:rPr>
          <w:rFonts w:ascii="Arial" w:cs="Arial" w:eastAsia="Arial" w:hAnsi="Arial"/>
          <w:sz w:val="19"/>
          <w:szCs w:val="19"/>
          <w:i w:val="1"/>
          <w:iCs w:val="1"/>
          <w:color w:val="auto"/>
        </w:rPr>
        <w:t xml:space="preserve"> </w:t>
      </w:r>
      <w:r>
        <w:rPr>
          <w:rFonts w:ascii="Arial" w:cs="Arial" w:eastAsia="Arial" w:hAnsi="Arial"/>
          <w:sz w:val="19"/>
          <w:szCs w:val="19"/>
          <w:color w:val="auto"/>
        </w:rPr>
        <w:t>primarily to property, fixtures and equipment, goodwill and other intangible assets, which are remeasured when carrying value exceeds fair value. The following table summarizes the Company’s assets measured at fair value by hierarchy level on a nonrecurring basis: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THIRTEEN WEEKS ENDED</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4"/>
          </w:tcPr>
          <w:p>
            <w:pPr>
              <w:jc w:val="right"/>
              <w:ind w:right="903"/>
              <w:spacing w:after="0"/>
              <w:rPr>
                <w:sz w:val="20"/>
                <w:szCs w:val="20"/>
                <w:color w:val="auto"/>
              </w:rPr>
            </w:pPr>
            <w:r>
              <w:rPr>
                <w:rFonts w:ascii="Arial" w:cs="Arial" w:eastAsia="Arial" w:hAnsi="Arial"/>
                <w:sz w:val="14"/>
                <w:szCs w:val="14"/>
                <w:b w:val="1"/>
                <w:bCs w:val="1"/>
                <w:color w:val="auto"/>
              </w:rPr>
              <w:t>APRIL 1, 2018</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4"/>
          </w:tcPr>
          <w:p>
            <w:pPr>
              <w:jc w:val="right"/>
              <w:ind w:right="763"/>
              <w:spacing w:after="0"/>
              <w:rPr>
                <w:sz w:val="20"/>
                <w:szCs w:val="20"/>
                <w:color w:val="auto"/>
              </w:rPr>
            </w:pPr>
            <w:r>
              <w:rPr>
                <w:rFonts w:ascii="Arial" w:cs="Arial" w:eastAsia="Arial" w:hAnsi="Arial"/>
                <w:sz w:val="14"/>
                <w:szCs w:val="14"/>
                <w:b w:val="1"/>
                <w:bCs w:val="1"/>
                <w:color w:val="auto"/>
              </w:rPr>
              <w:t>MARCH 26, 2017</w:t>
            </w:r>
          </w:p>
        </w:tc>
        <w:tc>
          <w:tcPr>
            <w:tcW w:w="0" w:type="dxa"/>
            <w:vAlign w:val="bottom"/>
          </w:tcPr>
          <w:p>
            <w:pPr>
              <w:spacing w:after="0"/>
              <w:rPr>
                <w:sz w:val="1"/>
                <w:szCs w:val="1"/>
                <w:color w:val="auto"/>
              </w:rPr>
            </w:pPr>
          </w:p>
        </w:tc>
      </w:tr>
      <w:tr>
        <w:trPr>
          <w:trHeight w:val="153"/>
        </w:trPr>
        <w:tc>
          <w:tcPr>
            <w:tcW w:w="5620" w:type="dxa"/>
            <w:vAlign w:val="bottom"/>
          </w:tcPr>
          <w:p>
            <w:pPr>
              <w:spacing w:after="0"/>
              <w:rPr>
                <w:sz w:val="13"/>
                <w:szCs w:val="13"/>
                <w:color w:val="auto"/>
              </w:rPr>
            </w:pPr>
          </w:p>
        </w:tc>
        <w:tc>
          <w:tcPr>
            <w:tcW w:w="15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CARRYING VALUE</w:t>
            </w:r>
          </w:p>
        </w:tc>
        <w:tc>
          <w:tcPr>
            <w:tcW w:w="160" w:type="dxa"/>
            <w:vAlign w:val="bottom"/>
          </w:tcPr>
          <w:p>
            <w:pPr>
              <w:spacing w:after="0"/>
              <w:rPr>
                <w:sz w:val="13"/>
                <w:szCs w:val="13"/>
                <w:color w:val="auto"/>
              </w:rPr>
            </w:pPr>
          </w:p>
        </w:tc>
        <w:tc>
          <w:tcPr>
            <w:tcW w:w="13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3"/>
                <w:szCs w:val="13"/>
                <w:color w:val="auto"/>
              </w:rPr>
            </w:pPr>
          </w:p>
        </w:tc>
        <w:tc>
          <w:tcPr>
            <w:tcW w:w="12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3"/>
                <w:szCs w:val="13"/>
                <w:color w:val="auto"/>
              </w:rPr>
            </w:pPr>
          </w:p>
        </w:tc>
        <w:tc>
          <w:tcPr>
            <w:tcW w:w="1200" w:type="dxa"/>
            <w:vAlign w:val="bottom"/>
          </w:tcPr>
          <w:p>
            <w:pPr>
              <w:jc w:val="right"/>
              <w:ind w:right="343"/>
              <w:spacing w:after="0" w:line="15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17"/>
                <w:szCs w:val="17"/>
                <w:color w:val="auto"/>
              </w:rPr>
            </w:pPr>
          </w:p>
        </w:tc>
        <w:tc>
          <w:tcPr>
            <w:tcW w:w="1020" w:type="dxa"/>
            <w:vAlign w:val="bottom"/>
          </w:tcPr>
          <w:p>
            <w:pPr>
              <w:jc w:val="right"/>
              <w:ind w:right="523"/>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IMPAIRMENT</w:t>
            </w: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VALUE (1)</w:t>
            </w:r>
          </w:p>
        </w:tc>
        <w:tc>
          <w:tcPr>
            <w:tcW w:w="160" w:type="dxa"/>
            <w:vAlign w:val="bottom"/>
          </w:tcPr>
          <w:p>
            <w:pPr>
              <w:spacing w:after="0"/>
              <w:rPr>
                <w:sz w:val="17"/>
                <w:szCs w:val="17"/>
                <w:color w:val="auto"/>
              </w:rPr>
            </w:pPr>
          </w:p>
        </w:tc>
        <w:tc>
          <w:tcPr>
            <w:tcW w:w="1200" w:type="dxa"/>
            <w:vAlign w:val="bottom"/>
          </w:tcPr>
          <w:p>
            <w:pPr>
              <w:jc w:val="right"/>
              <w:ind w:right="123"/>
              <w:spacing w:after="0"/>
              <w:rPr>
                <w:sz w:val="20"/>
                <w:szCs w:val="20"/>
                <w:color w:val="auto"/>
              </w:rPr>
            </w:pPr>
            <w:r>
              <w:rPr>
                <w:rFonts w:ascii="Arial" w:cs="Arial" w:eastAsia="Arial" w:hAnsi="Arial"/>
                <w:sz w:val="14"/>
                <w:szCs w:val="14"/>
                <w:b w:val="1"/>
                <w:bCs w:val="1"/>
                <w:color w:val="auto"/>
              </w:rPr>
              <w:t>IMPAIRMENT</w:t>
            </w:r>
          </w:p>
        </w:tc>
        <w:tc>
          <w:tcPr>
            <w:tcW w:w="0" w:type="dxa"/>
            <w:vAlign w:val="bottom"/>
          </w:tcPr>
          <w:p>
            <w:pPr>
              <w:spacing w:after="0"/>
              <w:rPr>
                <w:sz w:val="1"/>
                <w:szCs w:val="1"/>
                <w:color w:val="auto"/>
              </w:rPr>
            </w:pPr>
          </w:p>
        </w:tc>
      </w:tr>
      <w:tr>
        <w:trPr>
          <w:trHeight w:val="237"/>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 held for sale</w:t>
            </w:r>
          </w:p>
        </w:tc>
        <w:tc>
          <w:tcPr>
            <w:tcW w:w="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Property, fixtures and equipment</w:t>
            </w:r>
          </w:p>
        </w:tc>
        <w:tc>
          <w:tcPr>
            <w:tcW w:w="3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320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2,221</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1,067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2,271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920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jc w:val="right"/>
              <w:ind w:right="4241"/>
              <w:spacing w:after="0"/>
              <w:rPr>
                <w:sz w:val="20"/>
                <w:szCs w:val="20"/>
                <w:color w:val="auto"/>
              </w:rPr>
            </w:pPr>
            <w:r>
              <w:rPr>
                <w:rFonts w:ascii="Arial" w:cs="Arial" w:eastAsia="Arial" w:hAnsi="Arial"/>
                <w:sz w:val="16"/>
                <w:szCs w:val="16"/>
                <w:color w:val="auto"/>
                <w:w w:val="89"/>
              </w:rPr>
              <w:t>________________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6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Carrying value approximates fair value with all assets measured using third-party market appraisals (Level 2).</w:t>
      </w:r>
    </w:p>
    <w:p>
      <w:pPr>
        <w:spacing w:after="0" w:line="214" w:lineRule="exact"/>
        <w:rPr>
          <w:sz w:val="20"/>
          <w:szCs w:val="20"/>
          <w:color w:val="auto"/>
        </w:rPr>
      </w:pPr>
    </w:p>
    <w:p>
      <w:pPr>
        <w:spacing w:after="0" w:line="260" w:lineRule="auto"/>
        <w:rPr>
          <w:sz w:val="20"/>
          <w:szCs w:val="20"/>
          <w:color w:val="auto"/>
        </w:rPr>
      </w:pPr>
      <w:r>
        <w:rPr>
          <w:rFonts w:ascii="Arial" w:cs="Arial" w:eastAsia="Arial" w:hAnsi="Arial"/>
          <w:sz w:val="20"/>
          <w:szCs w:val="20"/>
          <w:i w:val="1"/>
          <w:iCs w:val="1"/>
          <w:color w:val="auto"/>
        </w:rPr>
        <w:t xml:space="preserve">Interim Disclosures about Fair Value of Financial Instruments - </w:t>
      </w:r>
      <w:r>
        <w:rPr>
          <w:rFonts w:ascii="Arial" w:cs="Arial" w:eastAsia="Arial" w:hAnsi="Arial"/>
          <w:sz w:val="20"/>
          <w:szCs w:val="20"/>
          <w:color w:val="auto"/>
        </w:rPr>
        <w:t>The Company’s non-derivative financial instruments consist of cash</w:t>
      </w:r>
      <w:r>
        <w:rPr>
          <w:rFonts w:ascii="Arial" w:cs="Arial" w:eastAsia="Arial" w:hAnsi="Arial"/>
          <w:sz w:val="20"/>
          <w:szCs w:val="20"/>
          <w:i w:val="1"/>
          <w:iCs w:val="1"/>
          <w:color w:val="auto"/>
        </w:rPr>
        <w:t xml:space="preserve"> </w:t>
      </w:r>
      <w:r>
        <w:rPr>
          <w:rFonts w:ascii="Arial" w:cs="Arial" w:eastAsia="Arial" w:hAnsi="Arial"/>
          <w:sz w:val="20"/>
          <w:szCs w:val="20"/>
          <w:color w:val="auto"/>
        </w:rPr>
        <w:t>equivalents, restricted cash, accounts receivable, accounts payable and current and long-term debt. The</w:t>
      </w:r>
    </w:p>
    <w:p>
      <w:pPr>
        <w:sectPr>
          <w:pgSz w:w="11900" w:h="16838" w:orient="portrait"/>
          <w:cols w:equalWidth="0" w:num="1">
            <w:col w:w="11420"/>
          </w:cols>
          <w:pgMar w:left="240" w:top="121" w:right="239" w:bottom="1440" w:gutter="0" w:footer="0" w:header="0"/>
          <w:type w:val="continuous"/>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fair values of cash equivalents, restricted cash, accounts receivable and accounts payable approximate their carrying amounts reported in the Consolidated Balance Sheets due to their short duration.</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Debt is carried at amortized cost; however, the Company estimates the fair value of debt for disclosure purposes. The following table includes the carrying value and fair value of the Company’s debt by hierarchy level as of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9"/>
              </w:rPr>
              <w:t>APRIL 1, 2018</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8"/>
              </w:rPr>
              <w:t>DECEMBER 31, 2017</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CARRYING</w:t>
            </w:r>
          </w:p>
        </w:tc>
        <w:tc>
          <w:tcPr>
            <w:tcW w:w="14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4"/>
          </w:tcPr>
          <w:p>
            <w:pPr>
              <w:jc w:val="right"/>
              <w:ind w:right="781"/>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vMerge w:val="restart"/>
          </w:tcPr>
          <w:p>
            <w:pPr>
              <w:jc w:val="right"/>
              <w:ind w:right="143"/>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4"/>
          </w:tcPr>
          <w:p>
            <w:pPr>
              <w:jc w:val="right"/>
              <w:ind w:right="78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58"/>
        </w:trPr>
        <w:tc>
          <w:tcPr>
            <w:tcW w:w="3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1020" w:type="dxa"/>
            <w:vAlign w:val="bottom"/>
          </w:tcPr>
          <w:p>
            <w:pPr>
              <w:jc w:val="right"/>
              <w:ind w:right="241"/>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30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1020" w:type="dxa"/>
            <w:vAlign w:val="bottom"/>
          </w:tcPr>
          <w:p>
            <w:pPr>
              <w:jc w:val="right"/>
              <w:ind w:right="241"/>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Secured Credit Facility:</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Term loan 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493,750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496,219</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500,000</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502,500</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Revolving credit facility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631,000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629,423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600,000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598,500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Other notes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135</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904</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891</w:t>
            </w:r>
          </w:p>
        </w:tc>
        <w:tc>
          <w:tcPr>
            <w:tcW w:w="0" w:type="dxa"/>
            <w:vAlign w:val="bottom"/>
          </w:tcPr>
          <w:p>
            <w:pPr>
              <w:spacing w:after="0"/>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Fair value of debt is determined based on the following:</w:t>
      </w:r>
    </w:p>
    <w:p>
      <w:pPr>
        <w:spacing w:after="0" w:line="156" w:lineRule="exact"/>
        <w:rPr>
          <w:sz w:val="20"/>
          <w:szCs w:val="20"/>
          <w:color w:val="auto"/>
        </w:rPr>
      </w:pPr>
    </w:p>
    <w:p>
      <w:pPr>
        <w:ind w:left="40"/>
        <w:spacing w:after="0"/>
        <w:tabs>
          <w:tab w:leader="none" w:pos="2980" w:val="left"/>
        </w:tabs>
        <w:rPr>
          <w:sz w:val="20"/>
          <w:szCs w:val="20"/>
          <w:color w:val="auto"/>
        </w:rPr>
      </w:pPr>
      <w:r>
        <w:rPr>
          <w:rFonts w:ascii="Arial" w:cs="Arial" w:eastAsia="Arial" w:hAnsi="Arial"/>
          <w:sz w:val="14"/>
          <w:szCs w:val="14"/>
          <w:b w:val="1"/>
          <w:bCs w:val="1"/>
          <w:color w:val="auto"/>
        </w:rPr>
        <w:t>DEBT FACILITY</w:t>
      </w:r>
      <w:r>
        <w:rPr>
          <w:sz w:val="20"/>
          <w:szCs w:val="20"/>
          <w:color w:val="auto"/>
        </w:rPr>
        <w:tab/>
      </w:r>
      <w:r>
        <w:rPr>
          <w:rFonts w:ascii="Arial" w:cs="Arial" w:eastAsia="Arial" w:hAnsi="Arial"/>
          <w:sz w:val="14"/>
          <w:szCs w:val="14"/>
          <w:b w:val="1"/>
          <w:bCs w:val="1"/>
          <w:color w:val="auto"/>
        </w:rPr>
        <w:t>METHODS AND ASSUMPTIONS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Secured Credit Facility</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7040" w:type="dxa"/>
            <w:vAlign w:val="bottom"/>
            <w:tcBorders>
              <w:top w:val="single" w:sz="8" w:color="auto"/>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Quoted market prices in inactive markets.</w:t>
            </w:r>
          </w:p>
        </w:tc>
        <w:tc>
          <w:tcPr>
            <w:tcW w:w="1380" w:type="dxa"/>
            <w:vAlign w:val="bottom"/>
            <w:tcBorders>
              <w:top w:val="single" w:sz="8" w:color="auto"/>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24"/>
        </w:trPr>
        <w:tc>
          <w:tcPr>
            <w:tcW w:w="2980" w:type="dxa"/>
            <w:vAlign w:val="bottom"/>
            <w:gridSpan w:val="2"/>
          </w:tcPr>
          <w:p>
            <w:pPr>
              <w:ind w:left="40"/>
              <w:spacing w:after="0"/>
              <w:rPr>
                <w:sz w:val="20"/>
                <w:szCs w:val="20"/>
                <w:color w:val="auto"/>
              </w:rPr>
            </w:pPr>
            <w:r>
              <w:rPr>
                <w:rFonts w:ascii="Arial" w:cs="Arial" w:eastAsia="Arial" w:hAnsi="Arial"/>
                <w:sz w:val="16"/>
                <w:szCs w:val="16"/>
                <w:color w:val="auto"/>
              </w:rPr>
              <w:t>Other notes payable</w:t>
            </w:r>
          </w:p>
        </w:tc>
        <w:tc>
          <w:tcPr>
            <w:tcW w:w="8420" w:type="dxa"/>
            <w:vAlign w:val="bottom"/>
            <w:gridSpan w:val="4"/>
          </w:tcPr>
          <w:p>
            <w:pPr>
              <w:ind w:left="20"/>
              <w:spacing w:after="0"/>
              <w:rPr>
                <w:sz w:val="20"/>
                <w:szCs w:val="20"/>
                <w:color w:val="auto"/>
              </w:rPr>
            </w:pPr>
            <w:r>
              <w:rPr>
                <w:rFonts w:ascii="Arial" w:cs="Arial" w:eastAsia="Arial" w:hAnsi="Arial"/>
                <w:sz w:val="16"/>
                <w:szCs w:val="16"/>
                <w:color w:val="auto"/>
                <w:w w:val="99"/>
              </w:rPr>
              <w:t>Discounted cash flow approach with inputs that primarily include cost of debt interest rates used to determine fair value.</w:t>
            </w:r>
          </w:p>
        </w:tc>
        <w:tc>
          <w:tcPr>
            <w:tcW w:w="20" w:type="dxa"/>
            <w:vAlign w:val="bottom"/>
          </w:tcPr>
          <w:p>
            <w:pPr>
              <w:spacing w:after="0"/>
              <w:rPr>
                <w:sz w:val="19"/>
                <w:szCs w:val="19"/>
                <w:color w:val="auto"/>
              </w:rPr>
            </w:pPr>
          </w:p>
        </w:tc>
      </w:tr>
      <w:tr>
        <w:trPr>
          <w:trHeight w:val="496"/>
        </w:trPr>
        <w:tc>
          <w:tcPr>
            <w:tcW w:w="2980" w:type="dxa"/>
            <w:vAlign w:val="bottom"/>
            <w:gridSpan w:val="2"/>
          </w:tcPr>
          <w:p>
            <w:pPr>
              <w:spacing w:after="0"/>
              <w:rPr>
                <w:sz w:val="20"/>
                <w:szCs w:val="20"/>
                <w:color w:val="auto"/>
              </w:rPr>
            </w:pPr>
            <w:r>
              <w:rPr>
                <w:rFonts w:ascii="Arial" w:cs="Arial" w:eastAsia="Arial" w:hAnsi="Arial"/>
                <w:sz w:val="20"/>
                <w:szCs w:val="20"/>
                <w:color w:val="auto"/>
              </w:rPr>
              <w:t>12.  Income Taxes</w:t>
            </w:r>
          </w:p>
        </w:tc>
        <w:tc>
          <w:tcPr>
            <w:tcW w:w="5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24"/>
        </w:trPr>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780" w:type="dxa"/>
            <w:vAlign w:val="bottom"/>
            <w:tcBorders>
              <w:bottom w:val="single" w:sz="8" w:color="auto"/>
            </w:tcBorders>
            <w:gridSpan w:val="3"/>
          </w:tcPr>
          <w:p>
            <w:pPr>
              <w:jc w:val="right"/>
              <w:ind w:right="363"/>
              <w:spacing w:after="0"/>
              <w:rPr>
                <w:sz w:val="20"/>
                <w:szCs w:val="20"/>
                <w:color w:val="auto"/>
              </w:rPr>
            </w:pPr>
            <w:r>
              <w:rPr>
                <w:rFonts w:ascii="Arial" w:cs="Arial" w:eastAsia="Arial" w:hAnsi="Arial"/>
                <w:sz w:val="14"/>
                <w:szCs w:val="14"/>
                <w:b w:val="1"/>
                <w:bCs w:val="1"/>
                <w:color w:val="auto"/>
              </w:rPr>
              <w:t>THIRTEEN WEEKS ENDED</w:t>
            </w:r>
          </w:p>
        </w:tc>
        <w:tc>
          <w:tcPr>
            <w:tcW w:w="20" w:type="dxa"/>
            <w:vAlign w:val="bottom"/>
            <w:tcBorders>
              <w:bottom w:val="single" w:sz="8" w:color="auto"/>
            </w:tcBorders>
          </w:tcPr>
          <w:p>
            <w:pPr>
              <w:spacing w:after="0"/>
              <w:rPr>
                <w:sz w:val="24"/>
                <w:szCs w:val="24"/>
                <w:color w:val="auto"/>
              </w:rPr>
            </w:pPr>
          </w:p>
        </w:tc>
      </w:tr>
      <w:tr>
        <w:trPr>
          <w:trHeight w:val="264"/>
        </w:trPr>
        <w:tc>
          <w:tcPr>
            <w:tcW w:w="28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64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APRIL 1, 2018</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MARCH 26, 2017</w:t>
            </w:r>
          </w:p>
        </w:tc>
        <w:tc>
          <w:tcPr>
            <w:tcW w:w="20" w:type="dxa"/>
            <w:vAlign w:val="bottom"/>
            <w:tcBorders>
              <w:bottom w:val="single" w:sz="8" w:color="auto"/>
            </w:tcBorders>
          </w:tcPr>
          <w:p>
            <w:pPr>
              <w:spacing w:after="0"/>
              <w:rPr>
                <w:sz w:val="22"/>
                <w:szCs w:val="22"/>
                <w:color w:val="auto"/>
              </w:rPr>
            </w:pPr>
          </w:p>
        </w:tc>
      </w:tr>
      <w:tr>
        <w:trPr>
          <w:trHeight w:val="224"/>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Effective income tax rate</w:t>
            </w:r>
          </w:p>
        </w:tc>
        <w:tc>
          <w:tcPr>
            <w:tcW w:w="6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20" w:type="dxa"/>
            <w:vAlign w:val="bottom"/>
            <w:shd w:val="clear" w:color="auto" w:fill="CCEEFF"/>
          </w:tcPr>
          <w:p>
            <w:pPr>
              <w:spacing w:after="0"/>
              <w:rPr>
                <w:sz w:val="19"/>
                <w:szCs w:val="19"/>
                <w:color w:val="auto"/>
              </w:rPr>
            </w:pPr>
          </w:p>
        </w:tc>
      </w:tr>
      <w:tr>
        <w:trPr>
          <w:trHeight w:val="33"/>
        </w:trPr>
        <w:tc>
          <w:tcPr>
            <w:tcW w:w="2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effective income tax rate for the thirteen weeks ended April 1, 2018 decreased by 23.8 percentage points as compared to the thirteen weeks ended March 26, 2017. The decrease is primarily due to the reduction in the U.S. federal corporate tax rate from 35% to 21% as part of the legislation enacted in December 2017 known as the Tax Cuts and Jobs Act (the “Tax Act”), lower forecasted pre-tax income and excess tax benefits from equity-based compensation arrangements.</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has a blended federal and state statutory rate of approximately 26%. The effective income tax rate for the thirteen weeks ended April 1, 2018 was lower than the statutory rate primarily due to the benefit of tax credits for FICA taxes on certain employees’ tips and excess tax benefits from equity-based compensation arrangements.</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Company has applied guidance under SEC Staff Accounting Bulletin No. 118 which allows for a measurement period up to one year after the December 22, 2017 enactment date of the Tax Act to complete the accounting requirements. As of April 1, 2018, the Company made reasonable estimates of the effects of the Tax Act but has not completed its accounting for all tax effects. A provisional $7.5 million net tax expense was recorded during 2017. With the exception of the retrospective adjustment for the January 2018 adoption of ASU No. 2014-09, no adjustments were made to these provisional amounts during the thirteen weeks ended April 1, 2018. The Company is continuing to gather information and additional guidance is expected from the U.S. Treasury and state taxing authorities on the application of certain provisions of the Tax Act and will continue to make and refine its calculations as additional analysis is completed. The Company’s estimates may also be affected as it gains a more thorough understanding of the tax law. These changes could be material to income tax expense. The Company expects to complete its analysis within the year measurement period.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In connection with its analysis of the impact of the Tax Act, the Company recorded a provisional net tax expense of $7.5 million in December 2017, as described in the following table: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tcPr>
          <w:p>
            <w:pPr>
              <w:jc w:val="right"/>
              <w:ind w:right="522"/>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222"/>
        </w:trPr>
        <w:tc>
          <w:tcPr>
            <w:tcW w:w="92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86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Transition Tax (provisional)</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Net impact on U.S. deferred tax assets and liabilities (provisional) (1)</w:t>
            </w:r>
          </w:p>
        </w:tc>
        <w:tc>
          <w:tcPr>
            <w:tcW w:w="360" w:type="dxa"/>
            <w:vAlign w:val="bottom"/>
          </w:tcPr>
          <w:p>
            <w:pPr>
              <w:spacing w:after="0"/>
              <w:rPr>
                <w:sz w:val="19"/>
                <w:szCs w:val="19"/>
                <w:color w:val="auto"/>
              </w:rPr>
            </w:pPr>
          </w:p>
        </w:tc>
        <w:tc>
          <w:tcPr>
            <w:tcW w:w="1800" w:type="dxa"/>
            <w:vAlign w:val="bottom"/>
          </w:tcPr>
          <w:p>
            <w:pPr>
              <w:jc w:val="right"/>
              <w:ind w:right="22"/>
              <w:spacing w:after="0"/>
              <w:rPr>
                <w:sz w:val="20"/>
                <w:szCs w:val="20"/>
                <w:color w:val="auto"/>
              </w:rPr>
            </w:pPr>
            <w:r>
              <w:rPr>
                <w:rFonts w:ascii="Arial" w:cs="Arial" w:eastAsia="Arial" w:hAnsi="Arial"/>
                <w:sz w:val="16"/>
                <w:szCs w:val="16"/>
                <w:color w:val="auto"/>
              </w:rPr>
              <w:t>1,600</w:t>
            </w: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changes in deferred tax liability associated with anticipated repatriation taxes (provisional)</w:t>
            </w:r>
          </w:p>
        </w:tc>
        <w:tc>
          <w:tcPr>
            <w:tcW w:w="3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70"/>
        </w:trPr>
        <w:tc>
          <w:tcPr>
            <w:tcW w:w="9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Impact from the adoption of ASU No. 2014-09 (provisional)</w:t>
            </w:r>
          </w:p>
        </w:tc>
        <w:tc>
          <w:tcPr>
            <w:tcW w:w="3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5,600</w:t>
            </w:r>
          </w:p>
        </w:tc>
        <w:tc>
          <w:tcPr>
            <w:tcW w:w="0" w:type="dxa"/>
            <w:vAlign w:val="bottom"/>
          </w:tcPr>
          <w:p>
            <w:pPr>
              <w:spacing w:after="0"/>
              <w:rPr>
                <w:sz w:val="1"/>
                <w:szCs w:val="1"/>
                <w:color w:val="auto"/>
              </w:rPr>
            </w:pPr>
          </w:p>
        </w:tc>
      </w:tr>
      <w:tr>
        <w:trPr>
          <w:trHeight w:val="255"/>
        </w:trPr>
        <w:tc>
          <w:tcPr>
            <w:tcW w:w="9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7,500</w:t>
            </w:r>
          </w:p>
        </w:tc>
        <w:tc>
          <w:tcPr>
            <w:tcW w:w="0" w:type="dxa"/>
            <w:vAlign w:val="bottom"/>
          </w:tcPr>
          <w:p>
            <w:pPr>
              <w:spacing w:after="0"/>
              <w:rPr>
                <w:sz w:val="1"/>
                <w:szCs w:val="1"/>
                <w:color w:val="auto"/>
              </w:rPr>
            </w:pPr>
          </w:p>
        </w:tc>
      </w:tr>
      <w:tr>
        <w:trPr>
          <w:trHeight w:val="20"/>
        </w:trPr>
        <w:tc>
          <w:tcPr>
            <w:tcW w:w="9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2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line="290" w:lineRule="auto"/>
        <w:tabs>
          <w:tab w:leader="none" w:pos="6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Includes $4.7 million of expense for a valuation allowance recorded against foreign tax credit carryforwards, $3.9 million of benefit from the impact of the corporate rate reduction on net deferred tax liability balances, and an expense of $0.8 million for the write-off of certain deferred tax assets that will no longer be realized.</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Items considered provisional include:</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Reduction of U.S. Federal Corporate Income Tax Rate </w:t>
      </w:r>
      <w:r>
        <w:rPr>
          <w:rFonts w:ascii="Arial" w:cs="Arial" w:eastAsia="Arial" w:hAnsi="Arial"/>
          <w:sz w:val="19"/>
          <w:szCs w:val="19"/>
          <w:color w:val="auto"/>
        </w:rPr>
        <w:t>- The Tax Act reduced the corporate income tax rate to 21%, effective January 1, 2018.</w:t>
      </w:r>
      <w:r>
        <w:rPr>
          <w:rFonts w:ascii="Arial" w:cs="Arial" w:eastAsia="Arial" w:hAnsi="Arial"/>
          <w:sz w:val="19"/>
          <w:szCs w:val="19"/>
          <w:i w:val="1"/>
          <w:iCs w:val="1"/>
          <w:color w:val="auto"/>
        </w:rPr>
        <w:t xml:space="preserve"> </w:t>
      </w:r>
      <w:r>
        <w:rPr>
          <w:rFonts w:ascii="Arial" w:cs="Arial" w:eastAsia="Arial" w:hAnsi="Arial"/>
          <w:sz w:val="19"/>
          <w:szCs w:val="19"/>
          <w:color w:val="auto"/>
        </w:rPr>
        <w:t>While the Company is able to make a reasonable estimate of the impact of the reduction in corporate rate on its deferred tax assets and liabilities, it may be affected by other analyses related to the Tax Act, including, but not limited to, its calculation of deemed repatriation of deferred foreign income and the state tax effect of adjustments made to federal temporary differences.</w:t>
      </w:r>
    </w:p>
    <w:p>
      <w:pPr>
        <w:spacing w:after="0" w:line="17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i w:val="1"/>
          <w:iCs w:val="1"/>
          <w:color w:val="auto"/>
        </w:rPr>
        <w:t xml:space="preserve">Deemed Repatriation Transition Tax </w:t>
      </w:r>
      <w:r>
        <w:rPr>
          <w:rFonts w:ascii="Arial" w:cs="Arial" w:eastAsia="Arial" w:hAnsi="Arial"/>
          <w:sz w:val="18"/>
          <w:szCs w:val="18"/>
          <w:color w:val="auto"/>
        </w:rPr>
        <w:t>- The Deemed Repatriation Transition Tax (“Transition Tax”) is a tax on previously untaxed accumulated</w:t>
      </w:r>
      <w:r>
        <w:rPr>
          <w:rFonts w:ascii="Arial" w:cs="Arial" w:eastAsia="Arial" w:hAnsi="Arial"/>
          <w:sz w:val="18"/>
          <w:szCs w:val="18"/>
          <w:i w:val="1"/>
          <w:iCs w:val="1"/>
          <w:color w:val="auto"/>
        </w:rPr>
        <w:t xml:space="preserve"> </w:t>
      </w:r>
      <w:r>
        <w:rPr>
          <w:rFonts w:ascii="Arial" w:cs="Arial" w:eastAsia="Arial" w:hAnsi="Arial"/>
          <w:sz w:val="18"/>
          <w:szCs w:val="18"/>
          <w:color w:val="auto"/>
        </w:rPr>
        <w:t>and current earnings and profits (“E&amp;P”) of the Company’s foreign subsidiaries. To determine the amount of the Transition Tax, the Company must determine, in addition to other factors, the amount of post-1986 E&amp;P of the relevant subsidiaries, as well as the amount of non-U.S. income taxes paid on such earnings. The Company is able to make a reasonable estimate of the Transition Tax and recorded a provisional amount. Due to the ability to utilize foreign tax credits in the calculation of the Transition Tax, the obligation primarily related to the estimated state impacts. However, the Company is continuing to gather additional information. Additional guidance from the U.S. Treasury and state taxing authorities on the application of certain provisions of the Tax Act is expected in the future.</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Valuation Allowances </w:t>
      </w:r>
      <w:r>
        <w:rPr>
          <w:rFonts w:ascii="Arial" w:cs="Arial" w:eastAsia="Arial" w:hAnsi="Arial"/>
          <w:sz w:val="20"/>
          <w:szCs w:val="20"/>
          <w:color w:val="auto"/>
        </w:rPr>
        <w:t>- The Company must assess whether its valuation allowance analyses or deferred tax assets are affected by various</w:t>
      </w:r>
      <w:r>
        <w:rPr>
          <w:rFonts w:ascii="Arial" w:cs="Arial" w:eastAsia="Arial" w:hAnsi="Arial"/>
          <w:sz w:val="20"/>
          <w:szCs w:val="20"/>
          <w:i w:val="1"/>
          <w:iCs w:val="1"/>
          <w:color w:val="auto"/>
        </w:rPr>
        <w:t xml:space="preserve"> </w:t>
      </w:r>
      <w:r>
        <w:rPr>
          <w:rFonts w:ascii="Arial" w:cs="Arial" w:eastAsia="Arial" w:hAnsi="Arial"/>
          <w:sz w:val="20"/>
          <w:szCs w:val="20"/>
          <w:color w:val="auto"/>
        </w:rPr>
        <w:t>aspects of the Tax Act (e.g., deemed repatriation of deferred foreign income, GILTI inclusions and new categories of FTCs). While the Company did record an additional valuation allowance against foreign tax credit carryforwards, the Company has recorded provisional amounts related to certain portions of the Tax Act and any corresponding determination of the need for a change in a valuation allowance is also provisional.</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For tax years beginning after December 31, 2017, the Tax Act subjects a U.S. shareholder to tax on global intangible low-taxed income (“GILTI”) earned by certain foreign subsidiaries. The FASB Staff Q&amp;A, Topic 740, No. 5, Accounting for Global Intangible Low-Taxed Income, states that an entity can make an accounting policy election to either recognize deferred taxes for temporary basis differences expected to reverse as GILTI in future years or provide for the tax expense related to GILTI in the year the tax is incurred. As of April 1, 2018, the Company has not yet determined its accounting policy with regard to GILTI, and does not expect GILTI in 2018.</w:t>
      </w:r>
    </w:p>
    <w:p>
      <w:pPr>
        <w:spacing w:after="0" w:line="194"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6"/>
          <w:szCs w:val="16"/>
          <w:color w:val="auto"/>
        </w:rPr>
        <w:t>Commitments and Contingencies</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Litigation and Other Matters - </w:t>
      </w:r>
      <w:r>
        <w:rPr>
          <w:rFonts w:ascii="Arial" w:cs="Arial" w:eastAsia="Arial" w:hAnsi="Arial"/>
          <w:sz w:val="20"/>
          <w:szCs w:val="20"/>
          <w:color w:val="auto"/>
        </w:rPr>
        <w:t>The Company had $5.0 million and $4.3 million of liabilities recorded for various legal matters as of April 1,</w:t>
      </w:r>
      <w:r>
        <w:rPr>
          <w:rFonts w:ascii="Arial" w:cs="Arial" w:eastAsia="Arial" w:hAnsi="Arial"/>
          <w:sz w:val="20"/>
          <w:szCs w:val="20"/>
          <w:i w:val="1"/>
          <w:iCs w:val="1"/>
          <w:color w:val="auto"/>
        </w:rPr>
        <w:t xml:space="preserve"> </w:t>
      </w:r>
      <w:r>
        <w:rPr>
          <w:rFonts w:ascii="Arial" w:cs="Arial" w:eastAsia="Arial" w:hAnsi="Arial"/>
          <w:sz w:val="20"/>
          <w:szCs w:val="20"/>
          <w:color w:val="auto"/>
        </w:rPr>
        <w:t>2018 and December 31, 2017, respectively.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The Company is subject to legal proceedings, claims and liabilities, such as liquor liability, slip and fall cases, wage-and-hour and other employment-related litigation, which arise in the ordinary course of business and are generally covered by insurance if they exceed specified retention or deductible amounts. In the opinion of management, the amount of ultimate liability with respect to those actions will not have a material adverse impact on the Company’s financial position or results of operations and cash flows.</w:t>
      </w:r>
    </w:p>
    <w:p>
      <w:pPr>
        <w:spacing w:after="0" w:line="205"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i w:val="1"/>
          <w:iCs w:val="1"/>
          <w:color w:val="auto"/>
        </w:rPr>
        <w:t xml:space="preserve">Lease Guarantees </w:t>
      </w:r>
      <w:r>
        <w:rPr>
          <w:rFonts w:ascii="Arial" w:cs="Arial" w:eastAsia="Arial" w:hAnsi="Arial"/>
          <w:sz w:val="20"/>
          <w:szCs w:val="20"/>
          <w:color w:val="auto"/>
        </w:rPr>
        <w:t>- The Company assigned its interest, and is contingently liable, under certain real estate leases. These leases have varying</w:t>
      </w:r>
      <w:r>
        <w:rPr>
          <w:rFonts w:ascii="Arial" w:cs="Arial" w:eastAsia="Arial" w:hAnsi="Arial"/>
          <w:sz w:val="20"/>
          <w:szCs w:val="20"/>
          <w:i w:val="1"/>
          <w:iCs w:val="1"/>
          <w:color w:val="auto"/>
        </w:rPr>
        <w:t xml:space="preserve"> </w:t>
      </w:r>
      <w:r>
        <w:rPr>
          <w:rFonts w:ascii="Arial" w:cs="Arial" w:eastAsia="Arial" w:hAnsi="Arial"/>
          <w:sz w:val="20"/>
          <w:szCs w:val="20"/>
          <w:color w:val="auto"/>
        </w:rPr>
        <w:t>terms, the latest of which expires in 2032. As of April 1, 2018, the undiscounted payments the Company could be required to make in the event of non-payment by the primary lessees was approximately $28.8 million. The present value of these potential payments discounted at the Company’s incremental borrowing rate as of April 1, 2018 was approximately $19.8 million. In the event of default, the indemnity clauses in the Company’s purchase and sale agreements govern its ability to pursue and recover damages incurred. The Company believes the financial strength and operating history of the buyers significantly reduces the risk that it will be required to make payments under these leases. Accordingly, no liability has been recorded.</w:t>
      </w:r>
    </w:p>
    <w:p>
      <w:pPr>
        <w:spacing w:after="0" w:line="20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6"/>
          <w:szCs w:val="16"/>
          <w:color w:val="auto"/>
        </w:rPr>
        <w:t>Segment Reporting</w:t>
      </w:r>
    </w:p>
    <w:p>
      <w:pPr>
        <w:spacing w:after="0" w:line="229"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Company has two reportable segments, U.S. and International, which reflects how the Company manages its business, reviews operating performance and allocates resources. The U.S. segment includes all brands operating in the U.S. while brands operating outside the U.S. are included in the International segment. Resources are allocated and performance is assessed by the Company’s Chief Executive Officer (“CEO”), whom the Company has determined to be its Chief Operating Decision Maker (“CODM”). Following is a summary of reporting segments: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 w:type="dxa"/>
            <w:vAlign w:val="bottom"/>
          </w:tcPr>
          <w:p>
            <w:pPr>
              <w:spacing w:after="0"/>
              <w:rPr>
                <w:sz w:val="17"/>
                <w:szCs w:val="17"/>
                <w:color w:val="auto"/>
              </w:rPr>
            </w:pPr>
          </w:p>
        </w:tc>
        <w:tc>
          <w:tcPr>
            <w:tcW w:w="2600" w:type="dxa"/>
            <w:vAlign w:val="bottom"/>
          </w:tcPr>
          <w:p>
            <w:pPr>
              <w:spacing w:after="0"/>
              <w:rPr>
                <w:sz w:val="20"/>
                <w:szCs w:val="20"/>
                <w:color w:val="auto"/>
              </w:rPr>
            </w:pPr>
            <w:r>
              <w:rPr>
                <w:rFonts w:ascii="Arial" w:cs="Arial" w:eastAsia="Arial" w:hAnsi="Arial"/>
                <w:sz w:val="14"/>
                <w:szCs w:val="14"/>
                <w:b w:val="1"/>
                <w:bCs w:val="1"/>
                <w:color w:val="auto"/>
              </w:rPr>
              <w:t>SEGMENT (1)</w:t>
            </w:r>
          </w:p>
        </w:tc>
        <w:tc>
          <w:tcPr>
            <w:tcW w:w="120" w:type="dxa"/>
            <w:vAlign w:val="bottom"/>
          </w:tcPr>
          <w:p>
            <w:pPr>
              <w:spacing w:after="0"/>
              <w:rPr>
                <w:sz w:val="17"/>
                <w:szCs w:val="17"/>
                <w:color w:val="auto"/>
              </w:rPr>
            </w:pPr>
          </w:p>
        </w:tc>
        <w:tc>
          <w:tcPr>
            <w:tcW w:w="4800" w:type="dxa"/>
            <w:vAlign w:val="bottom"/>
            <w:gridSpan w:val="2"/>
          </w:tcPr>
          <w:p>
            <w:pPr>
              <w:ind w:left="20"/>
              <w:spacing w:after="0"/>
              <w:rPr>
                <w:sz w:val="20"/>
                <w:szCs w:val="20"/>
                <w:color w:val="auto"/>
              </w:rPr>
            </w:pPr>
            <w:r>
              <w:rPr>
                <w:rFonts w:ascii="Arial" w:cs="Arial" w:eastAsia="Arial" w:hAnsi="Arial"/>
                <w:sz w:val="14"/>
                <w:szCs w:val="14"/>
                <w:b w:val="1"/>
                <w:bCs w:val="1"/>
                <w:color w:val="auto"/>
              </w:rPr>
              <w:t>CONCEPT</w:t>
            </w:r>
          </w:p>
        </w:tc>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GEOGRAPHIC LOCATION</w:t>
            </w: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2600" w:type="dxa"/>
            <w:vAlign w:val="bottom"/>
            <w:tcBorders>
              <w:top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U.S.</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4680" w:type="dxa"/>
            <w:vAlign w:val="bottom"/>
            <w:tcBorders>
              <w:top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Outback Steakhouse</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3880" w:type="dxa"/>
            <w:vAlign w:val="bottom"/>
            <w:tcBorders>
              <w:top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Borders>
              <w:right w:val="single" w:sz="8" w:color="auto"/>
            </w:tcBorders>
          </w:tcPr>
          <w:p>
            <w:pPr>
              <w:spacing w:after="0"/>
              <w:rPr>
                <w:sz w:val="23"/>
                <w:szCs w:val="23"/>
                <w:color w:val="auto"/>
              </w:rPr>
            </w:pPr>
          </w:p>
        </w:tc>
        <w:tc>
          <w:tcPr>
            <w:tcW w:w="2600" w:type="dxa"/>
            <w:vAlign w:val="bottom"/>
            <w:tcBorders>
              <w:right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468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Carrabba’s Italian Grill</w:t>
            </w:r>
          </w:p>
        </w:tc>
        <w:tc>
          <w:tcPr>
            <w:tcW w:w="120" w:type="dxa"/>
            <w:vAlign w:val="bottom"/>
            <w:tcBorders>
              <w:right w:val="single" w:sz="8" w:color="auto"/>
            </w:tcBorders>
            <w:shd w:val="clear" w:color="auto" w:fill="CCEEFF"/>
          </w:tcPr>
          <w:p>
            <w:pPr>
              <w:spacing w:after="0"/>
              <w:rPr>
                <w:sz w:val="23"/>
                <w:szCs w:val="23"/>
                <w:color w:val="auto"/>
              </w:rPr>
            </w:pPr>
          </w:p>
        </w:tc>
        <w:tc>
          <w:tcPr>
            <w:tcW w:w="388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680" w:type="dxa"/>
            <w:vAlign w:val="bottom"/>
            <w:tcBorders>
              <w:right w:val="single" w:sz="8" w:color="auto"/>
            </w:tcBorders>
            <w:vMerge w:val="restart"/>
            <w:shd w:val="clear" w:color="auto" w:fill="CCEEFF"/>
          </w:tcPr>
          <w:p>
            <w:pPr>
              <w:ind w:left="40"/>
              <w:spacing w:after="0"/>
              <w:rPr>
                <w:sz w:val="20"/>
                <w:szCs w:val="20"/>
                <w:color w:val="auto"/>
              </w:rPr>
            </w:pPr>
            <w:r>
              <w:rPr>
                <w:rFonts w:ascii="Arial" w:cs="Arial" w:eastAsia="Arial" w:hAnsi="Arial"/>
                <w:sz w:val="16"/>
                <w:szCs w:val="16"/>
                <w:color w:val="auto"/>
              </w:rPr>
              <w:t>Bonefish Grill</w:t>
            </w:r>
          </w:p>
        </w:tc>
        <w:tc>
          <w:tcPr>
            <w:tcW w:w="120" w:type="dxa"/>
            <w:vAlign w:val="bottom"/>
            <w:tcBorders>
              <w:right w:val="single" w:sz="8" w:color="auto"/>
            </w:tcBorders>
            <w:shd w:val="clear" w:color="auto" w:fill="CCEEFF"/>
          </w:tcPr>
          <w:p>
            <w:pPr>
              <w:spacing w:after="0"/>
              <w:rPr>
                <w:sz w:val="11"/>
                <w:szCs w:val="11"/>
                <w:color w:val="auto"/>
              </w:rPr>
            </w:pPr>
          </w:p>
        </w:tc>
        <w:tc>
          <w:tcPr>
            <w:tcW w:w="388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680" w:type="dxa"/>
            <w:vAlign w:val="bottom"/>
            <w:tcBorders>
              <w:right w:val="single" w:sz="8" w:color="auto"/>
            </w:tcBorders>
            <w:vMerge w:val="continue"/>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388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3"/>
        </w:trPr>
        <w:tc>
          <w:tcPr>
            <w:tcW w:w="40" w:type="dxa"/>
            <w:vAlign w:val="bottom"/>
            <w:tcBorders>
              <w:right w:val="single" w:sz="8" w:color="auto"/>
            </w:tcBorders>
          </w:tcPr>
          <w:p>
            <w:pPr>
              <w:spacing w:after="0"/>
              <w:rPr>
                <w:sz w:val="24"/>
                <w:szCs w:val="24"/>
                <w:color w:val="auto"/>
              </w:rPr>
            </w:pPr>
          </w:p>
        </w:tc>
        <w:tc>
          <w:tcPr>
            <w:tcW w:w="2600" w:type="dxa"/>
            <w:vAlign w:val="bottom"/>
            <w:tcBorders>
              <w:bottom w:val="single" w:sz="8" w:color="CCEEFF"/>
              <w:right w:val="single" w:sz="8" w:color="auto"/>
            </w:tcBorders>
            <w:shd w:val="clear" w:color="auto" w:fill="CCEEFF"/>
          </w:tcPr>
          <w:p>
            <w:pPr>
              <w:spacing w:after="0"/>
              <w:rPr>
                <w:sz w:val="24"/>
                <w:szCs w:val="24"/>
                <w:color w:val="auto"/>
              </w:rPr>
            </w:pP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46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Fleming’s Prime Steakhouse &amp; Wine Bar</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3880" w:type="dxa"/>
            <w:vAlign w:val="bottom"/>
            <w:tcBorders>
              <w:bottom w:val="single" w:sz="8" w:color="CCEEFF"/>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260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International</w:t>
            </w:r>
          </w:p>
        </w:tc>
        <w:tc>
          <w:tcPr>
            <w:tcW w:w="120" w:type="dxa"/>
            <w:vAlign w:val="bottom"/>
            <w:tcBorders>
              <w:right w:val="single" w:sz="8" w:color="auto"/>
            </w:tcBorders>
          </w:tcPr>
          <w:p>
            <w:pPr>
              <w:spacing w:after="0"/>
              <w:rPr>
                <w:sz w:val="18"/>
                <w:szCs w:val="18"/>
                <w:color w:val="auto"/>
              </w:rPr>
            </w:pPr>
          </w:p>
        </w:tc>
        <w:tc>
          <w:tcPr>
            <w:tcW w:w="46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Outback Steakhouse</w:t>
            </w:r>
          </w:p>
        </w:tc>
        <w:tc>
          <w:tcPr>
            <w:tcW w:w="120" w:type="dxa"/>
            <w:vAlign w:val="bottom"/>
            <w:tcBorders>
              <w:right w:val="single" w:sz="8" w:color="auto"/>
            </w:tcBorders>
          </w:tcPr>
          <w:p>
            <w:pPr>
              <w:spacing w:after="0"/>
              <w:rPr>
                <w:sz w:val="18"/>
                <w:szCs w:val="18"/>
                <w:color w:val="auto"/>
              </w:rPr>
            </w:pPr>
          </w:p>
        </w:tc>
        <w:tc>
          <w:tcPr>
            <w:tcW w:w="38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 Hong Kong, China</w:t>
            </w:r>
          </w:p>
        </w:tc>
        <w:tc>
          <w:tcPr>
            <w:tcW w:w="0" w:type="dxa"/>
            <w:vAlign w:val="bottom"/>
          </w:tcPr>
          <w:p>
            <w:pPr>
              <w:spacing w:after="0"/>
              <w:rPr>
                <w:sz w:val="1"/>
                <w:szCs w:val="1"/>
                <w:color w:val="auto"/>
              </w:rPr>
            </w:pPr>
          </w:p>
        </w:tc>
      </w:tr>
      <w:tr>
        <w:trPr>
          <w:trHeight w:val="33"/>
        </w:trPr>
        <w:tc>
          <w:tcPr>
            <w:tcW w:w="40" w:type="dxa"/>
            <w:vAlign w:val="bottom"/>
            <w:tcBorders>
              <w:right w:val="single" w:sz="8" w:color="auto"/>
            </w:tcBorders>
          </w:tcPr>
          <w:p>
            <w:pPr>
              <w:spacing w:after="0"/>
              <w:rPr>
                <w:sz w:val="2"/>
                <w:szCs w:val="2"/>
                <w:color w:val="auto"/>
              </w:rPr>
            </w:pPr>
          </w:p>
        </w:tc>
        <w:tc>
          <w:tcPr>
            <w:tcW w:w="260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Carrabba’s Italian Grill (Abbraccio)</w:t>
            </w:r>
          </w:p>
        </w:tc>
        <w:tc>
          <w:tcPr>
            <w:tcW w:w="1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33"/>
        </w:trPr>
        <w:tc>
          <w:tcPr>
            <w:tcW w:w="40" w:type="dxa"/>
            <w:vAlign w:val="bottom"/>
            <w:tcBorders>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600" w:type="dxa"/>
            <w:vAlign w:val="bottom"/>
          </w:tcPr>
          <w:p>
            <w:pPr>
              <w:jc w:val="right"/>
              <w:ind w:right="1181"/>
              <w:spacing w:after="0"/>
              <w:rPr>
                <w:sz w:val="20"/>
                <w:szCs w:val="20"/>
                <w:color w:val="auto"/>
              </w:rPr>
            </w:pPr>
            <w:r>
              <w:rPr>
                <w:rFonts w:ascii="Arial" w:cs="Arial" w:eastAsia="Arial" w:hAnsi="Arial"/>
                <w:sz w:val="16"/>
                <w:szCs w:val="16"/>
                <w:color w:val="auto"/>
                <w:w w:val="87"/>
              </w:rPr>
              <w:t>_________________</w:t>
            </w:r>
          </w:p>
        </w:tc>
        <w:tc>
          <w:tcPr>
            <w:tcW w:w="1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franchise locations.</w:t>
      </w:r>
    </w:p>
    <w:p>
      <w:pPr>
        <w:spacing w:after="0" w:line="21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Segment accounting policies are the same as those described in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Company’s Annual Report on Form 10-K for the year ended December 31, 2017. Revenues for all segments include only transactions with customers and exclude intersegment revenues. Excluded from net income from operations for U.S. and International are certain legal and corporate costs not directly related to the performance of the segments, stock-based compensation expenses and certain bonus expenses.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summary of Total revenue by segment: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7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343"/>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1, 2018</w:t>
            </w:r>
          </w:p>
        </w:tc>
        <w:tc>
          <w:tcPr>
            <w:tcW w:w="120" w:type="dxa"/>
            <w:vAlign w:val="bottom"/>
          </w:tcPr>
          <w:p>
            <w:pPr>
              <w:spacing w:after="0"/>
              <w:rPr>
                <w:sz w:val="22"/>
                <w:szCs w:val="22"/>
                <w:color w:val="auto"/>
              </w:rPr>
            </w:pPr>
          </w:p>
        </w:tc>
        <w:tc>
          <w:tcPr>
            <w:tcW w:w="1240" w:type="dxa"/>
            <w:vAlign w:val="bottom"/>
          </w:tcPr>
          <w:p>
            <w:pPr>
              <w:jc w:val="right"/>
              <w:ind w:right="43"/>
              <w:spacing w:after="0"/>
              <w:rPr>
                <w:sz w:val="20"/>
                <w:szCs w:val="20"/>
                <w:color w:val="auto"/>
              </w:rPr>
            </w:pPr>
            <w:r>
              <w:rPr>
                <w:rFonts w:ascii="Arial" w:cs="Arial" w:eastAsia="Arial" w:hAnsi="Arial"/>
                <w:sz w:val="14"/>
                <w:szCs w:val="14"/>
                <w:b w:val="1"/>
                <w:bCs w:val="1"/>
                <w:color w:val="auto"/>
                <w:w w:val="99"/>
              </w:rPr>
              <w:t>MARCH 26, 2017</w:t>
            </w:r>
          </w:p>
        </w:tc>
        <w:tc>
          <w:tcPr>
            <w:tcW w:w="0" w:type="dxa"/>
            <w:vAlign w:val="bottom"/>
          </w:tcPr>
          <w:p>
            <w:pPr>
              <w:spacing w:after="0"/>
              <w:rPr>
                <w:sz w:val="1"/>
                <w:szCs w:val="1"/>
                <w:color w:val="auto"/>
              </w:rPr>
            </w:pPr>
          </w:p>
        </w:tc>
      </w:tr>
      <w:tr>
        <w:trPr>
          <w:trHeight w:val="289"/>
        </w:trPr>
        <w:tc>
          <w:tcPr>
            <w:tcW w:w="870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(Restated) (1)</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86"/>
                <w:shd w:val="clear" w:color="auto" w:fill="CCEEFF"/>
              </w:rPr>
              <w:t>Total revenues</w:t>
            </w:r>
          </w:p>
        </w:tc>
        <w:tc>
          <w:tcPr>
            <w:tcW w:w="7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8660" w:type="dxa"/>
            <w:vAlign w:val="bottom"/>
            <w:gridSpan w:val="2"/>
          </w:tcPr>
          <w:p>
            <w:pPr>
              <w:ind w:left="240"/>
              <w:spacing w:after="0"/>
              <w:rPr>
                <w:sz w:val="20"/>
                <w:szCs w:val="20"/>
                <w:color w:val="auto"/>
              </w:rPr>
            </w:pPr>
            <w:r>
              <w:rPr>
                <w:rFonts w:ascii="Arial" w:cs="Arial" w:eastAsia="Arial" w:hAnsi="Arial"/>
                <w:sz w:val="16"/>
                <w:szCs w:val="16"/>
                <w:color w:val="auto"/>
              </w:rPr>
              <w:t>U.S.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998,707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1,043,673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6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International</w:t>
            </w: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117,758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111,038</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660" w:type="dxa"/>
            <w:vAlign w:val="bottom"/>
            <w:gridSpan w:val="2"/>
          </w:tcPr>
          <w:p>
            <w:pPr>
              <w:ind w:left="46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1,116,465</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1,154,711</w:t>
            </w:r>
          </w:p>
        </w:tc>
        <w:tc>
          <w:tcPr>
            <w:tcW w:w="0" w:type="dxa"/>
            <w:vAlign w:val="bottom"/>
          </w:tcPr>
          <w:p>
            <w:pPr>
              <w:spacing w:after="0"/>
              <w:rPr>
                <w:sz w:val="1"/>
                <w:szCs w:val="1"/>
                <w:color w:val="auto"/>
              </w:rPr>
            </w:pPr>
          </w:p>
        </w:tc>
      </w:tr>
      <w:tr>
        <w:trPr>
          <w:trHeight w:val="20"/>
        </w:trPr>
        <w:tc>
          <w:tcPr>
            <w:tcW w:w="8700" w:type="dxa"/>
            <w:vAlign w:val="bottom"/>
            <w:gridSpan w:val="3"/>
            <w:vMerge w:val="restart"/>
          </w:tcPr>
          <w:p>
            <w:pPr>
              <w:jc w:val="right"/>
              <w:ind w:right="7080"/>
              <w:spacing w:after="0"/>
              <w:rPr>
                <w:sz w:val="20"/>
                <w:szCs w:val="20"/>
                <w:color w:val="auto"/>
              </w:rPr>
            </w:pPr>
            <w:r>
              <w:rPr>
                <w:rFonts w:ascii="Arial" w:cs="Arial" w:eastAsia="Arial" w:hAnsi="Arial"/>
                <w:sz w:val="16"/>
                <w:szCs w:val="16"/>
                <w:color w:val="auto"/>
                <w:w w:val="89"/>
              </w:rPr>
              <w:t>____________________</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7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See Note 1 - </w:t>
      </w:r>
      <w:r>
        <w:rPr>
          <w:rFonts w:ascii="Arial" w:cs="Arial" w:eastAsia="Arial" w:hAnsi="Arial"/>
          <w:sz w:val="16"/>
          <w:szCs w:val="16"/>
          <w:i w:val="1"/>
          <w:iCs w:val="1"/>
          <w:color w:val="auto"/>
        </w:rPr>
        <w:t>Description of the Business and Basis of Presentation</w:t>
      </w:r>
      <w:r>
        <w:rPr>
          <w:rFonts w:ascii="Arial" w:cs="Arial" w:eastAsia="Arial" w:hAnsi="Arial"/>
          <w:sz w:val="16"/>
          <w:szCs w:val="16"/>
          <w:color w:val="auto"/>
        </w:rPr>
        <w:t xml:space="preserve"> for details of the impact of implementing ASU No. 2014-09.</w:t>
      </w:r>
    </w:p>
    <w:p>
      <w:pPr>
        <w:spacing w:after="0" w:line="243"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23</w:t>
      </w:r>
    </w:p>
    <w:p>
      <w:pPr>
        <w:sectPr>
          <w:pgSz w:w="11900" w:h="16838" w:orient="portrait"/>
          <w:cols w:equalWidth="0" w:num="1">
            <w:col w:w="11440"/>
          </w:cols>
          <w:pgMar w:left="240" w:top="121" w:right="21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reconciliation of Segment income from operations to Income before Provision for income taxes: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7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341"/>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258"/>
        </w:trPr>
        <w:tc>
          <w:tcPr>
            <w:tcW w:w="8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1, 2018</w:t>
            </w:r>
          </w:p>
        </w:tc>
        <w:tc>
          <w:tcPr>
            <w:tcW w:w="120" w:type="dxa"/>
            <w:vAlign w:val="bottom"/>
          </w:tcPr>
          <w:p>
            <w:pPr>
              <w:spacing w:after="0"/>
              <w:rPr>
                <w:sz w:val="22"/>
                <w:szCs w:val="22"/>
                <w:color w:val="auto"/>
              </w:rPr>
            </w:pPr>
          </w:p>
        </w:tc>
        <w:tc>
          <w:tcPr>
            <w:tcW w:w="1240" w:type="dxa"/>
            <w:vAlign w:val="bottom"/>
          </w:tcPr>
          <w:p>
            <w:pPr>
              <w:jc w:val="right"/>
              <w:ind w:right="41"/>
              <w:spacing w:after="0"/>
              <w:rPr>
                <w:sz w:val="20"/>
                <w:szCs w:val="20"/>
                <w:color w:val="auto"/>
              </w:rPr>
            </w:pPr>
            <w:r>
              <w:rPr>
                <w:rFonts w:ascii="Arial" w:cs="Arial" w:eastAsia="Arial" w:hAnsi="Arial"/>
                <w:sz w:val="14"/>
                <w:szCs w:val="14"/>
                <w:b w:val="1"/>
                <w:bCs w:val="1"/>
                <w:color w:val="auto"/>
                <w:w w:val="99"/>
              </w:rPr>
              <w:t>MARCH 26, 2017</w:t>
            </w:r>
          </w:p>
        </w:tc>
        <w:tc>
          <w:tcPr>
            <w:tcW w:w="0" w:type="dxa"/>
            <w:vAlign w:val="bottom"/>
          </w:tcPr>
          <w:p>
            <w:pPr>
              <w:spacing w:after="0"/>
              <w:rPr>
                <w:sz w:val="1"/>
                <w:szCs w:val="1"/>
                <w:color w:val="auto"/>
              </w:rPr>
            </w:pPr>
          </w:p>
        </w:tc>
      </w:tr>
      <w:tr>
        <w:trPr>
          <w:trHeight w:val="289"/>
        </w:trPr>
        <w:tc>
          <w:tcPr>
            <w:tcW w:w="8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(Restated) (1)</w:t>
            </w: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income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700" w:type="dxa"/>
            <w:vAlign w:val="bottom"/>
          </w:tcPr>
          <w:p>
            <w:pPr>
              <w:ind w:left="280"/>
              <w:spacing w:after="0"/>
              <w:rPr>
                <w:sz w:val="20"/>
                <w:szCs w:val="20"/>
                <w:color w:val="auto"/>
              </w:rPr>
            </w:pPr>
            <w:r>
              <w:rPr>
                <w:rFonts w:ascii="Arial" w:cs="Arial" w:eastAsia="Arial" w:hAnsi="Arial"/>
                <w:sz w:val="16"/>
                <w:szCs w:val="16"/>
                <w:color w:val="auto"/>
              </w:rPr>
              <w:t>U.S.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109,134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108,817</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8,325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8,635</w:t>
            </w:r>
          </w:p>
        </w:tc>
        <w:tc>
          <w:tcPr>
            <w:tcW w:w="0" w:type="dxa"/>
            <w:vAlign w:val="bottom"/>
          </w:tcPr>
          <w:p>
            <w:pPr>
              <w:spacing w:after="0"/>
              <w:rPr>
                <w:sz w:val="1"/>
                <w:szCs w:val="1"/>
                <w:color w:val="auto"/>
              </w:rPr>
            </w:pPr>
          </w:p>
        </w:tc>
      </w:tr>
      <w:tr>
        <w:trPr>
          <w:trHeight w:val="224"/>
        </w:trPr>
        <w:tc>
          <w:tcPr>
            <w:tcW w:w="8700" w:type="dxa"/>
            <w:vAlign w:val="bottom"/>
          </w:tcPr>
          <w:p>
            <w:pPr>
              <w:ind w:left="500"/>
              <w:spacing w:after="0"/>
              <w:rPr>
                <w:sz w:val="20"/>
                <w:szCs w:val="20"/>
                <w:color w:val="auto"/>
              </w:rPr>
            </w:pPr>
            <w:r>
              <w:rPr>
                <w:rFonts w:ascii="Arial" w:cs="Arial" w:eastAsia="Arial" w:hAnsi="Arial"/>
                <w:sz w:val="16"/>
                <w:szCs w:val="16"/>
                <w:color w:val="auto"/>
              </w:rPr>
              <w:t>Total segment income from operations</w:t>
            </w:r>
          </w:p>
        </w:tc>
        <w:tc>
          <w:tcPr>
            <w:tcW w:w="14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117,459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117,452</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Unallocated corporate operating expense</w:t>
            </w: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(39,088)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(40,618)</w:t>
            </w:r>
          </w:p>
        </w:tc>
        <w:tc>
          <w:tcPr>
            <w:tcW w:w="0" w:type="dxa"/>
            <w:vAlign w:val="bottom"/>
          </w:tcPr>
          <w:p>
            <w:pPr>
              <w:spacing w:after="0"/>
              <w:rPr>
                <w:sz w:val="1"/>
                <w:szCs w:val="1"/>
                <w:color w:val="auto"/>
              </w:rPr>
            </w:pPr>
          </w:p>
        </w:tc>
      </w:tr>
      <w:tr>
        <w:trPr>
          <w:trHeight w:val="224"/>
        </w:trPr>
        <w:tc>
          <w:tcPr>
            <w:tcW w:w="8700" w:type="dxa"/>
            <w:vAlign w:val="bottom"/>
          </w:tcPr>
          <w:p>
            <w:pPr>
              <w:ind w:left="500"/>
              <w:spacing w:after="0"/>
              <w:rPr>
                <w:sz w:val="20"/>
                <w:szCs w:val="20"/>
                <w:color w:val="auto"/>
              </w:rPr>
            </w:pPr>
            <w:r>
              <w:rPr>
                <w:rFonts w:ascii="Arial" w:cs="Arial" w:eastAsia="Arial" w:hAnsi="Arial"/>
                <w:sz w:val="16"/>
                <w:szCs w:val="16"/>
                <w:color w:val="auto"/>
              </w:rPr>
              <w:t>Total income from operations</w:t>
            </w:r>
          </w:p>
        </w:tc>
        <w:tc>
          <w:tcPr>
            <w:tcW w:w="14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78,371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76,834</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70"/>
        </w:trPr>
        <w:tc>
          <w:tcPr>
            <w:tcW w:w="8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Interest expense, net</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(10,310)</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(9,141)</w:t>
            </w:r>
          </w:p>
        </w:tc>
        <w:tc>
          <w:tcPr>
            <w:tcW w:w="0" w:type="dxa"/>
            <w:vAlign w:val="bottom"/>
          </w:tcPr>
          <w:p>
            <w:pPr>
              <w:spacing w:after="0"/>
              <w:rPr>
                <w:sz w:val="1"/>
                <w:szCs w:val="1"/>
                <w:color w:val="auto"/>
              </w:rPr>
            </w:pPr>
          </w:p>
        </w:tc>
      </w:tr>
      <w:tr>
        <w:trPr>
          <w:trHeight w:val="244"/>
        </w:trPr>
        <w:tc>
          <w:tcPr>
            <w:tcW w:w="8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Income before Provision for 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68,062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67,642</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tabs>
          <w:tab w:leader="none" w:pos="6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6"/>
          <w:szCs w:val="16"/>
          <w:color w:val="auto"/>
        </w:rPr>
        <w:t xml:space="preserve">See Note 1 - </w:t>
      </w:r>
      <w:r>
        <w:rPr>
          <w:rFonts w:ascii="Arial" w:cs="Arial" w:eastAsia="Arial" w:hAnsi="Arial"/>
          <w:sz w:val="16"/>
          <w:szCs w:val="16"/>
          <w:i w:val="1"/>
          <w:iCs w:val="1"/>
          <w:color w:val="auto"/>
        </w:rPr>
        <w:t>Description of the Business and Basis of Presentation</w:t>
      </w:r>
      <w:r>
        <w:rPr>
          <w:rFonts w:ascii="Arial" w:cs="Arial" w:eastAsia="Arial" w:hAnsi="Arial"/>
          <w:sz w:val="16"/>
          <w:szCs w:val="16"/>
          <w:color w:val="auto"/>
        </w:rPr>
        <w:t xml:space="preserve"> for details of the impact of implementing ASU No. 2014-09.</w:t>
      </w:r>
    </w:p>
    <w:p>
      <w:pPr>
        <w:sectPr>
          <w:pgSz w:w="11900" w:h="16838" w:orient="portrait"/>
          <w:cols w:equalWidth="0" w:num="1">
            <w:col w:w="11420"/>
          </w:cols>
          <w:pgMar w:left="240" w:top="121" w:right="23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Depreciation and amortization expense by segment:</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Depreciation and amortization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International</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Total depreciation and amortization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17322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4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1, 2018</w:t>
            </w:r>
          </w:p>
        </w:tc>
        <w:tc>
          <w:tcPr>
            <w:tcW w:w="120" w:type="dxa"/>
            <w:vAlign w:val="bottom"/>
          </w:tcPr>
          <w:p>
            <w:pPr>
              <w:spacing w:after="0"/>
              <w:rPr>
                <w:sz w:val="17"/>
                <w:szCs w:val="17"/>
                <w:color w:val="auto"/>
              </w:rPr>
            </w:pPr>
          </w:p>
        </w:tc>
        <w:tc>
          <w:tcPr>
            <w:tcW w:w="1240" w:type="dxa"/>
            <w:vAlign w:val="bottom"/>
          </w:tcPr>
          <w:p>
            <w:pPr>
              <w:jc w:val="right"/>
              <w:ind w:right="41"/>
              <w:spacing w:after="0"/>
              <w:rPr>
                <w:sz w:val="20"/>
                <w:szCs w:val="20"/>
                <w:color w:val="auto"/>
              </w:rPr>
            </w:pPr>
            <w:r>
              <w:rPr>
                <w:rFonts w:ascii="Arial" w:cs="Arial" w:eastAsia="Arial" w:hAnsi="Arial"/>
                <w:sz w:val="14"/>
                <w:szCs w:val="14"/>
                <w:b w:val="1"/>
                <w:bCs w:val="1"/>
                <w:color w:val="auto"/>
                <w:w w:val="99"/>
              </w:rPr>
              <w:t>MARCH 26, 2017</w:t>
            </w:r>
          </w:p>
        </w:tc>
      </w:tr>
      <w:tr>
        <w:trPr>
          <w:trHeight w:val="507"/>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39,274</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36,600</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6,732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6,500</w:t>
            </w:r>
          </w:p>
        </w:tc>
      </w:tr>
      <w:tr>
        <w:trPr>
          <w:trHeight w:val="257"/>
        </w:trPr>
        <w:tc>
          <w:tcPr>
            <w:tcW w:w="14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4,114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3,490</w:t>
            </w:r>
          </w:p>
        </w:tc>
      </w:tr>
      <w:tr>
        <w:trPr>
          <w:trHeight w:val="40"/>
        </w:trPr>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24"/>
        </w:trPr>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50,120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46,590</w:t>
            </w:r>
          </w:p>
        </w:tc>
      </w:tr>
      <w:tr>
        <w:trPr>
          <w:trHeight w:val="33"/>
        </w:trPr>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80" w:space="720"/>
            <w:col w:w="2720"/>
          </w:cols>
          <w:pgMar w:left="240" w:top="121" w:right="239" w:bottom="1440" w:gutter="0" w:footer="0" w:header="0"/>
          <w:type w:val="continuous"/>
        </w:sectPr>
      </w:pPr>
    </w:p>
    <w:p>
      <w:pPr>
        <w:spacing w:after="0" w:line="13" w:lineRule="exact"/>
        <w:rPr>
          <w:sz w:val="20"/>
          <w:szCs w:val="20"/>
          <w:color w:val="auto"/>
        </w:rPr>
      </w:pPr>
    </w:p>
    <w:p>
      <w:pPr>
        <w:spacing w:after="0" w:line="260" w:lineRule="auto"/>
        <w:rPr>
          <w:sz w:val="20"/>
          <w:szCs w:val="20"/>
          <w:color w:val="auto"/>
        </w:rPr>
      </w:pPr>
      <w:r>
        <w:rPr>
          <w:rFonts w:ascii="Arial" w:cs="Arial" w:eastAsia="Arial" w:hAnsi="Arial"/>
          <w:sz w:val="20"/>
          <w:szCs w:val="20"/>
          <w:i w:val="1"/>
          <w:iCs w:val="1"/>
          <w:color w:val="auto"/>
        </w:rPr>
        <w:t xml:space="preserve">Geographic Areas </w:t>
      </w:r>
      <w:r>
        <w:rPr>
          <w:rFonts w:ascii="Arial" w:cs="Arial" w:eastAsia="Arial" w:hAnsi="Arial"/>
          <w:sz w:val="20"/>
          <w:szCs w:val="20"/>
          <w:color w:val="auto"/>
        </w:rPr>
        <w:t>— International assets are defined as assets residing in a country other than the U.S. The following table details long-lived</w:t>
      </w:r>
      <w:r>
        <w:rPr>
          <w:rFonts w:ascii="Arial" w:cs="Arial" w:eastAsia="Arial" w:hAnsi="Arial"/>
          <w:sz w:val="20"/>
          <w:szCs w:val="20"/>
          <w:i w:val="1"/>
          <w:iCs w:val="1"/>
          <w:color w:val="auto"/>
        </w:rPr>
        <w:t xml:space="preserve"> </w:t>
      </w:r>
      <w:r>
        <w:rPr>
          <w:rFonts w:ascii="Arial" w:cs="Arial" w:eastAsia="Arial" w:hAnsi="Arial"/>
          <w:sz w:val="20"/>
          <w:szCs w:val="20"/>
          <w:color w:val="auto"/>
        </w:rPr>
        <w:t>assets, excluding goodwill, intangible assets and deferred tax assets, by major geographic area: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7"/>
                <w:szCs w:val="17"/>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1, 2018</w:t>
            </w: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2017</w:t>
            </w:r>
          </w:p>
        </w:tc>
      </w:tr>
      <w:tr>
        <w:trPr>
          <w:trHeight w:val="237"/>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1,147,173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1,164,322</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International</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Brazil</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129,230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126,341</w:t>
            </w:r>
          </w:p>
        </w:tc>
      </w:tr>
      <w:tr>
        <w:trPr>
          <w:trHeight w:val="270"/>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18,176</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18,012</w:t>
            </w:r>
          </w:p>
        </w:tc>
      </w:tr>
      <w:tr>
        <w:trPr>
          <w:trHeight w:val="24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1,294,579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1,308,675</w:t>
            </w: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Management’s discussion and analysis of financial condition and results of operations should be read in conjunction with our unaudited consolidated financial statements and the related notes. Unless the context otherwise indicates, as used in this report, the term the “Company,” “we,” “us,” “our” and other similar terms mean Bloomin’ Brands, Inc. and its subsidiaries.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This Quarterly Report on Form 10-Q (the “Report”) includes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and Section 21E of the Securities Exchange Act of 1934, as amended. These forward-looking statements can generally be identified by the use of forward-looking terminology, including the terms “believes,” “estimates,” “anticipates,” “expects,” “feels,” “seeks,” “forecasts,” “projects,” “intends,” “plans,” “may,” “will,” “should,” “could” or “would” or, in each case, their negative or other variations or comparable terminology, although not all forward-looking statements are accompanied by such terms.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industry developments may differ materially from statements made in or suggested by the forward-looking statements contained in this Report. In addition, even if our results of operations, financial condition and liquidity, and industry developments are consistent with the forward-looking statements contained in this Report, those results or developments may not be indicative of results or developments in subsequent periods. Important factors that could cause actual results to differ materially from statements made or suggested by forward-looking statements include, but are not limited to, the following:</w:t>
      </w:r>
    </w:p>
    <w:p>
      <w:pPr>
        <w:spacing w:after="0" w:line="181"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Consumer reactions to public health and food safety issues;</w:t>
      </w:r>
    </w:p>
    <w:p>
      <w:pPr>
        <w:spacing w:after="0" w:line="229" w:lineRule="exact"/>
        <w:rPr>
          <w:rFonts w:ascii="Arial" w:cs="Arial" w:eastAsia="Arial" w:hAnsi="Arial"/>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compete in the highly competitive restaurant industry with many well-established competitors and new market entrants;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Minimum wage increases and additional mandated employee benefits;</w:t>
      </w:r>
    </w:p>
    <w:p>
      <w:pPr>
        <w:spacing w:after="0" w:line="229"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Economic conditions and their effects on consumer confidence and discretionary spending, consumer traffic, the cost and availability of credit and interest rates;</w:t>
      </w:r>
    </w:p>
    <w:p>
      <w:pPr>
        <w:spacing w:after="0" w:line="176" w:lineRule="exact"/>
        <w:rPr>
          <w:rFonts w:ascii="Arial" w:cs="Arial" w:eastAsia="Arial" w:hAnsi="Arial"/>
          <w:sz w:val="20"/>
          <w:szCs w:val="20"/>
          <w:color w:val="auto"/>
        </w:rPr>
      </w:pPr>
    </w:p>
    <w:p>
      <w:pPr>
        <w:ind w:left="660" w:hanging="652"/>
        <w:spacing w:after="0"/>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Fluctuations in the price and availability of commodities;</w:t>
      </w:r>
    </w:p>
    <w:p>
      <w:pPr>
        <w:spacing w:after="0" w:line="229" w:lineRule="exact"/>
        <w:rPr>
          <w:rFonts w:ascii="Arial" w:cs="Arial" w:eastAsia="Arial" w:hAnsi="Arial"/>
          <w:sz w:val="20"/>
          <w:szCs w:val="20"/>
          <w:color w:val="auto"/>
        </w:rPr>
      </w:pPr>
    </w:p>
    <w:p>
      <w:pPr>
        <w:ind w:left="660" w:hanging="652"/>
        <w:spacing w:after="0"/>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Our ability to effectively respond to changes in patterns of consumer traffic, consumer tastes and dietary habits;</w:t>
      </w:r>
    </w:p>
    <w:p>
      <w:pPr>
        <w:spacing w:after="0" w:line="229" w:lineRule="exact"/>
        <w:rPr>
          <w:rFonts w:ascii="Arial" w:cs="Arial" w:eastAsia="Arial" w:hAnsi="Arial"/>
          <w:sz w:val="20"/>
          <w:szCs w:val="20"/>
          <w:color w:val="auto"/>
        </w:rPr>
      </w:pPr>
    </w:p>
    <w:p>
      <w:pPr>
        <w:ind w:left="660" w:right="20" w:hanging="652"/>
        <w:spacing w:after="0" w:line="260" w:lineRule="auto"/>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Our ability to comply with governmental laws and regulations, the costs of compliance with such laws and regulations and the effects of changes to applicable laws and regulations, including tax laws and unanticipated liabilities;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jc w:val="both"/>
        <w:ind w:left="660" w:hanging="652"/>
        <w:spacing w:after="0" w:line="269" w:lineRule="auto"/>
        <w:tabs>
          <w:tab w:leader="none" w:pos="6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Our ability to implement our expansion, remodeling and relocation plans due to uncertainty in locating and acquiring attractive sites on acceptable terms, obtaining required permits and approvals, recruiting and training necessary personnel, obtaining adequate financing and estimating the performance of newly opened, remodeled or relocated restaurants;</w:t>
      </w:r>
    </w:p>
    <w:p>
      <w:pPr>
        <w:spacing w:after="0" w:line="183" w:lineRule="exact"/>
        <w:rPr>
          <w:rFonts w:ascii="Arial" w:cs="Arial" w:eastAsia="Arial" w:hAnsi="Arial"/>
          <w:sz w:val="19"/>
          <w:szCs w:val="19"/>
          <w:color w:val="auto"/>
        </w:rPr>
      </w:pPr>
    </w:p>
    <w:p>
      <w:pPr>
        <w:ind w:left="660" w:right="20" w:hanging="652"/>
        <w:spacing w:after="0" w:line="260" w:lineRule="auto"/>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Our ability to protect our information technology systems from interruption or security breach, including cyber security threats, and to protect consumer data and personal employee information;</w:t>
      </w:r>
    </w:p>
    <w:p>
      <w:pPr>
        <w:spacing w:after="0" w:line="190"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effects of international economic, political and social conditions and legal systems on our foreign operations and on foreign currency exchange rates;</w:t>
      </w:r>
    </w:p>
    <w:p>
      <w:pPr>
        <w:spacing w:after="0" w:line="190"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Our ability to preserve and grow the reputation and value of our brands, particularly in light of changes in consumer engagement with social media platforms;</w:t>
      </w:r>
    </w:p>
    <w:p>
      <w:pPr>
        <w:spacing w:after="0" w:line="190"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Any impairment in the carrying value of our goodwill or other intangible or long-lived assets and its effect on our financial condition and results of operations;</w:t>
      </w:r>
    </w:p>
    <w:p>
      <w:pPr>
        <w:spacing w:after="0" w:line="190"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Strategic actions, including acquisitions and dispositions, and our success in implementing these initiatives or integrating any acquired or newly created businesses;</w:t>
      </w:r>
    </w:p>
    <w:p>
      <w:pPr>
        <w:spacing w:after="0" w:line="190"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20"/>
          <w:szCs w:val="20"/>
          <w:color w:val="auto"/>
        </w:rPr>
        <w:t>Seasonal and periodic fluctuations in our results and the effects of significant adverse weather conditions and other disasters or unforeseen events;</w:t>
      </w:r>
    </w:p>
    <w:p>
      <w:pPr>
        <w:spacing w:after="0" w:line="190" w:lineRule="exact"/>
        <w:rPr>
          <w:rFonts w:ascii="Arial" w:cs="Arial" w:eastAsia="Arial" w:hAnsi="Arial"/>
          <w:sz w:val="18"/>
          <w:szCs w:val="18"/>
          <w:color w:val="auto"/>
        </w:rPr>
      </w:pPr>
    </w:p>
    <w:p>
      <w:pPr>
        <w:jc w:val="both"/>
        <w:ind w:left="660" w:hanging="652"/>
        <w:spacing w:after="0" w:line="269" w:lineRule="auto"/>
        <w:tabs>
          <w:tab w:leader="none" w:pos="6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effects of our substantial leverage and restrictive covenants in our various credit facilities on our ability to raise additional capital to fund our operations, to make capital expenditures to invest in new or renovate restaurants and to react to changes in the economy or our industry, and our exposure to interest rate risk in connection with our variable-rate debt;</w:t>
      </w:r>
    </w:p>
    <w:p>
      <w:pPr>
        <w:spacing w:after="0" w:line="183" w:lineRule="exact"/>
        <w:rPr>
          <w:rFonts w:ascii="Arial" w:cs="Arial" w:eastAsia="Arial" w:hAnsi="Arial"/>
          <w:sz w:val="19"/>
          <w:szCs w:val="19"/>
          <w:color w:val="auto"/>
        </w:rPr>
      </w:pPr>
    </w:p>
    <w:p>
      <w:pPr>
        <w:ind w:left="660" w:hanging="652"/>
        <w:spacing w:after="0" w:line="260" w:lineRule="auto"/>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adequacy of our cash flow and earnings and other conditions which may affect our ability to pay dividends and repurchase shares of our common stock; and</w:t>
      </w:r>
    </w:p>
    <w:p>
      <w:pPr>
        <w:spacing w:after="0" w:line="190" w:lineRule="exact"/>
        <w:rPr>
          <w:rFonts w:ascii="Arial" w:cs="Arial" w:eastAsia="Arial" w:hAnsi="Arial"/>
          <w:sz w:val="20"/>
          <w:szCs w:val="20"/>
          <w:color w:val="auto"/>
        </w:rPr>
      </w:pPr>
    </w:p>
    <w:p>
      <w:pPr>
        <w:ind w:left="660" w:right="20" w:hanging="652"/>
        <w:spacing w:after="0" w:line="260" w:lineRule="auto"/>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Such other factors as discussed in Part I, Item IA. Risk Factors of our Annual Report on Form 10-K for the year ended December 31, 2017.</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In light of these risks and uncertainties, we caution you not to place undue reliance on these forward-looking statements. Any forward-looking statement that we make in this Report speaks only as of the date of such statement, and we undertake no obligation to update any forward-looking statement or to publicly announce the results of any revision to any of those statements to reflect future events or developments. Comparisons of results for current and any prior periods are not intended to express any future trends or indications of future performance, unless specifically expressed as such, and should only be viewed as historical data.</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are one of the largest casual dining restaurant companies in the world with a portfolio of leading, differentiated restaurant concepts. As of April 1, 2018, we owned and operated 1,200 restaurants and franchised 294 restaurants across 48 states, Puerto Rico, Guam and 19 countries. We have four founder-inspired concepts: Outback Steakhouse, Carrabba’s Italian Grill, Bonefish Grill and Fleming’s Prime Steakhouse &amp; Wine Bar.</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Summary</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Our financial results for the thirteen weeks ended April 1, 2018 (“first quarter of 2018”) include the following:</w:t>
      </w:r>
    </w:p>
    <w:p>
      <w:pPr>
        <w:spacing w:after="0" w:line="229" w:lineRule="exact"/>
        <w:rPr>
          <w:sz w:val="20"/>
          <w:szCs w:val="20"/>
          <w:color w:val="auto"/>
        </w:rPr>
      </w:pPr>
    </w:p>
    <w:p>
      <w:pPr>
        <w:jc w:val="both"/>
        <w:ind w:left="660" w:hanging="328"/>
        <w:spacing w:after="0" w:line="250" w:lineRule="auto"/>
        <w:tabs>
          <w:tab w:leader="none" w:pos="6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 decrease in Total revenues of 3.3% to $1.1 billion in the first quarter of 2018, as compared to the first quarter of 2017, primarily due to domestic refranchising and the one-week shift in the fiscal calendar, partially offset by increases from higher comparable restaurant sales and an increase in franchise and other revenues.</w:t>
      </w:r>
    </w:p>
    <w:p>
      <w:pPr>
        <w:spacing w:after="0" w:line="199" w:lineRule="exact"/>
        <w:rPr>
          <w:rFonts w:ascii="Arial" w:cs="Arial" w:eastAsia="Arial" w:hAnsi="Arial"/>
          <w:sz w:val="20"/>
          <w:szCs w:val="20"/>
          <w:color w:val="auto"/>
        </w:rPr>
      </w:pPr>
    </w:p>
    <w:p>
      <w:pPr>
        <w:jc w:val="both"/>
        <w:ind w:left="660" w:hanging="328"/>
        <w:spacing w:after="0" w:line="291"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Income from operations of $78.4 million in the first quarter of 2018, as compared to $76.8 million in the first quarter of 2017, increased primarily due to lower impairment charges and increases in average check per person. These increases were partially offset by decreases primarily due to higher labor costs, changes in product mix, higher operating expenses and higher commodity costs.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Performance Indicators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Key measures that we use in evaluating our restaurants and assessing our business include the following:</w:t>
      </w:r>
    </w:p>
    <w:p>
      <w:pPr>
        <w:spacing w:after="0" w:line="229" w:lineRule="exact"/>
        <w:rPr>
          <w:sz w:val="20"/>
          <w:szCs w:val="20"/>
          <w:color w:val="auto"/>
        </w:rPr>
      </w:pPr>
    </w:p>
    <w:p>
      <w:pPr>
        <w:ind w:left="660" w:hanging="328"/>
        <w:spacing w:after="0" w:line="260" w:lineRule="auto"/>
        <w:tabs>
          <w:tab w:leader="none" w:pos="660" w:val="left"/>
        </w:tabs>
        <w:numPr>
          <w:ilvl w:val="0"/>
          <w:numId w:val="28"/>
        </w:numPr>
        <w:rPr>
          <w:rFonts w:ascii="Arial" w:cs="Arial" w:eastAsia="Arial" w:hAnsi="Arial"/>
          <w:sz w:val="20"/>
          <w:szCs w:val="20"/>
          <w:color w:val="auto"/>
        </w:rPr>
      </w:pPr>
      <w:r>
        <w:rPr>
          <w:rFonts w:ascii="Arial" w:cs="Arial" w:eastAsia="Arial" w:hAnsi="Arial"/>
          <w:sz w:val="20"/>
          <w:szCs w:val="20"/>
          <w:i w:val="1"/>
          <w:iCs w:val="1"/>
          <w:color w:val="auto"/>
        </w:rPr>
        <w:t>Average restaurant unit volumes</w:t>
      </w:r>
      <w:r>
        <w:rPr>
          <w:rFonts w:ascii="Arial" w:cs="Arial" w:eastAsia="Arial" w:hAnsi="Arial"/>
          <w:sz w:val="20"/>
          <w:szCs w:val="20"/>
          <w:color w:val="auto"/>
        </w:rPr>
        <w:t>—average sales (excluding gift card breakage) per restaurant to measure changes in customer traffic,</w:t>
      </w:r>
      <w:r>
        <w:rPr>
          <w:rFonts w:ascii="Arial" w:cs="Arial" w:eastAsia="Arial" w:hAnsi="Arial"/>
          <w:sz w:val="20"/>
          <w:szCs w:val="20"/>
          <w:i w:val="1"/>
          <w:iCs w:val="1"/>
          <w:color w:val="auto"/>
        </w:rPr>
        <w:t xml:space="preserve"> </w:t>
      </w:r>
      <w:r>
        <w:rPr>
          <w:rFonts w:ascii="Arial" w:cs="Arial" w:eastAsia="Arial" w:hAnsi="Arial"/>
          <w:sz w:val="20"/>
          <w:szCs w:val="20"/>
          <w:color w:val="auto"/>
        </w:rPr>
        <w:t>pricing and development of the brand;</w:t>
      </w:r>
    </w:p>
    <w:p>
      <w:pPr>
        <w:spacing w:after="0" w:line="190"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28"/>
        </w:numPr>
        <w:rPr>
          <w:rFonts w:ascii="Arial" w:cs="Arial" w:eastAsia="Arial" w:hAnsi="Arial"/>
          <w:sz w:val="20"/>
          <w:szCs w:val="20"/>
          <w:i w:val="1"/>
          <w:iCs w:val="1"/>
          <w:color w:val="auto"/>
        </w:rPr>
      </w:pPr>
      <w:r>
        <w:rPr>
          <w:rFonts w:ascii="Arial" w:cs="Arial" w:eastAsia="Arial" w:hAnsi="Arial"/>
          <w:sz w:val="20"/>
          <w:szCs w:val="20"/>
          <w:i w:val="1"/>
          <w:iCs w:val="1"/>
          <w:color w:val="auto"/>
        </w:rPr>
        <w:t>Comparable restaurant sales</w:t>
      </w:r>
      <w:r>
        <w:rPr>
          <w:rFonts w:ascii="Arial" w:cs="Arial" w:eastAsia="Arial" w:hAnsi="Arial"/>
          <w:sz w:val="20"/>
          <w:szCs w:val="20"/>
          <w:color w:val="auto"/>
        </w:rPr>
        <w:t>—year-over-year comparison of sales volumes (excluding gift card breakage) for Company-owned</w:t>
      </w:r>
      <w:r>
        <w:rPr>
          <w:rFonts w:ascii="Arial" w:cs="Arial" w:eastAsia="Arial" w:hAnsi="Arial"/>
          <w:sz w:val="20"/>
          <w:szCs w:val="20"/>
          <w:i w:val="1"/>
          <w:iCs w:val="1"/>
          <w:color w:val="auto"/>
        </w:rPr>
        <w:t xml:space="preserve"> </w:t>
      </w:r>
      <w:r>
        <w:rPr>
          <w:rFonts w:ascii="Arial" w:cs="Arial" w:eastAsia="Arial" w:hAnsi="Arial"/>
          <w:sz w:val="20"/>
          <w:szCs w:val="20"/>
          <w:color w:val="auto"/>
        </w:rPr>
        <w:t>restaurants that are open 18 months or more in order to remove the impact of new restaurant openings in comparing the operations of existing restaurants;</w:t>
      </w:r>
    </w:p>
    <w:p>
      <w:pPr>
        <w:spacing w:after="0" w:line="199" w:lineRule="exact"/>
        <w:rPr>
          <w:rFonts w:ascii="Arial" w:cs="Arial" w:eastAsia="Arial" w:hAnsi="Arial"/>
          <w:sz w:val="20"/>
          <w:szCs w:val="20"/>
          <w:i w:val="1"/>
          <w:iCs w:val="1"/>
          <w:color w:val="auto"/>
        </w:rPr>
      </w:pPr>
    </w:p>
    <w:p>
      <w:pPr>
        <w:ind w:left="660" w:right="20" w:hanging="328"/>
        <w:spacing w:after="0" w:line="260" w:lineRule="auto"/>
        <w:tabs>
          <w:tab w:leader="none" w:pos="660" w:val="left"/>
        </w:tabs>
        <w:numPr>
          <w:ilvl w:val="0"/>
          <w:numId w:val="28"/>
        </w:numPr>
        <w:rPr>
          <w:rFonts w:ascii="Arial" w:cs="Arial" w:eastAsia="Arial" w:hAnsi="Arial"/>
          <w:sz w:val="20"/>
          <w:szCs w:val="20"/>
          <w:color w:val="auto"/>
        </w:rPr>
      </w:pPr>
      <w:r>
        <w:rPr>
          <w:rFonts w:ascii="Arial" w:cs="Arial" w:eastAsia="Arial" w:hAnsi="Arial"/>
          <w:sz w:val="20"/>
          <w:szCs w:val="20"/>
          <w:i w:val="1"/>
          <w:iCs w:val="1"/>
          <w:color w:val="auto"/>
        </w:rPr>
        <w:t>System-wide sales</w:t>
      </w:r>
      <w:r>
        <w:rPr>
          <w:rFonts w:ascii="Arial" w:cs="Arial" w:eastAsia="Arial" w:hAnsi="Arial"/>
          <w:sz w:val="20"/>
          <w:szCs w:val="20"/>
          <w:color w:val="auto"/>
        </w:rPr>
        <w:t>—total restaurant sales volume for all Company-owned and franchise restaurants, regardless of ownership, to</w:t>
      </w:r>
      <w:r>
        <w:rPr>
          <w:rFonts w:ascii="Arial" w:cs="Arial" w:eastAsia="Arial" w:hAnsi="Arial"/>
          <w:sz w:val="20"/>
          <w:szCs w:val="20"/>
          <w:i w:val="1"/>
          <w:iCs w:val="1"/>
          <w:color w:val="auto"/>
        </w:rPr>
        <w:t xml:space="preserve"> </w:t>
      </w:r>
      <w:r>
        <w:rPr>
          <w:rFonts w:ascii="Arial" w:cs="Arial" w:eastAsia="Arial" w:hAnsi="Arial"/>
          <w:sz w:val="20"/>
          <w:szCs w:val="20"/>
          <w:color w:val="auto"/>
        </w:rPr>
        <w:t>interpret the overall health of our brands;</w:t>
      </w:r>
    </w:p>
    <w:p>
      <w:pPr>
        <w:spacing w:after="0" w:line="190"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28"/>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Restaurant-level operating margin, Income from operations, Net income and Diluted earnings per share </w:t>
      </w:r>
      <w:r>
        <w:rPr>
          <w:rFonts w:ascii="Arial" w:cs="Arial" w:eastAsia="Arial" w:hAnsi="Arial"/>
          <w:sz w:val="20"/>
          <w:szCs w:val="20"/>
          <w:color w:val="auto"/>
        </w:rPr>
        <w:t>— financial measures utilized</w:t>
      </w:r>
      <w:r>
        <w:rPr>
          <w:rFonts w:ascii="Arial" w:cs="Arial" w:eastAsia="Arial" w:hAnsi="Arial"/>
          <w:sz w:val="20"/>
          <w:szCs w:val="20"/>
          <w:i w:val="1"/>
          <w:iCs w:val="1"/>
          <w:color w:val="auto"/>
        </w:rPr>
        <w:t xml:space="preserve"> </w:t>
      </w:r>
      <w:r>
        <w:rPr>
          <w:rFonts w:ascii="Arial" w:cs="Arial" w:eastAsia="Arial" w:hAnsi="Arial"/>
          <w:sz w:val="20"/>
          <w:szCs w:val="20"/>
          <w:color w:val="auto"/>
        </w:rPr>
        <w:t>to evaluate our operating performance.</w:t>
      </w:r>
    </w:p>
    <w:p>
      <w:pPr>
        <w:spacing w:after="0" w:line="190" w:lineRule="exact"/>
        <w:rPr>
          <w:rFonts w:ascii="Arial" w:cs="Arial" w:eastAsia="Arial" w:hAnsi="Arial"/>
          <w:sz w:val="20"/>
          <w:szCs w:val="20"/>
          <w:i w:val="1"/>
          <w:iCs w:val="1"/>
          <w:color w:val="auto"/>
        </w:rPr>
      </w:pPr>
    </w:p>
    <w:p>
      <w:pPr>
        <w:jc w:val="both"/>
        <w:ind w:left="660"/>
        <w:spacing w:after="0" w:line="316" w:lineRule="auto"/>
        <w:rPr>
          <w:rFonts w:ascii="Arial" w:cs="Arial" w:eastAsia="Arial" w:hAnsi="Arial"/>
          <w:sz w:val="20"/>
          <w:szCs w:val="20"/>
          <w:i w:val="1"/>
          <w:iCs w:val="1"/>
          <w:color w:val="auto"/>
        </w:rPr>
      </w:pPr>
      <w:r>
        <w:rPr>
          <w:rFonts w:ascii="Arial" w:cs="Arial" w:eastAsia="Arial" w:hAnsi="Arial"/>
          <w:sz w:val="16"/>
          <w:szCs w:val="16"/>
          <w:color w:val="auto"/>
        </w:rPr>
        <w:t>Restaurant-level operating margin is widely regarded in the industry as a useful metric to evaluate restaurant level operating efficiency and performance of ongoing restaurant-level operations, and we use it for these purposes, overall and particularly within our two segments. Our restaurant-level operating margin is expressed as the percentage of our Restaurant sales that Cost of sales, Labor and other related and Other restaurant operating (including advertising expenses) represent, in each case as such items are reflected in our Consolidated Statement of Operations. The following categories of our revenue and operating expenses are not included in restaurant-level operating margin because we do not consider them reflective of operating performance at the restaurant-level within a period:</w:t>
      </w:r>
    </w:p>
    <w:p>
      <w:pPr>
        <w:spacing w:after="0" w:line="153" w:lineRule="exact"/>
        <w:rPr>
          <w:rFonts w:ascii="Arial" w:cs="Arial" w:eastAsia="Arial" w:hAnsi="Arial"/>
          <w:sz w:val="20"/>
          <w:szCs w:val="20"/>
          <w:i w:val="1"/>
          <w:iCs w:val="1"/>
          <w:color w:val="auto"/>
        </w:rPr>
      </w:pPr>
    </w:p>
    <w:p>
      <w:pPr>
        <w:ind w:left="1300" w:hanging="644"/>
        <w:spacing w:after="0" w:line="247" w:lineRule="auto"/>
        <w:tabs>
          <w:tab w:leader="none" w:pos="1300" w:val="left"/>
        </w:tabs>
        <w:numPr>
          <w:ilvl w:val="1"/>
          <w:numId w:val="28"/>
        </w:numPr>
        <w:rPr>
          <w:rFonts w:ascii="Arial" w:cs="Arial" w:eastAsia="Arial" w:hAnsi="Arial"/>
          <w:sz w:val="20"/>
          <w:szCs w:val="20"/>
          <w:color w:val="auto"/>
        </w:rPr>
      </w:pPr>
      <w:r>
        <w:rPr>
          <w:rFonts w:ascii="Arial" w:cs="Arial" w:eastAsia="Arial" w:hAnsi="Arial"/>
          <w:sz w:val="20"/>
          <w:szCs w:val="20"/>
          <w:color w:val="auto"/>
        </w:rPr>
        <w:t>Franchise and other revenues which are earned primarily from franchise royalties and other non-food and beverage revenue streams, such as rental and sublease income.</w:t>
      </w:r>
    </w:p>
    <w:p>
      <w:pPr>
        <w:spacing w:after="0" w:line="1" w:lineRule="exact"/>
        <w:rPr>
          <w:rFonts w:ascii="Arial" w:cs="Arial" w:eastAsia="Arial" w:hAnsi="Arial"/>
          <w:sz w:val="20"/>
          <w:szCs w:val="20"/>
          <w:color w:val="auto"/>
        </w:rPr>
      </w:pPr>
    </w:p>
    <w:p>
      <w:pPr>
        <w:ind w:left="1300" w:hanging="644"/>
        <w:spacing w:after="0" w:line="244" w:lineRule="auto"/>
        <w:tabs>
          <w:tab w:leader="none" w:pos="1300" w:val="left"/>
        </w:tabs>
        <w:numPr>
          <w:ilvl w:val="1"/>
          <w:numId w:val="28"/>
        </w:numPr>
        <w:rPr>
          <w:rFonts w:ascii="Arial" w:cs="Arial" w:eastAsia="Arial" w:hAnsi="Arial"/>
          <w:sz w:val="20"/>
          <w:szCs w:val="20"/>
          <w:color w:val="auto"/>
        </w:rPr>
      </w:pPr>
      <w:r>
        <w:rPr>
          <w:rFonts w:ascii="Arial" w:cs="Arial" w:eastAsia="Arial" w:hAnsi="Arial"/>
          <w:sz w:val="20"/>
          <w:szCs w:val="20"/>
          <w:color w:val="auto"/>
        </w:rPr>
        <w:t>Depreciation and amortization which, although substantially all of which is related to restaurant-level assets, represent historical sunk costs rather than cash outlays for the restaurants.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ind w:left="1300" w:right="20" w:hanging="644"/>
        <w:spacing w:after="0" w:line="247" w:lineRule="auto"/>
        <w:tabs>
          <w:tab w:leader="none" w:pos="13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General and administrative expense which includes primarily non-restaurant-level costs associated with support of the restaurants and other activities at our corporate offices.</w:t>
      </w:r>
    </w:p>
    <w:p>
      <w:pPr>
        <w:spacing w:after="0" w:line="1" w:lineRule="exact"/>
        <w:rPr>
          <w:rFonts w:ascii="Arial" w:cs="Arial" w:eastAsia="Arial" w:hAnsi="Arial"/>
          <w:sz w:val="20"/>
          <w:szCs w:val="20"/>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Asset impairment charges and restaurant closing costs which are not reflective of ongoing restaurant performance in a period.</w:t>
      </w:r>
    </w:p>
    <w:p>
      <w:pPr>
        <w:spacing w:after="0" w:line="236" w:lineRule="exact"/>
        <w:rPr>
          <w:sz w:val="20"/>
          <w:szCs w:val="20"/>
          <w:color w:val="auto"/>
        </w:rPr>
      </w:pPr>
    </w:p>
    <w:p>
      <w:pPr>
        <w:jc w:val="both"/>
        <w:ind w:left="660"/>
        <w:spacing w:after="0" w:line="244" w:lineRule="auto"/>
        <w:rPr>
          <w:sz w:val="20"/>
          <w:szCs w:val="20"/>
          <w:color w:val="auto"/>
        </w:rPr>
      </w:pPr>
      <w:r>
        <w:rPr>
          <w:rFonts w:ascii="Arial" w:cs="Arial" w:eastAsia="Arial" w:hAnsi="Arial"/>
          <w:sz w:val="20"/>
          <w:szCs w:val="20"/>
          <w:color w:val="auto"/>
        </w:rPr>
        <w:t>Restaurant-level operating margin excludes various expenses, as discussed above, that are essential to support the operations of our restaurants and may materially impact our Consolidated Statement of Operations. As a result, restaurant-level operating margin is not indicative of our consolidated results of operations and is presented exclusively as a supplement to, and not a substitute for, net income or income from operations. In addition, our presentation of restaurant operating margin may not be comparable to similarly titled measures used by other companies in our industry;</w:t>
      </w:r>
    </w:p>
    <w:p>
      <w:pPr>
        <w:spacing w:after="0" w:line="208" w:lineRule="exact"/>
        <w:rPr>
          <w:sz w:val="20"/>
          <w:szCs w:val="20"/>
          <w:color w:val="auto"/>
        </w:rPr>
      </w:pPr>
    </w:p>
    <w:p>
      <w:pPr>
        <w:ind w:left="660" w:right="20" w:hanging="328"/>
        <w:spacing w:after="0" w:line="260" w:lineRule="auto"/>
        <w:tabs>
          <w:tab w:leader="none" w:pos="660" w:val="left"/>
        </w:tabs>
        <w:numPr>
          <w:ilvl w:val="0"/>
          <w:numId w:val="30"/>
        </w:numPr>
        <w:rPr>
          <w:rFonts w:ascii="Arial" w:cs="Arial" w:eastAsia="Arial" w:hAnsi="Arial"/>
          <w:sz w:val="20"/>
          <w:szCs w:val="20"/>
          <w:i w:val="1"/>
          <w:iCs w:val="1"/>
          <w:color w:val="auto"/>
        </w:rPr>
      </w:pPr>
      <w:r>
        <w:rPr>
          <w:rFonts w:ascii="Arial" w:cs="Arial" w:eastAsia="Arial" w:hAnsi="Arial"/>
          <w:sz w:val="20"/>
          <w:szCs w:val="20"/>
          <w:i w:val="1"/>
          <w:iCs w:val="1"/>
          <w:color w:val="auto"/>
        </w:rPr>
        <w:t>Adjusted restaurant-level operating margin, Adjusted income from operations, Adjusted net income and Adjusted diluted earnings per share</w:t>
      </w:r>
      <w:r>
        <w:rPr>
          <w:rFonts w:ascii="Arial" w:cs="Arial" w:eastAsia="Arial" w:hAnsi="Arial"/>
          <w:sz w:val="20"/>
          <w:szCs w:val="20"/>
          <w:color w:val="auto"/>
        </w:rPr>
        <w:t>—non-GAAP financial measures utilized to evaluate our operating performance.</w:t>
      </w:r>
    </w:p>
    <w:p>
      <w:pPr>
        <w:spacing w:after="0" w:line="190" w:lineRule="exact"/>
        <w:rPr>
          <w:rFonts w:ascii="Arial" w:cs="Arial" w:eastAsia="Arial" w:hAnsi="Arial"/>
          <w:sz w:val="20"/>
          <w:szCs w:val="20"/>
          <w:i w:val="1"/>
          <w:iCs w:val="1"/>
          <w:color w:val="auto"/>
        </w:rPr>
      </w:pPr>
    </w:p>
    <w:p>
      <w:pPr>
        <w:jc w:val="both"/>
        <w:ind w:left="660"/>
        <w:spacing w:after="0" w:line="242" w:lineRule="auto"/>
        <w:rPr>
          <w:rFonts w:ascii="Arial" w:cs="Arial" w:eastAsia="Arial" w:hAnsi="Arial"/>
          <w:sz w:val="20"/>
          <w:szCs w:val="20"/>
          <w:i w:val="1"/>
          <w:iCs w:val="1"/>
          <w:color w:val="auto"/>
        </w:rPr>
      </w:pPr>
      <w:r>
        <w:rPr>
          <w:rFonts w:ascii="Arial" w:cs="Arial" w:eastAsia="Arial" w:hAnsi="Arial"/>
          <w:sz w:val="20"/>
          <w:szCs w:val="20"/>
          <w:color w:val="auto"/>
        </w:rPr>
        <w:t>We believe that our use of non-GAAP financial measures permits investors to assess the operating performance of our business relative to our performance based on U.S. GAAP results and relative to other companies within the restaurant industry by isolating the effects of certain items that may vary from period to period without correlation to core operating performance or that vary widely among similar companies. However, our inclusion of these adjusted measures should not be construed as an indication that our future results will be unaffected by unusual or infrequent items or that the items for which we have made adjustments are unusual or infrequent or will not recur. We believe that the disclosure of these non-GAAP measures is useful to investors as they form part of the basis for how our management team and Board of Directors evaluate our operating performance, allocate resources and administer employee incentive plans; and</w:t>
      </w:r>
    </w:p>
    <w:p>
      <w:pPr>
        <w:spacing w:after="0" w:line="211" w:lineRule="exact"/>
        <w:rPr>
          <w:rFonts w:ascii="Arial" w:cs="Arial" w:eastAsia="Arial" w:hAnsi="Arial"/>
          <w:sz w:val="20"/>
          <w:szCs w:val="20"/>
          <w:i w:val="1"/>
          <w:iCs w:val="1"/>
          <w:color w:val="auto"/>
        </w:rPr>
      </w:pPr>
    </w:p>
    <w:p>
      <w:pPr>
        <w:ind w:left="660" w:hanging="328"/>
        <w:spacing w:after="0"/>
        <w:tabs>
          <w:tab w:leader="none" w:pos="660" w:val="left"/>
        </w:tabs>
        <w:numPr>
          <w:ilvl w:val="0"/>
          <w:numId w:val="30"/>
        </w:numPr>
        <w:rPr>
          <w:rFonts w:ascii="Arial" w:cs="Arial" w:eastAsia="Arial" w:hAnsi="Arial"/>
          <w:sz w:val="20"/>
          <w:szCs w:val="20"/>
          <w:color w:val="auto"/>
        </w:rPr>
      </w:pPr>
      <w:r>
        <w:rPr>
          <w:rFonts w:ascii="Arial" w:cs="Arial" w:eastAsia="Arial" w:hAnsi="Arial"/>
          <w:sz w:val="20"/>
          <w:szCs w:val="20"/>
          <w:i w:val="1"/>
          <w:iCs w:val="1"/>
          <w:color w:val="auto"/>
        </w:rPr>
        <w:t>Customer satisfaction scores</w:t>
      </w:r>
      <w:r>
        <w:rPr>
          <w:rFonts w:ascii="Arial" w:cs="Arial" w:eastAsia="Arial" w:hAnsi="Arial"/>
          <w:sz w:val="20"/>
          <w:szCs w:val="20"/>
          <w:color w:val="auto"/>
        </w:rPr>
        <w:t>—measurement of our customers’ experiences in a variety of key areas.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Selected Operating Data</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presents the number of our restaurants in operation at the end of the periods indicated: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700" w:type="dxa"/>
            <w:vAlign w:val="bottom"/>
          </w:tcPr>
          <w:p>
            <w:pPr>
              <w:ind w:left="40"/>
              <w:spacing w:after="0"/>
              <w:rPr>
                <w:sz w:val="20"/>
                <w:szCs w:val="20"/>
                <w:color w:val="auto"/>
              </w:rPr>
            </w:pPr>
            <w:r>
              <w:rPr>
                <w:rFonts w:ascii="Arial" w:cs="Arial" w:eastAsia="Arial" w:hAnsi="Arial"/>
                <w:sz w:val="16"/>
                <w:szCs w:val="16"/>
                <w:b w:val="1"/>
                <w:bCs w:val="1"/>
                <w:color w:val="auto"/>
              </w:rPr>
              <w:t>Number of restaurants (at end of the period):</w:t>
            </w: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1, 2018</w:t>
            </w:r>
          </w:p>
        </w:tc>
        <w:tc>
          <w:tcPr>
            <w:tcW w:w="1360" w:type="dxa"/>
            <w:vAlign w:val="bottom"/>
          </w:tcPr>
          <w:p>
            <w:pPr>
              <w:jc w:val="right"/>
              <w:ind w:right="39"/>
              <w:spacing w:after="0"/>
              <w:rPr>
                <w:sz w:val="20"/>
                <w:szCs w:val="20"/>
                <w:color w:val="auto"/>
              </w:rPr>
            </w:pPr>
            <w:r>
              <w:rPr>
                <w:rFonts w:ascii="Arial" w:cs="Arial" w:eastAsia="Arial" w:hAnsi="Arial"/>
                <w:sz w:val="14"/>
                <w:szCs w:val="14"/>
                <w:b w:val="1"/>
                <w:bCs w:val="1"/>
                <w:color w:val="auto"/>
              </w:rPr>
              <w:t>MARCH 26, 2017</w:t>
            </w:r>
          </w:p>
        </w:tc>
        <w:tc>
          <w:tcPr>
            <w:tcW w:w="0" w:type="dxa"/>
            <w:vAlign w:val="bottom"/>
          </w:tcPr>
          <w:p>
            <w:pPr>
              <w:spacing w:after="0"/>
              <w:rPr>
                <w:sz w:val="1"/>
                <w:szCs w:val="1"/>
                <w:color w:val="auto"/>
              </w:rPr>
            </w:pPr>
          </w:p>
        </w:tc>
      </w:tr>
      <w:tr>
        <w:trPr>
          <w:trHeight w:val="210"/>
        </w:trPr>
        <w:tc>
          <w:tcPr>
            <w:tcW w:w="8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7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Outback Steakhouse</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Company-owned (1)</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637</w:t>
            </w:r>
          </w:p>
        </w:tc>
        <w:tc>
          <w:tcPr>
            <w:tcW w:w="0" w:type="dxa"/>
            <w:vAlign w:val="bottom"/>
          </w:tcPr>
          <w:p>
            <w:pPr>
              <w:spacing w:after="0"/>
              <w:rPr>
                <w:sz w:val="1"/>
                <w:szCs w:val="1"/>
                <w:color w:val="auto"/>
              </w:rPr>
            </w:pPr>
          </w:p>
        </w:tc>
      </w:tr>
      <w:tr>
        <w:trPr>
          <w:trHeight w:val="270"/>
        </w:trPr>
        <w:tc>
          <w:tcPr>
            <w:tcW w:w="8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Franchised (1)</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64"/>
        </w:trPr>
        <w:tc>
          <w:tcPr>
            <w:tcW w:w="8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738</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231"/>
        </w:trPr>
        <w:tc>
          <w:tcPr>
            <w:tcW w:w="8700" w:type="dxa"/>
            <w:vAlign w:val="bottom"/>
          </w:tcPr>
          <w:p>
            <w:pPr>
              <w:ind w:left="180"/>
              <w:spacing w:after="0"/>
              <w:rPr>
                <w:sz w:val="20"/>
                <w:szCs w:val="20"/>
                <w:color w:val="auto"/>
              </w:rPr>
            </w:pPr>
            <w:r>
              <w:rPr>
                <w:rFonts w:ascii="Arial" w:cs="Arial" w:eastAsia="Arial" w:hAnsi="Arial"/>
                <w:sz w:val="16"/>
                <w:szCs w:val="16"/>
                <w:color w:val="auto"/>
              </w:rPr>
              <w:t>Carrabba’s Italian Grill</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Company-owned (1)</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70"/>
        </w:trPr>
        <w:tc>
          <w:tcPr>
            <w:tcW w:w="8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Franchised (1)</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64"/>
        </w:trPr>
        <w:tc>
          <w:tcPr>
            <w:tcW w:w="8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31"/>
        </w:trPr>
        <w:tc>
          <w:tcPr>
            <w:tcW w:w="8700" w:type="dxa"/>
            <w:vAlign w:val="bottom"/>
          </w:tcPr>
          <w:p>
            <w:pPr>
              <w:ind w:left="180"/>
              <w:spacing w:after="0"/>
              <w:rPr>
                <w:sz w:val="20"/>
                <w:szCs w:val="20"/>
                <w:color w:val="auto"/>
              </w:rPr>
            </w:pPr>
            <w:r>
              <w:rPr>
                <w:rFonts w:ascii="Arial" w:cs="Arial" w:eastAsia="Arial" w:hAnsi="Arial"/>
                <w:sz w:val="16"/>
                <w:szCs w:val="16"/>
                <w:color w:val="auto"/>
              </w:rPr>
              <w:t>Bonefish Grill</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Company-owned</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70"/>
        </w:trPr>
        <w:tc>
          <w:tcPr>
            <w:tcW w:w="8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Franchised</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64"/>
        </w:trPr>
        <w:tc>
          <w:tcPr>
            <w:tcW w:w="8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31"/>
        </w:trPr>
        <w:tc>
          <w:tcPr>
            <w:tcW w:w="8700" w:type="dxa"/>
            <w:vAlign w:val="bottom"/>
          </w:tcPr>
          <w:p>
            <w:pPr>
              <w:ind w:left="180"/>
              <w:spacing w:after="0"/>
              <w:rPr>
                <w:sz w:val="20"/>
                <w:szCs w:val="20"/>
                <w:color w:val="auto"/>
              </w:rPr>
            </w:pPr>
            <w:r>
              <w:rPr>
                <w:rFonts w:ascii="Arial" w:cs="Arial" w:eastAsia="Arial" w:hAnsi="Arial"/>
                <w:sz w:val="16"/>
                <w:szCs w:val="16"/>
                <w:color w:val="auto"/>
              </w:rPr>
              <w:t>Fleming’s Prime Steakhouse &amp; Wine Bar</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Company-owned</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4"/>
        </w:trPr>
        <w:tc>
          <w:tcPr>
            <w:tcW w:w="8700" w:type="dxa"/>
            <w:vAlign w:val="bottom"/>
          </w:tcPr>
          <w:p>
            <w:pPr>
              <w:ind w:left="180"/>
              <w:spacing w:after="0"/>
              <w:rPr>
                <w:sz w:val="20"/>
                <w:szCs w:val="20"/>
                <w:color w:val="auto"/>
              </w:rPr>
            </w:pPr>
            <w:r>
              <w:rPr>
                <w:rFonts w:ascii="Arial" w:cs="Arial" w:eastAsia="Arial" w:hAnsi="Arial"/>
                <w:sz w:val="16"/>
                <w:szCs w:val="16"/>
                <w:color w:val="auto"/>
              </w:rPr>
              <w:t>Express</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7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Company-owned</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8700" w:type="dxa"/>
            <w:vAlign w:val="bottom"/>
            <w:tcBorders>
              <w:top w:val="single" w:sz="8" w:color="CCEEFF"/>
            </w:tcBorders>
          </w:tcPr>
          <w:p>
            <w:pPr>
              <w:ind w:left="720"/>
              <w:spacing w:after="0"/>
              <w:rPr>
                <w:sz w:val="20"/>
                <w:szCs w:val="20"/>
                <w:color w:val="auto"/>
              </w:rPr>
            </w:pPr>
            <w:r>
              <w:rPr>
                <w:rFonts w:ascii="Arial" w:cs="Arial" w:eastAsia="Arial" w:hAnsi="Arial"/>
                <w:sz w:val="16"/>
                <w:szCs w:val="16"/>
                <w:color w:val="auto"/>
              </w:rPr>
              <w:t>U.S. Total</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1,239</w:t>
            </w:r>
          </w:p>
        </w:tc>
        <w:tc>
          <w:tcPr>
            <w:tcW w:w="100" w:type="dxa"/>
            <w:vAlign w:val="bottom"/>
            <w:tcBorders>
              <w:top w:val="single" w:sz="8" w:color="CCEEFF"/>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1,242</w:t>
            </w:r>
          </w:p>
        </w:tc>
        <w:tc>
          <w:tcPr>
            <w:tcW w:w="0" w:type="dxa"/>
            <w:vAlign w:val="bottom"/>
          </w:tcPr>
          <w:p>
            <w:pPr>
              <w:spacing w:after="0"/>
              <w:rPr>
                <w:sz w:val="1"/>
                <w:szCs w:val="1"/>
                <w:color w:val="auto"/>
              </w:rPr>
            </w:pPr>
          </w:p>
        </w:tc>
      </w:tr>
      <w:tr>
        <w:trPr>
          <w:trHeight w:val="40"/>
        </w:trPr>
        <w:tc>
          <w:tcPr>
            <w:tcW w:w="870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International</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7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700" w:type="dxa"/>
            <w:vAlign w:val="bottom"/>
          </w:tcPr>
          <w:p>
            <w:pPr>
              <w:ind w:left="180"/>
              <w:spacing w:after="0"/>
              <w:rPr>
                <w:sz w:val="20"/>
                <w:szCs w:val="20"/>
                <w:color w:val="auto"/>
              </w:rPr>
            </w:pPr>
            <w:r>
              <w:rPr>
                <w:rFonts w:ascii="Arial" w:cs="Arial" w:eastAsia="Arial" w:hAnsi="Arial"/>
                <w:sz w:val="16"/>
                <w:szCs w:val="16"/>
                <w:color w:val="auto"/>
              </w:rPr>
              <w:t>Company-owned</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7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Outback Steakhouse - Brazil (2)</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37"/>
        </w:trPr>
        <w:tc>
          <w:tcPr>
            <w:tcW w:w="8700" w:type="dxa"/>
            <w:vAlign w:val="bottom"/>
          </w:tcPr>
          <w:p>
            <w:pPr>
              <w:ind w:left="280"/>
              <w:spacing w:after="0"/>
              <w:rPr>
                <w:sz w:val="20"/>
                <w:szCs w:val="20"/>
                <w:color w:val="auto"/>
              </w:rPr>
            </w:pPr>
            <w:r>
              <w:rPr>
                <w:rFonts w:ascii="Arial" w:cs="Arial" w:eastAsia="Arial" w:hAnsi="Arial"/>
                <w:sz w:val="16"/>
                <w:szCs w:val="16"/>
                <w:color w:val="auto"/>
              </w:rPr>
              <w:t>Other</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Franchised</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700" w:type="dxa"/>
            <w:vAlign w:val="bottom"/>
          </w:tcPr>
          <w:p>
            <w:pPr>
              <w:ind w:left="280"/>
              <w:spacing w:after="0"/>
              <w:rPr>
                <w:sz w:val="20"/>
                <w:szCs w:val="20"/>
                <w:color w:val="auto"/>
              </w:rPr>
            </w:pPr>
            <w:r>
              <w:rPr>
                <w:rFonts w:ascii="Arial" w:cs="Arial" w:eastAsia="Arial" w:hAnsi="Arial"/>
                <w:sz w:val="16"/>
                <w:szCs w:val="16"/>
                <w:color w:val="auto"/>
              </w:rPr>
              <w:t>Outback Steakhouse - South Korea</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1"/>
        </w:trPr>
        <w:tc>
          <w:tcPr>
            <w:tcW w:w="8700" w:type="dxa"/>
            <w:vAlign w:val="bottom"/>
            <w:tcBorders>
              <w:top w:val="single" w:sz="8" w:color="CCEEFF"/>
            </w:tcBorders>
          </w:tcPr>
          <w:p>
            <w:pPr>
              <w:ind w:left="720"/>
              <w:spacing w:after="0"/>
              <w:rPr>
                <w:sz w:val="20"/>
                <w:szCs w:val="20"/>
                <w:color w:val="auto"/>
              </w:rPr>
            </w:pPr>
            <w:r>
              <w:rPr>
                <w:rFonts w:ascii="Arial" w:cs="Arial" w:eastAsia="Arial" w:hAnsi="Arial"/>
                <w:sz w:val="16"/>
                <w:szCs w:val="16"/>
                <w:color w:val="auto"/>
              </w:rPr>
              <w:t>International Total</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255</w:t>
            </w:r>
          </w:p>
        </w:tc>
        <w:tc>
          <w:tcPr>
            <w:tcW w:w="100" w:type="dxa"/>
            <w:vAlign w:val="bottom"/>
            <w:tcBorders>
              <w:top w:val="single" w:sz="8" w:color="CCEEFF"/>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40"/>
        </w:trPr>
        <w:tc>
          <w:tcPr>
            <w:tcW w:w="870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System-wide total</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1,494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1,486</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700" w:type="dxa"/>
            <w:vAlign w:val="bottom"/>
            <w:vMerge w:val="continue"/>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April 2017, we sold 53 Outback Steakhouse restaurants and one Carrabba’s Italian Grill restaurant, which are now operated as franchises.</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restaurant counts for Brazil are reported as of February 28, 2018 and 2017, respectively, to correspond with the balance sheet dates of this subsidiary.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the percentages of certain items in our Consolidated Statements of Operations and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Comprehensive Income in relation to Total revenues or Restaurant sales, as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520" w:type="dxa"/>
            <w:vAlign w:val="bottom"/>
          </w:tcPr>
          <w:p>
            <w:pPr>
              <w:spacing w:after="0"/>
              <w:rPr>
                <w:sz w:val="17"/>
                <w:szCs w:val="17"/>
                <w:color w:val="auto"/>
              </w:rPr>
            </w:pPr>
          </w:p>
        </w:tc>
        <w:tc>
          <w:tcPr>
            <w:tcW w:w="290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4"/>
                <w:szCs w:val="14"/>
                <w:b w:val="1"/>
                <w:bCs w:val="1"/>
                <w:color w:val="auto"/>
              </w:rPr>
              <w:t>THIRTEEN WEEKS ENDED</w:t>
            </w:r>
          </w:p>
        </w:tc>
      </w:tr>
      <w:tr>
        <w:trPr>
          <w:trHeight w:val="264"/>
        </w:trPr>
        <w:tc>
          <w:tcPr>
            <w:tcW w:w="8520" w:type="dxa"/>
            <w:vAlign w:val="bottom"/>
          </w:tcPr>
          <w:p>
            <w:pPr>
              <w:spacing w:after="0"/>
              <w:rPr>
                <w:sz w:val="22"/>
                <w:szCs w:val="22"/>
                <w:color w:val="auto"/>
              </w:rPr>
            </w:pPr>
          </w:p>
        </w:tc>
        <w:tc>
          <w:tcPr>
            <w:tcW w:w="1460" w:type="dxa"/>
            <w:vAlign w:val="bottom"/>
            <w:gridSpan w:val="2"/>
          </w:tcPr>
          <w:p>
            <w:pPr>
              <w:ind w:left="220"/>
              <w:spacing w:after="0"/>
              <w:rPr>
                <w:sz w:val="20"/>
                <w:szCs w:val="20"/>
                <w:color w:val="auto"/>
              </w:rPr>
            </w:pPr>
            <w:r>
              <w:rPr>
                <w:rFonts w:ascii="Arial" w:cs="Arial" w:eastAsia="Arial" w:hAnsi="Arial"/>
                <w:sz w:val="14"/>
                <w:szCs w:val="14"/>
                <w:b w:val="1"/>
                <w:bCs w:val="1"/>
                <w:color w:val="auto"/>
              </w:rPr>
              <w:t>APRIL 1, 2018</w:t>
            </w:r>
          </w:p>
        </w:tc>
        <w:tc>
          <w:tcPr>
            <w:tcW w:w="1440" w:type="dxa"/>
            <w:vAlign w:val="bottom"/>
          </w:tcPr>
          <w:p>
            <w:pPr>
              <w:jc w:val="right"/>
              <w:ind w:right="99"/>
              <w:spacing w:after="0"/>
              <w:rPr>
                <w:sz w:val="20"/>
                <w:szCs w:val="20"/>
                <w:color w:val="auto"/>
              </w:rPr>
            </w:pPr>
            <w:r>
              <w:rPr>
                <w:rFonts w:ascii="Arial" w:cs="Arial" w:eastAsia="Arial" w:hAnsi="Arial"/>
                <w:sz w:val="14"/>
                <w:szCs w:val="14"/>
                <w:b w:val="1"/>
                <w:bCs w:val="1"/>
                <w:color w:val="auto"/>
              </w:rPr>
              <w:t>MARCH 26, 2017</w:t>
            </w:r>
          </w:p>
        </w:tc>
      </w:tr>
      <w:tr>
        <w:trPr>
          <w:trHeight w:val="250"/>
        </w:trPr>
        <w:tc>
          <w:tcPr>
            <w:tcW w:w="8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8520" w:type="dxa"/>
            <w:vAlign w:val="bottom"/>
          </w:tcPr>
          <w:p>
            <w:pPr>
              <w:ind w:left="180"/>
              <w:spacing w:after="0"/>
              <w:rPr>
                <w:sz w:val="20"/>
                <w:szCs w:val="20"/>
                <w:color w:val="auto"/>
              </w:rPr>
            </w:pPr>
            <w:r>
              <w:rPr>
                <w:rFonts w:ascii="Arial" w:cs="Arial" w:eastAsia="Arial" w:hAnsi="Arial"/>
                <w:sz w:val="16"/>
                <w:szCs w:val="16"/>
                <w:color w:val="auto"/>
              </w:rPr>
              <w:t>Restaurant sales</w:t>
            </w:r>
          </w:p>
        </w:tc>
        <w:tc>
          <w:tcPr>
            <w:tcW w:w="1340" w:type="dxa"/>
            <w:vAlign w:val="bottom"/>
          </w:tcPr>
          <w:p>
            <w:pPr>
              <w:jc w:val="right"/>
              <w:spacing w:after="0"/>
              <w:rPr>
                <w:sz w:val="20"/>
                <w:szCs w:val="20"/>
                <w:color w:val="auto"/>
              </w:rPr>
            </w:pPr>
            <w:r>
              <w:rPr>
                <w:rFonts w:ascii="Arial" w:cs="Arial" w:eastAsia="Arial" w:hAnsi="Arial"/>
                <w:sz w:val="16"/>
                <w:szCs w:val="16"/>
                <w:color w:val="auto"/>
              </w:rPr>
              <w:t>98.4 %</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99.1 %</w:t>
            </w:r>
          </w:p>
        </w:tc>
      </w:tr>
      <w:tr>
        <w:trPr>
          <w:trHeight w:val="33"/>
        </w:trPr>
        <w:tc>
          <w:tcPr>
            <w:tcW w:w="8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4"/>
        </w:trPr>
        <w:tc>
          <w:tcPr>
            <w:tcW w:w="8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Franchise and other revenues</w:t>
            </w:r>
          </w:p>
        </w:tc>
        <w:tc>
          <w:tcPr>
            <w:tcW w:w="13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0.9</w:t>
            </w:r>
          </w:p>
        </w:tc>
      </w:tr>
      <w:tr>
        <w:trPr>
          <w:trHeight w:val="224"/>
        </w:trPr>
        <w:tc>
          <w:tcPr>
            <w:tcW w:w="8520" w:type="dxa"/>
            <w:vAlign w:val="bottom"/>
          </w:tcPr>
          <w:p>
            <w:pPr>
              <w:ind w:left="820"/>
              <w:spacing w:after="0"/>
              <w:rPr>
                <w:sz w:val="20"/>
                <w:szCs w:val="20"/>
                <w:color w:val="auto"/>
              </w:rPr>
            </w:pPr>
            <w:r>
              <w:rPr>
                <w:rFonts w:ascii="Arial" w:cs="Arial" w:eastAsia="Arial" w:hAnsi="Arial"/>
                <w:sz w:val="16"/>
                <w:szCs w:val="16"/>
                <w:color w:val="auto"/>
              </w:rPr>
              <w:t>Total revenues</w:t>
            </w: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9"/>
                <w:szCs w:val="19"/>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100.0</w:t>
            </w:r>
          </w:p>
        </w:tc>
      </w:tr>
      <w:tr>
        <w:trPr>
          <w:trHeight w:val="33"/>
        </w:trPr>
        <w:tc>
          <w:tcPr>
            <w:tcW w:w="8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Costs and expenses</w:t>
            </w: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7"/>
        </w:trPr>
        <w:tc>
          <w:tcPr>
            <w:tcW w:w="8520" w:type="dxa"/>
            <w:vAlign w:val="bottom"/>
          </w:tcPr>
          <w:p>
            <w:pPr>
              <w:ind w:left="180"/>
              <w:spacing w:after="0"/>
              <w:rPr>
                <w:sz w:val="20"/>
                <w:szCs w:val="20"/>
                <w:color w:val="auto"/>
              </w:rPr>
            </w:pPr>
            <w:r>
              <w:rPr>
                <w:rFonts w:ascii="Arial" w:cs="Arial" w:eastAsia="Arial" w:hAnsi="Arial"/>
                <w:sz w:val="16"/>
                <w:szCs w:val="16"/>
                <w:color w:val="auto"/>
              </w:rPr>
              <w:t>Cost of sales (1)</w:t>
            </w: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20"/>
                <w:szCs w:val="20"/>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31.9</w:t>
            </w:r>
          </w:p>
        </w:tc>
      </w:tr>
      <w:tr>
        <w:trPr>
          <w:trHeight w:val="33"/>
        </w:trPr>
        <w:tc>
          <w:tcPr>
            <w:tcW w:w="8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Labor and other related (1)</w:t>
            </w:r>
          </w:p>
        </w:tc>
        <w:tc>
          <w:tcPr>
            <w:tcW w:w="13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28.4</w:t>
            </w:r>
          </w:p>
        </w:tc>
      </w:tr>
      <w:tr>
        <w:trPr>
          <w:trHeight w:val="237"/>
        </w:trPr>
        <w:tc>
          <w:tcPr>
            <w:tcW w:w="8520" w:type="dxa"/>
            <w:vAlign w:val="bottom"/>
          </w:tcPr>
          <w:p>
            <w:pPr>
              <w:ind w:left="180"/>
              <w:spacing w:after="0"/>
              <w:rPr>
                <w:sz w:val="20"/>
                <w:szCs w:val="20"/>
                <w:color w:val="auto"/>
              </w:rPr>
            </w:pPr>
            <w:r>
              <w:rPr>
                <w:rFonts w:ascii="Arial" w:cs="Arial" w:eastAsia="Arial" w:hAnsi="Arial"/>
                <w:sz w:val="16"/>
                <w:szCs w:val="16"/>
                <w:color w:val="auto"/>
              </w:rPr>
              <w:t>Other restaurant operating (1)</w:t>
            </w: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0"/>
                <w:szCs w:val="20"/>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22.0</w:t>
            </w:r>
          </w:p>
        </w:tc>
      </w:tr>
      <w:tr>
        <w:trPr>
          <w:trHeight w:val="33"/>
        </w:trPr>
        <w:tc>
          <w:tcPr>
            <w:tcW w:w="8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13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4.0</w:t>
            </w:r>
          </w:p>
        </w:tc>
      </w:tr>
      <w:tr>
        <w:trPr>
          <w:trHeight w:val="237"/>
        </w:trPr>
        <w:tc>
          <w:tcPr>
            <w:tcW w:w="852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6.2</w:t>
            </w:r>
          </w:p>
        </w:tc>
      </w:tr>
      <w:tr>
        <w:trPr>
          <w:trHeight w:val="33"/>
        </w:trPr>
        <w:tc>
          <w:tcPr>
            <w:tcW w:w="8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4"/>
        </w:trPr>
        <w:tc>
          <w:tcPr>
            <w:tcW w:w="8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impaired assets and restaurant closings</w:t>
            </w:r>
          </w:p>
        </w:tc>
        <w:tc>
          <w:tcPr>
            <w:tcW w:w="13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1.7</w:t>
            </w:r>
          </w:p>
        </w:tc>
      </w:tr>
      <w:tr>
        <w:trPr>
          <w:trHeight w:val="270"/>
        </w:trPr>
        <w:tc>
          <w:tcPr>
            <w:tcW w:w="852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Total costs and expenses</w:t>
            </w:r>
          </w:p>
        </w:tc>
        <w:tc>
          <w:tcPr>
            <w:tcW w:w="13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93.0</w:t>
            </w:r>
          </w:p>
        </w:tc>
        <w:tc>
          <w:tcPr>
            <w:tcW w:w="12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93.3</w:t>
            </w:r>
          </w:p>
        </w:tc>
      </w:tr>
      <w:tr>
        <w:trPr>
          <w:trHeight w:val="23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13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6.7</w:t>
            </w:r>
          </w:p>
        </w:tc>
      </w:tr>
      <w:tr>
        <w:trPr>
          <w:trHeight w:val="237"/>
        </w:trPr>
        <w:tc>
          <w:tcPr>
            <w:tcW w:w="852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33"/>
        </w:trPr>
        <w:tc>
          <w:tcPr>
            <w:tcW w:w="8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4"/>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13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(0.8)</w:t>
            </w:r>
          </w:p>
        </w:tc>
      </w:tr>
      <w:tr>
        <w:trPr>
          <w:trHeight w:val="224"/>
        </w:trPr>
        <w:tc>
          <w:tcPr>
            <w:tcW w:w="8520" w:type="dxa"/>
            <w:vAlign w:val="bottom"/>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9"/>
                <w:szCs w:val="19"/>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5.9</w:t>
            </w:r>
          </w:p>
        </w:tc>
      </w:tr>
      <w:tr>
        <w:trPr>
          <w:trHeight w:val="33"/>
        </w:trPr>
        <w:tc>
          <w:tcPr>
            <w:tcW w:w="8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4"/>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13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1.6</w:t>
            </w:r>
          </w:p>
        </w:tc>
      </w:tr>
      <w:tr>
        <w:trPr>
          <w:trHeight w:val="224"/>
        </w:trPr>
        <w:tc>
          <w:tcPr>
            <w:tcW w:w="85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9"/>
                <w:szCs w:val="19"/>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4.3</w:t>
            </w:r>
          </w:p>
        </w:tc>
      </w:tr>
      <w:tr>
        <w:trPr>
          <w:trHeight w:val="33"/>
        </w:trPr>
        <w:tc>
          <w:tcPr>
            <w:tcW w:w="8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4"/>
        </w:trPr>
        <w:tc>
          <w:tcPr>
            <w:tcW w:w="8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net income attributable to noncontrolling interests</w:t>
            </w:r>
          </w:p>
        </w:tc>
        <w:tc>
          <w:tcPr>
            <w:tcW w:w="13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0.1</w:t>
            </w:r>
          </w:p>
        </w:tc>
      </w:tr>
      <w:tr>
        <w:trPr>
          <w:trHeight w:val="237"/>
        </w:trPr>
        <w:tc>
          <w:tcPr>
            <w:tcW w:w="8520" w:type="dxa"/>
            <w:vAlign w:val="bottom"/>
          </w:tcPr>
          <w:p>
            <w:pPr>
              <w:ind w:left="40"/>
              <w:spacing w:after="0"/>
              <w:rPr>
                <w:sz w:val="20"/>
                <w:szCs w:val="20"/>
                <w:color w:val="auto"/>
              </w:rPr>
            </w:pPr>
            <w:r>
              <w:rPr>
                <w:rFonts w:ascii="Arial" w:cs="Arial" w:eastAsia="Arial" w:hAnsi="Arial"/>
                <w:sz w:val="16"/>
                <w:szCs w:val="16"/>
                <w:color w:val="auto"/>
              </w:rPr>
              <w:t>Net income attributable to Bloomin’ Brands</w:t>
            </w:r>
          </w:p>
        </w:tc>
        <w:tc>
          <w:tcPr>
            <w:tcW w:w="1340" w:type="dxa"/>
            <w:vAlign w:val="bottom"/>
          </w:tcPr>
          <w:p>
            <w:pPr>
              <w:jc w:val="right"/>
              <w:spacing w:after="0"/>
              <w:rPr>
                <w:sz w:val="20"/>
                <w:szCs w:val="20"/>
                <w:color w:val="auto"/>
              </w:rPr>
            </w:pPr>
            <w:r>
              <w:rPr>
                <w:rFonts w:ascii="Arial" w:cs="Arial" w:eastAsia="Arial" w:hAnsi="Arial"/>
                <w:sz w:val="16"/>
                <w:szCs w:val="16"/>
                <w:color w:val="auto"/>
              </w:rPr>
              <w:t>5.8 %</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12700</wp:posOffset>
            </wp:positionV>
            <wp:extent cx="18351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w:t>
      </w:r>
    </w:p>
    <w:p>
      <w:pPr>
        <w:spacing w:after="0" w:line="17"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As a percentage of Restaurant sales.</w:t>
      </w:r>
    </w:p>
    <w:p>
      <w:pPr>
        <w:ind w:left="660" w:hanging="652"/>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Less than 1/10</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of one percent of Total revenues.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RESTAURANT SALES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Following is a summary of the change in Restaurant sales for the thirteen weeks ended April 1, 2018:</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(dollars 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THIRTEEN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-945515</wp:posOffset>
            </wp:positionH>
            <wp:positionV relativeFrom="paragraph">
              <wp:posOffset>-1184910</wp:posOffset>
            </wp:positionV>
            <wp:extent cx="18351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jc w:val="center"/>
        <w:ind w:right="80"/>
        <w:spacing w:after="0"/>
        <w:rPr>
          <w:sz w:val="20"/>
          <w:szCs w:val="20"/>
          <w:color w:val="auto"/>
        </w:rPr>
      </w:pPr>
      <w:r>
        <w:rPr>
          <w:rFonts w:ascii="Arial" w:cs="Arial" w:eastAsia="Arial" w:hAnsi="Arial"/>
          <w:sz w:val="14"/>
          <w:szCs w:val="14"/>
          <w:b w:val="1"/>
          <w:bCs w:val="1"/>
          <w:color w:val="auto"/>
        </w:rPr>
        <w:t>ENDED</w:t>
      </w:r>
    </w:p>
    <w:p>
      <w:pPr>
        <w:spacing w:after="0" w:line="21" w:lineRule="exact"/>
        <w:rPr>
          <w:sz w:val="20"/>
          <w:szCs w:val="20"/>
          <w:color w:val="auto"/>
        </w:rPr>
      </w:pPr>
    </w:p>
    <w:p>
      <w:pPr>
        <w:sectPr>
          <w:pgSz w:w="11900" w:h="16838" w:orient="portrait"/>
          <w:cols w:equalWidth="0" w:num="2">
            <w:col w:w="9300" w:space="720"/>
            <w:col w:w="140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44"/>
        </w:trPr>
        <w:tc>
          <w:tcPr>
            <w:tcW w:w="9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the period ended March 26, 2017 (1)</w:t>
            </w:r>
          </w:p>
        </w:tc>
        <w:tc>
          <w:tcPr>
            <w:tcW w:w="500" w:type="dxa"/>
            <w:vAlign w:val="bottom"/>
            <w:tcBorders>
              <w:top w:val="single" w:sz="8" w:color="auto"/>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1,143.8</w:t>
            </w:r>
          </w:p>
        </w:tc>
        <w:tc>
          <w:tcPr>
            <w:tcW w:w="0" w:type="dxa"/>
            <w:vAlign w:val="bottom"/>
          </w:tcPr>
          <w:p>
            <w:pPr>
              <w:spacing w:after="0"/>
              <w:rPr>
                <w:sz w:val="1"/>
                <w:szCs w:val="1"/>
                <w:color w:val="auto"/>
              </w:rPr>
            </w:pPr>
          </w:p>
        </w:tc>
      </w:tr>
      <w:tr>
        <w:trPr>
          <w:trHeight w:val="237"/>
        </w:trPr>
        <w:tc>
          <w:tcPr>
            <w:tcW w:w="9940" w:type="dxa"/>
            <w:vAlign w:val="bottom"/>
          </w:tcPr>
          <w:p>
            <w:pPr>
              <w:ind w:left="40"/>
              <w:spacing w:after="0"/>
              <w:rPr>
                <w:sz w:val="20"/>
                <w:szCs w:val="20"/>
                <w:color w:val="auto"/>
              </w:rPr>
            </w:pPr>
            <w:r>
              <w:rPr>
                <w:rFonts w:ascii="Arial" w:cs="Arial" w:eastAsia="Arial" w:hAnsi="Arial"/>
                <w:sz w:val="16"/>
                <w:szCs w:val="16"/>
                <w:color w:val="auto"/>
              </w:rPr>
              <w:t>Change from:</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Divestiture of restaurants through refranchising transactions</w:t>
            </w: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24"/>
        </w:trPr>
        <w:tc>
          <w:tcPr>
            <w:tcW w:w="9940" w:type="dxa"/>
            <w:vAlign w:val="bottom"/>
          </w:tcPr>
          <w:p>
            <w:pPr>
              <w:ind w:left="380"/>
              <w:spacing w:after="0"/>
              <w:rPr>
                <w:sz w:val="20"/>
                <w:szCs w:val="20"/>
                <w:color w:val="auto"/>
              </w:rPr>
            </w:pPr>
            <w:r>
              <w:rPr>
                <w:rFonts w:ascii="Arial" w:cs="Arial" w:eastAsia="Arial" w:hAnsi="Arial"/>
                <w:sz w:val="16"/>
                <w:szCs w:val="16"/>
                <w:color w:val="auto"/>
              </w:rPr>
              <w:t>Restaurant closings</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33"/>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foreign currency translation</w:t>
            </w: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24"/>
        </w:trPr>
        <w:tc>
          <w:tcPr>
            <w:tcW w:w="9940" w:type="dxa"/>
            <w:vAlign w:val="bottom"/>
          </w:tcPr>
          <w:p>
            <w:pPr>
              <w:ind w:left="380"/>
              <w:spacing w:after="0"/>
              <w:rPr>
                <w:sz w:val="20"/>
                <w:szCs w:val="20"/>
                <w:color w:val="auto"/>
              </w:rPr>
            </w:pPr>
            <w:r>
              <w:rPr>
                <w:rFonts w:ascii="Arial" w:cs="Arial" w:eastAsia="Arial" w:hAnsi="Arial"/>
                <w:sz w:val="16"/>
                <w:szCs w:val="16"/>
                <w:color w:val="auto"/>
              </w:rPr>
              <w:t>Restaurant openings (2)</w:t>
            </w:r>
          </w:p>
        </w:tc>
        <w:tc>
          <w:tcPr>
            <w:tcW w:w="50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33"/>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Comparable restaurant sales (2)</w:t>
            </w: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50"/>
        </w:trPr>
        <w:tc>
          <w:tcPr>
            <w:tcW w:w="9940" w:type="dxa"/>
            <w:vAlign w:val="bottom"/>
          </w:tcPr>
          <w:p>
            <w:pPr>
              <w:ind w:left="40"/>
              <w:spacing w:after="0"/>
              <w:rPr>
                <w:sz w:val="20"/>
                <w:szCs w:val="20"/>
                <w:color w:val="auto"/>
              </w:rPr>
            </w:pPr>
            <w:r>
              <w:rPr>
                <w:rFonts w:ascii="Arial" w:cs="Arial" w:eastAsia="Arial" w:hAnsi="Arial"/>
                <w:sz w:val="16"/>
                <w:szCs w:val="16"/>
                <w:color w:val="auto"/>
              </w:rPr>
              <w:t>For the period ended April 1, 2018</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1,099.0</w:t>
            </w:r>
          </w:p>
        </w:tc>
        <w:tc>
          <w:tcPr>
            <w:tcW w:w="0" w:type="dxa"/>
            <w:vAlign w:val="bottom"/>
          </w:tcPr>
          <w:p>
            <w:pPr>
              <w:spacing w:after="0"/>
              <w:rPr>
                <w:sz w:val="1"/>
                <w:szCs w:val="1"/>
                <w:color w:val="auto"/>
              </w:rPr>
            </w:pPr>
          </w:p>
        </w:tc>
      </w:tr>
      <w:tr>
        <w:trPr>
          <w:trHeight w:val="20"/>
        </w:trPr>
        <w:tc>
          <w:tcPr>
            <w:tcW w:w="994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9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line="255"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Restaurant sales have been restated for the thirteen weeks ended March 26, 2017. See Note 1 of the Notes to Consolidated Financial Statements for details of the impact of implementing ASU No. 2014-09.</w:t>
      </w:r>
    </w:p>
    <w:p>
      <w:pPr>
        <w:ind w:left="660" w:hanging="652"/>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an approximate $19.0 million negative impact on Restaurant sales from a one-week shift in the fiscal calendar.</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decrease in Restaurant sales in the thirteen weeks ended April 1, 2018 was primarily attributable to domestic refranchising, the one-week shift in the fiscal calendar and the closing of 48 restaurants since December 25, 2016. The decrease in restaurant sales was partially offset by the opening of 42 new restaurants not included in our comparable restaurant sales base and higher comparable restaurant sales.</w:t>
      </w:r>
    </w:p>
    <w:p>
      <w:pPr>
        <w:spacing w:after="0" w:line="165"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The thirteen weeks ended March 26, 2017 included several high-volume days between December 26th and December 31st and the thirteen weeks ended April 1, 2018 excluded these high-volume days. This shift had an approximate $19.0 million negative impact on Restaurant sales.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Average Restaurant Unit Volumes and Operating Weeks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average restaurant unit volumes and operating weeks: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7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THIRTEEN WEEKS ENDED</w:t>
            </w:r>
          </w:p>
        </w:tc>
      </w:tr>
      <w:tr>
        <w:trPr>
          <w:trHeight w:val="258"/>
        </w:trPr>
        <w:tc>
          <w:tcPr>
            <w:tcW w:w="8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1, 2018</w:t>
            </w:r>
          </w:p>
        </w:tc>
        <w:tc>
          <w:tcPr>
            <w:tcW w:w="120" w:type="dxa"/>
            <w:vAlign w:val="bottom"/>
          </w:tcPr>
          <w:p>
            <w:pPr>
              <w:spacing w:after="0"/>
              <w:rPr>
                <w:sz w:val="22"/>
                <w:szCs w:val="22"/>
                <w:color w:val="auto"/>
              </w:rPr>
            </w:pPr>
          </w:p>
        </w:tc>
        <w:tc>
          <w:tcPr>
            <w:tcW w:w="1240" w:type="dxa"/>
            <w:vAlign w:val="bottom"/>
          </w:tcPr>
          <w:p>
            <w:pPr>
              <w:jc w:val="right"/>
              <w:ind w:right="40"/>
              <w:spacing w:after="0"/>
              <w:rPr>
                <w:sz w:val="20"/>
                <w:szCs w:val="20"/>
                <w:color w:val="auto"/>
              </w:rPr>
            </w:pPr>
            <w:r>
              <w:rPr>
                <w:rFonts w:ascii="Arial" w:cs="Arial" w:eastAsia="Arial" w:hAnsi="Arial"/>
                <w:sz w:val="14"/>
                <w:szCs w:val="14"/>
                <w:b w:val="1"/>
                <w:bCs w:val="1"/>
                <w:color w:val="auto"/>
                <w:w w:val="99"/>
              </w:rPr>
              <w:t>MARCH 26, 2017</w:t>
            </w:r>
          </w:p>
        </w:tc>
      </w:tr>
      <w:tr>
        <w:trPr>
          <w:trHeight w:val="289"/>
        </w:trPr>
        <w:tc>
          <w:tcPr>
            <w:tcW w:w="87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(Restated) (1)</w:t>
            </w: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Average restaurant unit volumes: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U.S.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Outback Steakhouse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74,439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72,035</w:t>
            </w:r>
          </w:p>
        </w:tc>
      </w:tr>
      <w:tr>
        <w:trPr>
          <w:trHeight w:val="237"/>
        </w:trPr>
        <w:tc>
          <w:tcPr>
            <w:tcW w:w="8700" w:type="dxa"/>
            <w:vAlign w:val="bottom"/>
          </w:tcPr>
          <w:p>
            <w:pPr>
              <w:ind w:left="280"/>
              <w:spacing w:after="0"/>
              <w:rPr>
                <w:sz w:val="20"/>
                <w:szCs w:val="20"/>
                <w:color w:val="auto"/>
              </w:rPr>
            </w:pPr>
            <w:r>
              <w:rPr>
                <w:rFonts w:ascii="Arial" w:cs="Arial" w:eastAsia="Arial" w:hAnsi="Arial"/>
                <w:sz w:val="16"/>
                <w:szCs w:val="16"/>
                <w:color w:val="auto"/>
              </w:rPr>
              <w:t>Carrabba’s Italian Grill</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59,479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59,534</w:t>
            </w: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Bonefish Grill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62,193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62,940</w:t>
            </w:r>
          </w:p>
        </w:tc>
      </w:tr>
      <w:tr>
        <w:trPr>
          <w:trHeight w:val="237"/>
        </w:trPr>
        <w:tc>
          <w:tcPr>
            <w:tcW w:w="8700" w:type="dxa"/>
            <w:vAlign w:val="bottom"/>
          </w:tcPr>
          <w:p>
            <w:pPr>
              <w:ind w:left="280"/>
              <w:spacing w:after="0"/>
              <w:rPr>
                <w:sz w:val="20"/>
                <w:szCs w:val="20"/>
                <w:color w:val="auto"/>
              </w:rPr>
            </w:pPr>
            <w:r>
              <w:rPr>
                <w:rFonts w:ascii="Arial" w:cs="Arial" w:eastAsia="Arial" w:hAnsi="Arial"/>
                <w:sz w:val="16"/>
                <w:szCs w:val="16"/>
                <w:color w:val="auto"/>
              </w:rPr>
              <w:t>Fleming’s Prime Steakhouse &amp; Wine Bar</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90,190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88,594</w:t>
            </w: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International</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8700" w:type="dxa"/>
            <w:vAlign w:val="bottom"/>
          </w:tcPr>
          <w:p>
            <w:pPr>
              <w:ind w:left="280"/>
              <w:spacing w:after="0"/>
              <w:rPr>
                <w:sz w:val="20"/>
                <w:szCs w:val="20"/>
                <w:color w:val="auto"/>
              </w:rPr>
            </w:pPr>
            <w:r>
              <w:rPr>
                <w:rFonts w:ascii="Arial" w:cs="Arial" w:eastAsia="Arial" w:hAnsi="Arial"/>
                <w:sz w:val="16"/>
                <w:szCs w:val="16"/>
                <w:color w:val="auto"/>
              </w:rPr>
              <w:t>Outback Steakhouse - Brazil (2)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84,694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85,171</w:t>
            </w: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weeks: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U.S.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Outback Steakhouse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8,372</w:t>
            </w:r>
          </w:p>
        </w:tc>
      </w:tr>
      <w:tr>
        <w:trPr>
          <w:trHeight w:val="237"/>
        </w:trPr>
        <w:tc>
          <w:tcPr>
            <w:tcW w:w="8700" w:type="dxa"/>
            <w:vAlign w:val="bottom"/>
          </w:tcPr>
          <w:p>
            <w:pPr>
              <w:ind w:left="280"/>
              <w:spacing w:after="0"/>
              <w:rPr>
                <w:sz w:val="20"/>
                <w:szCs w:val="20"/>
                <w:color w:val="auto"/>
              </w:rPr>
            </w:pPr>
            <w:r>
              <w:rPr>
                <w:rFonts w:ascii="Arial" w:cs="Arial" w:eastAsia="Arial" w:hAnsi="Arial"/>
                <w:sz w:val="16"/>
                <w:szCs w:val="16"/>
                <w:color w:val="auto"/>
              </w:rPr>
              <w:t>Carrabba’s Italian Grill</w:t>
            </w:r>
          </w:p>
        </w:tc>
        <w:tc>
          <w:tcPr>
            <w:tcW w:w="1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2,924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3,068</w:t>
            </w: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Bonefish Grill</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2,600</w:t>
            </w:r>
          </w:p>
        </w:tc>
      </w:tr>
      <w:tr>
        <w:trPr>
          <w:trHeight w:val="237"/>
        </w:trPr>
        <w:tc>
          <w:tcPr>
            <w:tcW w:w="8700" w:type="dxa"/>
            <w:vAlign w:val="bottom"/>
          </w:tcPr>
          <w:p>
            <w:pPr>
              <w:ind w:left="280"/>
              <w:spacing w:after="0"/>
              <w:rPr>
                <w:sz w:val="20"/>
                <w:szCs w:val="20"/>
                <w:color w:val="auto"/>
              </w:rPr>
            </w:pPr>
            <w:r>
              <w:rPr>
                <w:rFonts w:ascii="Arial" w:cs="Arial" w:eastAsia="Arial" w:hAnsi="Arial"/>
                <w:sz w:val="16"/>
                <w:szCs w:val="16"/>
                <w:color w:val="auto"/>
              </w:rPr>
              <w:t>Fleming’s Prime Steakhouse &amp; Wine Bar</w:t>
            </w:r>
          </w:p>
        </w:tc>
        <w:tc>
          <w:tcPr>
            <w:tcW w:w="1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898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878</w:t>
            </w: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International</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8700" w:type="dxa"/>
            <w:vAlign w:val="bottom"/>
          </w:tcPr>
          <w:p>
            <w:pPr>
              <w:ind w:left="280"/>
              <w:spacing w:after="0"/>
              <w:rPr>
                <w:sz w:val="20"/>
                <w:szCs w:val="20"/>
                <w:color w:val="auto"/>
              </w:rPr>
            </w:pPr>
            <w:r>
              <w:rPr>
                <w:rFonts w:ascii="Arial" w:cs="Arial" w:eastAsia="Arial" w:hAnsi="Arial"/>
                <w:sz w:val="16"/>
                <w:szCs w:val="16"/>
                <w:color w:val="auto"/>
              </w:rPr>
              <w:t>Outback Steakhouse - Brazil</w:t>
            </w:r>
          </w:p>
        </w:tc>
        <w:tc>
          <w:tcPr>
            <w:tcW w:w="1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1,067</w:t>
            </w:r>
          </w:p>
        </w:tc>
      </w:tr>
      <w:tr>
        <w:trPr>
          <w:trHeight w:val="226"/>
        </w:trPr>
        <w:tc>
          <w:tcPr>
            <w:tcW w:w="8700" w:type="dxa"/>
            <w:vAlign w:val="bottom"/>
          </w:tcPr>
          <w:p>
            <w:pPr>
              <w:spacing w:after="0"/>
              <w:rPr>
                <w:sz w:val="20"/>
                <w:szCs w:val="20"/>
                <w:color w:val="auto"/>
              </w:rPr>
            </w:pPr>
            <w:r>
              <w:rPr>
                <w:rFonts w:ascii="Arial" w:cs="Arial" w:eastAsia="Arial" w:hAnsi="Arial"/>
                <w:sz w:val="16"/>
                <w:szCs w:val="16"/>
                <w:color w:val="auto"/>
              </w:rPr>
              <w:t>____________________</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ind w:left="660" w:right="20" w:hanging="652"/>
        <w:spacing w:after="0" w:line="246"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Activity has been restated for the retrospective adoption of ASU No. 2014-09. See Note 1 - </w:t>
      </w:r>
      <w:r>
        <w:rPr>
          <w:rFonts w:ascii="Arial" w:cs="Arial" w:eastAsia="Arial" w:hAnsi="Arial"/>
          <w:sz w:val="16"/>
          <w:szCs w:val="16"/>
          <w:i w:val="1"/>
          <w:iCs w:val="1"/>
          <w:color w:val="auto"/>
        </w:rPr>
        <w:t>Description of the Business and Basis of Presentation</w:t>
      </w:r>
      <w:r>
        <w:rPr>
          <w:rFonts w:ascii="Arial" w:cs="Arial" w:eastAsia="Arial" w:hAnsi="Arial"/>
          <w:sz w:val="16"/>
          <w:szCs w:val="16"/>
          <w:color w:val="auto"/>
        </w:rPr>
        <w:t xml:space="preserve"> of the Notes to Consolidated Financial Statements for details regarding the impact of implementing ASU No. 2014-09.</w:t>
      </w:r>
    </w:p>
    <w:p>
      <w:pPr>
        <w:ind w:left="660" w:hanging="652"/>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Translated at an average exchange rate of 3.25 and 3.23 for the thirteen weeks ended April 1, 2018 and March 26, 2017, respectively.</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Comparable Restaurant Sales, Traffic and Average Check Per Person Increases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comparable restaurant sales, traffic and average check per person increases:</w:t>
      </w:r>
    </w:p>
    <w:p>
      <w:pPr>
        <w:spacing w:after="0" w:line="210"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23495</wp:posOffset>
            </wp:positionV>
            <wp:extent cx="184404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44040" cy="1714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520" w:type="dxa"/>
            <w:vAlign w:val="bottom"/>
          </w:tcPr>
          <w:p>
            <w:pPr>
              <w:spacing w:after="0"/>
              <w:rPr>
                <w:sz w:val="17"/>
                <w:szCs w:val="17"/>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1, 2018 (1)</w:t>
            </w:r>
          </w:p>
        </w:tc>
        <w:tc>
          <w:tcPr>
            <w:tcW w:w="1460" w:type="dxa"/>
            <w:vAlign w:val="bottom"/>
          </w:tcPr>
          <w:p>
            <w:pPr>
              <w:jc w:val="right"/>
              <w:ind w:right="99"/>
              <w:spacing w:after="0"/>
              <w:rPr>
                <w:sz w:val="20"/>
                <w:szCs w:val="20"/>
                <w:color w:val="auto"/>
              </w:rPr>
            </w:pPr>
            <w:r>
              <w:rPr>
                <w:rFonts w:ascii="Arial" w:cs="Arial" w:eastAsia="Arial" w:hAnsi="Arial"/>
                <w:sz w:val="14"/>
                <w:szCs w:val="14"/>
                <w:b w:val="1"/>
                <w:bCs w:val="1"/>
                <w:color w:val="auto"/>
              </w:rPr>
              <w:t>MARCH 26, 2017</w:t>
            </w:r>
          </w:p>
        </w:tc>
      </w:tr>
      <w:tr>
        <w:trPr>
          <w:trHeight w:val="250"/>
        </w:trPr>
        <w:tc>
          <w:tcPr>
            <w:tcW w:w="8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Year over year percentage change:</w:t>
            </w: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8520" w:type="dxa"/>
            <w:vAlign w:val="bottom"/>
          </w:tcPr>
          <w:p>
            <w:pPr>
              <w:ind w:left="180"/>
              <w:spacing w:after="0"/>
              <w:rPr>
                <w:sz w:val="20"/>
                <w:szCs w:val="20"/>
                <w:color w:val="auto"/>
              </w:rPr>
            </w:pPr>
            <w:r>
              <w:rPr>
                <w:rFonts w:ascii="Arial" w:cs="Arial" w:eastAsia="Arial" w:hAnsi="Arial"/>
                <w:sz w:val="16"/>
                <w:szCs w:val="16"/>
                <w:color w:val="auto"/>
              </w:rPr>
              <w:t>Comparable restaurant sales (stores open 18 months or more) (2):</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8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w:t>
            </w: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8520" w:type="dxa"/>
            <w:vAlign w:val="bottom"/>
          </w:tcPr>
          <w:p>
            <w:pPr>
              <w:ind w:left="380"/>
              <w:spacing w:after="0"/>
              <w:rPr>
                <w:sz w:val="20"/>
                <w:szCs w:val="20"/>
                <w:color w:val="auto"/>
              </w:rPr>
            </w:pPr>
            <w:r>
              <w:rPr>
                <w:rFonts w:ascii="Arial" w:cs="Arial" w:eastAsia="Arial" w:hAnsi="Arial"/>
                <w:sz w:val="16"/>
                <w:szCs w:val="16"/>
                <w:color w:val="auto"/>
              </w:rPr>
              <w:t>Outback Steakhouse</w:t>
            </w:r>
          </w:p>
        </w:tc>
        <w:tc>
          <w:tcPr>
            <w:tcW w:w="1340" w:type="dxa"/>
            <w:vAlign w:val="bottom"/>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1.4 %</w:t>
            </w:r>
          </w:p>
        </w:tc>
      </w:tr>
      <w:tr>
        <w:trPr>
          <w:trHeight w:val="33"/>
        </w:trPr>
        <w:tc>
          <w:tcPr>
            <w:tcW w:w="8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Carrabba’s Italian Grill</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37"/>
        </w:trPr>
        <w:tc>
          <w:tcPr>
            <w:tcW w:w="8520" w:type="dxa"/>
            <w:vAlign w:val="bottom"/>
          </w:tcPr>
          <w:p>
            <w:pPr>
              <w:ind w:left="380"/>
              <w:spacing w:after="0"/>
              <w:rPr>
                <w:sz w:val="20"/>
                <w:szCs w:val="20"/>
                <w:color w:val="auto"/>
              </w:rPr>
            </w:pPr>
            <w:r>
              <w:rPr>
                <w:rFonts w:ascii="Arial" w:cs="Arial" w:eastAsia="Arial" w:hAnsi="Arial"/>
                <w:sz w:val="16"/>
                <w:szCs w:val="16"/>
                <w:color w:val="auto"/>
              </w:rPr>
              <w:t>Bonefish Grill</w:t>
            </w:r>
          </w:p>
        </w:tc>
        <w:tc>
          <w:tcPr>
            <w:tcW w:w="13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33"/>
        </w:trPr>
        <w:tc>
          <w:tcPr>
            <w:tcW w:w="8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Fleming’s Prime Steakhouse &amp; Wine Bar</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37"/>
        </w:trPr>
        <w:tc>
          <w:tcPr>
            <w:tcW w:w="8520" w:type="dxa"/>
            <w:vAlign w:val="bottom"/>
          </w:tcPr>
          <w:p>
            <w:pPr>
              <w:ind w:left="380"/>
              <w:spacing w:after="0"/>
              <w:rPr>
                <w:sz w:val="20"/>
                <w:szCs w:val="20"/>
                <w:color w:val="auto"/>
              </w:rPr>
            </w:pPr>
            <w:r>
              <w:rPr>
                <w:rFonts w:ascii="Arial" w:cs="Arial" w:eastAsia="Arial" w:hAnsi="Arial"/>
                <w:sz w:val="16"/>
                <w:szCs w:val="16"/>
                <w:color w:val="auto"/>
              </w:rPr>
              <w:t>Combined U.S.</w:t>
            </w:r>
          </w:p>
        </w:tc>
        <w:tc>
          <w:tcPr>
            <w:tcW w:w="1340" w:type="dxa"/>
            <w:vAlign w:val="bottom"/>
          </w:tcPr>
          <w:p>
            <w:pPr>
              <w:jc w:val="right"/>
              <w:spacing w:after="0"/>
              <w:rPr>
                <w:sz w:val="20"/>
                <w:szCs w:val="20"/>
                <w:color w:val="auto"/>
              </w:rPr>
            </w:pPr>
            <w:r>
              <w:rPr>
                <w:rFonts w:ascii="Arial" w:cs="Arial" w:eastAsia="Arial" w:hAnsi="Arial"/>
                <w:sz w:val="16"/>
                <w:szCs w:val="16"/>
                <w:color w:val="auto"/>
              </w:rPr>
              <w:t>2.8 %</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8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8520" w:type="dxa"/>
            <w:vAlign w:val="bottom"/>
          </w:tcPr>
          <w:p>
            <w:pPr>
              <w:ind w:left="380"/>
              <w:spacing w:after="0"/>
              <w:rPr>
                <w:sz w:val="20"/>
                <w:szCs w:val="20"/>
                <w:color w:val="auto"/>
              </w:rPr>
            </w:pPr>
            <w:r>
              <w:rPr>
                <w:rFonts w:ascii="Arial" w:cs="Arial" w:eastAsia="Arial" w:hAnsi="Arial"/>
                <w:sz w:val="16"/>
                <w:szCs w:val="16"/>
                <w:color w:val="auto"/>
              </w:rPr>
              <w:t>Outback Steakhouse - Brazil (3)</w:t>
            </w:r>
          </w:p>
        </w:tc>
        <w:tc>
          <w:tcPr>
            <w:tcW w:w="134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3.6 %</w:t>
            </w:r>
          </w:p>
        </w:tc>
      </w:tr>
      <w:tr>
        <w:trPr>
          <w:trHeight w:val="33"/>
        </w:trPr>
        <w:tc>
          <w:tcPr>
            <w:tcW w:w="8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97"/>
        </w:trPr>
        <w:tc>
          <w:tcPr>
            <w:tcW w:w="85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37"/>
        </w:trPr>
        <w:tc>
          <w:tcPr>
            <w:tcW w:w="8520" w:type="dxa"/>
            <w:vAlign w:val="bottom"/>
          </w:tcPr>
          <w:p>
            <w:pPr>
              <w:ind w:left="180"/>
              <w:spacing w:after="0"/>
              <w:rPr>
                <w:sz w:val="20"/>
                <w:szCs w:val="20"/>
                <w:color w:val="auto"/>
              </w:rPr>
            </w:pPr>
            <w:r>
              <w:rPr>
                <w:rFonts w:ascii="Arial" w:cs="Arial" w:eastAsia="Arial" w:hAnsi="Arial"/>
                <w:sz w:val="16"/>
                <w:szCs w:val="16"/>
                <w:color w:val="auto"/>
              </w:rPr>
              <w:t>Traffic:</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8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w:t>
            </w: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8520" w:type="dxa"/>
            <w:vAlign w:val="bottom"/>
          </w:tcPr>
          <w:p>
            <w:pPr>
              <w:ind w:left="380"/>
              <w:spacing w:after="0"/>
              <w:rPr>
                <w:sz w:val="20"/>
                <w:szCs w:val="20"/>
                <w:color w:val="auto"/>
              </w:rPr>
            </w:pPr>
            <w:r>
              <w:rPr>
                <w:rFonts w:ascii="Arial" w:cs="Arial" w:eastAsia="Arial" w:hAnsi="Arial"/>
                <w:sz w:val="16"/>
                <w:szCs w:val="16"/>
                <w:color w:val="auto"/>
              </w:rPr>
              <w:t>Outback Steakhouse</w:t>
            </w:r>
          </w:p>
        </w:tc>
        <w:tc>
          <w:tcPr>
            <w:tcW w:w="1340" w:type="dxa"/>
            <w:vAlign w:val="bottom"/>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8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Carrabba’s Italian Grill</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37"/>
        </w:trPr>
        <w:tc>
          <w:tcPr>
            <w:tcW w:w="8520" w:type="dxa"/>
            <w:vAlign w:val="bottom"/>
          </w:tcPr>
          <w:p>
            <w:pPr>
              <w:ind w:left="380"/>
              <w:spacing w:after="0"/>
              <w:rPr>
                <w:sz w:val="20"/>
                <w:szCs w:val="20"/>
                <w:color w:val="auto"/>
              </w:rPr>
            </w:pPr>
            <w:r>
              <w:rPr>
                <w:rFonts w:ascii="Arial" w:cs="Arial" w:eastAsia="Arial" w:hAnsi="Arial"/>
                <w:sz w:val="16"/>
                <w:szCs w:val="16"/>
                <w:color w:val="auto"/>
              </w:rPr>
              <w:t>Bonefish Grill</w:t>
            </w:r>
          </w:p>
        </w:tc>
        <w:tc>
          <w:tcPr>
            <w:tcW w:w="134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33"/>
        </w:trPr>
        <w:tc>
          <w:tcPr>
            <w:tcW w:w="8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Fleming’s Prime Steakhouse &amp; Wine Bar</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37"/>
        </w:trPr>
        <w:tc>
          <w:tcPr>
            <w:tcW w:w="8520" w:type="dxa"/>
            <w:vAlign w:val="bottom"/>
          </w:tcPr>
          <w:p>
            <w:pPr>
              <w:ind w:left="380"/>
              <w:spacing w:after="0"/>
              <w:rPr>
                <w:sz w:val="20"/>
                <w:szCs w:val="20"/>
                <w:color w:val="auto"/>
              </w:rPr>
            </w:pPr>
            <w:r>
              <w:rPr>
                <w:rFonts w:ascii="Arial" w:cs="Arial" w:eastAsia="Arial" w:hAnsi="Arial"/>
                <w:sz w:val="16"/>
                <w:szCs w:val="16"/>
                <w:color w:val="auto"/>
              </w:rPr>
              <w:t>Combined U.S.</w:t>
            </w:r>
          </w:p>
        </w:tc>
        <w:tc>
          <w:tcPr>
            <w:tcW w:w="13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33"/>
        </w:trPr>
        <w:tc>
          <w:tcPr>
            <w:tcW w:w="8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8520" w:type="dxa"/>
            <w:vAlign w:val="bottom"/>
          </w:tcPr>
          <w:p>
            <w:pPr>
              <w:ind w:left="380"/>
              <w:spacing w:after="0"/>
              <w:rPr>
                <w:sz w:val="20"/>
                <w:szCs w:val="20"/>
                <w:color w:val="auto"/>
              </w:rPr>
            </w:pPr>
            <w:r>
              <w:rPr>
                <w:rFonts w:ascii="Arial" w:cs="Arial" w:eastAsia="Arial" w:hAnsi="Arial"/>
                <w:sz w:val="16"/>
                <w:szCs w:val="16"/>
                <w:color w:val="auto"/>
              </w:rPr>
              <w:t>Outback Steakhouse - Brazil</w:t>
            </w:r>
          </w:p>
        </w:tc>
        <w:tc>
          <w:tcPr>
            <w:tcW w:w="134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8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97"/>
        </w:trPr>
        <w:tc>
          <w:tcPr>
            <w:tcW w:w="85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37"/>
        </w:trPr>
        <w:tc>
          <w:tcPr>
            <w:tcW w:w="8520" w:type="dxa"/>
            <w:vAlign w:val="bottom"/>
          </w:tcPr>
          <w:p>
            <w:pPr>
              <w:ind w:left="180"/>
              <w:spacing w:after="0"/>
              <w:rPr>
                <w:sz w:val="20"/>
                <w:szCs w:val="20"/>
                <w:color w:val="auto"/>
              </w:rPr>
            </w:pPr>
            <w:r>
              <w:rPr>
                <w:rFonts w:ascii="Arial" w:cs="Arial" w:eastAsia="Arial" w:hAnsi="Arial"/>
                <w:sz w:val="16"/>
                <w:szCs w:val="16"/>
                <w:color w:val="auto"/>
              </w:rPr>
              <w:t>Average check per person increases (4):</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8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w:t>
            </w: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8520" w:type="dxa"/>
            <w:vAlign w:val="bottom"/>
          </w:tcPr>
          <w:p>
            <w:pPr>
              <w:ind w:left="380"/>
              <w:spacing w:after="0"/>
              <w:rPr>
                <w:sz w:val="20"/>
                <w:szCs w:val="20"/>
                <w:color w:val="auto"/>
              </w:rPr>
            </w:pPr>
            <w:r>
              <w:rPr>
                <w:rFonts w:ascii="Arial" w:cs="Arial" w:eastAsia="Arial" w:hAnsi="Arial"/>
                <w:sz w:val="16"/>
                <w:szCs w:val="16"/>
                <w:color w:val="auto"/>
              </w:rPr>
              <w:t>Outback Steakhouse</w:t>
            </w:r>
          </w:p>
        </w:tc>
        <w:tc>
          <w:tcPr>
            <w:tcW w:w="1340" w:type="dxa"/>
            <w:vAlign w:val="bottom"/>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3.5 %</w:t>
            </w:r>
          </w:p>
        </w:tc>
      </w:tr>
      <w:tr>
        <w:trPr>
          <w:trHeight w:val="33"/>
        </w:trPr>
        <w:tc>
          <w:tcPr>
            <w:tcW w:w="8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Carrabba’s Italian Grill</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6.5 %</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3.4 %</w:t>
            </w:r>
          </w:p>
        </w:tc>
      </w:tr>
      <w:tr>
        <w:trPr>
          <w:trHeight w:val="237"/>
        </w:trPr>
        <w:tc>
          <w:tcPr>
            <w:tcW w:w="8520" w:type="dxa"/>
            <w:vAlign w:val="bottom"/>
          </w:tcPr>
          <w:p>
            <w:pPr>
              <w:ind w:left="380"/>
              <w:spacing w:after="0"/>
              <w:rPr>
                <w:sz w:val="20"/>
                <w:szCs w:val="20"/>
                <w:color w:val="auto"/>
              </w:rPr>
            </w:pPr>
            <w:r>
              <w:rPr>
                <w:rFonts w:ascii="Arial" w:cs="Arial" w:eastAsia="Arial" w:hAnsi="Arial"/>
                <w:sz w:val="16"/>
                <w:szCs w:val="16"/>
                <w:color w:val="auto"/>
              </w:rPr>
              <w:t>Bonefish Grill</w:t>
            </w:r>
          </w:p>
        </w:tc>
        <w:tc>
          <w:tcPr>
            <w:tcW w:w="1340" w:type="dxa"/>
            <w:vAlign w:val="bottom"/>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1.4 %</w:t>
            </w:r>
          </w:p>
        </w:tc>
      </w:tr>
      <w:tr>
        <w:trPr>
          <w:trHeight w:val="33"/>
        </w:trPr>
        <w:tc>
          <w:tcPr>
            <w:tcW w:w="8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Fleming’s Prime Steakhouse &amp; Wine Bar</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4.6 %</w:t>
            </w:r>
          </w:p>
        </w:tc>
      </w:tr>
      <w:tr>
        <w:trPr>
          <w:trHeight w:val="237"/>
        </w:trPr>
        <w:tc>
          <w:tcPr>
            <w:tcW w:w="8520" w:type="dxa"/>
            <w:vAlign w:val="bottom"/>
          </w:tcPr>
          <w:p>
            <w:pPr>
              <w:ind w:left="380"/>
              <w:spacing w:after="0"/>
              <w:rPr>
                <w:sz w:val="20"/>
                <w:szCs w:val="20"/>
                <w:color w:val="auto"/>
              </w:rPr>
            </w:pPr>
            <w:r>
              <w:rPr>
                <w:rFonts w:ascii="Arial" w:cs="Arial" w:eastAsia="Arial" w:hAnsi="Arial"/>
                <w:sz w:val="16"/>
                <w:szCs w:val="16"/>
                <w:color w:val="auto"/>
              </w:rPr>
              <w:t>Combined U.S.</w:t>
            </w:r>
          </w:p>
        </w:tc>
        <w:tc>
          <w:tcPr>
            <w:tcW w:w="1340" w:type="dxa"/>
            <w:vAlign w:val="bottom"/>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3.1 %</w:t>
            </w:r>
          </w:p>
        </w:tc>
      </w:tr>
      <w:tr>
        <w:trPr>
          <w:trHeight w:val="33"/>
        </w:trPr>
        <w:tc>
          <w:tcPr>
            <w:tcW w:w="8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8520" w:type="dxa"/>
            <w:vAlign w:val="bottom"/>
          </w:tcPr>
          <w:p>
            <w:pPr>
              <w:ind w:left="380"/>
              <w:spacing w:after="0"/>
              <w:rPr>
                <w:sz w:val="20"/>
                <w:szCs w:val="20"/>
                <w:color w:val="auto"/>
              </w:rPr>
            </w:pPr>
            <w:r>
              <w:rPr>
                <w:rFonts w:ascii="Arial" w:cs="Arial" w:eastAsia="Arial" w:hAnsi="Arial"/>
                <w:sz w:val="16"/>
                <w:szCs w:val="16"/>
                <w:color w:val="auto"/>
              </w:rPr>
              <w:t>Outback Steakhouse - Brazil</w:t>
            </w:r>
          </w:p>
        </w:tc>
        <w:tc>
          <w:tcPr>
            <w:tcW w:w="1340" w:type="dxa"/>
            <w:vAlign w:val="bottom"/>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6.2 %</w:t>
            </w:r>
          </w:p>
        </w:tc>
      </w:tr>
    </w:tbl>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line="246"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For Q1 2018, comparable restaurant sales and traffic compare the thirteen weeks from January 1, 2018 through April 1, 2018 to the thirteen weeks from January 2, 2017 through April 2, 2017.</w:t>
      </w:r>
    </w:p>
    <w:p>
      <w:pPr>
        <w:ind w:left="660" w:hanging="652"/>
        <w:spacing w:after="0" w:line="246"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Comparable restaurant sales exclude the effect of fluctuations in foreign currency rates. Relocated international restaurants closed more than 30 days and relocated U.S. restaurants closed more than 60 days are excluded from comparable restaurant sales until at least 18 months after reopening.</w:t>
      </w:r>
    </w:p>
    <w:p>
      <w:pPr>
        <w:ind w:left="660" w:hanging="652"/>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trading day impact from calendar period reporting.</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Increases in average check per person includes the impact of menu pricing changes, product mix and discounts.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Franchise and other revenues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7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343"/>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258"/>
        </w:trPr>
        <w:tc>
          <w:tcPr>
            <w:tcW w:w="8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1, 2018</w:t>
            </w:r>
          </w:p>
        </w:tc>
        <w:tc>
          <w:tcPr>
            <w:tcW w:w="120" w:type="dxa"/>
            <w:vAlign w:val="bottom"/>
          </w:tcPr>
          <w:p>
            <w:pPr>
              <w:spacing w:after="0"/>
              <w:rPr>
                <w:sz w:val="22"/>
                <w:szCs w:val="22"/>
                <w:color w:val="auto"/>
              </w:rPr>
            </w:pPr>
          </w:p>
        </w:tc>
        <w:tc>
          <w:tcPr>
            <w:tcW w:w="1240" w:type="dxa"/>
            <w:vAlign w:val="bottom"/>
          </w:tcPr>
          <w:p>
            <w:pPr>
              <w:jc w:val="right"/>
              <w:ind w:right="43"/>
              <w:spacing w:after="0"/>
              <w:rPr>
                <w:sz w:val="20"/>
                <w:szCs w:val="20"/>
                <w:color w:val="auto"/>
              </w:rPr>
            </w:pPr>
            <w:r>
              <w:rPr>
                <w:rFonts w:ascii="Arial" w:cs="Arial" w:eastAsia="Arial" w:hAnsi="Arial"/>
                <w:sz w:val="14"/>
                <w:szCs w:val="14"/>
                <w:b w:val="1"/>
                <w:bCs w:val="1"/>
                <w:color w:val="auto"/>
                <w:w w:val="99"/>
              </w:rPr>
              <w:t>MARCH 26, 2017</w:t>
            </w:r>
          </w:p>
        </w:tc>
        <w:tc>
          <w:tcPr>
            <w:tcW w:w="0" w:type="dxa"/>
            <w:vAlign w:val="bottom"/>
          </w:tcPr>
          <w:p>
            <w:pPr>
              <w:spacing w:after="0"/>
              <w:rPr>
                <w:sz w:val="1"/>
                <w:szCs w:val="1"/>
                <w:color w:val="auto"/>
              </w:rPr>
            </w:pPr>
          </w:p>
        </w:tc>
      </w:tr>
      <w:tr>
        <w:trPr>
          <w:trHeight w:val="289"/>
        </w:trPr>
        <w:tc>
          <w:tcPr>
            <w:tcW w:w="8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(Restated) (1)</w:t>
            </w:r>
          </w:p>
        </w:tc>
        <w:tc>
          <w:tcPr>
            <w:tcW w:w="0" w:type="dxa"/>
            <w:vAlign w:val="bottom"/>
          </w:tcPr>
          <w:p>
            <w:pPr>
              <w:spacing w:after="0"/>
              <w:rPr>
                <w:sz w:val="1"/>
                <w:szCs w:val="1"/>
                <w:color w:val="auto"/>
              </w:rPr>
            </w:pPr>
          </w:p>
        </w:tc>
      </w:tr>
      <w:tr>
        <w:trPr>
          <w:trHeight w:val="237"/>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Franchise revenues (2)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70"/>
        </w:trPr>
        <w:tc>
          <w:tcPr>
            <w:tcW w:w="8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Franchise and other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See Note 1 of the Notes to Consolidated Financial Statements for details of the impact of implementing ASU No. 2014-09.</w:t>
      </w:r>
    </w:p>
    <w:p>
      <w:pPr>
        <w:spacing w:after="0" w:line="18" w:lineRule="exact"/>
        <w:rPr>
          <w:rFonts w:ascii="Arial" w:cs="Arial" w:eastAsia="Arial" w:hAnsi="Arial"/>
          <w:sz w:val="16"/>
          <w:szCs w:val="16"/>
          <w:color w:val="auto"/>
        </w:rPr>
      </w:pPr>
    </w:p>
    <w:p>
      <w:pPr>
        <w:ind w:left="660" w:hanging="652"/>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franchise royalties and initial franchise fees.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COSTS AND EXPENSES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Cost of sales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382"/>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22"/>
                <w:szCs w:val="22"/>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1, 2018</w:t>
            </w:r>
          </w:p>
        </w:tc>
        <w:tc>
          <w:tcPr>
            <w:tcW w:w="140" w:type="dxa"/>
            <w:vAlign w:val="bottom"/>
          </w:tcPr>
          <w:p>
            <w:pPr>
              <w:spacing w:after="0"/>
              <w:rPr>
                <w:sz w:val="22"/>
                <w:szCs w:val="22"/>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26, 2017</w:t>
            </w:r>
          </w:p>
        </w:tc>
        <w:tc>
          <w:tcPr>
            <w:tcW w:w="960" w:type="dxa"/>
            <w:vAlign w:val="bottom"/>
          </w:tcPr>
          <w:p>
            <w:pPr>
              <w:jc w:val="right"/>
              <w:ind w:right="163"/>
              <w:spacing w:after="0"/>
              <w:rPr>
                <w:sz w:val="20"/>
                <w:szCs w:val="20"/>
                <w:color w:val="auto"/>
              </w:rPr>
            </w:pPr>
            <w:r>
              <w:rPr>
                <w:rFonts w:ascii="Arial" w:cs="Arial" w:eastAsia="Arial" w:hAnsi="Arial"/>
                <w:sz w:val="14"/>
                <w:szCs w:val="14"/>
                <w:b w:val="1"/>
                <w:bCs w:val="1"/>
                <w:color w:val="auto"/>
              </w:rPr>
              <w:t>Change</w:t>
            </w:r>
          </w:p>
        </w:tc>
      </w:tr>
      <w:tr>
        <w:trPr>
          <w:trHeight w:val="250"/>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sales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352.1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364.7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180"/>
              <w:spacing w:after="0"/>
              <w:rPr>
                <w:sz w:val="20"/>
                <w:szCs w:val="20"/>
                <w:color w:val="auto"/>
              </w:rPr>
            </w:pPr>
            <w:r>
              <w:rPr>
                <w:rFonts w:ascii="Arial" w:cs="Arial" w:eastAsia="Arial" w:hAnsi="Arial"/>
                <w:sz w:val="16"/>
                <w:szCs w:val="16"/>
                <w:color w:val="auto"/>
              </w:rPr>
              <w:t>% of Restaurant sales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0.1%</w:t>
            </w:r>
          </w:p>
        </w:tc>
      </w:tr>
    </w:tbl>
    <w:p>
      <w:pPr>
        <w:spacing w:after="0" w:line="24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Cost of sales increased as a percentage of Restaurant sales in the thirteen weeks ended April 1, 2018 as compared to the thirteen weeks ended March 26, 2017 primarily due to: (i) 0.7% for commodity cost inflation and (ii) 0.3% for changes in product mix. These increases were partially offset by decreases as a percentage of Restaurant sales primarily attributable to 0.8% from increases in average check per person.</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Labor and other related expenses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382"/>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64"/>
        </w:trPr>
        <w:tc>
          <w:tcPr>
            <w:tcW w:w="748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22"/>
                <w:szCs w:val="22"/>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1, 2018</w:t>
            </w:r>
          </w:p>
        </w:tc>
        <w:tc>
          <w:tcPr>
            <w:tcW w:w="120" w:type="dxa"/>
            <w:vAlign w:val="bottom"/>
          </w:tcPr>
          <w:p>
            <w:pPr>
              <w:spacing w:after="0"/>
              <w:rPr>
                <w:sz w:val="22"/>
                <w:szCs w:val="22"/>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26, 2017</w:t>
            </w:r>
          </w:p>
        </w:tc>
        <w:tc>
          <w:tcPr>
            <w:tcW w:w="1020" w:type="dxa"/>
            <w:vAlign w:val="bottom"/>
          </w:tcPr>
          <w:p>
            <w:pPr>
              <w:jc w:val="right"/>
              <w:ind w:right="203"/>
              <w:spacing w:after="0"/>
              <w:rPr>
                <w:sz w:val="20"/>
                <w:szCs w:val="20"/>
                <w:color w:val="auto"/>
              </w:rPr>
            </w:pPr>
            <w:r>
              <w:rPr>
                <w:rFonts w:ascii="Arial" w:cs="Arial" w:eastAsia="Arial" w:hAnsi="Arial"/>
                <w:sz w:val="14"/>
                <w:szCs w:val="14"/>
                <w:b w:val="1"/>
                <w:bCs w:val="1"/>
                <w:color w:val="auto"/>
              </w:rPr>
              <w:t>Change</w:t>
            </w:r>
          </w:p>
        </w:tc>
      </w:tr>
      <w:tr>
        <w:trPr>
          <w:trHeight w:val="250"/>
        </w:trPr>
        <w:tc>
          <w:tcPr>
            <w:tcW w:w="7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Labor and other related</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311.1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324.4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480" w:type="dxa"/>
            <w:vAlign w:val="bottom"/>
          </w:tcPr>
          <w:p>
            <w:pPr>
              <w:ind w:left="180"/>
              <w:spacing w:after="0"/>
              <w:rPr>
                <w:sz w:val="20"/>
                <w:szCs w:val="20"/>
                <w:color w:val="auto"/>
              </w:rPr>
            </w:pPr>
            <w:r>
              <w:rPr>
                <w:rFonts w:ascii="Arial" w:cs="Arial" w:eastAsia="Arial" w:hAnsi="Arial"/>
                <w:sz w:val="16"/>
                <w:szCs w:val="16"/>
                <w:color w:val="auto"/>
              </w:rPr>
              <w:t>% of Restaurant sales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(0.1)%</w:t>
            </w:r>
          </w:p>
        </w:tc>
      </w:tr>
    </w:tbl>
    <w:p>
      <w:pPr>
        <w:spacing w:after="0" w:line="24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Labor and other related expenses decreased as a percentage of Restaurant sales in the thirteen weeks ended April 1, 2018 as compared to the thirteen weeks ended March 26, 2017 primarily due to: (i) 0.5% from increases in average check per person and (ii) 0.2% from the impact of certain cost saving initiatives. The decrease was partially offset by an increase as a percentage of Restaurant sales of 0.6% from higher labor costs due to wage rate increases and investments in our service model.</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restaurant operating expenses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383"/>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8"/>
        </w:trPr>
        <w:tc>
          <w:tcPr>
            <w:tcW w:w="7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1, 2018</w:t>
            </w:r>
          </w:p>
        </w:tc>
        <w:tc>
          <w:tcPr>
            <w:tcW w:w="140" w:type="dxa"/>
            <w:vAlign w:val="bottom"/>
          </w:tcPr>
          <w:p>
            <w:pPr>
              <w:spacing w:after="0"/>
              <w:rPr>
                <w:sz w:val="22"/>
                <w:szCs w:val="22"/>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MARCH 26, 2017</w:t>
            </w:r>
          </w:p>
        </w:tc>
        <w:tc>
          <w:tcPr>
            <w:tcW w:w="960" w:type="dxa"/>
            <w:vAlign w:val="bottom"/>
          </w:tcPr>
          <w:p>
            <w:pPr>
              <w:spacing w:after="0"/>
              <w:rPr>
                <w:sz w:val="22"/>
                <w:szCs w:val="22"/>
                <w:color w:val="auto"/>
              </w:rPr>
            </w:pPr>
          </w:p>
        </w:tc>
      </w:tr>
      <w:tr>
        <w:trPr>
          <w:trHeight w:val="289"/>
        </w:trPr>
        <w:tc>
          <w:tcPr>
            <w:tcW w:w="754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(Restated) (1)</w:t>
            </w:r>
          </w:p>
        </w:tc>
        <w:tc>
          <w:tcPr>
            <w:tcW w:w="960" w:type="dxa"/>
            <w:vAlign w:val="bottom"/>
          </w:tcPr>
          <w:p>
            <w:pPr>
              <w:jc w:val="right"/>
              <w:ind w:right="163"/>
              <w:spacing w:after="0"/>
              <w:rPr>
                <w:sz w:val="20"/>
                <w:szCs w:val="20"/>
                <w:color w:val="auto"/>
              </w:rPr>
            </w:pPr>
            <w:r>
              <w:rPr>
                <w:rFonts w:ascii="Arial" w:cs="Arial" w:eastAsia="Arial" w:hAnsi="Arial"/>
                <w:sz w:val="14"/>
                <w:szCs w:val="14"/>
                <w:b w:val="1"/>
                <w:bCs w:val="1"/>
                <w:color w:val="auto"/>
              </w:rPr>
              <w:t>Change</w:t>
            </w:r>
          </w:p>
        </w:tc>
      </w:tr>
      <w:tr>
        <w:trPr>
          <w:trHeight w:val="250"/>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restaurant operating</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253.3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251.1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180"/>
              <w:spacing w:after="0"/>
              <w:rPr>
                <w:sz w:val="20"/>
                <w:szCs w:val="20"/>
                <w:color w:val="auto"/>
              </w:rPr>
            </w:pPr>
            <w:r>
              <w:rPr>
                <w:rFonts w:ascii="Arial" w:cs="Arial" w:eastAsia="Arial" w:hAnsi="Arial"/>
                <w:sz w:val="16"/>
                <w:szCs w:val="16"/>
                <w:color w:val="auto"/>
              </w:rPr>
              <w:t>% of Restaurant sales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26"/>
        </w:trPr>
        <w:tc>
          <w:tcPr>
            <w:tcW w:w="7540" w:type="dxa"/>
            <w:vAlign w:val="bottom"/>
          </w:tcPr>
          <w:p>
            <w:pPr>
              <w:jc w:val="right"/>
              <w:ind w:right="5841"/>
              <w:spacing w:after="0"/>
              <w:rPr>
                <w:sz w:val="20"/>
                <w:szCs w:val="20"/>
                <w:color w:val="auto"/>
              </w:rPr>
            </w:pPr>
            <w:r>
              <w:rPr>
                <w:rFonts w:ascii="Arial" w:cs="Arial" w:eastAsia="Arial" w:hAnsi="Arial"/>
                <w:sz w:val="16"/>
                <w:szCs w:val="16"/>
                <w:color w:val="auto"/>
                <w:w w:val="89"/>
              </w:rPr>
              <w:t>____________________</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r>
    </w:tbl>
    <w:p>
      <w:pPr>
        <w:ind w:left="660" w:hanging="652"/>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See Note 1 of the Notes to Consolidated Financial Statements for details of the impact of implementing ASU No. 2014-09.</w:t>
      </w:r>
    </w:p>
    <w:p>
      <w:pPr>
        <w:spacing w:after="0" w:line="200" w:lineRule="exact"/>
        <w:rPr>
          <w:rFonts w:ascii="Arial" w:cs="Arial" w:eastAsia="Arial" w:hAnsi="Arial"/>
          <w:sz w:val="16"/>
          <w:szCs w:val="16"/>
          <w:color w:val="auto"/>
        </w:rPr>
      </w:pPr>
    </w:p>
    <w:p>
      <w:pPr>
        <w:spacing w:after="0" w:line="272"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Other restaurant operating expenses increased as a percentage of Restaurant sales in the thirteen weeks ended April 1, 2018 as compared to the thirteen weeks ended March 26, 2017 primarily due to: (i) 0.7% from operating expense inflation, (ii) 0.4% from the impact of the write-off of deferred rent liabilities in 2017 and (iii) 0.2% from an increase in amortization of deferred gift card sales commissions. These increases were partially offset by a decrease as a percentage of Restaurant sales of 0.3% from increases in average check per person.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 and amortization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363"/>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22"/>
                <w:szCs w:val="22"/>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1, 2018</w:t>
            </w:r>
          </w:p>
        </w:tc>
        <w:tc>
          <w:tcPr>
            <w:tcW w:w="10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26, 2017</w:t>
            </w:r>
          </w:p>
        </w:tc>
        <w:tc>
          <w:tcPr>
            <w:tcW w:w="160" w:type="dxa"/>
            <w:vAlign w:val="bottom"/>
          </w:tcPr>
          <w:p>
            <w:pPr>
              <w:spacing w:after="0"/>
              <w:rPr>
                <w:sz w:val="22"/>
                <w:szCs w:val="22"/>
                <w:color w:val="auto"/>
              </w:rPr>
            </w:pPr>
          </w:p>
        </w:tc>
        <w:tc>
          <w:tcPr>
            <w:tcW w:w="740" w:type="dxa"/>
            <w:vAlign w:val="bottom"/>
          </w:tcPr>
          <w:p>
            <w:pPr>
              <w:jc w:val="right"/>
              <w:ind w:right="123"/>
              <w:spacing w:after="0"/>
              <w:rPr>
                <w:sz w:val="20"/>
                <w:szCs w:val="20"/>
                <w:color w:val="auto"/>
              </w:rPr>
            </w:pPr>
            <w:r>
              <w:rPr>
                <w:rFonts w:ascii="Arial" w:cs="Arial" w:eastAsia="Arial" w:hAnsi="Arial"/>
                <w:sz w:val="14"/>
                <w:szCs w:val="14"/>
                <w:b w:val="1"/>
                <w:bCs w:val="1"/>
                <w:color w:val="auto"/>
              </w:rPr>
              <w:t>Change</w:t>
            </w:r>
          </w:p>
        </w:tc>
      </w:tr>
      <w:tr>
        <w:trPr>
          <w:trHeight w:val="224"/>
        </w:trPr>
        <w:tc>
          <w:tcPr>
            <w:tcW w:w="7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50.1</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3.5</w:t>
            </w:r>
          </w:p>
        </w:tc>
      </w:tr>
      <w:tr>
        <w:trPr>
          <w:trHeight w:val="33"/>
        </w:trPr>
        <w:tc>
          <w:tcPr>
            <w:tcW w:w="7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Depreciation and amortization expense increased in the thirteen weeks ended April 1, 2018 as compared to the thirteen weeks ended March 26, 2017 primarily due to additional depreciation expense related to restaurant renovations and technology projects, partially offset by the impact of domestic refranchising.</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General and administrative expense includes salaries and benefits, management incentive programs, related payroll tax and benefits, other employee-related costs and professional services. Following is a summary of the change in general and administrative expense for the thirteen weeks ended April 1, 2018:</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ind w:right="62"/>
              <w:spacing w:after="0"/>
              <w:rPr>
                <w:sz w:val="20"/>
                <w:szCs w:val="20"/>
                <w:color w:val="auto"/>
              </w:rPr>
            </w:pPr>
            <w:r>
              <w:rPr>
                <w:rFonts w:ascii="Arial" w:cs="Arial" w:eastAsia="Arial" w:hAnsi="Arial"/>
                <w:sz w:val="14"/>
                <w:szCs w:val="14"/>
                <w:b w:val="1"/>
                <w:bCs w:val="1"/>
                <w:color w:val="auto"/>
              </w:rPr>
              <w:t>THIRTEEN WEEKS</w:t>
            </w:r>
          </w:p>
        </w:tc>
      </w:tr>
      <w:tr>
        <w:trPr>
          <w:trHeight w:val="205"/>
        </w:trPr>
        <w:tc>
          <w:tcPr>
            <w:tcW w:w="98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ENDED</w:t>
            </w:r>
          </w:p>
        </w:tc>
      </w:tr>
      <w:tr>
        <w:trPr>
          <w:trHeight w:val="23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the period ended March 26, 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71.9</w:t>
            </w:r>
          </w:p>
        </w:tc>
      </w:tr>
      <w:tr>
        <w:trPr>
          <w:trHeight w:val="237"/>
        </w:trPr>
        <w:tc>
          <w:tcPr>
            <w:tcW w:w="9820" w:type="dxa"/>
            <w:vAlign w:val="bottom"/>
          </w:tcPr>
          <w:p>
            <w:pPr>
              <w:ind w:left="40"/>
              <w:spacing w:after="0"/>
              <w:rPr>
                <w:sz w:val="20"/>
                <w:szCs w:val="20"/>
                <w:color w:val="auto"/>
              </w:rPr>
            </w:pPr>
            <w:r>
              <w:rPr>
                <w:rFonts w:ascii="Arial" w:cs="Arial" w:eastAsia="Arial" w:hAnsi="Arial"/>
                <w:sz w:val="16"/>
                <w:szCs w:val="16"/>
                <w:color w:val="auto"/>
              </w:rPr>
              <w:t>Change from:</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3"/>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9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Severance</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70"/>
        </w:trPr>
        <w:tc>
          <w:tcPr>
            <w:tcW w:w="98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the period ended April 1, 2018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68.7</w:t>
            </w:r>
          </w:p>
        </w:tc>
      </w:tr>
      <w:tr>
        <w:trPr>
          <w:trHeight w:val="20"/>
        </w:trPr>
        <w:tc>
          <w:tcPr>
            <w:tcW w:w="9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Provision for impaired assets and restaurant closings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363"/>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22"/>
                <w:szCs w:val="22"/>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1, 2018</w:t>
            </w:r>
          </w:p>
        </w:tc>
        <w:tc>
          <w:tcPr>
            <w:tcW w:w="10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26, 2017</w:t>
            </w:r>
          </w:p>
        </w:tc>
        <w:tc>
          <w:tcPr>
            <w:tcW w:w="160" w:type="dxa"/>
            <w:vAlign w:val="bottom"/>
          </w:tcPr>
          <w:p>
            <w:pPr>
              <w:spacing w:after="0"/>
              <w:rPr>
                <w:sz w:val="22"/>
                <w:szCs w:val="22"/>
                <w:color w:val="auto"/>
              </w:rPr>
            </w:pPr>
          </w:p>
        </w:tc>
        <w:tc>
          <w:tcPr>
            <w:tcW w:w="740" w:type="dxa"/>
            <w:vAlign w:val="bottom"/>
          </w:tcPr>
          <w:p>
            <w:pPr>
              <w:jc w:val="right"/>
              <w:ind w:right="123"/>
              <w:spacing w:after="0"/>
              <w:rPr>
                <w:sz w:val="20"/>
                <w:szCs w:val="20"/>
                <w:color w:val="auto"/>
              </w:rPr>
            </w:pPr>
            <w:r>
              <w:rPr>
                <w:rFonts w:ascii="Arial" w:cs="Arial" w:eastAsia="Arial" w:hAnsi="Arial"/>
                <w:sz w:val="14"/>
                <w:szCs w:val="14"/>
                <w:b w:val="1"/>
                <w:bCs w:val="1"/>
                <w:color w:val="auto"/>
              </w:rPr>
              <w:t>Change</w:t>
            </w:r>
          </w:p>
        </w:tc>
      </w:tr>
      <w:tr>
        <w:trPr>
          <w:trHeight w:val="224"/>
        </w:trPr>
        <w:tc>
          <w:tcPr>
            <w:tcW w:w="7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impaired assets and restaurant closings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2.7</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19.1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w:t>
            </w:r>
          </w:p>
        </w:tc>
      </w:tr>
      <w:tr>
        <w:trPr>
          <w:trHeight w:val="33"/>
        </w:trPr>
        <w:tc>
          <w:tcPr>
            <w:tcW w:w="7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connection with the Closure Initiatives, we recognized pre-tax impairment and restaurant and other closing costs of $18.3 million during the thirteen weeks ended March 26, 2017 in Provision for impaired assets and restaurant closings in our Consolidated Statement of Operations and Comprehensive Income. We expect to incur additional charges of approximately $3.6 million to $6.0 million for the Closure Initiatives over the next year, including costs associated with lease obligations.</w:t>
      </w:r>
    </w:p>
    <w:p>
      <w:pPr>
        <w:spacing w:after="0" w:line="20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remaining restaurant impairment and closing charges resulted primarily from the carrying value of a restaurant’s assets exceeding its estimated fair market value, primarily due to locations identified for remodel, relocation or closure.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See Note 3 - </w:t>
      </w:r>
      <w:r>
        <w:rPr>
          <w:rFonts w:ascii="Arial" w:cs="Arial" w:eastAsia="Arial" w:hAnsi="Arial"/>
          <w:sz w:val="20"/>
          <w:szCs w:val="20"/>
          <w:i w:val="1"/>
          <w:iCs w:val="1"/>
          <w:color w:val="auto"/>
        </w:rPr>
        <w:t>Impairments and Exit Costs</w:t>
      </w:r>
      <w:r>
        <w:rPr>
          <w:rFonts w:ascii="Arial" w:cs="Arial" w:eastAsia="Arial" w:hAnsi="Arial"/>
          <w:sz w:val="20"/>
          <w:szCs w:val="20"/>
          <w:color w:val="auto"/>
        </w:rPr>
        <w:t xml:space="preserve"> of the Notes to Consolidated Financial Statements for further information.</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from operations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383"/>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8"/>
        </w:trPr>
        <w:tc>
          <w:tcPr>
            <w:tcW w:w="7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APRIL 1, 2018</w:t>
            </w:r>
          </w:p>
        </w:tc>
        <w:tc>
          <w:tcPr>
            <w:tcW w:w="140" w:type="dxa"/>
            <w:vAlign w:val="bottom"/>
          </w:tcPr>
          <w:p>
            <w:pPr>
              <w:spacing w:after="0"/>
              <w:rPr>
                <w:sz w:val="22"/>
                <w:szCs w:val="22"/>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MARCH 26, 2017</w:t>
            </w: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89"/>
        </w:trPr>
        <w:tc>
          <w:tcPr>
            <w:tcW w:w="756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(Restated) (1)</w:t>
            </w:r>
          </w:p>
        </w:tc>
        <w:tc>
          <w:tcPr>
            <w:tcW w:w="160" w:type="dxa"/>
            <w:vAlign w:val="bottom"/>
          </w:tcPr>
          <w:p>
            <w:pPr>
              <w:spacing w:after="0"/>
              <w:rPr>
                <w:sz w:val="24"/>
                <w:szCs w:val="24"/>
                <w:color w:val="auto"/>
              </w:rPr>
            </w:pPr>
          </w:p>
        </w:tc>
        <w:tc>
          <w:tcPr>
            <w:tcW w:w="780" w:type="dxa"/>
            <w:vAlign w:val="bottom"/>
          </w:tcPr>
          <w:p>
            <w:pPr>
              <w:ind w:left="80"/>
              <w:spacing w:after="0"/>
              <w:rPr>
                <w:sz w:val="20"/>
                <w:szCs w:val="20"/>
                <w:color w:val="auto"/>
              </w:rPr>
            </w:pPr>
            <w:r>
              <w:rPr>
                <w:rFonts w:ascii="Arial" w:cs="Arial" w:eastAsia="Arial" w:hAnsi="Arial"/>
                <w:sz w:val="14"/>
                <w:szCs w:val="14"/>
                <w:b w:val="1"/>
                <w:bCs w:val="1"/>
                <w:color w:val="auto"/>
              </w:rPr>
              <w:t>Change</w:t>
            </w:r>
          </w:p>
        </w:tc>
      </w:tr>
      <w:tr>
        <w:trPr>
          <w:trHeight w:val="237"/>
        </w:trPr>
        <w:tc>
          <w:tcPr>
            <w:tcW w:w="7560" w:type="dxa"/>
            <w:vAlign w:val="bottom"/>
            <w:tcBorders>
              <w:top w:val="single" w:sz="8" w:color="CCEEFF"/>
              <w:bottom w:val="single" w:sz="8" w:color="CCEEFF"/>
            </w:tcBorders>
            <w:shd w:val="clear" w:color="auto" w:fill="CCEEFF"/>
          </w:tcPr>
          <w:p>
            <w:pPr>
              <w:jc w:val="center"/>
              <w:ind w:right="5841"/>
              <w:spacing w:after="0"/>
              <w:rPr>
                <w:sz w:val="20"/>
                <w:szCs w:val="20"/>
                <w:color w:val="auto"/>
              </w:rPr>
            </w:pPr>
            <w:r>
              <w:rPr>
                <w:rFonts w:ascii="Arial" w:cs="Arial" w:eastAsia="Arial" w:hAnsi="Arial"/>
                <w:sz w:val="16"/>
                <w:szCs w:val="16"/>
                <w:color w:val="auto"/>
                <w:w w:val="92"/>
              </w:rPr>
              <w:t>Income from operations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78.4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76.8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1.6</w:t>
            </w:r>
          </w:p>
        </w:tc>
      </w:tr>
      <w:tr>
        <w:trPr>
          <w:trHeight w:val="237"/>
        </w:trPr>
        <w:tc>
          <w:tcPr>
            <w:tcW w:w="7560" w:type="dxa"/>
            <w:vAlign w:val="bottom"/>
          </w:tcPr>
          <w:p>
            <w:pPr>
              <w:jc w:val="center"/>
              <w:ind w:right="5841"/>
              <w:spacing w:after="0"/>
              <w:rPr>
                <w:sz w:val="20"/>
                <w:szCs w:val="20"/>
                <w:color w:val="auto"/>
              </w:rPr>
            </w:pPr>
            <w:r>
              <w:rPr>
                <w:rFonts w:ascii="Arial" w:cs="Arial" w:eastAsia="Arial" w:hAnsi="Arial"/>
                <w:sz w:val="16"/>
                <w:szCs w:val="16"/>
                <w:color w:val="auto"/>
                <w:w w:val="89"/>
              </w:rPr>
              <w:t>% of Total revenues</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ind w:left="420"/>
              <w:spacing w:after="0"/>
              <w:rPr>
                <w:sz w:val="20"/>
                <w:szCs w:val="20"/>
                <w:color w:val="auto"/>
              </w:rPr>
            </w:pPr>
            <w:r>
              <w:rPr>
                <w:rFonts w:ascii="Arial" w:cs="Arial" w:eastAsia="Arial" w:hAnsi="Arial"/>
                <w:sz w:val="16"/>
                <w:szCs w:val="16"/>
                <w:color w:val="auto"/>
                <w:w w:val="93"/>
              </w:rPr>
              <w:t>0.3%</w:t>
            </w:r>
          </w:p>
        </w:tc>
      </w:tr>
      <w:tr>
        <w:trPr>
          <w:trHeight w:val="226"/>
        </w:trPr>
        <w:tc>
          <w:tcPr>
            <w:tcW w:w="7560" w:type="dxa"/>
            <w:vAlign w:val="bottom"/>
          </w:tcPr>
          <w:p>
            <w:pPr>
              <w:jc w:val="center"/>
              <w:ind w:right="5861"/>
              <w:spacing w:after="0"/>
              <w:rPr>
                <w:sz w:val="20"/>
                <w:szCs w:val="20"/>
                <w:color w:val="auto"/>
              </w:rPr>
            </w:pPr>
            <w:r>
              <w:rPr>
                <w:rFonts w:ascii="Arial" w:cs="Arial" w:eastAsia="Arial" w:hAnsi="Arial"/>
                <w:sz w:val="16"/>
                <w:szCs w:val="16"/>
                <w:color w:val="auto"/>
                <w:w w:val="91"/>
              </w:rPr>
              <w:t>____________________</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r>
    </w:tbl>
    <w:p>
      <w:pPr>
        <w:ind w:left="660" w:hanging="652"/>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See Note 1 of the Notes to Consolidated Financial Statements for details of the impact of implementing ASU No. 2014-09.</w:t>
      </w:r>
    </w:p>
    <w:p>
      <w:pPr>
        <w:spacing w:after="0" w:line="22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increase in income from operations generated in the thirteen weeks ended April 1, 2018 as compared to the thirteen weeks ended March 26, 2017 was primarily due to: (i) lower impairment charges and restaurant closing costs, primarily related to the Closure Initiatives in 2017 and (ii) increases in average check per person. These increases were partially offset by decreases primarily due to: (i) higher labor costs from wage inflation and investments in our service model, (ii) changes in product mix, (iii) operating expense inflation and (iv) higher commodity costs.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 net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363"/>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22"/>
                <w:szCs w:val="22"/>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1, 2018</w:t>
            </w:r>
          </w:p>
        </w:tc>
        <w:tc>
          <w:tcPr>
            <w:tcW w:w="10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26, 2017</w:t>
            </w:r>
          </w:p>
        </w:tc>
        <w:tc>
          <w:tcPr>
            <w:tcW w:w="160" w:type="dxa"/>
            <w:vAlign w:val="bottom"/>
          </w:tcPr>
          <w:p>
            <w:pPr>
              <w:spacing w:after="0"/>
              <w:rPr>
                <w:sz w:val="22"/>
                <w:szCs w:val="22"/>
                <w:color w:val="auto"/>
              </w:rPr>
            </w:pPr>
          </w:p>
        </w:tc>
        <w:tc>
          <w:tcPr>
            <w:tcW w:w="740" w:type="dxa"/>
            <w:vAlign w:val="bottom"/>
          </w:tcPr>
          <w:p>
            <w:pPr>
              <w:jc w:val="right"/>
              <w:ind w:right="123"/>
              <w:spacing w:after="0"/>
              <w:rPr>
                <w:sz w:val="20"/>
                <w:szCs w:val="20"/>
                <w:color w:val="auto"/>
              </w:rPr>
            </w:pPr>
            <w:r>
              <w:rPr>
                <w:rFonts w:ascii="Arial" w:cs="Arial" w:eastAsia="Arial" w:hAnsi="Arial"/>
                <w:sz w:val="14"/>
                <w:szCs w:val="14"/>
                <w:b w:val="1"/>
                <w:bCs w:val="1"/>
                <w:color w:val="auto"/>
              </w:rPr>
              <w:t>Change</w:t>
            </w:r>
          </w:p>
        </w:tc>
      </w:tr>
      <w:tr>
        <w:trPr>
          <w:trHeight w:val="224"/>
        </w:trPr>
        <w:tc>
          <w:tcPr>
            <w:tcW w:w="7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10.3</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9.1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1.2</w:t>
            </w:r>
          </w:p>
        </w:tc>
      </w:tr>
      <w:tr>
        <w:trPr>
          <w:trHeight w:val="33"/>
        </w:trPr>
        <w:tc>
          <w:tcPr>
            <w:tcW w:w="7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change in Interest expense, net primarily includes increases related to: (i) our May 2017 incremental term loan borrowing, (ii) additional draws on our revolving credit facility and (iii) higher interest rates. These increases were partially offset by: (i) lower interest on our derivative instruments and (ii) repayment of our PRP mortgage loan.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Provision for income taxes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80" w:type="dxa"/>
            <w:vAlign w:val="bottom"/>
          </w:tcPr>
          <w:p>
            <w:pPr>
              <w:spacing w:after="0"/>
              <w:rPr>
                <w:sz w:val="17"/>
                <w:szCs w:val="17"/>
                <w:color w:val="auto"/>
              </w:rPr>
            </w:pPr>
          </w:p>
        </w:tc>
        <w:tc>
          <w:tcPr>
            <w:tcW w:w="2820" w:type="dxa"/>
            <w:vAlign w:val="bottom"/>
            <w:tcBorders>
              <w:bottom w:val="single" w:sz="8" w:color="auto"/>
            </w:tcBorders>
            <w:gridSpan w:val="3"/>
          </w:tcPr>
          <w:p>
            <w:pPr>
              <w:jc w:val="right"/>
              <w:ind w:right="383"/>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64"/>
        </w:trPr>
        <w:tc>
          <w:tcPr>
            <w:tcW w:w="7480" w:type="dxa"/>
            <w:vAlign w:val="bottom"/>
          </w:tcPr>
          <w:p>
            <w:pPr>
              <w:spacing w:after="0"/>
              <w:rPr>
                <w:sz w:val="22"/>
                <w:szCs w:val="22"/>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1, 2018</w:t>
            </w: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26, 2017</w:t>
            </w:r>
          </w:p>
        </w:tc>
        <w:tc>
          <w:tcPr>
            <w:tcW w:w="1020" w:type="dxa"/>
            <w:vAlign w:val="bottom"/>
          </w:tcPr>
          <w:p>
            <w:pPr>
              <w:jc w:val="right"/>
              <w:ind w:right="203"/>
              <w:spacing w:after="0"/>
              <w:rPr>
                <w:sz w:val="20"/>
                <w:szCs w:val="20"/>
                <w:color w:val="auto"/>
              </w:rPr>
            </w:pPr>
            <w:r>
              <w:rPr>
                <w:rFonts w:ascii="Arial" w:cs="Arial" w:eastAsia="Arial" w:hAnsi="Arial"/>
                <w:sz w:val="14"/>
                <w:szCs w:val="14"/>
                <w:b w:val="1"/>
                <w:bCs w:val="1"/>
                <w:color w:val="auto"/>
              </w:rPr>
              <w:t>Change</w:t>
            </w:r>
          </w:p>
        </w:tc>
      </w:tr>
      <w:tr>
        <w:trPr>
          <w:trHeight w:val="224"/>
        </w:trPr>
        <w:tc>
          <w:tcPr>
            <w:tcW w:w="74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Effective income tax rate</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w:t>
            </w:r>
          </w:p>
        </w:tc>
      </w:tr>
      <w:tr>
        <w:trPr>
          <w:trHeight w:val="33"/>
        </w:trPr>
        <w:tc>
          <w:tcPr>
            <w:tcW w:w="7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effective income tax rate for the thirteen weeks ended April 1, 2018 decreased by 23.8 percentage points as compared to the thirteen weeks ended March 26, 2017. The decrease is primarily due to the reduction in the U.S. federal corporate tax rate from 35% to 21% as part of the Tax Act, lower forecasted pre-tax income and excess tax benefits from equity-based compensation arrangements.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SEGMENT PERFORMANCE</w:t>
      </w:r>
    </w:p>
    <w:p>
      <w:pPr>
        <w:spacing w:after="0" w:line="229"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We have two reportable segments, U.S. and International, which reflects how we manage our business, review operating performance and allocate resources. The U.S. segment includes all brands operating in the U.S. while brands operating outside the U.S. are included in the International segment. Resources are allocated and performance is assessed by our CEO, whom we have determined to be our CODM. Following is a summary of reporting segments: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 w:type="dxa"/>
            <w:vAlign w:val="bottom"/>
          </w:tcPr>
          <w:p>
            <w:pPr>
              <w:spacing w:after="0"/>
              <w:rPr>
                <w:sz w:val="17"/>
                <w:szCs w:val="17"/>
                <w:color w:val="auto"/>
              </w:rPr>
            </w:pPr>
          </w:p>
        </w:tc>
        <w:tc>
          <w:tcPr>
            <w:tcW w:w="2600" w:type="dxa"/>
            <w:vAlign w:val="bottom"/>
          </w:tcPr>
          <w:p>
            <w:pPr>
              <w:spacing w:after="0"/>
              <w:rPr>
                <w:sz w:val="20"/>
                <w:szCs w:val="20"/>
                <w:color w:val="auto"/>
              </w:rPr>
            </w:pPr>
            <w:r>
              <w:rPr>
                <w:rFonts w:ascii="Arial" w:cs="Arial" w:eastAsia="Arial" w:hAnsi="Arial"/>
                <w:sz w:val="14"/>
                <w:szCs w:val="14"/>
                <w:b w:val="1"/>
                <w:bCs w:val="1"/>
                <w:color w:val="auto"/>
              </w:rPr>
              <w:t>SEGMENT (1)</w:t>
            </w:r>
          </w:p>
        </w:tc>
        <w:tc>
          <w:tcPr>
            <w:tcW w:w="120" w:type="dxa"/>
            <w:vAlign w:val="bottom"/>
          </w:tcPr>
          <w:p>
            <w:pPr>
              <w:spacing w:after="0"/>
              <w:rPr>
                <w:sz w:val="17"/>
                <w:szCs w:val="17"/>
                <w:color w:val="auto"/>
              </w:rPr>
            </w:pPr>
          </w:p>
        </w:tc>
        <w:tc>
          <w:tcPr>
            <w:tcW w:w="4800" w:type="dxa"/>
            <w:vAlign w:val="bottom"/>
            <w:gridSpan w:val="2"/>
          </w:tcPr>
          <w:p>
            <w:pPr>
              <w:ind w:left="20"/>
              <w:spacing w:after="0"/>
              <w:rPr>
                <w:sz w:val="20"/>
                <w:szCs w:val="20"/>
                <w:color w:val="auto"/>
              </w:rPr>
            </w:pPr>
            <w:r>
              <w:rPr>
                <w:rFonts w:ascii="Arial" w:cs="Arial" w:eastAsia="Arial" w:hAnsi="Arial"/>
                <w:sz w:val="14"/>
                <w:szCs w:val="14"/>
                <w:b w:val="1"/>
                <w:bCs w:val="1"/>
                <w:color w:val="auto"/>
              </w:rPr>
              <w:t>CONCEPT</w:t>
            </w:r>
          </w:p>
        </w:tc>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GEOGRAPHIC LOCATION</w:t>
            </w: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2600" w:type="dxa"/>
            <w:vAlign w:val="bottom"/>
            <w:tcBorders>
              <w:top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U.S.</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4680" w:type="dxa"/>
            <w:vAlign w:val="bottom"/>
            <w:tcBorders>
              <w:top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Outback Steakhouse</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3880" w:type="dxa"/>
            <w:vAlign w:val="bottom"/>
            <w:tcBorders>
              <w:top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Borders>
              <w:right w:val="single" w:sz="8" w:color="auto"/>
            </w:tcBorders>
          </w:tcPr>
          <w:p>
            <w:pPr>
              <w:spacing w:after="0"/>
              <w:rPr>
                <w:sz w:val="23"/>
                <w:szCs w:val="23"/>
                <w:color w:val="auto"/>
              </w:rPr>
            </w:pPr>
          </w:p>
        </w:tc>
        <w:tc>
          <w:tcPr>
            <w:tcW w:w="2600" w:type="dxa"/>
            <w:vAlign w:val="bottom"/>
            <w:tcBorders>
              <w:right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468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Carrabba’s Italian Grill</w:t>
            </w:r>
          </w:p>
        </w:tc>
        <w:tc>
          <w:tcPr>
            <w:tcW w:w="120" w:type="dxa"/>
            <w:vAlign w:val="bottom"/>
            <w:tcBorders>
              <w:right w:val="single" w:sz="8" w:color="auto"/>
            </w:tcBorders>
            <w:shd w:val="clear" w:color="auto" w:fill="CCEEFF"/>
          </w:tcPr>
          <w:p>
            <w:pPr>
              <w:spacing w:after="0"/>
              <w:rPr>
                <w:sz w:val="23"/>
                <w:szCs w:val="23"/>
                <w:color w:val="auto"/>
              </w:rPr>
            </w:pPr>
          </w:p>
        </w:tc>
        <w:tc>
          <w:tcPr>
            <w:tcW w:w="388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680" w:type="dxa"/>
            <w:vAlign w:val="bottom"/>
            <w:tcBorders>
              <w:right w:val="single" w:sz="8" w:color="auto"/>
            </w:tcBorders>
            <w:vMerge w:val="restart"/>
            <w:shd w:val="clear" w:color="auto" w:fill="CCEEFF"/>
          </w:tcPr>
          <w:p>
            <w:pPr>
              <w:ind w:left="40"/>
              <w:spacing w:after="0"/>
              <w:rPr>
                <w:sz w:val="20"/>
                <w:szCs w:val="20"/>
                <w:color w:val="auto"/>
              </w:rPr>
            </w:pPr>
            <w:r>
              <w:rPr>
                <w:rFonts w:ascii="Arial" w:cs="Arial" w:eastAsia="Arial" w:hAnsi="Arial"/>
                <w:sz w:val="16"/>
                <w:szCs w:val="16"/>
                <w:color w:val="auto"/>
              </w:rPr>
              <w:t>Bonefish Grill</w:t>
            </w:r>
          </w:p>
        </w:tc>
        <w:tc>
          <w:tcPr>
            <w:tcW w:w="120" w:type="dxa"/>
            <w:vAlign w:val="bottom"/>
            <w:tcBorders>
              <w:right w:val="single" w:sz="8" w:color="auto"/>
            </w:tcBorders>
            <w:shd w:val="clear" w:color="auto" w:fill="CCEEFF"/>
          </w:tcPr>
          <w:p>
            <w:pPr>
              <w:spacing w:after="0"/>
              <w:rPr>
                <w:sz w:val="11"/>
                <w:szCs w:val="11"/>
                <w:color w:val="auto"/>
              </w:rPr>
            </w:pPr>
          </w:p>
        </w:tc>
        <w:tc>
          <w:tcPr>
            <w:tcW w:w="388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680" w:type="dxa"/>
            <w:vAlign w:val="bottom"/>
            <w:tcBorders>
              <w:right w:val="single" w:sz="8" w:color="auto"/>
            </w:tcBorders>
            <w:vMerge w:val="continue"/>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388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3"/>
        </w:trPr>
        <w:tc>
          <w:tcPr>
            <w:tcW w:w="40" w:type="dxa"/>
            <w:vAlign w:val="bottom"/>
            <w:tcBorders>
              <w:right w:val="single" w:sz="8" w:color="auto"/>
            </w:tcBorders>
          </w:tcPr>
          <w:p>
            <w:pPr>
              <w:spacing w:after="0"/>
              <w:rPr>
                <w:sz w:val="24"/>
                <w:szCs w:val="24"/>
                <w:color w:val="auto"/>
              </w:rPr>
            </w:pPr>
          </w:p>
        </w:tc>
        <w:tc>
          <w:tcPr>
            <w:tcW w:w="2600" w:type="dxa"/>
            <w:vAlign w:val="bottom"/>
            <w:tcBorders>
              <w:bottom w:val="single" w:sz="8" w:color="CCEEFF"/>
              <w:right w:val="single" w:sz="8" w:color="auto"/>
            </w:tcBorders>
            <w:shd w:val="clear" w:color="auto" w:fill="CCEEFF"/>
          </w:tcPr>
          <w:p>
            <w:pPr>
              <w:spacing w:after="0"/>
              <w:rPr>
                <w:sz w:val="24"/>
                <w:szCs w:val="24"/>
                <w:color w:val="auto"/>
              </w:rPr>
            </w:pP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46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Fleming’s Prime Steakhouse &amp; Wine Bar</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3880" w:type="dxa"/>
            <w:vAlign w:val="bottom"/>
            <w:tcBorders>
              <w:bottom w:val="single" w:sz="8" w:color="CCEEFF"/>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260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International</w:t>
            </w:r>
          </w:p>
        </w:tc>
        <w:tc>
          <w:tcPr>
            <w:tcW w:w="120" w:type="dxa"/>
            <w:vAlign w:val="bottom"/>
            <w:tcBorders>
              <w:right w:val="single" w:sz="8" w:color="auto"/>
            </w:tcBorders>
          </w:tcPr>
          <w:p>
            <w:pPr>
              <w:spacing w:after="0"/>
              <w:rPr>
                <w:sz w:val="18"/>
                <w:szCs w:val="18"/>
                <w:color w:val="auto"/>
              </w:rPr>
            </w:pPr>
          </w:p>
        </w:tc>
        <w:tc>
          <w:tcPr>
            <w:tcW w:w="46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Outback Steakhouse</w:t>
            </w:r>
          </w:p>
        </w:tc>
        <w:tc>
          <w:tcPr>
            <w:tcW w:w="120" w:type="dxa"/>
            <w:vAlign w:val="bottom"/>
            <w:tcBorders>
              <w:right w:val="single" w:sz="8" w:color="auto"/>
            </w:tcBorders>
          </w:tcPr>
          <w:p>
            <w:pPr>
              <w:spacing w:after="0"/>
              <w:rPr>
                <w:sz w:val="18"/>
                <w:szCs w:val="18"/>
                <w:color w:val="auto"/>
              </w:rPr>
            </w:pPr>
          </w:p>
        </w:tc>
        <w:tc>
          <w:tcPr>
            <w:tcW w:w="38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 Hong Kong, China</w:t>
            </w:r>
          </w:p>
        </w:tc>
        <w:tc>
          <w:tcPr>
            <w:tcW w:w="0" w:type="dxa"/>
            <w:vAlign w:val="bottom"/>
          </w:tcPr>
          <w:p>
            <w:pPr>
              <w:spacing w:after="0"/>
              <w:rPr>
                <w:sz w:val="1"/>
                <w:szCs w:val="1"/>
                <w:color w:val="auto"/>
              </w:rPr>
            </w:pPr>
          </w:p>
        </w:tc>
      </w:tr>
      <w:tr>
        <w:trPr>
          <w:trHeight w:val="33"/>
        </w:trPr>
        <w:tc>
          <w:tcPr>
            <w:tcW w:w="40" w:type="dxa"/>
            <w:vAlign w:val="bottom"/>
            <w:tcBorders>
              <w:right w:val="single" w:sz="8" w:color="auto"/>
            </w:tcBorders>
          </w:tcPr>
          <w:p>
            <w:pPr>
              <w:spacing w:after="0"/>
              <w:rPr>
                <w:sz w:val="2"/>
                <w:szCs w:val="2"/>
                <w:color w:val="auto"/>
              </w:rPr>
            </w:pPr>
          </w:p>
        </w:tc>
        <w:tc>
          <w:tcPr>
            <w:tcW w:w="260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Carrabba’s Italian Grill (Abbraccio)</w:t>
            </w:r>
          </w:p>
        </w:tc>
        <w:tc>
          <w:tcPr>
            <w:tcW w:w="1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33"/>
        </w:trPr>
        <w:tc>
          <w:tcPr>
            <w:tcW w:w="40" w:type="dxa"/>
            <w:vAlign w:val="bottom"/>
            <w:tcBorders>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600" w:type="dxa"/>
            <w:vAlign w:val="bottom"/>
          </w:tcPr>
          <w:p>
            <w:pPr>
              <w:jc w:val="right"/>
              <w:ind w:right="1181"/>
              <w:spacing w:after="0"/>
              <w:rPr>
                <w:sz w:val="20"/>
                <w:szCs w:val="20"/>
                <w:color w:val="auto"/>
              </w:rPr>
            </w:pPr>
            <w:r>
              <w:rPr>
                <w:rFonts w:ascii="Arial" w:cs="Arial" w:eastAsia="Arial" w:hAnsi="Arial"/>
                <w:sz w:val="16"/>
                <w:szCs w:val="16"/>
                <w:color w:val="auto"/>
                <w:w w:val="87"/>
              </w:rPr>
              <w:t>_________________</w:t>
            </w:r>
          </w:p>
        </w:tc>
        <w:tc>
          <w:tcPr>
            <w:tcW w:w="1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franchise locations.</w:t>
      </w:r>
    </w:p>
    <w:p>
      <w:pPr>
        <w:spacing w:after="0" w:line="200"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Revenues for both segments include only transactions with customers and exclude intersegment revenues. Excluded from net income from operations for U.S. and International are legal and certain corporate costs not directly related to the performance of the segments, certain stock-based compensation expenses and certain bonus expenses.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reconciliation of segment income from operations to the consolidated operating results: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7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341"/>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258"/>
        </w:trPr>
        <w:tc>
          <w:tcPr>
            <w:tcW w:w="8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1, 2018</w:t>
            </w:r>
          </w:p>
        </w:tc>
        <w:tc>
          <w:tcPr>
            <w:tcW w:w="120" w:type="dxa"/>
            <w:vAlign w:val="bottom"/>
          </w:tcPr>
          <w:p>
            <w:pPr>
              <w:spacing w:after="0"/>
              <w:rPr>
                <w:sz w:val="22"/>
                <w:szCs w:val="22"/>
                <w:color w:val="auto"/>
              </w:rPr>
            </w:pPr>
          </w:p>
        </w:tc>
        <w:tc>
          <w:tcPr>
            <w:tcW w:w="1240" w:type="dxa"/>
            <w:vAlign w:val="bottom"/>
          </w:tcPr>
          <w:p>
            <w:pPr>
              <w:jc w:val="right"/>
              <w:ind w:right="41"/>
              <w:spacing w:after="0"/>
              <w:rPr>
                <w:sz w:val="20"/>
                <w:szCs w:val="20"/>
                <w:color w:val="auto"/>
              </w:rPr>
            </w:pPr>
            <w:r>
              <w:rPr>
                <w:rFonts w:ascii="Arial" w:cs="Arial" w:eastAsia="Arial" w:hAnsi="Arial"/>
                <w:sz w:val="14"/>
                <w:szCs w:val="14"/>
                <w:b w:val="1"/>
                <w:bCs w:val="1"/>
                <w:color w:val="auto"/>
                <w:w w:val="99"/>
              </w:rPr>
              <w:t>MARCH 26, 2017</w:t>
            </w:r>
          </w:p>
        </w:tc>
        <w:tc>
          <w:tcPr>
            <w:tcW w:w="0" w:type="dxa"/>
            <w:vAlign w:val="bottom"/>
          </w:tcPr>
          <w:p>
            <w:pPr>
              <w:spacing w:after="0"/>
              <w:rPr>
                <w:sz w:val="1"/>
                <w:szCs w:val="1"/>
                <w:color w:val="auto"/>
              </w:rPr>
            </w:pPr>
          </w:p>
        </w:tc>
      </w:tr>
      <w:tr>
        <w:trPr>
          <w:trHeight w:val="289"/>
        </w:trPr>
        <w:tc>
          <w:tcPr>
            <w:tcW w:w="8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(Restated) (1)</w:t>
            </w: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income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700" w:type="dxa"/>
            <w:vAlign w:val="bottom"/>
          </w:tcPr>
          <w:p>
            <w:pPr>
              <w:ind w:left="280"/>
              <w:spacing w:after="0"/>
              <w:rPr>
                <w:sz w:val="20"/>
                <w:szCs w:val="20"/>
                <w:color w:val="auto"/>
              </w:rPr>
            </w:pPr>
            <w:r>
              <w:rPr>
                <w:rFonts w:ascii="Arial" w:cs="Arial" w:eastAsia="Arial" w:hAnsi="Arial"/>
                <w:sz w:val="16"/>
                <w:szCs w:val="16"/>
                <w:color w:val="auto"/>
              </w:rPr>
              <w:t>U.S.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109,134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108,817</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8,325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8,635</w:t>
            </w:r>
          </w:p>
        </w:tc>
        <w:tc>
          <w:tcPr>
            <w:tcW w:w="0" w:type="dxa"/>
            <w:vAlign w:val="bottom"/>
          </w:tcPr>
          <w:p>
            <w:pPr>
              <w:spacing w:after="0"/>
              <w:rPr>
                <w:sz w:val="1"/>
                <w:szCs w:val="1"/>
                <w:color w:val="auto"/>
              </w:rPr>
            </w:pPr>
          </w:p>
        </w:tc>
      </w:tr>
      <w:tr>
        <w:trPr>
          <w:trHeight w:val="224"/>
        </w:trPr>
        <w:tc>
          <w:tcPr>
            <w:tcW w:w="8700" w:type="dxa"/>
            <w:vAlign w:val="bottom"/>
          </w:tcPr>
          <w:p>
            <w:pPr>
              <w:ind w:left="500"/>
              <w:spacing w:after="0"/>
              <w:rPr>
                <w:sz w:val="20"/>
                <w:szCs w:val="20"/>
                <w:color w:val="auto"/>
              </w:rPr>
            </w:pPr>
            <w:r>
              <w:rPr>
                <w:rFonts w:ascii="Arial" w:cs="Arial" w:eastAsia="Arial" w:hAnsi="Arial"/>
                <w:sz w:val="16"/>
                <w:szCs w:val="16"/>
                <w:color w:val="auto"/>
              </w:rPr>
              <w:t>Total segment income from operations</w:t>
            </w:r>
          </w:p>
        </w:tc>
        <w:tc>
          <w:tcPr>
            <w:tcW w:w="14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117,459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117,452</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Unallocated corporate operating expense</w:t>
            </w: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(39,088)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(40,618)</w:t>
            </w:r>
          </w:p>
        </w:tc>
        <w:tc>
          <w:tcPr>
            <w:tcW w:w="0" w:type="dxa"/>
            <w:vAlign w:val="bottom"/>
          </w:tcPr>
          <w:p>
            <w:pPr>
              <w:spacing w:after="0"/>
              <w:rPr>
                <w:sz w:val="1"/>
                <w:szCs w:val="1"/>
                <w:color w:val="auto"/>
              </w:rPr>
            </w:pPr>
          </w:p>
        </w:tc>
      </w:tr>
      <w:tr>
        <w:trPr>
          <w:trHeight w:val="224"/>
        </w:trPr>
        <w:tc>
          <w:tcPr>
            <w:tcW w:w="8700" w:type="dxa"/>
            <w:vAlign w:val="bottom"/>
          </w:tcPr>
          <w:p>
            <w:pPr>
              <w:ind w:left="500"/>
              <w:spacing w:after="0"/>
              <w:rPr>
                <w:sz w:val="20"/>
                <w:szCs w:val="20"/>
                <w:color w:val="auto"/>
              </w:rPr>
            </w:pPr>
            <w:r>
              <w:rPr>
                <w:rFonts w:ascii="Arial" w:cs="Arial" w:eastAsia="Arial" w:hAnsi="Arial"/>
                <w:sz w:val="16"/>
                <w:szCs w:val="16"/>
                <w:color w:val="auto"/>
              </w:rPr>
              <w:t>Total income from operations</w:t>
            </w:r>
          </w:p>
        </w:tc>
        <w:tc>
          <w:tcPr>
            <w:tcW w:w="14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78,371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76,834</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70"/>
        </w:trPr>
        <w:tc>
          <w:tcPr>
            <w:tcW w:w="8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Interest expense, net</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(10,310)</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(9,141)</w:t>
            </w:r>
          </w:p>
        </w:tc>
        <w:tc>
          <w:tcPr>
            <w:tcW w:w="0" w:type="dxa"/>
            <w:vAlign w:val="bottom"/>
          </w:tcPr>
          <w:p>
            <w:pPr>
              <w:spacing w:after="0"/>
              <w:rPr>
                <w:sz w:val="1"/>
                <w:szCs w:val="1"/>
                <w:color w:val="auto"/>
              </w:rPr>
            </w:pPr>
          </w:p>
        </w:tc>
      </w:tr>
      <w:tr>
        <w:trPr>
          <w:trHeight w:val="244"/>
        </w:trPr>
        <w:tc>
          <w:tcPr>
            <w:tcW w:w="8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Income before Provision for 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68,062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67,642</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See Note 1 of the Notes to Consolidated Financial Statements for details of the impact of implementing ASU No. 2014-09.</w:t>
      </w:r>
    </w:p>
    <w:p>
      <w:pPr>
        <w:spacing w:after="0" w:line="187"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 xml:space="preserve">Restaurant-level operating margin is widely regarded in the industry as a useful metric to evaluate restaurant-level operating efficiency and performance of ongoing restaurant-level operations, and we use it for these purposes, overall and particularly within our two segments. See the </w:t>
      </w:r>
      <w:r>
        <w:rPr>
          <w:rFonts w:ascii="Arial" w:cs="Arial" w:eastAsia="Arial" w:hAnsi="Arial"/>
          <w:sz w:val="20"/>
          <w:szCs w:val="20"/>
          <w:i w:val="1"/>
          <w:iCs w:val="1"/>
          <w:color w:val="auto"/>
        </w:rPr>
        <w:t xml:space="preserve">Overview-Key Performance Indicators </w:t>
      </w:r>
      <w:r>
        <w:rPr>
          <w:rFonts w:ascii="Arial" w:cs="Arial" w:eastAsia="Arial" w:hAnsi="Arial"/>
          <w:sz w:val="20"/>
          <w:szCs w:val="20"/>
          <w:color w:val="auto"/>
        </w:rPr>
        <w:t>section of Management’s Discussion and Analysis for additional details regarding the calculation of</w:t>
      </w:r>
      <w:r>
        <w:rPr>
          <w:rFonts w:ascii="Arial" w:cs="Arial" w:eastAsia="Arial" w:hAnsi="Arial"/>
          <w:sz w:val="20"/>
          <w:szCs w:val="20"/>
          <w:i w:val="1"/>
          <w:iCs w:val="1"/>
          <w:color w:val="auto"/>
        </w:rPr>
        <w:t xml:space="preserve"> </w:t>
      </w:r>
      <w:r>
        <w:rPr>
          <w:rFonts w:ascii="Arial" w:cs="Arial" w:eastAsia="Arial" w:hAnsi="Arial"/>
          <w:sz w:val="20"/>
          <w:szCs w:val="20"/>
          <w:color w:val="auto"/>
        </w:rPr>
        <w:t>restaurant-level operating margin.</w:t>
      </w: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40"/>
          </w:cols>
          <w:pgMar w:left="240" w:top="121" w:right="21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Segment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6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381"/>
              <w:spacing w:after="0"/>
              <w:rPr>
                <w:sz w:val="20"/>
                <w:szCs w:val="20"/>
                <w:color w:val="auto"/>
              </w:rPr>
            </w:pPr>
            <w:r>
              <w:rPr>
                <w:rFonts w:ascii="Arial" w:cs="Arial" w:eastAsia="Arial" w:hAnsi="Arial"/>
                <w:sz w:val="14"/>
                <w:szCs w:val="14"/>
                <w:b w:val="1"/>
                <w:bCs w:val="1"/>
                <w:color w:val="auto"/>
              </w:rPr>
              <w:t>THIRTEEN WEEKS ENDED</w:t>
            </w:r>
          </w:p>
        </w:tc>
      </w:tr>
      <w:tr>
        <w:trPr>
          <w:trHeight w:val="258"/>
        </w:trPr>
        <w:tc>
          <w:tcPr>
            <w:tcW w:w="20" w:type="dxa"/>
            <w:vAlign w:val="bottom"/>
          </w:tcPr>
          <w:p>
            <w:pPr>
              <w:spacing w:after="0"/>
              <w:rPr>
                <w:sz w:val="22"/>
                <w:szCs w:val="22"/>
                <w:color w:val="auto"/>
              </w:rPr>
            </w:pPr>
          </w:p>
        </w:tc>
        <w:tc>
          <w:tcPr>
            <w:tcW w:w="8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1, 2018</w:t>
            </w:r>
          </w:p>
        </w:tc>
        <w:tc>
          <w:tcPr>
            <w:tcW w:w="120" w:type="dxa"/>
            <w:vAlign w:val="bottom"/>
          </w:tcPr>
          <w:p>
            <w:pPr>
              <w:spacing w:after="0"/>
              <w:rPr>
                <w:sz w:val="22"/>
                <w:szCs w:val="22"/>
                <w:color w:val="auto"/>
              </w:rPr>
            </w:pPr>
          </w:p>
        </w:tc>
        <w:tc>
          <w:tcPr>
            <w:tcW w:w="1280" w:type="dxa"/>
            <w:vAlign w:val="bottom"/>
          </w:tcPr>
          <w:p>
            <w:pPr>
              <w:jc w:val="right"/>
              <w:ind w:right="81"/>
              <w:spacing w:after="0"/>
              <w:rPr>
                <w:sz w:val="20"/>
                <w:szCs w:val="20"/>
                <w:color w:val="auto"/>
              </w:rPr>
            </w:pPr>
            <w:r>
              <w:rPr>
                <w:rFonts w:ascii="Arial" w:cs="Arial" w:eastAsia="Arial" w:hAnsi="Arial"/>
                <w:sz w:val="14"/>
                <w:szCs w:val="14"/>
                <w:b w:val="1"/>
                <w:bCs w:val="1"/>
                <w:color w:val="auto"/>
                <w:w w:val="99"/>
              </w:rPr>
              <w:t>MARCH 26, 2017</w:t>
            </w:r>
          </w:p>
        </w:tc>
      </w:tr>
      <w:tr>
        <w:trPr>
          <w:trHeight w:val="289"/>
        </w:trPr>
        <w:tc>
          <w:tcPr>
            <w:tcW w:w="20" w:type="dxa"/>
            <w:vAlign w:val="bottom"/>
          </w:tcPr>
          <w:p>
            <w:pPr>
              <w:spacing w:after="0"/>
              <w:rPr>
                <w:sz w:val="24"/>
                <w:szCs w:val="24"/>
                <w:color w:val="auto"/>
              </w:rPr>
            </w:pPr>
          </w:p>
        </w:tc>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(Restated) (1)</w:t>
            </w:r>
          </w:p>
        </w:tc>
      </w:tr>
      <w:tr>
        <w:trPr>
          <w:trHeight w:val="250"/>
        </w:trPr>
        <w:tc>
          <w:tcPr>
            <w:tcW w:w="20" w:type="dxa"/>
            <w:vAlign w:val="bottom"/>
          </w:tcPr>
          <w:p>
            <w:pPr>
              <w:spacing w:after="0"/>
              <w:rPr>
                <w:sz w:val="21"/>
                <w:szCs w:val="21"/>
                <w:color w:val="auto"/>
              </w:rPr>
            </w:pPr>
          </w:p>
        </w:tc>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8600" w:type="dxa"/>
            <w:vAlign w:val="bottom"/>
          </w:tcPr>
          <w:p>
            <w:pPr>
              <w:ind w:left="160"/>
              <w:spacing w:after="0"/>
              <w:rPr>
                <w:sz w:val="20"/>
                <w:szCs w:val="20"/>
                <w:color w:val="auto"/>
              </w:rPr>
            </w:pPr>
            <w:r>
              <w:rPr>
                <w:rFonts w:ascii="Arial" w:cs="Arial" w:eastAsia="Arial" w:hAnsi="Arial"/>
                <w:sz w:val="16"/>
                <w:szCs w:val="16"/>
                <w:color w:val="auto"/>
              </w:rPr>
              <w:t>Restaurant sales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984,344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81"/>
              <w:spacing w:after="0"/>
              <w:rPr>
                <w:sz w:val="20"/>
                <w:szCs w:val="20"/>
                <w:color w:val="auto"/>
              </w:rPr>
            </w:pPr>
            <w:r>
              <w:rPr>
                <w:rFonts w:ascii="Arial" w:cs="Arial" w:eastAsia="Arial" w:hAnsi="Arial"/>
                <w:sz w:val="16"/>
                <w:szCs w:val="16"/>
                <w:color w:val="auto"/>
              </w:rPr>
              <w:t>1,035,555</w:t>
            </w:r>
          </w:p>
        </w:tc>
      </w:tr>
      <w:tr>
        <w:trPr>
          <w:trHeight w:val="33"/>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8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Franchise and other revenues</w:t>
            </w:r>
          </w:p>
        </w:tc>
        <w:tc>
          <w:tcPr>
            <w:tcW w:w="1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14,363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8,118</w:t>
            </w:r>
          </w:p>
        </w:tc>
      </w:tr>
      <w:tr>
        <w:trPr>
          <w:trHeight w:val="224"/>
        </w:trPr>
        <w:tc>
          <w:tcPr>
            <w:tcW w:w="20" w:type="dxa"/>
            <w:vAlign w:val="bottom"/>
          </w:tcPr>
          <w:p>
            <w:pPr>
              <w:spacing w:after="0"/>
              <w:rPr>
                <w:sz w:val="19"/>
                <w:szCs w:val="19"/>
                <w:color w:val="auto"/>
              </w:rPr>
            </w:pPr>
          </w:p>
        </w:tc>
        <w:tc>
          <w:tcPr>
            <w:tcW w:w="8600" w:type="dxa"/>
            <w:vAlign w:val="bottom"/>
          </w:tcPr>
          <w:p>
            <w:pPr>
              <w:ind w:left="360"/>
              <w:spacing w:after="0"/>
              <w:rPr>
                <w:sz w:val="20"/>
                <w:szCs w:val="20"/>
                <w:color w:val="auto"/>
              </w:rPr>
            </w:pPr>
            <w:r>
              <w:rPr>
                <w:rFonts w:ascii="Arial" w:cs="Arial" w:eastAsia="Arial" w:hAnsi="Arial"/>
                <w:sz w:val="16"/>
                <w:szCs w:val="16"/>
                <w:color w:val="auto"/>
              </w:rPr>
              <w:t>Total revenues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998,707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81"/>
              <w:spacing w:after="0"/>
              <w:rPr>
                <w:sz w:val="20"/>
                <w:szCs w:val="20"/>
                <w:color w:val="auto"/>
              </w:rPr>
            </w:pPr>
            <w:r>
              <w:rPr>
                <w:rFonts w:ascii="Arial" w:cs="Arial" w:eastAsia="Arial" w:hAnsi="Arial"/>
                <w:sz w:val="16"/>
                <w:szCs w:val="16"/>
                <w:color w:val="auto"/>
              </w:rPr>
              <w:t>1,043,673</w:t>
            </w:r>
          </w:p>
        </w:tc>
      </w:tr>
      <w:tr>
        <w:trPr>
          <w:trHeight w:val="33"/>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Restaurant-level operating margin</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37"/>
        </w:trPr>
        <w:tc>
          <w:tcPr>
            <w:tcW w:w="20" w:type="dxa"/>
            <w:vAlign w:val="bottom"/>
          </w:tcPr>
          <w:p>
            <w:pPr>
              <w:spacing w:after="0"/>
              <w:rPr>
                <w:sz w:val="20"/>
                <w:szCs w:val="20"/>
                <w:color w:val="auto"/>
              </w:rPr>
            </w:pPr>
          </w:p>
        </w:tc>
        <w:tc>
          <w:tcPr>
            <w:tcW w:w="8600" w:type="dxa"/>
            <w:vAlign w:val="bottom"/>
          </w:tcPr>
          <w:p>
            <w:pPr>
              <w:ind w:left="160"/>
              <w:spacing w:after="0"/>
              <w:rPr>
                <w:sz w:val="20"/>
                <w:szCs w:val="20"/>
                <w:color w:val="auto"/>
              </w:rPr>
            </w:pPr>
            <w:r>
              <w:rPr>
                <w:rFonts w:ascii="Arial" w:cs="Arial" w:eastAsia="Arial" w:hAnsi="Arial"/>
                <w:sz w:val="16"/>
                <w:szCs w:val="16"/>
                <w:color w:val="auto"/>
              </w:rPr>
              <w:t>Income from operations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109,134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81"/>
              <w:spacing w:after="0"/>
              <w:rPr>
                <w:sz w:val="20"/>
                <w:szCs w:val="20"/>
                <w:color w:val="auto"/>
              </w:rPr>
            </w:pPr>
            <w:r>
              <w:rPr>
                <w:rFonts w:ascii="Arial" w:cs="Arial" w:eastAsia="Arial" w:hAnsi="Arial"/>
                <w:sz w:val="16"/>
                <w:szCs w:val="16"/>
                <w:color w:val="auto"/>
              </w:rPr>
              <w:t>108,817</w:t>
            </w:r>
          </w:p>
        </w:tc>
      </w:tr>
      <w:tr>
        <w:trPr>
          <w:trHeight w:val="33"/>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Operating income margin</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193"/>
        </w:trPr>
        <w:tc>
          <w:tcPr>
            <w:tcW w:w="20" w:type="dxa"/>
            <w:vAlign w:val="bottom"/>
          </w:tcPr>
          <w:p>
            <w:pPr>
              <w:spacing w:after="0"/>
              <w:rPr>
                <w:sz w:val="16"/>
                <w:szCs w:val="16"/>
                <w:color w:val="auto"/>
              </w:rPr>
            </w:pPr>
          </w:p>
        </w:tc>
        <w:tc>
          <w:tcPr>
            <w:tcW w:w="8600" w:type="dxa"/>
            <w:vAlign w:val="bottom"/>
          </w:tcPr>
          <w:p>
            <w:pPr>
              <w:spacing w:after="0"/>
              <w:rPr>
                <w:sz w:val="20"/>
                <w:szCs w:val="20"/>
                <w:color w:val="auto"/>
              </w:rPr>
            </w:pPr>
            <w:r>
              <w:rPr>
                <w:rFonts w:ascii="Arial" w:cs="Arial" w:eastAsia="Arial" w:hAnsi="Arial"/>
                <w:sz w:val="16"/>
                <w:szCs w:val="16"/>
                <w:color w:val="auto"/>
              </w:rPr>
              <w:t>____________________</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r>
    </w:tbl>
    <w:p>
      <w:pPr>
        <w:ind w:left="660" w:hanging="652"/>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See Note 1 of the Notes to Consolidated Financial Statements for details of the impact of implementing ASU No. 2014-09.</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Restaurant sales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change in U.S. segment Restaurant sales for the thirteen weeks ended April 1, 2018:</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ind w:right="61"/>
              <w:spacing w:after="0"/>
              <w:rPr>
                <w:sz w:val="20"/>
                <w:szCs w:val="20"/>
                <w:color w:val="auto"/>
              </w:rPr>
            </w:pPr>
            <w:r>
              <w:rPr>
                <w:rFonts w:ascii="Arial" w:cs="Arial" w:eastAsia="Arial" w:hAnsi="Arial"/>
                <w:sz w:val="14"/>
                <w:szCs w:val="14"/>
                <w:b w:val="1"/>
                <w:bCs w:val="1"/>
                <w:color w:val="auto"/>
              </w:rPr>
              <w:t>THIRTEEN WEEKS</w:t>
            </w:r>
          </w:p>
        </w:tc>
        <w:tc>
          <w:tcPr>
            <w:tcW w:w="0" w:type="dxa"/>
            <w:vAlign w:val="bottom"/>
          </w:tcPr>
          <w:p>
            <w:pPr>
              <w:spacing w:after="0"/>
              <w:rPr>
                <w:sz w:val="1"/>
                <w:szCs w:val="1"/>
                <w:color w:val="auto"/>
              </w:rPr>
            </w:pPr>
          </w:p>
        </w:tc>
      </w:tr>
      <w:tr>
        <w:trPr>
          <w:trHeight w:val="205"/>
        </w:trPr>
        <w:tc>
          <w:tcPr>
            <w:tcW w:w="98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23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the period ended March 26, 2017 (1)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1,035.5</w:t>
            </w:r>
          </w:p>
        </w:tc>
        <w:tc>
          <w:tcPr>
            <w:tcW w:w="0" w:type="dxa"/>
            <w:vAlign w:val="bottom"/>
          </w:tcPr>
          <w:p>
            <w:pPr>
              <w:spacing w:after="0"/>
              <w:rPr>
                <w:sz w:val="1"/>
                <w:szCs w:val="1"/>
                <w:color w:val="auto"/>
              </w:rPr>
            </w:pPr>
          </w:p>
        </w:tc>
      </w:tr>
      <w:tr>
        <w:trPr>
          <w:trHeight w:val="237"/>
        </w:trPr>
        <w:tc>
          <w:tcPr>
            <w:tcW w:w="9820" w:type="dxa"/>
            <w:vAlign w:val="bottom"/>
          </w:tcPr>
          <w:p>
            <w:pPr>
              <w:ind w:left="40"/>
              <w:spacing w:after="0"/>
              <w:rPr>
                <w:sz w:val="20"/>
                <w:szCs w:val="20"/>
                <w:color w:val="auto"/>
              </w:rPr>
            </w:pPr>
            <w:r>
              <w:rPr>
                <w:rFonts w:ascii="Arial" w:cs="Arial" w:eastAsia="Arial" w:hAnsi="Arial"/>
                <w:sz w:val="16"/>
                <w:szCs w:val="16"/>
                <w:color w:val="auto"/>
              </w:rPr>
              <w:t>Change from:</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Divestiture of restaurants through refranchising transactions</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24"/>
        </w:trPr>
        <w:tc>
          <w:tcPr>
            <w:tcW w:w="9820" w:type="dxa"/>
            <w:vAlign w:val="bottom"/>
          </w:tcPr>
          <w:p>
            <w:pPr>
              <w:ind w:left="380"/>
              <w:spacing w:after="0"/>
              <w:rPr>
                <w:sz w:val="20"/>
                <w:szCs w:val="20"/>
                <w:color w:val="auto"/>
              </w:rPr>
            </w:pPr>
            <w:r>
              <w:rPr>
                <w:rFonts w:ascii="Arial" w:cs="Arial" w:eastAsia="Arial" w:hAnsi="Arial"/>
                <w:sz w:val="16"/>
                <w:szCs w:val="16"/>
                <w:color w:val="auto"/>
              </w:rPr>
              <w:t>Restaurant closings</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33"/>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Comparable restaurant sales (2)</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70"/>
        </w:trPr>
        <w:tc>
          <w:tcPr>
            <w:tcW w:w="98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Restaurant openings (2)</w:t>
            </w:r>
          </w:p>
        </w:tc>
        <w:tc>
          <w:tcPr>
            <w:tcW w:w="1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the period ended April 1, 2018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984.3</w:t>
            </w:r>
          </w:p>
        </w:tc>
        <w:tc>
          <w:tcPr>
            <w:tcW w:w="0" w:type="dxa"/>
            <w:vAlign w:val="bottom"/>
          </w:tcPr>
          <w:p>
            <w:pPr>
              <w:spacing w:after="0"/>
              <w:rPr>
                <w:sz w:val="1"/>
                <w:szCs w:val="1"/>
                <w:color w:val="auto"/>
              </w:rPr>
            </w:pPr>
          </w:p>
        </w:tc>
      </w:tr>
      <w:tr>
        <w:trPr>
          <w:trHeight w:val="20"/>
        </w:trPr>
        <w:tc>
          <w:tcPr>
            <w:tcW w:w="982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line="255"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Restaurant sales have been restated for the thirteen weeks ended March 26, 2017. See Note 1 of the Notes to Consolidated Financial Statements for details of the impact of implementing ASU No. 2014-09.</w:t>
      </w:r>
    </w:p>
    <w:p>
      <w:pPr>
        <w:ind w:left="660" w:hanging="652"/>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an approximate $19.0 million negative impact on Restaurant sales from a one-week shift in the fiscal calendar.</w:t>
      </w:r>
    </w:p>
    <w:p>
      <w:pPr>
        <w:spacing w:after="0" w:line="21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The decrease in U.S. Restaurant sales in the thirteen weeks ended April 1, 2018 was primarily attributable to </w:t>
      </w:r>
      <w:r>
        <w:rPr>
          <w:rFonts w:ascii="Arial" w:cs="Arial" w:eastAsia="Arial" w:hAnsi="Arial"/>
          <w:sz w:val="20"/>
          <w:szCs w:val="20"/>
          <w:color w:val="252525"/>
        </w:rPr>
        <w:t>the refranchising of certain</w:t>
      </w:r>
      <w:r>
        <w:rPr>
          <w:rFonts w:ascii="Arial" w:cs="Arial" w:eastAsia="Arial" w:hAnsi="Arial"/>
          <w:sz w:val="20"/>
          <w:szCs w:val="20"/>
          <w:color w:val="auto"/>
        </w:rPr>
        <w:t xml:space="preserve"> </w:t>
      </w:r>
      <w:r>
        <w:rPr>
          <w:rFonts w:ascii="Arial" w:cs="Arial" w:eastAsia="Arial" w:hAnsi="Arial"/>
          <w:sz w:val="20"/>
          <w:szCs w:val="20"/>
          <w:color w:val="252525"/>
        </w:rPr>
        <w:t xml:space="preserve">Company-owned </w:t>
      </w:r>
      <w:r>
        <w:rPr>
          <w:rFonts w:ascii="Arial" w:cs="Arial" w:eastAsia="Arial" w:hAnsi="Arial"/>
          <w:sz w:val="20"/>
          <w:szCs w:val="20"/>
          <w:color w:val="000000"/>
        </w:rPr>
        <w:t>restaurants, the one-week shift in the fiscal calendar and the closing of 44 restaurants since December 25, 2016. The decrease</w:t>
      </w:r>
      <w:r>
        <w:rPr>
          <w:rFonts w:ascii="Arial" w:cs="Arial" w:eastAsia="Arial" w:hAnsi="Arial"/>
          <w:sz w:val="20"/>
          <w:szCs w:val="20"/>
          <w:color w:val="252525"/>
        </w:rPr>
        <w:t xml:space="preserve"> </w:t>
      </w:r>
      <w:r>
        <w:rPr>
          <w:rFonts w:ascii="Arial" w:cs="Arial" w:eastAsia="Arial" w:hAnsi="Arial"/>
          <w:sz w:val="20"/>
          <w:szCs w:val="20"/>
          <w:color w:val="000000"/>
        </w:rPr>
        <w:t>in restaurant sales was partially offset by higher comparable restaurant sales and the opening of 14 new restaurants not included in our comparable restaurant sales base.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from operations</w:t>
      </w:r>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increase in U.S. income from operations generated in the thirteen weeks ended April 1, 2018 as compared to the thirteen weeks ended March 26, 2017, was primarily due to: (i) lower impairment charges and restaurant closing costs, primarily related to the Closure Initiatives in 2017 and (ii) increases in average check per person. These increases were partially offset by decreases primarily due to: (i) higher labor costs from wage inflation and investments in our service model, (ii) operating expense inflation, (iii) higher commodity costs and (iv) changes in product mix.</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International Segment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6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381"/>
              <w:spacing w:after="0"/>
              <w:rPr>
                <w:sz w:val="20"/>
                <w:szCs w:val="20"/>
                <w:color w:val="auto"/>
              </w:rPr>
            </w:pPr>
            <w:r>
              <w:rPr>
                <w:rFonts w:ascii="Arial" w:cs="Arial" w:eastAsia="Arial" w:hAnsi="Arial"/>
                <w:sz w:val="14"/>
                <w:szCs w:val="14"/>
                <w:b w:val="1"/>
                <w:bCs w:val="1"/>
                <w:color w:val="auto"/>
              </w:rPr>
              <w:t>THIRTEEN WEEKS ENDED</w:t>
            </w:r>
          </w:p>
        </w:tc>
      </w:tr>
      <w:tr>
        <w:trPr>
          <w:trHeight w:val="258"/>
        </w:trPr>
        <w:tc>
          <w:tcPr>
            <w:tcW w:w="20" w:type="dxa"/>
            <w:vAlign w:val="bottom"/>
          </w:tcPr>
          <w:p>
            <w:pPr>
              <w:spacing w:after="0"/>
              <w:rPr>
                <w:sz w:val="22"/>
                <w:szCs w:val="22"/>
                <w:color w:val="auto"/>
              </w:rPr>
            </w:pPr>
          </w:p>
        </w:tc>
        <w:tc>
          <w:tcPr>
            <w:tcW w:w="8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1, 2018</w:t>
            </w:r>
          </w:p>
        </w:tc>
        <w:tc>
          <w:tcPr>
            <w:tcW w:w="120" w:type="dxa"/>
            <w:vAlign w:val="bottom"/>
          </w:tcPr>
          <w:p>
            <w:pPr>
              <w:spacing w:after="0"/>
              <w:rPr>
                <w:sz w:val="22"/>
                <w:szCs w:val="22"/>
                <w:color w:val="auto"/>
              </w:rPr>
            </w:pPr>
          </w:p>
        </w:tc>
        <w:tc>
          <w:tcPr>
            <w:tcW w:w="1280" w:type="dxa"/>
            <w:vAlign w:val="bottom"/>
          </w:tcPr>
          <w:p>
            <w:pPr>
              <w:jc w:val="right"/>
              <w:ind w:right="81"/>
              <w:spacing w:after="0"/>
              <w:rPr>
                <w:sz w:val="20"/>
                <w:szCs w:val="20"/>
                <w:color w:val="auto"/>
              </w:rPr>
            </w:pPr>
            <w:r>
              <w:rPr>
                <w:rFonts w:ascii="Arial" w:cs="Arial" w:eastAsia="Arial" w:hAnsi="Arial"/>
                <w:sz w:val="14"/>
                <w:szCs w:val="14"/>
                <w:b w:val="1"/>
                <w:bCs w:val="1"/>
                <w:color w:val="auto"/>
                <w:w w:val="99"/>
              </w:rPr>
              <w:t>MARCH 26, 2017</w:t>
            </w:r>
          </w:p>
        </w:tc>
      </w:tr>
      <w:tr>
        <w:trPr>
          <w:trHeight w:val="289"/>
        </w:trPr>
        <w:tc>
          <w:tcPr>
            <w:tcW w:w="20" w:type="dxa"/>
            <w:vAlign w:val="bottom"/>
          </w:tcPr>
          <w:p>
            <w:pPr>
              <w:spacing w:after="0"/>
              <w:rPr>
                <w:sz w:val="24"/>
                <w:szCs w:val="24"/>
                <w:color w:val="auto"/>
              </w:rPr>
            </w:pPr>
          </w:p>
        </w:tc>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(Restated) (1)</w:t>
            </w:r>
          </w:p>
        </w:tc>
      </w:tr>
      <w:tr>
        <w:trPr>
          <w:trHeight w:val="250"/>
        </w:trPr>
        <w:tc>
          <w:tcPr>
            <w:tcW w:w="20" w:type="dxa"/>
            <w:vAlign w:val="bottom"/>
          </w:tcPr>
          <w:p>
            <w:pPr>
              <w:spacing w:after="0"/>
              <w:rPr>
                <w:sz w:val="21"/>
                <w:szCs w:val="21"/>
                <w:color w:val="auto"/>
              </w:rPr>
            </w:pPr>
          </w:p>
        </w:tc>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8600" w:type="dxa"/>
            <w:vAlign w:val="bottom"/>
          </w:tcPr>
          <w:p>
            <w:pPr>
              <w:ind w:left="160"/>
              <w:spacing w:after="0"/>
              <w:rPr>
                <w:sz w:val="20"/>
                <w:szCs w:val="20"/>
                <w:color w:val="auto"/>
              </w:rPr>
            </w:pPr>
            <w:r>
              <w:rPr>
                <w:rFonts w:ascii="Arial" w:cs="Arial" w:eastAsia="Arial" w:hAnsi="Arial"/>
                <w:sz w:val="16"/>
                <w:szCs w:val="16"/>
                <w:color w:val="auto"/>
              </w:rPr>
              <w:t>Restaurant sales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114,659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81"/>
              <w:spacing w:after="0"/>
              <w:rPr>
                <w:sz w:val="20"/>
                <w:szCs w:val="20"/>
                <w:color w:val="auto"/>
              </w:rPr>
            </w:pPr>
            <w:r>
              <w:rPr>
                <w:rFonts w:ascii="Arial" w:cs="Arial" w:eastAsia="Arial" w:hAnsi="Arial"/>
                <w:sz w:val="16"/>
                <w:szCs w:val="16"/>
                <w:color w:val="auto"/>
              </w:rPr>
              <w:t>108,276</w:t>
            </w:r>
          </w:p>
        </w:tc>
      </w:tr>
      <w:tr>
        <w:trPr>
          <w:trHeight w:val="33"/>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8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Franchise and other revenues</w:t>
            </w:r>
          </w:p>
        </w:tc>
        <w:tc>
          <w:tcPr>
            <w:tcW w:w="1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3,099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2,762</w:t>
            </w:r>
          </w:p>
        </w:tc>
      </w:tr>
      <w:tr>
        <w:trPr>
          <w:trHeight w:val="224"/>
        </w:trPr>
        <w:tc>
          <w:tcPr>
            <w:tcW w:w="20" w:type="dxa"/>
            <w:vAlign w:val="bottom"/>
          </w:tcPr>
          <w:p>
            <w:pPr>
              <w:spacing w:after="0"/>
              <w:rPr>
                <w:sz w:val="19"/>
                <w:szCs w:val="19"/>
                <w:color w:val="auto"/>
              </w:rPr>
            </w:pPr>
          </w:p>
        </w:tc>
        <w:tc>
          <w:tcPr>
            <w:tcW w:w="8600" w:type="dxa"/>
            <w:vAlign w:val="bottom"/>
          </w:tcPr>
          <w:p>
            <w:pPr>
              <w:ind w:left="360"/>
              <w:spacing w:after="0"/>
              <w:rPr>
                <w:sz w:val="20"/>
                <w:szCs w:val="20"/>
                <w:color w:val="auto"/>
              </w:rPr>
            </w:pPr>
            <w:r>
              <w:rPr>
                <w:rFonts w:ascii="Arial" w:cs="Arial" w:eastAsia="Arial" w:hAnsi="Arial"/>
                <w:sz w:val="16"/>
                <w:szCs w:val="16"/>
                <w:color w:val="auto"/>
              </w:rPr>
              <w:t>Total revenues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117,758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81"/>
              <w:spacing w:after="0"/>
              <w:rPr>
                <w:sz w:val="20"/>
                <w:szCs w:val="20"/>
                <w:color w:val="auto"/>
              </w:rPr>
            </w:pPr>
            <w:r>
              <w:rPr>
                <w:rFonts w:ascii="Arial" w:cs="Arial" w:eastAsia="Arial" w:hAnsi="Arial"/>
                <w:sz w:val="16"/>
                <w:szCs w:val="16"/>
                <w:color w:val="auto"/>
              </w:rPr>
              <w:t>111,038</w:t>
            </w:r>
          </w:p>
        </w:tc>
      </w:tr>
      <w:tr>
        <w:trPr>
          <w:trHeight w:val="33"/>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Restaurant-level operating margin</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r>
      <w:tr>
        <w:trPr>
          <w:trHeight w:val="237"/>
        </w:trPr>
        <w:tc>
          <w:tcPr>
            <w:tcW w:w="20" w:type="dxa"/>
            <w:vAlign w:val="bottom"/>
          </w:tcPr>
          <w:p>
            <w:pPr>
              <w:spacing w:after="0"/>
              <w:rPr>
                <w:sz w:val="20"/>
                <w:szCs w:val="20"/>
                <w:color w:val="auto"/>
              </w:rPr>
            </w:pPr>
          </w:p>
        </w:tc>
        <w:tc>
          <w:tcPr>
            <w:tcW w:w="8600" w:type="dxa"/>
            <w:vAlign w:val="bottom"/>
          </w:tcPr>
          <w:p>
            <w:pPr>
              <w:ind w:left="160"/>
              <w:spacing w:after="0"/>
              <w:rPr>
                <w:sz w:val="20"/>
                <w:szCs w:val="20"/>
                <w:color w:val="auto"/>
              </w:rPr>
            </w:pPr>
            <w:r>
              <w:rPr>
                <w:rFonts w:ascii="Arial" w:cs="Arial" w:eastAsia="Arial" w:hAnsi="Arial"/>
                <w:sz w:val="16"/>
                <w:szCs w:val="16"/>
                <w:color w:val="auto"/>
              </w:rPr>
              <w:t>Income from operations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8,325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81"/>
              <w:spacing w:after="0"/>
              <w:rPr>
                <w:sz w:val="20"/>
                <w:szCs w:val="20"/>
                <w:color w:val="auto"/>
              </w:rPr>
            </w:pPr>
            <w:r>
              <w:rPr>
                <w:rFonts w:ascii="Arial" w:cs="Arial" w:eastAsia="Arial" w:hAnsi="Arial"/>
                <w:sz w:val="16"/>
                <w:szCs w:val="16"/>
                <w:color w:val="auto"/>
              </w:rPr>
              <w:t>8,635</w:t>
            </w:r>
          </w:p>
        </w:tc>
      </w:tr>
      <w:tr>
        <w:trPr>
          <w:trHeight w:val="33"/>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Operating income margin</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193"/>
        </w:trPr>
        <w:tc>
          <w:tcPr>
            <w:tcW w:w="20" w:type="dxa"/>
            <w:vAlign w:val="bottom"/>
          </w:tcPr>
          <w:p>
            <w:pPr>
              <w:spacing w:after="0"/>
              <w:rPr>
                <w:sz w:val="16"/>
                <w:szCs w:val="16"/>
                <w:color w:val="auto"/>
              </w:rPr>
            </w:pPr>
          </w:p>
        </w:tc>
        <w:tc>
          <w:tcPr>
            <w:tcW w:w="8600" w:type="dxa"/>
            <w:vAlign w:val="bottom"/>
          </w:tcPr>
          <w:p>
            <w:pPr>
              <w:spacing w:after="0"/>
              <w:rPr>
                <w:sz w:val="20"/>
                <w:szCs w:val="20"/>
                <w:color w:val="auto"/>
              </w:rPr>
            </w:pPr>
            <w:r>
              <w:rPr>
                <w:rFonts w:ascii="Arial" w:cs="Arial" w:eastAsia="Arial" w:hAnsi="Arial"/>
                <w:sz w:val="16"/>
                <w:szCs w:val="16"/>
                <w:color w:val="auto"/>
              </w:rPr>
              <w:t>____________________</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r>
    </w:tbl>
    <w:p>
      <w:pPr>
        <w:ind w:left="660" w:hanging="652"/>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See Note 1 of the Notes to Consolidated Financial Statements for details of the impact of implementing ASU No. 2014-09.</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Restaurant sales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change in International segment Restaurant sales for the thirteen weeks ended April 1, 2018:</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ind w:right="61"/>
              <w:spacing w:after="0"/>
              <w:rPr>
                <w:sz w:val="20"/>
                <w:szCs w:val="20"/>
                <w:color w:val="auto"/>
              </w:rPr>
            </w:pPr>
            <w:r>
              <w:rPr>
                <w:rFonts w:ascii="Arial" w:cs="Arial" w:eastAsia="Arial" w:hAnsi="Arial"/>
                <w:sz w:val="14"/>
                <w:szCs w:val="14"/>
                <w:b w:val="1"/>
                <w:bCs w:val="1"/>
                <w:color w:val="auto"/>
              </w:rPr>
              <w:t>THIRTEEN WEEKS</w:t>
            </w:r>
          </w:p>
        </w:tc>
      </w:tr>
      <w:tr>
        <w:trPr>
          <w:trHeight w:val="205"/>
        </w:trPr>
        <w:tc>
          <w:tcPr>
            <w:tcW w:w="98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ENDED</w:t>
            </w:r>
          </w:p>
        </w:tc>
      </w:tr>
      <w:tr>
        <w:trPr>
          <w:trHeight w:val="23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the period ended March 26, 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108.3</w:t>
            </w:r>
          </w:p>
        </w:tc>
      </w:tr>
      <w:tr>
        <w:trPr>
          <w:trHeight w:val="237"/>
        </w:trPr>
        <w:tc>
          <w:tcPr>
            <w:tcW w:w="9820" w:type="dxa"/>
            <w:vAlign w:val="bottom"/>
          </w:tcPr>
          <w:p>
            <w:pPr>
              <w:ind w:left="40"/>
              <w:spacing w:after="0"/>
              <w:rPr>
                <w:sz w:val="20"/>
                <w:szCs w:val="20"/>
                <w:color w:val="auto"/>
              </w:rPr>
            </w:pPr>
            <w:r>
              <w:rPr>
                <w:rFonts w:ascii="Arial" w:cs="Arial" w:eastAsia="Arial" w:hAnsi="Arial"/>
                <w:sz w:val="16"/>
                <w:szCs w:val="16"/>
                <w:color w:val="auto"/>
              </w:rPr>
              <w:t>Change from:</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3"/>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9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Restaurant openings</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8.6</w:t>
            </w:r>
          </w:p>
        </w:tc>
      </w:tr>
      <w:tr>
        <w:trPr>
          <w:trHeight w:val="224"/>
        </w:trPr>
        <w:tc>
          <w:tcPr>
            <w:tcW w:w="9820" w:type="dxa"/>
            <w:vAlign w:val="bottom"/>
          </w:tcPr>
          <w:p>
            <w:pPr>
              <w:ind w:left="380"/>
              <w:spacing w:after="0"/>
              <w:rPr>
                <w:sz w:val="20"/>
                <w:szCs w:val="20"/>
                <w:color w:val="auto"/>
              </w:rPr>
            </w:pPr>
            <w:r>
              <w:rPr>
                <w:rFonts w:ascii="Arial" w:cs="Arial" w:eastAsia="Arial" w:hAnsi="Arial"/>
                <w:sz w:val="16"/>
                <w:szCs w:val="16"/>
                <w:color w:val="auto"/>
              </w:rPr>
              <w:t>Restaurant closings</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9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foreign currency translation</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70"/>
        </w:trPr>
        <w:tc>
          <w:tcPr>
            <w:tcW w:w="98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Comparable restaurant sales</w:t>
            </w:r>
          </w:p>
        </w:tc>
        <w:tc>
          <w:tcPr>
            <w:tcW w:w="1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the period ended April 1, 2018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114.7</w:t>
            </w:r>
          </w:p>
        </w:tc>
      </w:tr>
      <w:tr>
        <w:trPr>
          <w:trHeight w:val="20"/>
        </w:trPr>
        <w:tc>
          <w:tcPr>
            <w:tcW w:w="9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increase in Restaurant sales in the thirteen weeks ended April 1, 2018 was primarily attributable to the opening of 28 new restaurants not included in our comparable restaurant sales base partially offset by: (i) the closing of four restaurants since December 25, 2016 and (ii) the effect of foreign currency translation of the Brazil Real relative to the U.S. dollar.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from operations</w:t>
      </w:r>
    </w:p>
    <w:p>
      <w:pPr>
        <w:spacing w:after="0" w:line="22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decrease in International income from operations in the thirteen weeks ended April 1, 2018 as compared to the thirteen weeks ended March 26, 2017 was primarily due to: (i) certain impairment charges and restaurant closing costs, (ii) labor, operating expense and commodity inflation, (iii) changes in product mix and (iv) increases in advertising expense. These decreases were partially offset by: (i) increases in average check per person, (ii) lower General and administrative expense and (iii) lapping certain Brazil legal contingencies in 2017.</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System-Wide Sales - </w:t>
      </w:r>
      <w:r>
        <w:rPr>
          <w:rFonts w:ascii="Arial" w:cs="Arial" w:eastAsia="Arial" w:hAnsi="Arial"/>
          <w:sz w:val="20"/>
          <w:szCs w:val="20"/>
          <w:color w:val="auto"/>
        </w:rPr>
        <w:t>System-wide sales is a non-GAAP financial measure that includes sales of all restaurants operating under our brand names,</w:t>
      </w:r>
      <w:r>
        <w:rPr>
          <w:rFonts w:ascii="Arial" w:cs="Arial" w:eastAsia="Arial" w:hAnsi="Arial"/>
          <w:sz w:val="20"/>
          <w:szCs w:val="20"/>
          <w:i w:val="1"/>
          <w:iCs w:val="1"/>
          <w:color w:val="auto"/>
        </w:rPr>
        <w:t xml:space="preserve"> </w:t>
      </w:r>
      <w:r>
        <w:rPr>
          <w:rFonts w:ascii="Arial" w:cs="Arial" w:eastAsia="Arial" w:hAnsi="Arial"/>
          <w:sz w:val="20"/>
          <w:szCs w:val="20"/>
          <w:color w:val="auto"/>
        </w:rPr>
        <w:t>whether we own them or not. Management uses this information to make decisions about future plans for the development of additional restaurants and new concepts, as well as evaluation of current operations. System-wide sales comprise sales of Company-owned and franchised restaurants. Following is a summary of sales of Company-owned restaurants: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7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62"/>
        </w:trPr>
        <w:tc>
          <w:tcPr>
            <w:tcW w:w="8700" w:type="dxa"/>
            <w:vAlign w:val="bottom"/>
          </w:tcPr>
          <w:p>
            <w:pPr>
              <w:ind w:left="40"/>
              <w:spacing w:after="0"/>
              <w:rPr>
                <w:sz w:val="20"/>
                <w:szCs w:val="20"/>
                <w:color w:val="auto"/>
              </w:rPr>
            </w:pPr>
            <w:r>
              <w:rPr>
                <w:rFonts w:ascii="Arial" w:cs="Arial" w:eastAsia="Arial" w:hAnsi="Arial"/>
                <w:sz w:val="14"/>
                <w:szCs w:val="14"/>
                <w:b w:val="1"/>
                <w:bCs w:val="1"/>
                <w:color w:val="auto"/>
              </w:rPr>
              <w:t>COMPANY-OWNED RESTAURANT SALES</w:t>
            </w:r>
          </w:p>
        </w:tc>
        <w:tc>
          <w:tcPr>
            <w:tcW w:w="140" w:type="dxa"/>
            <w:vAlign w:val="bottom"/>
          </w:tcPr>
          <w:p>
            <w:pPr>
              <w:spacing w:after="0"/>
              <w:rPr>
                <w:sz w:val="14"/>
                <w:szCs w:val="1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APRIL 1, 2018</w:t>
            </w:r>
          </w:p>
        </w:tc>
        <w:tc>
          <w:tcPr>
            <w:tcW w:w="120" w:type="dxa"/>
            <w:vAlign w:val="bottom"/>
          </w:tcPr>
          <w:p>
            <w:pPr>
              <w:spacing w:after="0"/>
              <w:rPr>
                <w:sz w:val="14"/>
                <w:szCs w:val="14"/>
                <w:color w:val="auto"/>
              </w:rPr>
            </w:pPr>
          </w:p>
        </w:tc>
        <w:tc>
          <w:tcPr>
            <w:tcW w:w="1240" w:type="dxa"/>
            <w:vAlign w:val="bottom"/>
          </w:tcPr>
          <w:p>
            <w:pPr>
              <w:jc w:val="right"/>
              <w:ind w:right="40"/>
              <w:spacing w:after="0"/>
              <w:rPr>
                <w:sz w:val="20"/>
                <w:szCs w:val="20"/>
                <w:color w:val="auto"/>
              </w:rPr>
            </w:pPr>
            <w:r>
              <w:rPr>
                <w:rFonts w:ascii="Arial" w:cs="Arial" w:eastAsia="Arial" w:hAnsi="Arial"/>
                <w:sz w:val="14"/>
                <w:szCs w:val="14"/>
                <w:b w:val="1"/>
                <w:bCs w:val="1"/>
                <w:color w:val="auto"/>
                <w:w w:val="99"/>
              </w:rPr>
              <w:t>MARCH 26, 2017</w:t>
            </w:r>
          </w:p>
        </w:tc>
        <w:tc>
          <w:tcPr>
            <w:tcW w:w="0" w:type="dxa"/>
            <w:vAlign w:val="bottom"/>
          </w:tcPr>
          <w:p>
            <w:pPr>
              <w:spacing w:after="0"/>
              <w:rPr>
                <w:sz w:val="1"/>
                <w:szCs w:val="1"/>
                <w:color w:val="auto"/>
              </w:rPr>
            </w:pPr>
          </w:p>
        </w:tc>
      </w:tr>
      <w:tr>
        <w:trPr>
          <w:trHeight w:val="196"/>
        </w:trPr>
        <w:tc>
          <w:tcPr>
            <w:tcW w:w="870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520"/>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50"/>
        </w:trPr>
        <w:tc>
          <w:tcPr>
            <w:tcW w:w="8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Outback Steakhouse (2)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Carrabba’s Italian Grill (2)</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Bonefish Grill</w:t>
            </w:r>
          </w:p>
        </w:tc>
        <w:tc>
          <w:tcPr>
            <w:tcW w:w="1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Fleming’s Prime Steakhouse &amp; Wine Bar</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70"/>
        </w:trPr>
        <w:tc>
          <w:tcPr>
            <w:tcW w:w="8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 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1,036</w:t>
            </w:r>
          </w:p>
        </w:tc>
        <w:tc>
          <w:tcPr>
            <w:tcW w:w="0" w:type="dxa"/>
            <w:vAlign w:val="bottom"/>
          </w:tcPr>
          <w:p>
            <w:pPr>
              <w:spacing w:after="0"/>
              <w:rPr>
                <w:sz w:val="1"/>
                <w:szCs w:val="1"/>
                <w:color w:val="auto"/>
              </w:rPr>
            </w:pPr>
          </w:p>
        </w:tc>
      </w:tr>
      <w:tr>
        <w:trPr>
          <w:trHeight w:val="237"/>
        </w:trPr>
        <w:tc>
          <w:tcPr>
            <w:tcW w:w="8700" w:type="dxa"/>
            <w:vAlign w:val="bottom"/>
          </w:tcPr>
          <w:p>
            <w:pPr>
              <w:ind w:left="40"/>
              <w:spacing w:after="0"/>
              <w:rPr>
                <w:sz w:val="20"/>
                <w:szCs w:val="20"/>
                <w:color w:val="auto"/>
              </w:rPr>
            </w:pPr>
            <w:r>
              <w:rPr>
                <w:rFonts w:ascii="Arial" w:cs="Arial" w:eastAsia="Arial" w:hAnsi="Arial"/>
                <w:sz w:val="16"/>
                <w:szCs w:val="16"/>
                <w:color w:val="auto"/>
              </w:rPr>
              <w:t>International</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Outback Steakhouse-Brazil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70"/>
        </w:trPr>
        <w:tc>
          <w:tcPr>
            <w:tcW w:w="8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57"/>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 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50"/>
        </w:trPr>
        <w:tc>
          <w:tcPr>
            <w:tcW w:w="8700" w:type="dxa"/>
            <w:vAlign w:val="bottom"/>
          </w:tcPr>
          <w:p>
            <w:pPr>
              <w:ind w:left="40"/>
              <w:spacing w:after="0"/>
              <w:rPr>
                <w:sz w:val="20"/>
                <w:szCs w:val="20"/>
                <w:color w:val="auto"/>
              </w:rPr>
            </w:pPr>
            <w:r>
              <w:rPr>
                <w:rFonts w:ascii="Arial" w:cs="Arial" w:eastAsia="Arial" w:hAnsi="Arial"/>
                <w:sz w:val="16"/>
                <w:szCs w:val="16"/>
                <w:color w:val="auto"/>
              </w:rPr>
              <w:t>Total Company-owned restaurant sales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1,099</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1,144</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6"/>
                <w:szCs w:val="16"/>
                <w:color w:val="auto"/>
              </w:rPr>
              <w:t>_____________________</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right="20" w:hanging="652"/>
        <w:spacing w:after="0" w:line="246"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Activity has been restated for the retrospective adoption of ASU No. 2014-09. See Note 1 - </w:t>
      </w:r>
      <w:r>
        <w:rPr>
          <w:rFonts w:ascii="Arial" w:cs="Arial" w:eastAsia="Arial" w:hAnsi="Arial"/>
          <w:sz w:val="16"/>
          <w:szCs w:val="16"/>
          <w:i w:val="1"/>
          <w:iCs w:val="1"/>
          <w:color w:val="auto"/>
        </w:rPr>
        <w:t>Description of the Business and Basis of Presentation</w:t>
      </w:r>
      <w:r>
        <w:rPr>
          <w:rFonts w:ascii="Arial" w:cs="Arial" w:eastAsia="Arial" w:hAnsi="Arial"/>
          <w:sz w:val="16"/>
          <w:szCs w:val="16"/>
          <w:color w:val="auto"/>
        </w:rPr>
        <w:t xml:space="preserve"> of the Notes to Consolidated Financial Statements for details regarding the impact of implementing ASU No. 2014-09.</w:t>
      </w:r>
    </w:p>
    <w:p>
      <w:pPr>
        <w:ind w:left="660" w:hanging="652"/>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 2017, we sold 53 Outback Steakhouse restaurants and one Carrabba’s Italian Grill restaurant, which are now operated as franchises.</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following table provides a summary of sales of franchised restaurants, which are not included in our consolidated financial results, and our income from the royalties and/or service fees that franchisees pay us based generally on a percentage of sales. The following table does not represent our sales and is presented only as an indicator of changes in the restaurant system, which management believes is important information regarding the health of our restaurant concepts and in determining our royalties and/or service fees.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7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264"/>
        </w:trPr>
        <w:tc>
          <w:tcPr>
            <w:tcW w:w="8700" w:type="dxa"/>
            <w:vAlign w:val="bottom"/>
          </w:tcPr>
          <w:p>
            <w:pPr>
              <w:ind w:left="40"/>
              <w:spacing w:after="0"/>
              <w:rPr>
                <w:sz w:val="20"/>
                <w:szCs w:val="20"/>
                <w:color w:val="auto"/>
              </w:rPr>
            </w:pPr>
            <w:r>
              <w:rPr>
                <w:rFonts w:ascii="Arial" w:cs="Arial" w:eastAsia="Arial" w:hAnsi="Arial"/>
                <w:sz w:val="14"/>
                <w:szCs w:val="14"/>
                <w:b w:val="1"/>
                <w:bCs w:val="1"/>
                <w:color w:val="auto"/>
              </w:rPr>
              <w:t>FRANCHISE SALES (dollars in millions) (1)</w:t>
            </w: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1, 2018</w:t>
            </w:r>
          </w:p>
        </w:tc>
        <w:tc>
          <w:tcPr>
            <w:tcW w:w="120" w:type="dxa"/>
            <w:vAlign w:val="bottom"/>
          </w:tcPr>
          <w:p>
            <w:pPr>
              <w:spacing w:after="0"/>
              <w:rPr>
                <w:sz w:val="22"/>
                <w:szCs w:val="22"/>
                <w:color w:val="auto"/>
              </w:rPr>
            </w:pPr>
          </w:p>
        </w:tc>
        <w:tc>
          <w:tcPr>
            <w:tcW w:w="1240" w:type="dxa"/>
            <w:vAlign w:val="bottom"/>
          </w:tcPr>
          <w:p>
            <w:pPr>
              <w:jc w:val="right"/>
              <w:ind w:right="40"/>
              <w:spacing w:after="0"/>
              <w:rPr>
                <w:sz w:val="20"/>
                <w:szCs w:val="20"/>
                <w:color w:val="auto"/>
              </w:rPr>
            </w:pPr>
            <w:r>
              <w:rPr>
                <w:rFonts w:ascii="Arial" w:cs="Arial" w:eastAsia="Arial" w:hAnsi="Arial"/>
                <w:sz w:val="14"/>
                <w:szCs w:val="14"/>
                <w:b w:val="1"/>
                <w:bCs w:val="1"/>
                <w:color w:val="auto"/>
                <w:w w:val="99"/>
              </w:rPr>
              <w:t>MARCH 26, 2017</w:t>
            </w:r>
          </w:p>
        </w:tc>
        <w:tc>
          <w:tcPr>
            <w:tcW w:w="0" w:type="dxa"/>
            <w:vAlign w:val="bottom"/>
          </w:tcPr>
          <w:p>
            <w:pPr>
              <w:spacing w:after="0"/>
              <w:rPr>
                <w:sz w:val="1"/>
                <w:szCs w:val="1"/>
                <w:color w:val="auto"/>
              </w:rPr>
            </w:pPr>
          </w:p>
        </w:tc>
      </w:tr>
      <w:tr>
        <w:trPr>
          <w:trHeight w:val="250"/>
        </w:trPr>
        <w:tc>
          <w:tcPr>
            <w:tcW w:w="8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Outback Steakhouse (2)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Carrabba's Italian Grill (2)</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0"/>
        </w:trPr>
        <w:tc>
          <w:tcPr>
            <w:tcW w:w="8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Bonefish Grill</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 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37"/>
        </w:trPr>
        <w:tc>
          <w:tcPr>
            <w:tcW w:w="8700" w:type="dxa"/>
            <w:vAlign w:val="bottom"/>
          </w:tcPr>
          <w:p>
            <w:pPr>
              <w:ind w:left="40"/>
              <w:spacing w:after="0"/>
              <w:rPr>
                <w:sz w:val="20"/>
                <w:szCs w:val="20"/>
                <w:color w:val="auto"/>
              </w:rPr>
            </w:pPr>
            <w:r>
              <w:rPr>
                <w:rFonts w:ascii="Arial" w:cs="Arial" w:eastAsia="Arial" w:hAnsi="Arial"/>
                <w:sz w:val="16"/>
                <w:szCs w:val="16"/>
                <w:color w:val="auto"/>
              </w:rPr>
              <w:t>International</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Outback Steakhouse-South Korea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70"/>
        </w:trPr>
        <w:tc>
          <w:tcPr>
            <w:tcW w:w="8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57"/>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 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90"/>
        </w:trPr>
        <w:tc>
          <w:tcPr>
            <w:tcW w:w="8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franchise sales (1)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37"/>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franchise sales (3)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6"/>
                <w:szCs w:val="16"/>
                <w:color w:val="auto"/>
              </w:rPr>
              <w:t>_____________________</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Franchise sales are not included in Total revenues in the Consolidated Statements of Operations and Comprehensive Income</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2017, we sold 53 Outback Steakhouse restaurants and one Carrabba’s Italian Grill restaurant, which are now operated as franchises.</w:t>
      </w:r>
    </w:p>
    <w:p>
      <w:pPr>
        <w:sectPr>
          <w:pgSz w:w="11900" w:h="16838" w:orient="portrait"/>
          <w:cols w:equalWidth="0" w:num="1">
            <w:col w:w="11420"/>
          </w:cols>
          <w:pgMar w:left="240" w:top="122"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2" w:right="239" w:bottom="1440" w:gutter="0" w:footer="0" w:header="0"/>
          <w:type w:val="continuous"/>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34" w:lineRule="exact"/>
        <w:rPr>
          <w:sz w:val="20"/>
          <w:szCs w:val="20"/>
          <w:color w:val="auto"/>
        </w:rPr>
      </w:pPr>
    </w:p>
    <w:p>
      <w:pPr>
        <w:ind w:left="660" w:right="20" w:hanging="652"/>
        <w:spacing w:after="0" w:line="275"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Represents franchise royalties and initial franchise fees included in the Consolidated Statements of Operations and Comprehensive Income in Franchise and other revenues.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restaurant-level operating margin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shows the percentages of certain operating cost financial statement line items in relation to Restaurant sales: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THIRTEEN WEEKS ENDED</w:t>
            </w:r>
          </w:p>
        </w:tc>
        <w:tc>
          <w:tcPr>
            <w:tcW w:w="1640" w:type="dxa"/>
            <w:vAlign w:val="bottom"/>
            <w:tcBorders>
              <w:bottom w:val="single" w:sz="8" w:color="auto"/>
            </w:tcBorders>
          </w:tcPr>
          <w:p>
            <w:pPr>
              <w:spacing w:after="0"/>
              <w:rPr>
                <w:sz w:val="17"/>
                <w:szCs w:val="17"/>
                <w:color w:val="auto"/>
              </w:rPr>
            </w:pPr>
          </w:p>
        </w:tc>
      </w:tr>
      <w:tr>
        <w:trPr>
          <w:trHeight w:val="264"/>
        </w:trPr>
        <w:tc>
          <w:tcPr>
            <w:tcW w:w="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340" w:type="dxa"/>
            <w:vAlign w:val="bottom"/>
            <w:tcBorders>
              <w:bottom w:val="single" w:sz="8" w:color="auto"/>
            </w:tcBorders>
            <w:gridSpan w:val="3"/>
          </w:tcPr>
          <w:p>
            <w:pPr>
              <w:jc w:val="right"/>
              <w:ind w:right="1122"/>
              <w:spacing w:after="0"/>
              <w:rPr>
                <w:sz w:val="20"/>
                <w:szCs w:val="20"/>
                <w:color w:val="auto"/>
              </w:rPr>
            </w:pPr>
            <w:r>
              <w:rPr>
                <w:rFonts w:ascii="Arial" w:cs="Arial" w:eastAsia="Arial" w:hAnsi="Arial"/>
                <w:sz w:val="14"/>
                <w:szCs w:val="14"/>
                <w:b w:val="1"/>
                <w:bCs w:val="1"/>
                <w:color w:val="auto"/>
              </w:rPr>
              <w:t>APRIL 1, 2018</w:t>
            </w:r>
          </w:p>
        </w:tc>
        <w:tc>
          <w:tcPr>
            <w:tcW w:w="120" w:type="dxa"/>
            <w:vAlign w:val="bottom"/>
          </w:tcPr>
          <w:p>
            <w:pPr>
              <w:spacing w:after="0"/>
              <w:rPr>
                <w:sz w:val="22"/>
                <w:szCs w:val="22"/>
                <w:color w:val="auto"/>
              </w:rPr>
            </w:pPr>
          </w:p>
        </w:tc>
        <w:tc>
          <w:tcPr>
            <w:tcW w:w="3360" w:type="dxa"/>
            <w:vAlign w:val="bottom"/>
            <w:tcBorders>
              <w:bottom w:val="single" w:sz="8" w:color="auto"/>
            </w:tcBorders>
            <w:gridSpan w:val="3"/>
          </w:tcPr>
          <w:p>
            <w:pPr>
              <w:jc w:val="right"/>
              <w:ind w:right="1040"/>
              <w:spacing w:after="0"/>
              <w:rPr>
                <w:sz w:val="20"/>
                <w:szCs w:val="20"/>
                <w:color w:val="auto"/>
              </w:rPr>
            </w:pPr>
            <w:r>
              <w:rPr>
                <w:rFonts w:ascii="Arial" w:cs="Arial" w:eastAsia="Arial" w:hAnsi="Arial"/>
                <w:sz w:val="14"/>
                <w:szCs w:val="14"/>
                <w:b w:val="1"/>
                <w:bCs w:val="1"/>
                <w:color w:val="auto"/>
              </w:rPr>
              <w:t>MARCH 26, 2017</w:t>
            </w:r>
          </w:p>
        </w:tc>
      </w:tr>
      <w:tr>
        <w:trPr>
          <w:trHeight w:val="264"/>
        </w:trPr>
        <w:tc>
          <w:tcPr>
            <w:tcW w:w="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U.S. GAAP</w:t>
            </w:r>
          </w:p>
        </w:tc>
        <w:tc>
          <w:tcPr>
            <w:tcW w:w="1740" w:type="dxa"/>
            <w:vAlign w:val="bottom"/>
            <w:gridSpan w:val="2"/>
          </w:tcPr>
          <w:p>
            <w:pPr>
              <w:ind w:left="340"/>
              <w:spacing w:after="0"/>
              <w:rPr>
                <w:sz w:val="20"/>
                <w:szCs w:val="20"/>
                <w:color w:val="auto"/>
              </w:rPr>
            </w:pPr>
            <w:r>
              <w:rPr>
                <w:rFonts w:ascii="Arial" w:cs="Arial" w:eastAsia="Arial" w:hAnsi="Arial"/>
                <w:sz w:val="14"/>
                <w:szCs w:val="14"/>
                <w:b w:val="1"/>
                <w:bCs w:val="1"/>
                <w:color w:val="auto"/>
              </w:rPr>
              <w:t>ADJUSTED (1)</w:t>
            </w: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U.S. GAAP</w:t>
            </w:r>
          </w:p>
        </w:tc>
        <w:tc>
          <w:tcPr>
            <w:tcW w:w="1640" w:type="dxa"/>
            <w:vAlign w:val="bottom"/>
          </w:tcPr>
          <w:p>
            <w:pPr>
              <w:jc w:val="right"/>
              <w:ind w:right="260"/>
              <w:spacing w:after="0"/>
              <w:rPr>
                <w:sz w:val="20"/>
                <w:szCs w:val="20"/>
                <w:color w:val="auto"/>
              </w:rPr>
            </w:pPr>
            <w:r>
              <w:rPr>
                <w:rFonts w:ascii="Arial" w:cs="Arial" w:eastAsia="Arial" w:hAnsi="Arial"/>
                <w:sz w:val="14"/>
                <w:szCs w:val="14"/>
                <w:b w:val="1"/>
                <w:bCs w:val="1"/>
                <w:color w:val="auto"/>
              </w:rPr>
              <w:t>ADJUSTED (2)</w:t>
            </w:r>
          </w:p>
        </w:tc>
      </w:tr>
      <w:tr>
        <w:trPr>
          <w:trHeight w:val="237"/>
        </w:trPr>
        <w:tc>
          <w:tcPr>
            <w:tcW w:w="20" w:type="dxa"/>
            <w:vAlign w:val="bottom"/>
          </w:tcPr>
          <w:p>
            <w:pPr>
              <w:spacing w:after="0"/>
              <w:rPr>
                <w:sz w:val="20"/>
                <w:szCs w:val="20"/>
                <w:color w:val="auto"/>
              </w:rPr>
            </w:pPr>
          </w:p>
        </w:tc>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 sales</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97"/>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w:t>
            </w:r>
          </w:p>
        </w:tc>
      </w:tr>
      <w:tr>
        <w:trPr>
          <w:trHeight w:val="237"/>
        </w:trPr>
        <w:tc>
          <w:tcPr>
            <w:tcW w:w="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6"/>
                <w:szCs w:val="16"/>
                <w:color w:val="auto"/>
              </w:rPr>
              <w:t>Labor and other related</w:t>
            </w:r>
          </w:p>
        </w:tc>
        <w:tc>
          <w:tcPr>
            <w:tcW w:w="162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28.4%</w:t>
            </w:r>
          </w:p>
        </w:tc>
      </w:tr>
      <w:tr>
        <w:trPr>
          <w:trHeight w:val="33"/>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restaurant operating</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w:t>
            </w:r>
          </w:p>
        </w:tc>
      </w:tr>
      <w:tr>
        <w:trPr>
          <w:trHeight w:val="297"/>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Restaurant-level operating margin</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193"/>
        </w:trPr>
        <w:tc>
          <w:tcPr>
            <w:tcW w:w="2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Arial" w:cs="Arial" w:eastAsia="Arial" w:hAnsi="Arial"/>
                <w:sz w:val="16"/>
                <w:szCs w:val="16"/>
                <w:color w:val="auto"/>
              </w:rPr>
              <w:t>_________________</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r>
    </w:tbl>
    <w:p>
      <w:pPr>
        <w:ind w:left="660" w:hanging="652"/>
        <w:spacing w:after="0" w:line="246"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adjustments of $0.8 million for gains on the disposal of certain surplus properties and the write-off of $0.2 million of deferred rent liabilities associated with our relocation program, recorded in Other restaurant operating.</w:t>
      </w:r>
    </w:p>
    <w:p>
      <w:pPr>
        <w:ind w:left="660" w:right="20" w:hanging="652"/>
        <w:spacing w:after="0" w:line="257"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adjustments for the write-off of $5.1 million of deferred rent liabilities, primarily associated with the Closure Initiatives, recorded in Other restaurant operating.</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income from operations, Adjusted net income and Adjusted diluted earnings per share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264"/>
        </w:trPr>
        <w:tc>
          <w:tcPr>
            <w:tcW w:w="804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240" w:type="dxa"/>
            <w:vAlign w:val="bottom"/>
          </w:tcPr>
          <w:p>
            <w:pPr>
              <w:spacing w:after="0"/>
              <w:rPr>
                <w:sz w:val="22"/>
                <w:szCs w:val="22"/>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1, 2018</w:t>
            </w:r>
          </w:p>
        </w:tc>
        <w:tc>
          <w:tcPr>
            <w:tcW w:w="200" w:type="dxa"/>
            <w:vAlign w:val="bottom"/>
          </w:tcPr>
          <w:p>
            <w:pPr>
              <w:spacing w:after="0"/>
              <w:rPr>
                <w:sz w:val="22"/>
                <w:szCs w:val="22"/>
                <w:color w:val="auto"/>
              </w:rPr>
            </w:pPr>
          </w:p>
        </w:tc>
        <w:tc>
          <w:tcPr>
            <w:tcW w:w="1440" w:type="dxa"/>
            <w:vAlign w:val="bottom"/>
          </w:tcPr>
          <w:p>
            <w:pPr>
              <w:jc w:val="right"/>
              <w:ind w:right="179"/>
              <w:spacing w:after="0"/>
              <w:rPr>
                <w:sz w:val="20"/>
                <w:szCs w:val="20"/>
                <w:color w:val="auto"/>
              </w:rPr>
            </w:pPr>
            <w:r>
              <w:rPr>
                <w:rFonts w:ascii="Arial" w:cs="Arial" w:eastAsia="Arial" w:hAnsi="Arial"/>
                <w:sz w:val="14"/>
                <w:szCs w:val="14"/>
                <w:b w:val="1"/>
                <w:bCs w:val="1"/>
                <w:color w:val="auto"/>
              </w:rPr>
              <w:t>MARCH 26, 2017</w:t>
            </w:r>
          </w:p>
        </w:tc>
        <w:tc>
          <w:tcPr>
            <w:tcW w:w="0" w:type="dxa"/>
            <w:vAlign w:val="bottom"/>
          </w:tcPr>
          <w:p>
            <w:pPr>
              <w:spacing w:after="0"/>
              <w:rPr>
                <w:sz w:val="1"/>
                <w:szCs w:val="1"/>
                <w:color w:val="auto"/>
              </w:rPr>
            </w:pPr>
          </w:p>
        </w:tc>
      </w:tr>
      <w:tr>
        <w:trPr>
          <w:trHeight w:val="237"/>
        </w:trPr>
        <w:tc>
          <w:tcPr>
            <w:tcW w:w="8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78,371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76,834</w:t>
            </w:r>
          </w:p>
        </w:tc>
        <w:tc>
          <w:tcPr>
            <w:tcW w:w="0" w:type="dxa"/>
            <w:vAlign w:val="bottom"/>
          </w:tcPr>
          <w:p>
            <w:pPr>
              <w:spacing w:after="0"/>
              <w:rPr>
                <w:sz w:val="1"/>
                <w:szCs w:val="1"/>
                <w:color w:val="auto"/>
              </w:rPr>
            </w:pPr>
          </w:p>
        </w:tc>
      </w:tr>
      <w:tr>
        <w:trPr>
          <w:trHeight w:val="237"/>
        </w:trPr>
        <w:tc>
          <w:tcPr>
            <w:tcW w:w="8040" w:type="dxa"/>
            <w:vAlign w:val="bottom"/>
          </w:tcPr>
          <w:p>
            <w:pPr>
              <w:ind w:left="180"/>
              <w:spacing w:after="0"/>
              <w:rPr>
                <w:sz w:val="20"/>
                <w:szCs w:val="20"/>
                <w:color w:val="auto"/>
              </w:rPr>
            </w:pPr>
            <w:r>
              <w:rPr>
                <w:rFonts w:ascii="Arial" w:cs="Arial" w:eastAsia="Arial" w:hAnsi="Arial"/>
                <w:sz w:val="16"/>
                <w:szCs w:val="16"/>
                <w:i w:val="1"/>
                <w:iCs w:val="1"/>
                <w:color w:val="auto"/>
              </w:rPr>
              <w:t>Operating income margin</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040" w:type="dxa"/>
            <w:vAlign w:val="bottom"/>
          </w:tcPr>
          <w:p>
            <w:pPr>
              <w:ind w:left="180"/>
              <w:spacing w:after="0"/>
              <w:rPr>
                <w:sz w:val="20"/>
                <w:szCs w:val="20"/>
                <w:color w:val="auto"/>
              </w:rPr>
            </w:pPr>
            <w:r>
              <w:rPr>
                <w:rFonts w:ascii="Arial" w:cs="Arial" w:eastAsia="Arial" w:hAnsi="Arial"/>
                <w:sz w:val="16"/>
                <w:szCs w:val="16"/>
                <w:color w:val="auto"/>
              </w:rPr>
              <w:t>Restaurant relocations and related costs (1)</w:t>
            </w:r>
          </w:p>
        </w:tc>
        <w:tc>
          <w:tcPr>
            <w:tcW w:w="240" w:type="dxa"/>
            <w:vAlign w:val="bottom"/>
          </w:tcPr>
          <w:p>
            <w:pPr>
              <w:spacing w:after="0"/>
              <w:rPr>
                <w:sz w:val="20"/>
                <w:szCs w:val="20"/>
                <w:color w:val="auto"/>
              </w:rPr>
            </w:pP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1,725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2,107</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Restaurant and asset impairments and closing costs (2)</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15,497</w:t>
            </w:r>
          </w:p>
        </w:tc>
        <w:tc>
          <w:tcPr>
            <w:tcW w:w="0" w:type="dxa"/>
            <w:vAlign w:val="bottom"/>
          </w:tcPr>
          <w:p>
            <w:pPr>
              <w:spacing w:after="0"/>
              <w:rPr>
                <w:sz w:val="1"/>
                <w:szCs w:val="1"/>
                <w:color w:val="auto"/>
              </w:rPr>
            </w:pPr>
          </w:p>
        </w:tc>
      </w:tr>
      <w:tr>
        <w:trPr>
          <w:trHeight w:val="237"/>
        </w:trPr>
        <w:tc>
          <w:tcPr>
            <w:tcW w:w="8040" w:type="dxa"/>
            <w:vAlign w:val="bottom"/>
          </w:tcPr>
          <w:p>
            <w:pPr>
              <w:ind w:left="180"/>
              <w:spacing w:after="0"/>
              <w:rPr>
                <w:sz w:val="20"/>
                <w:szCs w:val="20"/>
                <w:color w:val="auto"/>
              </w:rPr>
            </w:pPr>
            <w:r>
              <w:rPr>
                <w:rFonts w:ascii="Arial" w:cs="Arial" w:eastAsia="Arial" w:hAnsi="Arial"/>
                <w:sz w:val="16"/>
                <w:szCs w:val="16"/>
                <w:color w:val="auto"/>
              </w:rPr>
              <w:t>Severance (3)</w:t>
            </w:r>
          </w:p>
        </w:tc>
        <w:tc>
          <w:tcPr>
            <w:tcW w:w="240" w:type="dxa"/>
            <w:vAlign w:val="bottom"/>
          </w:tcPr>
          <w:p>
            <w:pPr>
              <w:spacing w:after="0"/>
              <w:rPr>
                <w:sz w:val="20"/>
                <w:szCs w:val="20"/>
                <w:color w:val="auto"/>
              </w:rPr>
            </w:pP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965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Legal and contingent matters</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040" w:type="dxa"/>
            <w:vAlign w:val="bottom"/>
          </w:tcPr>
          <w:p>
            <w:pPr>
              <w:ind w:left="180"/>
              <w:spacing w:after="0"/>
              <w:rPr>
                <w:sz w:val="20"/>
                <w:szCs w:val="20"/>
                <w:color w:val="auto"/>
              </w:rPr>
            </w:pPr>
            <w:r>
              <w:rPr>
                <w:rFonts w:ascii="Arial" w:cs="Arial" w:eastAsia="Arial" w:hAnsi="Arial"/>
                <w:sz w:val="16"/>
                <w:szCs w:val="16"/>
                <w:color w:val="auto"/>
              </w:rPr>
              <w:t>Transaction-related expenses</w:t>
            </w:r>
          </w:p>
        </w:tc>
        <w:tc>
          <w:tcPr>
            <w:tcW w:w="240" w:type="dxa"/>
            <w:vAlign w:val="bottom"/>
          </w:tcPr>
          <w:p>
            <w:pPr>
              <w:spacing w:after="0"/>
              <w:rPr>
                <w:sz w:val="23"/>
                <w:szCs w:val="23"/>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57"/>
        </w:trPr>
        <w:tc>
          <w:tcPr>
            <w:tcW w:w="8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income from operations adjustments</w:t>
            </w: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140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4,455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4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17,811</w:t>
            </w:r>
          </w:p>
        </w:tc>
        <w:tc>
          <w:tcPr>
            <w:tcW w:w="0" w:type="dxa"/>
            <w:vAlign w:val="bottom"/>
          </w:tcPr>
          <w:p>
            <w:pPr>
              <w:spacing w:after="0"/>
              <w:rPr>
                <w:sz w:val="1"/>
                <w:szCs w:val="1"/>
                <w:color w:val="auto"/>
              </w:rPr>
            </w:pPr>
          </w:p>
        </w:tc>
      </w:tr>
      <w:tr>
        <w:trPr>
          <w:trHeight w:val="270"/>
        </w:trPr>
        <w:tc>
          <w:tcPr>
            <w:tcW w:w="8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income from operations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82,826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94,645</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Adjusted operating income margin</w:t>
            </w: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97"/>
        </w:trPr>
        <w:tc>
          <w:tcPr>
            <w:tcW w:w="8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Bloomin’ Brands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65,398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48,625</w:t>
            </w:r>
          </w:p>
        </w:tc>
        <w:tc>
          <w:tcPr>
            <w:tcW w:w="0" w:type="dxa"/>
            <w:vAlign w:val="bottom"/>
          </w:tcPr>
          <w:p>
            <w:pPr>
              <w:spacing w:after="0"/>
              <w:rPr>
                <w:sz w:val="1"/>
                <w:szCs w:val="1"/>
                <w:color w:val="auto"/>
              </w:rPr>
            </w:pPr>
          </w:p>
        </w:tc>
      </w:tr>
      <w:tr>
        <w:trPr>
          <w:trHeight w:val="237"/>
        </w:trPr>
        <w:tc>
          <w:tcPr>
            <w:tcW w:w="804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from operations adjustments</w:t>
            </w:r>
          </w:p>
        </w:tc>
        <w:tc>
          <w:tcPr>
            <w:tcW w:w="24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4,455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17,811</w:t>
            </w:r>
          </w:p>
        </w:tc>
        <w:tc>
          <w:tcPr>
            <w:tcW w:w="0" w:type="dxa"/>
            <w:vAlign w:val="bottom"/>
          </w:tcPr>
          <w:p>
            <w:pPr>
              <w:spacing w:after="0"/>
              <w:rPr>
                <w:sz w:val="1"/>
                <w:szCs w:val="1"/>
                <w:color w:val="auto"/>
              </w:rPr>
            </w:pPr>
          </w:p>
        </w:tc>
      </w:tr>
      <w:tr>
        <w:trPr>
          <w:trHeight w:val="224"/>
        </w:trPr>
        <w:tc>
          <w:tcPr>
            <w:tcW w:w="8040" w:type="dxa"/>
            <w:vAlign w:val="bottom"/>
          </w:tcPr>
          <w:p>
            <w:pPr>
              <w:ind w:left="40"/>
              <w:spacing w:after="0"/>
              <w:rPr>
                <w:sz w:val="20"/>
                <w:szCs w:val="20"/>
                <w:color w:val="auto"/>
              </w:rPr>
            </w:pPr>
            <w:r>
              <w:rPr>
                <w:rFonts w:ascii="Arial" w:cs="Arial" w:eastAsia="Arial" w:hAnsi="Arial"/>
                <w:sz w:val="16"/>
                <w:szCs w:val="16"/>
                <w:color w:val="auto"/>
              </w:rPr>
              <w:t>Total adjustments, before income taxes</w:t>
            </w:r>
          </w:p>
        </w:tc>
        <w:tc>
          <w:tcPr>
            <w:tcW w:w="240" w:type="dxa"/>
            <w:vAlign w:val="bottom"/>
          </w:tcPr>
          <w:p>
            <w:pPr>
              <w:spacing w:after="0"/>
              <w:rPr>
                <w:sz w:val="19"/>
                <w:szCs w:val="19"/>
                <w:color w:val="auto"/>
              </w:rPr>
            </w:pP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4,455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17,811</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 to provision for income taxes (4)</w:t>
            </w:r>
          </w:p>
        </w:tc>
        <w:tc>
          <w:tcPr>
            <w:tcW w:w="24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(1,681)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(4,419)</w:t>
            </w:r>
          </w:p>
        </w:tc>
        <w:tc>
          <w:tcPr>
            <w:tcW w:w="0" w:type="dxa"/>
            <w:vAlign w:val="bottom"/>
          </w:tcPr>
          <w:p>
            <w:pPr>
              <w:spacing w:after="0"/>
              <w:rPr>
                <w:sz w:val="1"/>
                <w:szCs w:val="1"/>
                <w:color w:val="auto"/>
              </w:rPr>
            </w:pPr>
          </w:p>
        </w:tc>
      </w:tr>
      <w:tr>
        <w:trPr>
          <w:trHeight w:val="270"/>
        </w:trPr>
        <w:tc>
          <w:tcPr>
            <w:tcW w:w="8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adjustments</w:t>
            </w:r>
          </w:p>
        </w:tc>
        <w:tc>
          <w:tcPr>
            <w:tcW w:w="2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2,774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13,392</w:t>
            </w:r>
          </w:p>
        </w:tc>
        <w:tc>
          <w:tcPr>
            <w:tcW w:w="0" w:type="dxa"/>
            <w:vAlign w:val="bottom"/>
          </w:tcPr>
          <w:p>
            <w:pPr>
              <w:spacing w:after="0"/>
              <w:rPr>
                <w:sz w:val="1"/>
                <w:szCs w:val="1"/>
                <w:color w:val="auto"/>
              </w:rPr>
            </w:pPr>
          </w:p>
        </w:tc>
      </w:tr>
      <w:tr>
        <w:trPr>
          <w:trHeight w:val="244"/>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net income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68,172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62,017</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0.46</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diluted earnings per share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0.71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0.58</w:t>
            </w:r>
          </w:p>
        </w:tc>
        <w:tc>
          <w:tcPr>
            <w:tcW w:w="0" w:type="dxa"/>
            <w:vAlign w:val="bottom"/>
          </w:tcPr>
          <w:p>
            <w:pPr>
              <w:spacing w:after="0"/>
              <w:rPr>
                <w:sz w:val="1"/>
                <w:szCs w:val="1"/>
                <w:color w:val="auto"/>
              </w:rPr>
            </w:pPr>
          </w:p>
        </w:tc>
      </w:tr>
      <w:tr>
        <w:trPr>
          <w:trHeight w:val="284"/>
        </w:trPr>
        <w:tc>
          <w:tcPr>
            <w:tcW w:w="80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040" w:type="dxa"/>
            <w:vAlign w:val="bottom"/>
          </w:tcPr>
          <w:p>
            <w:pPr>
              <w:ind w:left="40"/>
              <w:spacing w:after="0"/>
              <w:rPr>
                <w:sz w:val="20"/>
                <w:szCs w:val="20"/>
                <w:color w:val="auto"/>
              </w:rPr>
            </w:pPr>
            <w:r>
              <w:rPr>
                <w:rFonts w:ascii="Arial" w:cs="Arial" w:eastAsia="Arial" w:hAnsi="Arial"/>
                <w:sz w:val="16"/>
                <w:szCs w:val="16"/>
                <w:color w:val="auto"/>
              </w:rPr>
              <w:t>Diluted weighted average common shares outstanding</w:t>
            </w: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95,782</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106,413</w:t>
            </w:r>
          </w:p>
        </w:tc>
        <w:tc>
          <w:tcPr>
            <w:tcW w:w="0" w:type="dxa"/>
            <w:vAlign w:val="bottom"/>
          </w:tcPr>
          <w:p>
            <w:pPr>
              <w:spacing w:after="0"/>
              <w:rPr>
                <w:sz w:val="1"/>
                <w:szCs w:val="1"/>
                <w:color w:val="auto"/>
              </w:rPr>
            </w:pPr>
          </w:p>
        </w:tc>
      </w:tr>
      <w:tr>
        <w:trPr>
          <w:trHeight w:val="20"/>
        </w:trPr>
        <w:tc>
          <w:tcPr>
            <w:tcW w:w="8040" w:type="dxa"/>
            <w:vAlign w:val="bottom"/>
            <w:vMerge w:val="restart"/>
          </w:tcPr>
          <w:p>
            <w:pPr>
              <w:spacing w:after="0"/>
              <w:rPr>
                <w:sz w:val="20"/>
                <w:szCs w:val="20"/>
                <w:color w:val="auto"/>
              </w:rPr>
            </w:pPr>
            <w:r>
              <w:rPr>
                <w:rFonts w:ascii="Arial" w:cs="Arial" w:eastAsia="Arial" w:hAnsi="Arial"/>
                <w:sz w:val="16"/>
                <w:szCs w:val="16"/>
                <w:color w:val="auto"/>
              </w:rPr>
              <w:t>_________________</w:t>
            </w: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0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Represents asset impairment charges and accelerated depreciation incurred in connection with our relocation program.</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Represents asset impairment charges and related costs primarily associated with approved closure and restructuring initiatives.</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Relates to severance expense incurred primarily as a result of restructuring.</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Represents income tax effect of the adjustments for the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LIQUIDITY</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Our liquidity sources consist of cash flow from our operations, cash and cash equivalents and credit capacity under our credit facilities. We expect to use cash primarily for general operating expenses, share repurchases and dividend payments, remodeling or relocating older restaurants, principal and interest payments on our debt, development of new restaurants and new markets, obligations related to our deferred compensation plans and investments in technology.</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believe that our expected liquidity sources are adequate to fund debt service requirements, lease obligations, capital expenditures and working capital obligations for at least the next 12 months. However, our ability to continue to meet these requirements and obligations will depend on, among other things, our ability to achieve anticipated levels of revenue and cash flow and our ability to manage costs and working capital successfully.</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2" w:right="239" w:bottom="1440" w:gutter="0" w:footer="0" w:header="0"/>
          <w:type w:val="continuous"/>
        </w:sectPr>
      </w:pPr>
    </w:p>
    <w:bookmarkStart w:id="41" w:name="page42"/>
    <w:bookmarkEnd w:id="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Cash and Cash Equivalents </w:t>
      </w:r>
      <w:r>
        <w:rPr>
          <w:rFonts w:ascii="Arial" w:cs="Arial" w:eastAsia="Arial" w:hAnsi="Arial"/>
          <w:sz w:val="20"/>
          <w:szCs w:val="20"/>
          <w:color w:val="auto"/>
        </w:rPr>
        <w:t>- As of April 1, 2018, we had $105.8 million in cash and cash equivalents, of which $36.0 million was held by</w:t>
      </w:r>
      <w:r>
        <w:rPr>
          <w:rFonts w:ascii="Arial" w:cs="Arial" w:eastAsia="Arial" w:hAnsi="Arial"/>
          <w:sz w:val="20"/>
          <w:szCs w:val="20"/>
          <w:i w:val="1"/>
          <w:iCs w:val="1"/>
          <w:color w:val="auto"/>
        </w:rPr>
        <w:t xml:space="preserve"> </w:t>
      </w:r>
      <w:r>
        <w:rPr>
          <w:rFonts w:ascii="Arial" w:cs="Arial" w:eastAsia="Arial" w:hAnsi="Arial"/>
          <w:sz w:val="20"/>
          <w:szCs w:val="20"/>
          <w:color w:val="auto"/>
        </w:rPr>
        <w:t>foreign affiliates. The international jurisdictions in which we have significant cash do not have any known restrictions that would prohibit the repatriation of cash and cash equivalents.</w:t>
      </w:r>
    </w:p>
    <w:p>
      <w:pPr>
        <w:spacing w:after="0" w:line="20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We previously considered the earnings in our non-U.S. subsidiaries to be indefinitely reinvested and, accordingly, recorded no deferred income taxes. Given the Tax Act’s significant changes and potential opportunities to repatriate cash free of U.S. federal tax, we continue to evaluate our current permanent reinvestment assertions. This evaluation includes the repatriation of historical earnings (2017 and prior) that have been previously taxed under the Tax Act. See Note 12 - </w:t>
      </w:r>
      <w:r>
        <w:rPr>
          <w:rFonts w:ascii="Arial" w:cs="Arial" w:eastAsia="Arial" w:hAnsi="Arial"/>
          <w:sz w:val="20"/>
          <w:szCs w:val="20"/>
          <w:i w:val="1"/>
          <w:iCs w:val="1"/>
          <w:color w:val="auto"/>
        </w:rPr>
        <w:t>Income Taxes</w:t>
      </w:r>
      <w:r>
        <w:rPr>
          <w:rFonts w:ascii="Arial" w:cs="Arial" w:eastAsia="Arial" w:hAnsi="Arial"/>
          <w:sz w:val="20"/>
          <w:szCs w:val="20"/>
          <w:color w:val="auto"/>
        </w:rPr>
        <w:t xml:space="preserve"> of the Notes to Consolidated Financial Statements for further information regarding the Tax Act.</w:t>
      </w:r>
    </w:p>
    <w:p>
      <w:pPr>
        <w:spacing w:after="0" w:line="2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As of April 1, 2018, we had aggregate undistributed accumulated and current earnings and profits from foreign subsidiaries of approximately $138.0 million, which is considered previously taxed income subsequent to the Tax Act. We currently consider the remaining financial statement carrying amounts over the tax basis of our investments in our foreign subsidiaries to be indefinitely reinvested and have not recorded a deferred tax liability. The determination of any unrecorded deferred tax liability on this amount is not practicable due to the uncertainty of how these investments would be recovered.</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 xml:space="preserve">Restructuring </w:t>
      </w:r>
      <w:r>
        <w:rPr>
          <w:rFonts w:ascii="Arial" w:cs="Arial" w:eastAsia="Arial" w:hAnsi="Arial"/>
          <w:sz w:val="19"/>
          <w:szCs w:val="19"/>
          <w:color w:val="auto"/>
        </w:rPr>
        <w:t>- Total aggregate future undiscounted cash expenditures of $22.2 million to $29.0 million for the Closure Initiatives, primarily</w:t>
      </w:r>
      <w:r>
        <w:rPr>
          <w:rFonts w:ascii="Arial" w:cs="Arial" w:eastAsia="Arial" w:hAnsi="Arial"/>
          <w:sz w:val="19"/>
          <w:szCs w:val="19"/>
          <w:i w:val="1"/>
          <w:iCs w:val="1"/>
          <w:color w:val="auto"/>
        </w:rPr>
        <w:t xml:space="preserve"> </w:t>
      </w:r>
      <w:r>
        <w:rPr>
          <w:rFonts w:ascii="Arial" w:cs="Arial" w:eastAsia="Arial" w:hAnsi="Arial"/>
          <w:sz w:val="19"/>
          <w:szCs w:val="19"/>
          <w:color w:val="auto"/>
        </w:rPr>
        <w:t>related to lease liabilities, are expected to occur over the remaining lease terms with the final term ending in January 2029.</w:t>
      </w:r>
    </w:p>
    <w:p>
      <w:pPr>
        <w:spacing w:after="0" w:line="16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Capital Expenditures </w:t>
      </w:r>
      <w:r>
        <w:rPr>
          <w:rFonts w:ascii="Arial" w:cs="Arial" w:eastAsia="Arial" w:hAnsi="Arial"/>
          <w:sz w:val="20"/>
          <w:szCs w:val="20"/>
          <w:color w:val="auto"/>
        </w:rPr>
        <w:t>- We estimate that our capital expenditures will total approximately $200.0 million in 2018. The amount of actual capital</w:t>
      </w:r>
      <w:r>
        <w:rPr>
          <w:rFonts w:ascii="Arial" w:cs="Arial" w:eastAsia="Arial" w:hAnsi="Arial"/>
          <w:sz w:val="20"/>
          <w:szCs w:val="20"/>
          <w:i w:val="1"/>
          <w:iCs w:val="1"/>
          <w:color w:val="auto"/>
        </w:rPr>
        <w:t xml:space="preserve"> </w:t>
      </w:r>
      <w:r>
        <w:rPr>
          <w:rFonts w:ascii="Arial" w:cs="Arial" w:eastAsia="Arial" w:hAnsi="Arial"/>
          <w:sz w:val="20"/>
          <w:szCs w:val="20"/>
          <w:color w:val="auto"/>
        </w:rPr>
        <w:t>expenditures may be affected by general economic, financial, competitive, legislative and regulatory factors, among other things, including restrictions imposed by our borrowing arrangements.</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Credit Facilities </w:t>
      </w:r>
      <w:r>
        <w:rPr>
          <w:rFonts w:ascii="Arial" w:cs="Arial" w:eastAsia="Arial" w:hAnsi="Arial"/>
          <w:sz w:val="20"/>
          <w:szCs w:val="20"/>
          <w:color w:val="auto"/>
        </w:rPr>
        <w:t>- As of April 1, 2018, we had $1.1 billion of outstanding borrowings under our Senior Secured Credit Facility. Following is a</w:t>
      </w:r>
      <w:r>
        <w:rPr>
          <w:rFonts w:ascii="Arial" w:cs="Arial" w:eastAsia="Arial" w:hAnsi="Arial"/>
          <w:sz w:val="20"/>
          <w:szCs w:val="20"/>
          <w:i w:val="1"/>
          <w:iCs w:val="1"/>
          <w:color w:val="auto"/>
        </w:rPr>
        <w:t xml:space="preserve"> </w:t>
      </w:r>
      <w:r>
        <w:rPr>
          <w:rFonts w:ascii="Arial" w:cs="Arial" w:eastAsia="Arial" w:hAnsi="Arial"/>
          <w:sz w:val="20"/>
          <w:szCs w:val="20"/>
          <w:color w:val="auto"/>
        </w:rPr>
        <w:t>summary of principal payments and debt issuance from December 31, 2017 to April 1, 2018: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40" w:type="dxa"/>
            <w:vAlign w:val="bottom"/>
            <w:gridSpan w:val="5"/>
          </w:tcPr>
          <w:p>
            <w:pPr>
              <w:ind w:left="260"/>
              <w:spacing w:after="0"/>
              <w:rPr>
                <w:sz w:val="20"/>
                <w:szCs w:val="20"/>
                <w:color w:val="auto"/>
              </w:rPr>
            </w:pPr>
            <w:r>
              <w:rPr>
                <w:rFonts w:ascii="Arial" w:cs="Arial" w:eastAsia="Arial" w:hAnsi="Arial"/>
                <w:sz w:val="14"/>
                <w:szCs w:val="14"/>
                <w:b w:val="1"/>
                <w:bCs w:val="1"/>
                <w:color w:val="auto"/>
              </w:rPr>
              <w:t>SENIOR SECURED CREDIT FACILITY</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328"/>
        </w:trPr>
        <w:tc>
          <w:tcPr>
            <w:tcW w:w="65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1"/>
              <w:spacing w:after="0"/>
              <w:rPr>
                <w:sz w:val="20"/>
                <w:szCs w:val="20"/>
                <w:color w:val="auto"/>
              </w:rPr>
            </w:pPr>
            <w:r>
              <w:rPr>
                <w:rFonts w:ascii="Arial" w:cs="Arial" w:eastAsia="Arial" w:hAnsi="Arial"/>
                <w:sz w:val="14"/>
                <w:szCs w:val="14"/>
                <w:b w:val="1"/>
                <w:bCs w:val="1"/>
                <w:color w:val="auto"/>
              </w:rPr>
              <w:t>TOTAL CREDIT</w:t>
            </w:r>
          </w:p>
        </w:tc>
      </w:tr>
      <w:tr>
        <w:trPr>
          <w:trHeight w:val="205"/>
        </w:trPr>
        <w:tc>
          <w:tcPr>
            <w:tcW w:w="65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7"/>
                <w:szCs w:val="17"/>
                <w:color w:val="auto"/>
              </w:rPr>
            </w:pPr>
          </w:p>
        </w:tc>
        <w:tc>
          <w:tcPr>
            <w:tcW w:w="1620" w:type="dxa"/>
            <w:vAlign w:val="bottom"/>
            <w:gridSpan w:val="2"/>
          </w:tcPr>
          <w:p>
            <w:pPr>
              <w:ind w:left="140"/>
              <w:spacing w:after="0"/>
              <w:rPr>
                <w:sz w:val="20"/>
                <w:szCs w:val="20"/>
                <w:color w:val="auto"/>
              </w:rPr>
            </w:pPr>
            <w:r>
              <w:rPr>
                <w:rFonts w:ascii="Arial" w:cs="Arial" w:eastAsia="Arial" w:hAnsi="Arial"/>
                <w:sz w:val="14"/>
                <w:szCs w:val="14"/>
                <w:b w:val="1"/>
                <w:bCs w:val="1"/>
                <w:color w:val="auto"/>
              </w:rPr>
              <w:t>TERM LOAN A</w:t>
            </w:r>
          </w:p>
        </w:tc>
        <w:tc>
          <w:tcPr>
            <w:tcW w:w="1820" w:type="dxa"/>
            <w:vAlign w:val="bottom"/>
            <w:gridSpan w:val="3"/>
          </w:tcPr>
          <w:p>
            <w:pPr>
              <w:ind w:left="60"/>
              <w:spacing w:after="0"/>
              <w:rPr>
                <w:sz w:val="20"/>
                <w:szCs w:val="20"/>
                <w:color w:val="auto"/>
              </w:rPr>
            </w:pPr>
            <w:r>
              <w:rPr>
                <w:rFonts w:ascii="Arial" w:cs="Arial" w:eastAsia="Arial" w:hAnsi="Arial"/>
                <w:sz w:val="14"/>
                <w:szCs w:val="14"/>
                <w:b w:val="1"/>
                <w:bCs w:val="1"/>
                <w:color w:val="auto"/>
              </w:rPr>
              <w:t>REVOLVING FACILITY</w:t>
            </w:r>
          </w:p>
        </w:tc>
        <w:tc>
          <w:tcPr>
            <w:tcW w:w="160" w:type="dxa"/>
            <w:vAlign w:val="bottom"/>
          </w:tcPr>
          <w:p>
            <w:pPr>
              <w:spacing w:after="0"/>
              <w:rPr>
                <w:sz w:val="17"/>
                <w:szCs w:val="17"/>
                <w:color w:val="auto"/>
              </w:rPr>
            </w:pPr>
          </w:p>
        </w:tc>
        <w:tc>
          <w:tcPr>
            <w:tcW w:w="1080" w:type="dxa"/>
            <w:vAlign w:val="bottom"/>
          </w:tcPr>
          <w:p>
            <w:pPr>
              <w:jc w:val="right"/>
              <w:ind w:right="141"/>
              <w:spacing w:after="0"/>
              <w:rPr>
                <w:sz w:val="20"/>
                <w:szCs w:val="20"/>
                <w:color w:val="auto"/>
              </w:rPr>
            </w:pPr>
            <w:r>
              <w:rPr>
                <w:rFonts w:ascii="Arial" w:cs="Arial" w:eastAsia="Arial" w:hAnsi="Arial"/>
                <w:sz w:val="14"/>
                <w:szCs w:val="14"/>
                <w:b w:val="1"/>
                <w:bCs w:val="1"/>
                <w:color w:val="auto"/>
              </w:rPr>
              <w:t>FACILITIES</w:t>
            </w:r>
          </w:p>
        </w:tc>
      </w:tr>
      <w:tr>
        <w:trPr>
          <w:trHeight w:val="237"/>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2017</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500,000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1,100,000</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2018 new debt</w:t>
            </w:r>
          </w:p>
        </w:tc>
        <w:tc>
          <w:tcPr>
            <w:tcW w:w="22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153,000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153,000</w:t>
            </w:r>
          </w:p>
        </w:tc>
      </w:tr>
      <w:tr>
        <w:trPr>
          <w:trHeight w:val="33"/>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 payments</w:t>
            </w:r>
          </w:p>
        </w:tc>
        <w:tc>
          <w:tcPr>
            <w:tcW w:w="22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(6,250)</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(122,000)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(128,250)</w:t>
            </w: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color w:val="auto"/>
              </w:rPr>
              <w:t>Balance as of April 1, 2018</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493,750</w:t>
            </w:r>
          </w:p>
        </w:tc>
        <w:tc>
          <w:tcPr>
            <w:tcW w:w="120" w:type="dxa"/>
            <w:vAlign w:val="bottom"/>
          </w:tcPr>
          <w:p>
            <w:pPr>
              <w:spacing w:after="0"/>
              <w:rPr>
                <w:sz w:val="21"/>
                <w:szCs w:val="21"/>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631,000</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1,124,750</w:t>
            </w: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We continue to evaluate whether we will make further payments of our outstanding debt ahead of scheduled maturities. Following is a summary of our outstanding credit facilities as of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40" w:type="dxa"/>
            <w:vAlign w:val="bottom"/>
          </w:tcPr>
          <w:p>
            <w:pPr>
              <w:spacing w:after="0"/>
              <w:rPr>
                <w:sz w:val="17"/>
                <w:szCs w:val="17"/>
                <w:color w:val="auto"/>
              </w:rPr>
            </w:pPr>
          </w:p>
        </w:tc>
        <w:tc>
          <w:tcPr>
            <w:tcW w:w="17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INTEREST RATE</w:t>
            </w:r>
          </w:p>
        </w:tc>
        <w:tc>
          <w:tcPr>
            <w:tcW w:w="240" w:type="dxa"/>
            <w:vAlign w:val="bottom"/>
          </w:tcPr>
          <w:p>
            <w:pPr>
              <w:spacing w:after="0"/>
              <w:rPr>
                <w:sz w:val="17"/>
                <w:szCs w:val="17"/>
                <w:color w:val="auto"/>
              </w:rPr>
            </w:pPr>
          </w:p>
        </w:tc>
        <w:tc>
          <w:tcPr>
            <w:tcW w:w="1240" w:type="dxa"/>
            <w:vAlign w:val="bottom"/>
            <w:vMerge w:val="restart"/>
          </w:tcPr>
          <w:p>
            <w:pPr>
              <w:jc w:val="right"/>
              <w:ind w:right="283"/>
              <w:spacing w:after="0"/>
              <w:rPr>
                <w:sz w:val="20"/>
                <w:szCs w:val="20"/>
                <w:color w:val="auto"/>
              </w:rPr>
            </w:pPr>
            <w:r>
              <w:rPr>
                <w:rFonts w:ascii="Arial" w:cs="Arial" w:eastAsia="Arial" w:hAnsi="Arial"/>
                <w:sz w:val="14"/>
                <w:szCs w:val="14"/>
                <w:b w:val="1"/>
                <w:bCs w:val="1"/>
                <w:color w:val="auto"/>
              </w:rPr>
              <w:t>ORIGINAL</w:t>
            </w:r>
          </w:p>
        </w:tc>
        <w:tc>
          <w:tcPr>
            <w:tcW w:w="100" w:type="dxa"/>
            <w:vAlign w:val="bottom"/>
          </w:tcPr>
          <w:p>
            <w:pPr>
              <w:spacing w:after="0"/>
              <w:rPr>
                <w:sz w:val="17"/>
                <w:szCs w:val="17"/>
                <w:color w:val="auto"/>
              </w:rPr>
            </w:pP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PRINCIPAL</w:t>
            </w:r>
          </w:p>
        </w:tc>
        <w:tc>
          <w:tcPr>
            <w:tcW w:w="1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OUTSTANDING</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3540" w:type="dxa"/>
            <w:vAlign w:val="bottom"/>
          </w:tcPr>
          <w:p>
            <w:pPr>
              <w:spacing w:after="0"/>
              <w:rPr>
                <w:sz w:val="5"/>
                <w:szCs w:val="5"/>
                <w:color w:val="auto"/>
              </w:rPr>
            </w:pPr>
          </w:p>
        </w:tc>
        <w:tc>
          <w:tcPr>
            <w:tcW w:w="17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7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6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APRIL 1, 2018 (1)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FACILITY</w:t>
            </w: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MATURITY DATE</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w w:val="99"/>
              </w:rPr>
              <w:t>APRIL 1, 2018</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Term loan A</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500,000</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November 2022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493,750</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Revolving credit facility</w:t>
            </w: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3.53%</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1,000,000</w:t>
            </w:r>
          </w:p>
        </w:tc>
        <w:tc>
          <w:tcPr>
            <w:tcW w:w="100" w:type="dxa"/>
            <w:vAlign w:val="bottom"/>
            <w:tcBorders>
              <w:bottom w:val="single" w:sz="8" w:color="CCEEFF"/>
            </w:tcBorders>
          </w:tcPr>
          <w:p>
            <w:pPr>
              <w:spacing w:after="0"/>
              <w:rPr>
                <w:sz w:val="23"/>
                <w:szCs w:val="23"/>
                <w:color w:val="auto"/>
              </w:rPr>
            </w:pPr>
          </w:p>
        </w:tc>
        <w:tc>
          <w:tcPr>
            <w:tcW w:w="17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93"/>
              </w:rPr>
              <w:t>November 2022</w:t>
            </w: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631,000</w:t>
            </w:r>
          </w:p>
        </w:tc>
        <w:tc>
          <w:tcPr>
            <w:tcW w:w="10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600,000</w:t>
            </w: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Senior secured credit facility</w:t>
            </w: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1,500,000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1,124,750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5"/>
              </w:rPr>
              <w:t>1,100,000</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54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Represents the weighted-average interest rate.</w:t>
      </w:r>
    </w:p>
    <w:p>
      <w:pPr>
        <w:spacing w:after="0" w:line="214" w:lineRule="exact"/>
        <w:rPr>
          <w:sz w:val="20"/>
          <w:szCs w:val="20"/>
          <w:color w:val="auto"/>
        </w:rPr>
      </w:pPr>
    </w:p>
    <w:p>
      <w:pPr>
        <w:spacing w:after="0" w:line="260" w:lineRule="auto"/>
        <w:rPr>
          <w:sz w:val="20"/>
          <w:szCs w:val="20"/>
          <w:color w:val="auto"/>
        </w:rPr>
      </w:pPr>
      <w:r>
        <w:rPr>
          <w:rFonts w:ascii="Arial" w:cs="Arial" w:eastAsia="Arial" w:hAnsi="Arial"/>
          <w:sz w:val="20"/>
          <w:szCs w:val="20"/>
          <w:i w:val="1"/>
          <w:iCs w:val="1"/>
          <w:color w:val="auto"/>
        </w:rPr>
        <w:t xml:space="preserve">Credit Agreement </w:t>
      </w:r>
      <w:r>
        <w:rPr>
          <w:rFonts w:ascii="Arial" w:cs="Arial" w:eastAsia="Arial" w:hAnsi="Arial"/>
          <w:sz w:val="20"/>
          <w:szCs w:val="20"/>
          <w:color w:val="auto"/>
        </w:rPr>
        <w:t>- As of April 1, 2018, we had $345.5 million in available unused borrowing capacity under our revolving credit facility, net</w:t>
      </w:r>
      <w:r>
        <w:rPr>
          <w:rFonts w:ascii="Arial" w:cs="Arial" w:eastAsia="Arial" w:hAnsi="Arial"/>
          <w:sz w:val="20"/>
          <w:szCs w:val="20"/>
          <w:i w:val="1"/>
          <w:iCs w:val="1"/>
          <w:color w:val="auto"/>
        </w:rPr>
        <w:t xml:space="preserve"> </w:t>
      </w:r>
      <w:r>
        <w:rPr>
          <w:rFonts w:ascii="Arial" w:cs="Arial" w:eastAsia="Arial" w:hAnsi="Arial"/>
          <w:sz w:val="20"/>
          <w:szCs w:val="20"/>
          <w:color w:val="auto"/>
        </w:rPr>
        <w:t>of letters of credit of $23.5 million.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Credit Agreement contains term loan mandatory prepayment requirements of 50% of our annual excess cash flow, as defined in the Credit Agreement. The amount outstanding required to be prepaid may vary based on our leverage ratio and year end results. Other than the required minimum amortization premiums of $25.0 million, we do not anticipate any other payments will be required through March 31, 2019.</w:t>
      </w:r>
    </w:p>
    <w:p>
      <w:pPr>
        <w:spacing w:after="0" w:line="15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Debt Covenants </w:t>
      </w:r>
      <w:r>
        <w:rPr>
          <w:rFonts w:ascii="Arial" w:cs="Arial" w:eastAsia="Arial" w:hAnsi="Arial"/>
          <w:sz w:val="20"/>
          <w:szCs w:val="20"/>
          <w:color w:val="auto"/>
        </w:rPr>
        <w:t>- Our Credit Agreement contains various financial and non-financial covenants. A violation of these covenants could</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negatively impact our liquidity by restricting our ability to borrow under the revolving credit facility and cause an acceleration of the amounts due under the credit facilities. See Note 12 - </w:t>
      </w:r>
      <w:r>
        <w:rPr>
          <w:rFonts w:ascii="Arial" w:cs="Arial" w:eastAsia="Arial" w:hAnsi="Arial"/>
          <w:sz w:val="20"/>
          <w:szCs w:val="20"/>
          <w:i w:val="1"/>
          <w:iCs w:val="1"/>
          <w:color w:val="auto"/>
        </w:rPr>
        <w:t>Long-term Debt, Net</w:t>
      </w:r>
      <w:r>
        <w:rPr>
          <w:rFonts w:ascii="Arial" w:cs="Arial" w:eastAsia="Arial" w:hAnsi="Arial"/>
          <w:sz w:val="20"/>
          <w:szCs w:val="20"/>
          <w:color w:val="auto"/>
        </w:rPr>
        <w:t xml:space="preserve"> in our Annual Report on Form 10-K for the year ended December 31, 2017 for further information.</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April 1, 2018 and December 31, 2017, we were in compliance with our debt covenants. We believe that we will remain in compliance with our debt covenants during the next 12 months.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SUMMARY OF CASH FLOWS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presents a summary of our cash flows provided by (used in) operating, investing and financing activities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4"/>
                <w:szCs w:val="14"/>
                <w:b w:val="1"/>
                <w:bCs w:val="1"/>
                <w:color w:val="auto"/>
              </w:rPr>
              <w:t>THIRTEEN WEEKS ENDED</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22"/>
                <w:szCs w:val="22"/>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1, 2018</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26, 2017</w:t>
            </w:r>
          </w:p>
        </w:tc>
      </w:tr>
      <w:tr>
        <w:trPr>
          <w:trHeight w:val="237"/>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Net cash provided by operating activities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51,535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136,198</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(46,210)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(20,581)</w:t>
            </w:r>
          </w:p>
        </w:tc>
      </w:tr>
      <w:tr>
        <w:trPr>
          <w:trHeight w:val="3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Net cash used in 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(154,355)</w:t>
            </w:r>
          </w:p>
        </w:tc>
      </w:tr>
      <w:tr>
        <w:trPr>
          <w:trHeight w:val="270"/>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1,740</w:t>
            </w: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 cash, cash equivalents and restricted cash</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(36,998)</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 Net cash provided by operating activities decreased during the thirteen weeks ended April 1, 2018, as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thirteen weeks ended March 26, 2017 primarily due to decreases from: (i) the amount and timing of collections of gift card receivables, (ii) an increase in incentive compensation payments and (iii) timing of payments. These decreases were partially offset by lower income tax payments.</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Investing activities - </w:t>
      </w:r>
      <w:r>
        <w:rPr>
          <w:rFonts w:ascii="Arial" w:cs="Arial" w:eastAsia="Arial" w:hAnsi="Arial"/>
          <w:sz w:val="19"/>
          <w:szCs w:val="19"/>
          <w:color w:val="auto"/>
        </w:rPr>
        <w:t>Net cash used in investing activities for the thirteen weeks ended April 1, 2018 consisted of capital expenditures.</w:t>
      </w:r>
    </w:p>
    <w:p>
      <w:pPr>
        <w:spacing w:after="0" w:line="24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Net cash used in investing activities for the thirteen weeks ended March 26, 2017 consisted primarily of capital expenditures, partially offset by proceeds from sale-leaseback transactions.</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i w:val="1"/>
          <w:iCs w:val="1"/>
          <w:color w:val="auto"/>
        </w:rPr>
        <w:t xml:space="preserve">Financing activities - </w:t>
      </w:r>
      <w:r>
        <w:rPr>
          <w:rFonts w:ascii="Arial" w:cs="Arial" w:eastAsia="Arial" w:hAnsi="Arial"/>
          <w:sz w:val="18"/>
          <w:szCs w:val="18"/>
          <w:color w:val="auto"/>
        </w:rPr>
        <w:t>Net cash used in financing activities for the thirteen weeks ended April 1, 2018 was primarily attributable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(i) the repurchase of common stock, (ii) payment of cash dividends on our common stock, (iii) the repayment of long-term debt and</w:t>
      </w:r>
    </w:p>
    <w:p>
      <w:pPr>
        <w:spacing w:after="0" w:line="1" w:lineRule="exact"/>
        <w:rPr>
          <w:sz w:val="20"/>
          <w:szCs w:val="20"/>
          <w:color w:val="auto"/>
        </w:rPr>
      </w:pPr>
    </w:p>
    <w:p>
      <w:pPr>
        <w:ind w:right="20" w:firstLine="8"/>
        <w:spacing w:after="0" w:line="244" w:lineRule="auto"/>
        <w:tabs>
          <w:tab w:leader="none" w:pos="341" w:val="left"/>
        </w:tabs>
        <w:numPr>
          <w:ilvl w:val="0"/>
          <w:numId w:val="51"/>
        </w:numPr>
        <w:rPr>
          <w:rFonts w:ascii="Arial" w:cs="Arial" w:eastAsia="Arial" w:hAnsi="Arial"/>
          <w:sz w:val="20"/>
          <w:szCs w:val="20"/>
          <w:color w:val="auto"/>
        </w:rPr>
      </w:pPr>
      <w:r>
        <w:rPr>
          <w:rFonts w:ascii="Arial" w:cs="Arial" w:eastAsia="Arial" w:hAnsi="Arial"/>
          <w:sz w:val="20"/>
          <w:szCs w:val="20"/>
          <w:color w:val="auto"/>
        </w:rPr>
        <w:t>repayments of partner deposits and accrued partner obligations. Net cash used in financing activities was partially offset by drawdowns on our revolving credit facility, net of repayments and proceeds from the exercise of stock options.</w:t>
      </w:r>
    </w:p>
    <w:p>
      <w:pPr>
        <w:spacing w:after="0" w:line="20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Net cash used in financing activities for the thirteen weeks ended March 26, 2017 was primarily attributable to the following: (i) the repurchase of common stock, (ii) payments on our revolving credit facility, net of drawdowns, (iii) repayments on our PRP Mortgage loan, (iv) payment of cash dividends on our common stock and (v) repayments of partner deposits and accrued partner obligations. Net cash used in financing activities was partially offset by proceeds by proceeds from the sale of certain properties, which are considered financing obligations.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our current assets, current liabilities and working capital (deficit):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7"/>
                <w:szCs w:val="17"/>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1, 2018</w:t>
            </w: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2017</w:t>
            </w:r>
          </w:p>
        </w:tc>
      </w:tr>
      <w:tr>
        <w:trPr>
          <w:trHeight w:val="237"/>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271,291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360,209</w:t>
            </w:r>
          </w:p>
        </w:tc>
      </w:tr>
      <w:tr>
        <w:trPr>
          <w:trHeight w:val="270"/>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Current liabilities</w:t>
            </w: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667,380</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813,392</w:t>
            </w: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Working capital (deficit)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(396,089)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(453,183)</w:t>
            </w: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Working capital (deficit) includes Unearned revenue primarily from unredeemed gift cards of $235.7 million and $330.8 million as of April 1, 2018 and December 31, 2017, respectively. We have, and in the future may continue to have, negative working capital balances (as is common for many restaurant companies). We operate successfully with negative working capital because cash collected on restaurant sales is typically received before payment is due on our current liabilities, and our inventory turnover rates require relatively low investment in inventories. Additionally, ongoing cash flows from restaurant operations and gift card sales are used to service debt obligations and to make capital expenditures.</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Deferred Compensation Programs - </w:t>
      </w:r>
      <w:r>
        <w:rPr>
          <w:rFonts w:ascii="Arial" w:cs="Arial" w:eastAsia="Arial" w:hAnsi="Arial"/>
          <w:sz w:val="20"/>
          <w:szCs w:val="20"/>
          <w:color w:val="auto"/>
        </w:rPr>
        <w:t>The deferred compensation obligation due to managing and chef partners was $88.2 million and $96.3</w:t>
      </w:r>
      <w:r>
        <w:rPr>
          <w:rFonts w:ascii="Arial" w:cs="Arial" w:eastAsia="Arial" w:hAnsi="Arial"/>
          <w:sz w:val="20"/>
          <w:szCs w:val="20"/>
          <w:i w:val="1"/>
          <w:iCs w:val="1"/>
          <w:color w:val="auto"/>
        </w:rPr>
        <w:t xml:space="preserve"> </w:t>
      </w:r>
      <w:r>
        <w:rPr>
          <w:rFonts w:ascii="Arial" w:cs="Arial" w:eastAsia="Arial" w:hAnsi="Arial"/>
          <w:sz w:val="20"/>
          <w:szCs w:val="20"/>
          <w:color w:val="auto"/>
        </w:rPr>
        <w:t>million as of April 1, 2018 and December 31, 2017, respectively. We invest in various corporate-owned life insurance policies, which are held within an irrevocable grantor or “rabbi” trust account for settlement of our obligations under the deferred compensation plans. The rabbi trust is funded through our voluntary contributions. The unfunded obligation for managing and chef partners’ deferred compensation was $28.6 million as of April 1, 2018.</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use capital to fund the deferred compensation plans and currently expect annual cash funding of $13.0 million to $15.0 million. Actual funding of the deferred compensation obligations and future funding requirements may vary significantly depending on the actual performance compared to targets, timing of deferred payments of partner contracts, forfeiture rates, number of partner participants, growth of partner investments and our funding strategy.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DIVIDENDS AND SHARE REPURCHASES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Dividends </w:t>
      </w:r>
      <w:r>
        <w:rPr>
          <w:rFonts w:ascii="Arial" w:cs="Arial" w:eastAsia="Arial" w:hAnsi="Arial"/>
          <w:sz w:val="20"/>
          <w:szCs w:val="20"/>
          <w:color w:val="auto"/>
        </w:rPr>
        <w:t>- In April 2018, the Board declared a quarterly cash dividend of $0.09 per share, payable on May 18, 2018. Future dividend</w:t>
      </w:r>
      <w:r>
        <w:rPr>
          <w:rFonts w:ascii="Arial" w:cs="Arial" w:eastAsia="Arial" w:hAnsi="Arial"/>
          <w:sz w:val="20"/>
          <w:szCs w:val="20"/>
          <w:i w:val="1"/>
          <w:iCs w:val="1"/>
          <w:color w:val="auto"/>
        </w:rPr>
        <w:t xml:space="preserve"> </w:t>
      </w:r>
      <w:r>
        <w:rPr>
          <w:rFonts w:ascii="Arial" w:cs="Arial" w:eastAsia="Arial" w:hAnsi="Arial"/>
          <w:sz w:val="20"/>
          <w:szCs w:val="20"/>
          <w:color w:val="auto"/>
        </w:rPr>
        <w:t>payments are dependent on our earnings, financial condition, capital expenditure requirements, surplus and other factors that the Board considers relevant.</w:t>
      </w:r>
    </w:p>
    <w:p>
      <w:pPr>
        <w:spacing w:after="0" w:line="20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 On February 16, 2018, our Board canceled the remaining $55.0 million of authorization under the 2017 Share Repurchase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and approved a new $150.0 million authorization. The 2018 Share Repurchase Program will expire on August 16, 2019.</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our dividends and share repurchases from December 29, 2014 through April 1, 2018:</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4"/>
          </w:tcPr>
          <w:p>
            <w:pPr>
              <w:jc w:val="center"/>
              <w:ind w:right="162"/>
              <w:spacing w:after="0"/>
              <w:rPr>
                <w:sz w:val="20"/>
                <w:szCs w:val="20"/>
                <w:color w:val="auto"/>
              </w:rPr>
            </w:pPr>
            <w:r>
              <w:rPr>
                <w:rFonts w:ascii="Arial" w:cs="Arial" w:eastAsia="Arial" w:hAnsi="Arial"/>
                <w:sz w:val="14"/>
                <w:szCs w:val="14"/>
                <w:b w:val="1"/>
                <w:bCs w:val="1"/>
                <w:color w:val="auto"/>
                <w:w w:val="99"/>
              </w:rPr>
              <w:t>SHARE REPURCHASES</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REPURCHASE</w:t>
            </w:r>
          </w:p>
        </w:tc>
        <w:tc>
          <w:tcPr>
            <w:tcW w:w="140" w:type="dxa"/>
            <w:vAlign w:val="bottom"/>
          </w:tcPr>
          <w:p>
            <w:pPr>
              <w:spacing w:after="0"/>
              <w:rPr>
                <w:sz w:val="13"/>
                <w:szCs w:val="13"/>
                <w:color w:val="auto"/>
              </w:rPr>
            </w:pPr>
          </w:p>
        </w:tc>
        <w:tc>
          <w:tcPr>
            <w:tcW w:w="20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SETTLEMENT OF TAXES</w:t>
            </w:r>
          </w:p>
        </w:tc>
        <w:tc>
          <w:tcPr>
            <w:tcW w:w="3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RELATED TO EQUITY</w:t>
            </w:r>
          </w:p>
        </w:tc>
        <w:tc>
          <w:tcPr>
            <w:tcW w:w="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7"/>
                <w:szCs w:val="17"/>
                <w:color w:val="auto"/>
              </w:rPr>
            </w:pPr>
          </w:p>
        </w:tc>
        <w:tc>
          <w:tcPr>
            <w:tcW w:w="1760" w:type="dxa"/>
            <w:vAlign w:val="bottom"/>
            <w:gridSpan w:val="2"/>
          </w:tcPr>
          <w:p>
            <w:pPr>
              <w:ind w:left="120"/>
              <w:spacing w:after="0"/>
              <w:rPr>
                <w:sz w:val="20"/>
                <w:szCs w:val="20"/>
                <w:color w:val="auto"/>
              </w:rPr>
            </w:pPr>
            <w:r>
              <w:rPr>
                <w:rFonts w:ascii="Arial" w:cs="Arial" w:eastAsia="Arial" w:hAnsi="Arial"/>
                <w:sz w:val="14"/>
                <w:szCs w:val="14"/>
                <w:b w:val="1"/>
                <w:bCs w:val="1"/>
                <w:color w:val="auto"/>
              </w:rPr>
              <w:t>DIVIDENDS PAID</w:t>
            </w:r>
          </w:p>
        </w:tc>
        <w:tc>
          <w:tcPr>
            <w:tcW w:w="260" w:type="dxa"/>
            <w:vAlign w:val="bottom"/>
          </w:tcPr>
          <w:p>
            <w:pPr>
              <w:spacing w:after="0"/>
              <w:rPr>
                <w:sz w:val="17"/>
                <w:szCs w:val="17"/>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PROGRAMS</w:t>
            </w:r>
          </w:p>
        </w:tc>
        <w:tc>
          <w:tcPr>
            <w:tcW w:w="140" w:type="dxa"/>
            <w:vAlign w:val="bottom"/>
          </w:tcPr>
          <w:p>
            <w:pPr>
              <w:spacing w:after="0"/>
              <w:rPr>
                <w:sz w:val="17"/>
                <w:szCs w:val="17"/>
                <w:color w:val="auto"/>
              </w:rPr>
            </w:pPr>
          </w:p>
        </w:tc>
        <w:tc>
          <w:tcPr>
            <w:tcW w:w="2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AWARDS</w:t>
            </w:r>
          </w:p>
        </w:tc>
        <w:tc>
          <w:tcPr>
            <w:tcW w:w="380" w:type="dxa"/>
            <w:vAlign w:val="bottom"/>
          </w:tcPr>
          <w:p>
            <w:pPr>
              <w:spacing w:after="0"/>
              <w:rPr>
                <w:sz w:val="17"/>
                <w:szCs w:val="17"/>
                <w:color w:val="auto"/>
              </w:rPr>
            </w:pPr>
          </w:p>
        </w:tc>
        <w:tc>
          <w:tcPr>
            <w:tcW w:w="1420" w:type="dxa"/>
            <w:vAlign w:val="bottom"/>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year 2015</w:t>
            </w: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29,332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169,999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200,101</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Fiscal year 2016</w:t>
            </w:r>
          </w:p>
        </w:tc>
        <w:tc>
          <w:tcPr>
            <w:tcW w:w="220" w:type="dxa"/>
            <w:vAlign w:val="bottom"/>
          </w:tcPr>
          <w:p>
            <w:pPr>
              <w:spacing w:after="0"/>
              <w:rPr>
                <w:sz w:val="20"/>
                <w:szCs w:val="20"/>
                <w:color w:val="auto"/>
              </w:rPr>
            </w:pP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31,379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jc w:val="right"/>
              <w:ind w:right="42"/>
              <w:spacing w:after="0"/>
              <w:rPr>
                <w:sz w:val="20"/>
                <w:szCs w:val="20"/>
                <w:color w:val="auto"/>
              </w:rPr>
            </w:pPr>
            <w:r>
              <w:rPr>
                <w:rFonts w:ascii="Arial" w:cs="Arial" w:eastAsia="Arial" w:hAnsi="Arial"/>
                <w:sz w:val="16"/>
                <w:szCs w:val="16"/>
                <w:color w:val="auto"/>
              </w:rPr>
              <w:t>309,887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jc w:val="right"/>
              <w:ind w:right="22"/>
              <w:spacing w:after="0"/>
              <w:rPr>
                <w:sz w:val="20"/>
                <w:szCs w:val="20"/>
                <w:color w:val="auto"/>
              </w:rPr>
            </w:pPr>
            <w:r>
              <w:rPr>
                <w:rFonts w:ascii="Arial" w:cs="Arial" w:eastAsia="Arial" w:hAnsi="Arial"/>
                <w:sz w:val="16"/>
                <w:szCs w:val="16"/>
                <w:color w:val="auto"/>
              </w:rPr>
              <w:t>447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341,713</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year 2017</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30,988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272,736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303,904</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6"/>
                <w:szCs w:val="16"/>
                <w:color w:val="auto"/>
              </w:rPr>
              <w:t>First fiscal quarter 2018 (1)</w:t>
            </w:r>
          </w:p>
        </w:tc>
        <w:tc>
          <w:tcPr>
            <w:tcW w:w="220" w:type="dxa"/>
            <w:vAlign w:val="bottom"/>
          </w:tcPr>
          <w:p>
            <w:pPr>
              <w:spacing w:after="0"/>
              <w:rPr>
                <w:sz w:val="23"/>
                <w:szCs w:val="23"/>
                <w:color w:val="auto"/>
              </w:rPr>
            </w:pP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8,371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80" w:type="dxa"/>
            <w:vAlign w:val="bottom"/>
          </w:tcPr>
          <w:p>
            <w:pPr>
              <w:jc w:val="right"/>
              <w:ind w:right="42"/>
              <w:spacing w:after="0"/>
              <w:rPr>
                <w:sz w:val="20"/>
                <w:szCs w:val="20"/>
                <w:color w:val="auto"/>
              </w:rPr>
            </w:pPr>
            <w:r>
              <w:rPr>
                <w:rFonts w:ascii="Arial" w:cs="Arial" w:eastAsia="Arial" w:hAnsi="Arial"/>
                <w:sz w:val="16"/>
                <w:szCs w:val="16"/>
                <w:color w:val="auto"/>
              </w:rPr>
              <w:t>50,996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59,367</w:t>
            </w:r>
          </w:p>
        </w:tc>
        <w:tc>
          <w:tcPr>
            <w:tcW w:w="0" w:type="dxa"/>
            <w:vAlign w:val="bottom"/>
          </w:tcPr>
          <w:p>
            <w:pPr>
              <w:spacing w:after="0"/>
              <w:rPr>
                <w:sz w:val="1"/>
                <w:szCs w:val="1"/>
                <w:color w:val="auto"/>
              </w:rPr>
            </w:pPr>
          </w:p>
        </w:tc>
      </w:tr>
      <w:tr>
        <w:trPr>
          <w:trHeight w:val="244"/>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100,070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803,618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1,397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905,085</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5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Excludes the repurchase of 0.2 million shares for $4.0 million pursuant to trades executed in, but not settled until after, the thirteen weeks ended April 1, 2018.</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Financial Accounting Standards</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 xml:space="preserve">For a description of recently issued Financial Accounting Standards, see Note 1 - </w:t>
      </w:r>
      <w:r>
        <w:rPr>
          <w:rFonts w:ascii="Arial" w:cs="Arial" w:eastAsia="Arial" w:hAnsi="Arial"/>
          <w:sz w:val="20"/>
          <w:szCs w:val="20"/>
          <w:i w:val="1"/>
          <w:iCs w:val="1"/>
          <w:color w:val="auto"/>
        </w:rPr>
        <w:t>Description of the Business and Basis of Presentation</w:t>
      </w:r>
      <w:r>
        <w:rPr>
          <w:rFonts w:ascii="Arial" w:cs="Arial" w:eastAsia="Arial" w:hAnsi="Arial"/>
          <w:sz w:val="20"/>
          <w:szCs w:val="20"/>
          <w:color w:val="auto"/>
        </w:rPr>
        <w:t xml:space="preserve"> of the Notes to the Consolidated Financial Statements of this Quarterly Report on Form 10-Q.</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are exposed to market risk from changes in interest rates, changes in foreign currency exchange rates and changes in commodity prices. We believe that there have been no material changes in our market risk since December 31, 2017. See Part II, Item 7A., “Quantitative and Qualitative Disclosures about Market Risk,” in our Annual Report on Form 10-K for the year ended December 31, 2017 for further information regarding market risk.</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2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We have established and maintain disclosure controls and procedures that are designed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and Administrative Officer, as appropriate to allow timely decisions regarding required disclosure. We carried out an evaluation, under the supervision and with the participation of our management, including our Chief Executive Officer and Chief Financial and Administrative Officer, of the effectiveness of our disclosure controls and procedures as of the end of the period covered by this report. Based on that evaluation, the Chief Executive Officer and Chief Financial and Administrative Officer concluded that our disclosure controls and procedures were effective as of April 1, 2018.</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2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There have been no changes in our internal control over financial reporting during the thirteen weeks ended April 1, 2018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 OTHER INFORMATION</w:t>
      </w:r>
    </w:p>
    <w:p>
      <w:pPr>
        <w:spacing w:after="0" w:line="229"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For a description of our legal proceedings, see Note 13 - </w:t>
      </w:r>
      <w:r>
        <w:rPr>
          <w:rFonts w:ascii="Arial" w:cs="Arial" w:eastAsia="Arial" w:hAnsi="Arial"/>
          <w:sz w:val="20"/>
          <w:szCs w:val="20"/>
          <w:i w:val="1"/>
          <w:iCs w:val="1"/>
          <w:color w:val="auto"/>
        </w:rPr>
        <w:t>Commitments and Contingencies</w:t>
      </w:r>
      <w:r>
        <w:rPr>
          <w:rFonts w:ascii="Arial" w:cs="Arial" w:eastAsia="Arial" w:hAnsi="Arial"/>
          <w:sz w:val="20"/>
          <w:szCs w:val="20"/>
          <w:color w:val="auto"/>
        </w:rPr>
        <w:t>, of the Notes to the Consolidated Financial Statements of this Quarterly Report on Form 10-Q.</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addition to the other information discussed in this report, please consider the factors described in Part I, Item 1A., “Risk Factors” in our 2017 Form 10-K which could materially affect our business, financial condition or future results. There have not been any material changes to the risk factors described in our 2017 Form 10-K, but these are not the only risks facing our Company. Additional risks and uncertainties not currently known to us or that we currently deem to be immaterial also may adversely affect our business, financial condition or operating results.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were no sales of equity securities during the first quarter of 2018 that were not registered under the Securities Act of 1933.</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provides information regarding our purchases of common stock during the thirteen weeks ended April 1, 2018:</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4"/>
                <w:szCs w:val="14"/>
                <w:color w:val="auto"/>
              </w:rPr>
            </w:pPr>
          </w:p>
        </w:tc>
        <w:tc>
          <w:tcPr>
            <w:tcW w:w="1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SHARES PURCHASED AS</w:t>
            </w:r>
          </w:p>
        </w:tc>
        <w:tc>
          <w:tcPr>
            <w:tcW w:w="100" w:type="dxa"/>
            <w:vAlign w:val="bottom"/>
          </w:tcPr>
          <w:p>
            <w:pPr>
              <w:spacing w:after="0"/>
              <w:rPr>
                <w:sz w:val="12"/>
                <w:szCs w:val="12"/>
                <w:color w:val="auto"/>
              </w:rPr>
            </w:pPr>
          </w:p>
        </w:tc>
        <w:tc>
          <w:tcPr>
            <w:tcW w:w="1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PART OF PUBLICLY</w:t>
            </w:r>
          </w:p>
        </w:tc>
        <w:tc>
          <w:tcPr>
            <w:tcW w:w="100" w:type="dxa"/>
            <w:vAlign w:val="bottom"/>
          </w:tcPr>
          <w:p>
            <w:pPr>
              <w:spacing w:after="0"/>
              <w:rPr>
                <w:sz w:val="12"/>
                <w:szCs w:val="12"/>
                <w:color w:val="auto"/>
              </w:rPr>
            </w:pPr>
          </w:p>
        </w:tc>
        <w:tc>
          <w:tcPr>
            <w:tcW w:w="1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149"/>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REPORTING PERIOD</w:t>
            </w:r>
          </w:p>
        </w:tc>
        <w:tc>
          <w:tcPr>
            <w:tcW w:w="120" w:type="dxa"/>
            <w:vAlign w:val="bottom"/>
            <w:vMerge w:val="restart"/>
          </w:tcPr>
          <w:p>
            <w:pPr>
              <w:spacing w:after="0"/>
              <w:rPr>
                <w:sz w:val="12"/>
                <w:szCs w:val="12"/>
                <w:color w:val="auto"/>
              </w:rPr>
            </w:pPr>
          </w:p>
        </w:tc>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ANNOUNCED PLANS OR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205"/>
        </w:trPr>
        <w:tc>
          <w:tcPr>
            <w:tcW w:w="39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PROGRAMS (1)</w:t>
            </w: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January 1, 2018 through January 28, 2018</w:t>
            </w:r>
          </w:p>
        </w:tc>
        <w:tc>
          <w:tcPr>
            <w:tcW w:w="1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55,000,223</w:t>
            </w:r>
          </w:p>
        </w:tc>
        <w:tc>
          <w:tcPr>
            <w:tcW w:w="0" w:type="dxa"/>
            <w:vAlign w:val="bottom"/>
          </w:tcPr>
          <w:p>
            <w:pPr>
              <w:spacing w:after="0"/>
              <w:rPr>
                <w:sz w:val="1"/>
                <w:szCs w:val="1"/>
                <w:color w:val="auto"/>
              </w:rPr>
            </w:pPr>
          </w:p>
        </w:tc>
      </w:tr>
      <w:tr>
        <w:trPr>
          <w:trHeight w:val="237"/>
        </w:trPr>
        <w:tc>
          <w:tcPr>
            <w:tcW w:w="4020" w:type="dxa"/>
            <w:vAlign w:val="bottom"/>
            <w:gridSpan w:val="2"/>
          </w:tcPr>
          <w:p>
            <w:pPr>
              <w:ind w:left="40"/>
              <w:spacing w:after="0"/>
              <w:rPr>
                <w:sz w:val="20"/>
                <w:szCs w:val="20"/>
                <w:color w:val="auto"/>
              </w:rPr>
            </w:pPr>
            <w:r>
              <w:rPr>
                <w:rFonts w:ascii="Arial" w:cs="Arial" w:eastAsia="Arial" w:hAnsi="Arial"/>
                <w:sz w:val="16"/>
                <w:szCs w:val="16"/>
                <w:color w:val="auto"/>
              </w:rPr>
              <w:t>January 29, 2018 through February 25, 2018</w:t>
            </w:r>
          </w:p>
        </w:tc>
        <w:tc>
          <w:tcPr>
            <w:tcW w:w="18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23"/>
              <w:spacing w:after="0"/>
              <w:rPr>
                <w:sz w:val="20"/>
                <w:szCs w:val="20"/>
                <w:color w:val="auto"/>
              </w:rPr>
            </w:pPr>
            <w:r>
              <w:rPr>
                <w:rFonts w:ascii="Arial" w:cs="Arial" w:eastAsia="Arial" w:hAnsi="Arial"/>
                <w:sz w:val="16"/>
                <w:szCs w:val="16"/>
                <w:color w:val="auto"/>
              </w:rPr>
              <w:t>150,000,000</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February 26, 2018 through April 1, 2018</w:t>
            </w:r>
          </w:p>
        </w:tc>
        <w:tc>
          <w:tcPr>
            <w:tcW w:w="18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2,116,174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24.10</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2,116,174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99,003,705</w:t>
            </w:r>
          </w:p>
        </w:tc>
        <w:tc>
          <w:tcPr>
            <w:tcW w:w="0" w:type="dxa"/>
            <w:vAlign w:val="bottom"/>
          </w:tcPr>
          <w:p>
            <w:pPr>
              <w:spacing w:after="0"/>
              <w:rPr>
                <w:sz w:val="1"/>
                <w:szCs w:val="1"/>
                <w:color w:val="auto"/>
              </w:rPr>
            </w:pPr>
          </w:p>
        </w:tc>
      </w:tr>
      <w:tr>
        <w:trPr>
          <w:trHeight w:val="244"/>
        </w:trPr>
        <w:tc>
          <w:tcPr>
            <w:tcW w:w="402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8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2,116,174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2,116,174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660" w:right="20" w:hanging="652"/>
        <w:spacing w:after="0" w:line="275"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On February 16, 2018, the Board of Directors authorized the repurchase of $150.0 million of our outstanding common stock as announced in our press release issued on February 22, 2018 (the “2018 Share Repurchase Program”). The 2018 Share Repurchase Program will expire on August 16, 2019.</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780"/>
              <w:spacing w:after="0"/>
              <w:rPr>
                <w:sz w:val="20"/>
                <w:szCs w:val="20"/>
                <w:color w:val="auto"/>
              </w:rPr>
            </w:pPr>
            <w:r>
              <w:rPr>
                <w:rFonts w:ascii="Arial" w:cs="Arial" w:eastAsia="Arial" w:hAnsi="Arial"/>
                <w:sz w:val="16"/>
                <w:szCs w:val="16"/>
                <w:b w:val="1"/>
                <w:bCs w:val="1"/>
                <w:color w:val="auto"/>
              </w:rPr>
              <w:t>FILINGS REFERENCED FOR</w:t>
            </w:r>
          </w:p>
        </w:tc>
      </w:tr>
      <w:tr>
        <w:trPr>
          <w:trHeight w:val="210"/>
        </w:trPr>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580" w:type="dxa"/>
            <w:vAlign w:val="bottom"/>
            <w:gridSpan w:val="7"/>
          </w:tcPr>
          <w:p>
            <w:pPr>
              <w:ind w:left="240"/>
              <w:spacing w:after="0"/>
              <w:rPr>
                <w:sz w:val="20"/>
                <w:szCs w:val="20"/>
                <w:color w:val="auto"/>
              </w:rPr>
            </w:pPr>
            <w:r>
              <w:rPr>
                <w:rFonts w:ascii="Arial" w:cs="Arial" w:eastAsia="Arial" w:hAnsi="Arial"/>
                <w:sz w:val="16"/>
                <w:szCs w:val="16"/>
                <w:b w:val="1"/>
                <w:bCs w:val="1"/>
                <w:color w:val="auto"/>
              </w:rPr>
              <w:t>DESCRIPTION OF EXHIBITS</w:t>
            </w:r>
          </w:p>
        </w:tc>
        <w:tc>
          <w:tcPr>
            <w:tcW w:w="3760" w:type="dxa"/>
            <w:vAlign w:val="bottom"/>
          </w:tcPr>
          <w:p>
            <w:pPr>
              <w:ind w:left="520"/>
              <w:spacing w:after="0"/>
              <w:rPr>
                <w:sz w:val="20"/>
                <w:szCs w:val="20"/>
                <w:color w:val="auto"/>
              </w:rPr>
            </w:pPr>
            <w:r>
              <w:rPr>
                <w:rFonts w:ascii="Arial" w:cs="Arial" w:eastAsia="Arial" w:hAnsi="Arial"/>
                <w:sz w:val="16"/>
                <w:szCs w:val="16"/>
                <w:b w:val="1"/>
                <w:bCs w:val="1"/>
                <w:color w:val="auto"/>
              </w:rPr>
              <w:t>INCORPORATION BY REFERENCE</w:t>
            </w:r>
          </w:p>
        </w:tc>
      </w:tr>
      <w:tr>
        <w:trPr>
          <w:trHeight w:val="40"/>
        </w:trPr>
        <w:tc>
          <w:tcPr>
            <w:tcW w:w="1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760" w:type="dxa"/>
            <w:vAlign w:val="bottom"/>
            <w:tcBorders>
              <w:bottom w:val="single" w:sz="8" w:color="auto"/>
            </w:tcBorders>
          </w:tcPr>
          <w:p>
            <w:pPr>
              <w:spacing w:after="0"/>
              <w:rPr>
                <w:sz w:val="3"/>
                <w:szCs w:val="3"/>
                <w:color w:val="auto"/>
              </w:rPr>
            </w:pPr>
          </w:p>
        </w:tc>
      </w:tr>
      <w:tr>
        <w:trPr>
          <w:trHeight w:val="338"/>
        </w:trPr>
        <w:tc>
          <w:tcPr>
            <w:tcW w:w="1160" w:type="dxa"/>
            <w:vAlign w:val="bottom"/>
          </w:tcPr>
          <w:p>
            <w:pPr>
              <w:jc w:val="center"/>
              <w:spacing w:after="0"/>
              <w:rPr>
                <w:sz w:val="20"/>
                <w:szCs w:val="20"/>
                <w:color w:val="auto"/>
              </w:rPr>
            </w:pPr>
            <w:r>
              <w:rPr>
                <w:rFonts w:ascii="Arial" w:cs="Arial" w:eastAsia="Arial" w:hAnsi="Arial"/>
                <w:sz w:val="20"/>
                <w:szCs w:val="20"/>
                <w:color w:val="auto"/>
                <w:w w:val="92"/>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0" w:type="dxa"/>
            <w:vAlign w:val="bottom"/>
            <w:tcBorders>
              <w:bottom w:val="single" w:sz="8" w:color="0000FF"/>
            </w:tcBorders>
            <w:gridSpan w:val="5"/>
          </w:tcPr>
          <w:p>
            <w:pPr>
              <w:spacing w:after="0"/>
              <w:rPr>
                <w:rFonts w:ascii="Arial" w:cs="Arial" w:eastAsia="Arial" w:hAnsi="Arial"/>
                <w:sz w:val="20"/>
                <w:szCs w:val="20"/>
                <w:color w:val="0000FF"/>
              </w:rPr>
            </w:pPr>
            <w:hyperlink w:anchor="page50">
              <w:r>
                <w:rPr>
                  <w:rFonts w:ascii="Arial" w:cs="Arial" w:eastAsia="Arial" w:hAnsi="Arial"/>
                  <w:sz w:val="20"/>
                  <w:szCs w:val="20"/>
                  <w:color w:val="0000FF"/>
                </w:rPr>
                <w:t>Certification of Chief Executive Officer pursuant to Section 302 of the</w:t>
              </w:r>
            </w:hyperlink>
          </w:p>
        </w:tc>
        <w:tc>
          <w:tcPr>
            <w:tcW w:w="140" w:type="dxa"/>
            <w:vAlign w:val="bottom"/>
            <w:gridSpan w:val="3"/>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tcBorders>
              <w:bottom w:val="single" w:sz="8" w:color="0000FF"/>
            </w:tcBorders>
            <w:gridSpan w:val="2"/>
          </w:tcPr>
          <w:p>
            <w:pPr>
              <w:spacing w:after="0" w:line="209" w:lineRule="exact"/>
              <w:rPr>
                <w:rFonts w:ascii="Arial" w:cs="Arial" w:eastAsia="Arial" w:hAnsi="Arial"/>
                <w:sz w:val="20"/>
                <w:szCs w:val="20"/>
                <w:color w:val="0000FF"/>
                <w:w w:val="89"/>
              </w:rPr>
            </w:pPr>
            <w:hyperlink w:anchor="page50">
              <w:r>
                <w:rPr>
                  <w:rFonts w:ascii="Arial" w:cs="Arial" w:eastAsia="Arial" w:hAnsi="Arial"/>
                  <w:sz w:val="20"/>
                  <w:szCs w:val="20"/>
                  <w:color w:val="0000FF"/>
                  <w:w w:val="89"/>
                </w:rPr>
                <w:t>Sarbanes-Oxley Act of 2002</w:t>
              </w:r>
            </w:hyperlink>
          </w:p>
        </w:tc>
        <w:tc>
          <w:tcPr>
            <w:tcW w:w="4080" w:type="dxa"/>
            <w:vAlign w:val="bottom"/>
            <w:gridSpan w:val="6"/>
          </w:tcPr>
          <w:p>
            <w:pPr>
              <w:spacing w:after="0"/>
              <w:rPr>
                <w:sz w:val="18"/>
                <w:szCs w:val="18"/>
                <w:color w:val="auto"/>
              </w:rPr>
            </w:pPr>
          </w:p>
        </w:tc>
        <w:tc>
          <w:tcPr>
            <w:tcW w:w="3760" w:type="dxa"/>
            <w:vAlign w:val="bottom"/>
          </w:tcPr>
          <w:p>
            <w:pPr>
              <w:spacing w:after="0"/>
              <w:rPr>
                <w:sz w:val="18"/>
                <w:szCs w:val="18"/>
                <w:color w:val="auto"/>
              </w:rPr>
            </w:pPr>
          </w:p>
        </w:tc>
      </w:tr>
      <w:tr>
        <w:trPr>
          <w:trHeight w:val="385"/>
        </w:trPr>
        <w:tc>
          <w:tcPr>
            <w:tcW w:w="1160" w:type="dxa"/>
            <w:vAlign w:val="bottom"/>
          </w:tcPr>
          <w:p>
            <w:pPr>
              <w:jc w:val="center"/>
              <w:spacing w:after="0"/>
              <w:rPr>
                <w:sz w:val="20"/>
                <w:szCs w:val="20"/>
                <w:color w:val="auto"/>
              </w:rPr>
            </w:pPr>
            <w:r>
              <w:rPr>
                <w:rFonts w:ascii="Arial" w:cs="Arial" w:eastAsia="Arial" w:hAnsi="Arial"/>
                <w:sz w:val="20"/>
                <w:szCs w:val="20"/>
                <w:color w:val="auto"/>
                <w:w w:val="92"/>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tcBorders>
              <w:bottom w:val="single" w:sz="8" w:color="0000FF"/>
            </w:tcBorders>
            <w:gridSpan w:val="6"/>
          </w:tcPr>
          <w:p>
            <w:pPr>
              <w:spacing w:after="0"/>
              <w:rPr>
                <w:rFonts w:ascii="Arial" w:cs="Arial" w:eastAsia="Arial" w:hAnsi="Arial"/>
                <w:sz w:val="20"/>
                <w:szCs w:val="20"/>
                <w:color w:val="0000FF"/>
              </w:rPr>
            </w:pPr>
            <w:hyperlink w:anchor="page51">
              <w:r>
                <w:rPr>
                  <w:rFonts w:ascii="Arial" w:cs="Arial" w:eastAsia="Arial" w:hAnsi="Arial"/>
                  <w:sz w:val="20"/>
                  <w:szCs w:val="20"/>
                  <w:color w:val="0000FF"/>
                </w:rPr>
                <w:t>Certification of Chief Financial and Administrative Officer pursuant to</w:t>
              </w:r>
            </w:hyperlink>
          </w:p>
        </w:tc>
        <w:tc>
          <w:tcPr>
            <w:tcW w:w="120" w:type="dxa"/>
            <w:vAlign w:val="bottom"/>
            <w:gridSpan w:val="2"/>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40" w:type="dxa"/>
            <w:vAlign w:val="bottom"/>
            <w:gridSpan w:val="8"/>
          </w:tcPr>
          <w:p>
            <w:pPr>
              <w:spacing w:after="0" w:line="209" w:lineRule="exact"/>
              <w:rPr>
                <w:rFonts w:ascii="Arial" w:cs="Arial" w:eastAsia="Arial" w:hAnsi="Arial"/>
                <w:sz w:val="20"/>
                <w:szCs w:val="20"/>
                <w:color w:val="0000FF"/>
              </w:rPr>
            </w:pPr>
            <w:hyperlink w:anchor="page51">
              <w:r>
                <w:rPr>
                  <w:rFonts w:ascii="Arial" w:cs="Arial" w:eastAsia="Arial" w:hAnsi="Arial"/>
                  <w:sz w:val="20"/>
                  <w:szCs w:val="20"/>
                  <w:color w:val="0000FF"/>
                </w:rPr>
                <w:t>Section 302 of the Sarbanes-Oxley Act of 2002</w:t>
              </w:r>
            </w:hyperlink>
          </w:p>
        </w:tc>
        <w:tc>
          <w:tcPr>
            <w:tcW w:w="376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385"/>
        </w:trPr>
        <w:tc>
          <w:tcPr>
            <w:tcW w:w="1160" w:type="dxa"/>
            <w:vAlign w:val="bottom"/>
          </w:tcPr>
          <w:p>
            <w:pPr>
              <w:jc w:val="center"/>
              <w:spacing w:after="0"/>
              <w:rPr>
                <w:sz w:val="20"/>
                <w:szCs w:val="20"/>
                <w:color w:val="auto"/>
              </w:rPr>
            </w:pPr>
            <w:r>
              <w:rPr>
                <w:rFonts w:ascii="Arial" w:cs="Arial" w:eastAsia="Arial" w:hAnsi="Arial"/>
                <w:sz w:val="20"/>
                <w:szCs w:val="20"/>
                <w:color w:val="auto"/>
                <w:w w:val="92"/>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tcBorders>
              <w:bottom w:val="single" w:sz="8" w:color="0000FF"/>
            </w:tcBorders>
            <w:gridSpan w:val="6"/>
          </w:tcPr>
          <w:p>
            <w:pPr>
              <w:spacing w:after="0"/>
              <w:rPr>
                <w:rFonts w:ascii="Arial" w:cs="Arial" w:eastAsia="Arial" w:hAnsi="Arial"/>
                <w:sz w:val="20"/>
                <w:szCs w:val="20"/>
                <w:color w:val="0000FF"/>
                <w:w w:val="93"/>
              </w:rPr>
            </w:pPr>
            <w:hyperlink w:anchor="page52">
              <w:r>
                <w:rPr>
                  <w:rFonts w:ascii="Arial" w:cs="Arial" w:eastAsia="Arial" w:hAnsi="Arial"/>
                  <w:sz w:val="20"/>
                  <w:szCs w:val="20"/>
                  <w:color w:val="0000FF"/>
                  <w:w w:val="93"/>
                </w:rPr>
                <w:t>Certification of Chief Executive Officer pursuant to 18 U.S.C. Section 1350,</w:t>
              </w:r>
            </w:hyperlink>
          </w:p>
        </w:tc>
        <w:tc>
          <w:tcPr>
            <w:tcW w:w="120" w:type="dxa"/>
            <w:vAlign w:val="bottom"/>
            <w:gridSpan w:val="2"/>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40" w:type="dxa"/>
            <w:vAlign w:val="bottom"/>
            <w:gridSpan w:val="8"/>
          </w:tcPr>
          <w:p>
            <w:pPr>
              <w:spacing w:after="0" w:line="209" w:lineRule="exact"/>
              <w:rPr>
                <w:rFonts w:ascii="Arial" w:cs="Arial" w:eastAsia="Arial" w:hAnsi="Arial"/>
                <w:sz w:val="20"/>
                <w:szCs w:val="20"/>
                <w:color w:val="0000FF"/>
                <w:w w:val="96"/>
              </w:rPr>
            </w:pPr>
            <w:hyperlink w:anchor="page52">
              <w:r>
                <w:rPr>
                  <w:rFonts w:ascii="Arial" w:cs="Arial" w:eastAsia="Arial" w:hAnsi="Arial"/>
                  <w:sz w:val="20"/>
                  <w:szCs w:val="20"/>
                  <w:color w:val="0000FF"/>
                  <w:w w:val="96"/>
                </w:rPr>
                <w:t>as adopted pursuant to Section 906 of the Sarbanes-Oxley Act of 2002 (1)</w:t>
              </w:r>
            </w:hyperlink>
          </w:p>
        </w:tc>
        <w:tc>
          <w:tcPr>
            <w:tcW w:w="376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10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385"/>
        </w:trPr>
        <w:tc>
          <w:tcPr>
            <w:tcW w:w="1160" w:type="dxa"/>
            <w:vAlign w:val="bottom"/>
          </w:tcPr>
          <w:p>
            <w:pPr>
              <w:jc w:val="center"/>
              <w:spacing w:after="0"/>
              <w:rPr>
                <w:sz w:val="20"/>
                <w:szCs w:val="20"/>
                <w:color w:val="auto"/>
              </w:rPr>
            </w:pPr>
            <w:r>
              <w:rPr>
                <w:rFonts w:ascii="Arial" w:cs="Arial" w:eastAsia="Arial" w:hAnsi="Arial"/>
                <w:sz w:val="20"/>
                <w:szCs w:val="20"/>
                <w:color w:val="auto"/>
                <w:w w:val="92"/>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tcBorders>
              <w:bottom w:val="single" w:sz="8" w:color="0000FF"/>
            </w:tcBorders>
            <w:gridSpan w:val="6"/>
          </w:tcPr>
          <w:p>
            <w:pPr>
              <w:spacing w:after="0"/>
              <w:rPr>
                <w:rFonts w:ascii="Arial" w:cs="Arial" w:eastAsia="Arial" w:hAnsi="Arial"/>
                <w:sz w:val="20"/>
                <w:szCs w:val="20"/>
                <w:color w:val="0000FF"/>
                <w:w w:val="97"/>
              </w:rPr>
            </w:pPr>
            <w:hyperlink w:anchor="page53">
              <w:r>
                <w:rPr>
                  <w:rFonts w:ascii="Arial" w:cs="Arial" w:eastAsia="Arial" w:hAnsi="Arial"/>
                  <w:sz w:val="20"/>
                  <w:szCs w:val="20"/>
                  <w:color w:val="0000FF"/>
                  <w:w w:val="97"/>
                </w:rPr>
                <w:t>Certification of Chief Financial and Administrative Officer pursuant to 18</w:t>
              </w:r>
            </w:hyperlink>
          </w:p>
        </w:tc>
        <w:tc>
          <w:tcPr>
            <w:tcW w:w="120" w:type="dxa"/>
            <w:vAlign w:val="bottom"/>
            <w:gridSpan w:val="2"/>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0" w:type="dxa"/>
            <w:vAlign w:val="bottom"/>
            <w:tcBorders>
              <w:bottom w:val="single" w:sz="8" w:color="0000FF"/>
            </w:tcBorders>
            <w:gridSpan w:val="5"/>
          </w:tcPr>
          <w:p>
            <w:pPr>
              <w:spacing w:after="0" w:line="209" w:lineRule="exact"/>
              <w:rPr>
                <w:rFonts w:ascii="Arial" w:cs="Arial" w:eastAsia="Arial" w:hAnsi="Arial"/>
                <w:sz w:val="20"/>
                <w:szCs w:val="20"/>
                <w:color w:val="0000FF"/>
                <w:w w:val="93"/>
              </w:rPr>
            </w:pPr>
            <w:hyperlink w:anchor="page53">
              <w:r>
                <w:rPr>
                  <w:rFonts w:ascii="Arial" w:cs="Arial" w:eastAsia="Arial" w:hAnsi="Arial"/>
                  <w:sz w:val="20"/>
                  <w:szCs w:val="20"/>
                  <w:color w:val="0000FF"/>
                  <w:w w:val="93"/>
                </w:rPr>
                <w:t>U.S.C. Section 1350, as adopted pursuant to Section 906 of the Sarbanes-</w:t>
              </w:r>
            </w:hyperlink>
          </w:p>
        </w:tc>
        <w:tc>
          <w:tcPr>
            <w:tcW w:w="140" w:type="dxa"/>
            <w:vAlign w:val="bottom"/>
            <w:gridSpan w:val="3"/>
          </w:tcPr>
          <w:p>
            <w:pPr>
              <w:spacing w:after="0"/>
              <w:rPr>
                <w:sz w:val="18"/>
                <w:szCs w:val="18"/>
                <w:color w:val="auto"/>
              </w:rPr>
            </w:pPr>
          </w:p>
        </w:tc>
        <w:tc>
          <w:tcPr>
            <w:tcW w:w="376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40" w:type="dxa"/>
            <w:vAlign w:val="bottom"/>
            <w:gridSpan w:val="8"/>
          </w:tcPr>
          <w:p>
            <w:pPr>
              <w:spacing w:after="0" w:line="209" w:lineRule="exact"/>
              <w:rPr>
                <w:rFonts w:ascii="Arial" w:cs="Arial" w:eastAsia="Arial" w:hAnsi="Arial"/>
                <w:sz w:val="20"/>
                <w:szCs w:val="20"/>
                <w:color w:val="0000FF"/>
              </w:rPr>
            </w:pPr>
            <w:hyperlink w:anchor="page53">
              <w:r>
                <w:rPr>
                  <w:rFonts w:ascii="Arial" w:cs="Arial" w:eastAsia="Arial" w:hAnsi="Arial"/>
                  <w:sz w:val="20"/>
                  <w:szCs w:val="20"/>
                  <w:color w:val="0000FF"/>
                </w:rPr>
                <w:t>Oxley Act of 2002 (1)</w:t>
              </w:r>
            </w:hyperlink>
          </w:p>
        </w:tc>
        <w:tc>
          <w:tcPr>
            <w:tcW w:w="3760" w:type="dxa"/>
            <w:vAlign w:val="bottom"/>
          </w:tcPr>
          <w:p>
            <w:pPr>
              <w:spacing w:after="0"/>
              <w:rPr>
                <w:sz w:val="18"/>
                <w:szCs w:val="18"/>
                <w:color w:val="auto"/>
              </w:rPr>
            </w:pPr>
          </w:p>
        </w:tc>
      </w:tr>
      <w:tr>
        <w:trPr>
          <w:trHeight w:val="20"/>
        </w:trPr>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430"/>
        </w:trPr>
        <w:tc>
          <w:tcPr>
            <w:tcW w:w="1280" w:type="dxa"/>
            <w:vAlign w:val="bottom"/>
            <w:gridSpan w:val="2"/>
          </w:tcPr>
          <w:p>
            <w:pPr>
              <w:jc w:val="center"/>
              <w:ind w:right="120"/>
              <w:spacing w:after="0"/>
              <w:rPr>
                <w:sz w:val="20"/>
                <w:szCs w:val="20"/>
                <w:color w:val="auto"/>
              </w:rPr>
            </w:pPr>
            <w:r>
              <w:rPr>
                <w:rFonts w:ascii="Arial" w:cs="Arial" w:eastAsia="Arial" w:hAnsi="Arial"/>
                <w:sz w:val="20"/>
                <w:szCs w:val="20"/>
                <w:color w:val="auto"/>
                <w:w w:val="94"/>
              </w:rPr>
              <w:t>101.INS</w:t>
            </w:r>
          </w:p>
        </w:tc>
        <w:tc>
          <w:tcPr>
            <w:tcW w:w="20" w:type="dxa"/>
            <w:vAlign w:val="bottom"/>
          </w:tcPr>
          <w:p>
            <w:pPr>
              <w:spacing w:after="0"/>
              <w:rPr>
                <w:sz w:val="24"/>
                <w:szCs w:val="24"/>
                <w:color w:val="auto"/>
              </w:rPr>
            </w:pPr>
          </w:p>
        </w:tc>
        <w:tc>
          <w:tcPr>
            <w:tcW w:w="6340" w:type="dxa"/>
            <w:vAlign w:val="bottom"/>
            <w:gridSpan w:val="8"/>
          </w:tcPr>
          <w:p>
            <w:pPr>
              <w:spacing w:after="0"/>
              <w:rPr>
                <w:sz w:val="20"/>
                <w:szCs w:val="20"/>
                <w:color w:val="auto"/>
              </w:rPr>
            </w:pPr>
            <w:r>
              <w:rPr>
                <w:rFonts w:ascii="Arial" w:cs="Arial" w:eastAsia="Arial" w:hAnsi="Arial"/>
                <w:sz w:val="20"/>
                <w:szCs w:val="20"/>
                <w:color w:val="auto"/>
              </w:rPr>
              <w:t>XBRL Instance Document</w:t>
            </w: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405"/>
        </w:trPr>
        <w:tc>
          <w:tcPr>
            <w:tcW w:w="1280" w:type="dxa"/>
            <w:vAlign w:val="bottom"/>
            <w:gridSpan w:val="2"/>
          </w:tcPr>
          <w:p>
            <w:pPr>
              <w:jc w:val="center"/>
              <w:ind w:right="120"/>
              <w:spacing w:after="0"/>
              <w:rPr>
                <w:sz w:val="20"/>
                <w:szCs w:val="20"/>
                <w:color w:val="auto"/>
              </w:rPr>
            </w:pPr>
            <w:r>
              <w:rPr>
                <w:rFonts w:ascii="Arial" w:cs="Arial" w:eastAsia="Arial" w:hAnsi="Arial"/>
                <w:sz w:val="20"/>
                <w:szCs w:val="20"/>
                <w:color w:val="auto"/>
                <w:w w:val="88"/>
              </w:rPr>
              <w:t>101.SCH</w:t>
            </w:r>
          </w:p>
        </w:tc>
        <w:tc>
          <w:tcPr>
            <w:tcW w:w="20" w:type="dxa"/>
            <w:vAlign w:val="bottom"/>
          </w:tcPr>
          <w:p>
            <w:pPr>
              <w:spacing w:after="0"/>
              <w:rPr>
                <w:sz w:val="24"/>
                <w:szCs w:val="24"/>
                <w:color w:val="auto"/>
              </w:rPr>
            </w:pPr>
          </w:p>
        </w:tc>
        <w:tc>
          <w:tcPr>
            <w:tcW w:w="6340" w:type="dxa"/>
            <w:vAlign w:val="bottom"/>
            <w:gridSpan w:val="8"/>
          </w:tcPr>
          <w:p>
            <w:pPr>
              <w:spacing w:after="0"/>
              <w:rPr>
                <w:sz w:val="20"/>
                <w:szCs w:val="20"/>
                <w:color w:val="auto"/>
              </w:rPr>
            </w:pPr>
            <w:r>
              <w:rPr>
                <w:rFonts w:ascii="Arial" w:cs="Arial" w:eastAsia="Arial" w:hAnsi="Arial"/>
                <w:sz w:val="20"/>
                <w:szCs w:val="20"/>
                <w:color w:val="auto"/>
              </w:rPr>
              <w:t>XBRL Taxonomy Extension Schema Document</w:t>
            </w: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405"/>
        </w:trPr>
        <w:tc>
          <w:tcPr>
            <w:tcW w:w="1280" w:type="dxa"/>
            <w:vAlign w:val="bottom"/>
            <w:gridSpan w:val="2"/>
          </w:tcPr>
          <w:p>
            <w:pPr>
              <w:jc w:val="center"/>
              <w:ind w:right="100"/>
              <w:spacing w:after="0"/>
              <w:rPr>
                <w:sz w:val="20"/>
                <w:szCs w:val="20"/>
                <w:color w:val="auto"/>
              </w:rPr>
            </w:pPr>
            <w:r>
              <w:rPr>
                <w:rFonts w:ascii="Arial" w:cs="Arial" w:eastAsia="Arial" w:hAnsi="Arial"/>
                <w:sz w:val="20"/>
                <w:szCs w:val="20"/>
                <w:color w:val="auto"/>
                <w:w w:val="95"/>
              </w:rPr>
              <w:t>101.CAL</w:t>
            </w:r>
          </w:p>
        </w:tc>
        <w:tc>
          <w:tcPr>
            <w:tcW w:w="20" w:type="dxa"/>
            <w:vAlign w:val="bottom"/>
          </w:tcPr>
          <w:p>
            <w:pPr>
              <w:spacing w:after="0"/>
              <w:rPr>
                <w:sz w:val="24"/>
                <w:szCs w:val="24"/>
                <w:color w:val="auto"/>
              </w:rPr>
            </w:pPr>
          </w:p>
        </w:tc>
        <w:tc>
          <w:tcPr>
            <w:tcW w:w="6340" w:type="dxa"/>
            <w:vAlign w:val="bottom"/>
            <w:gridSpan w:val="8"/>
          </w:tcPr>
          <w:p>
            <w:pPr>
              <w:spacing w:after="0"/>
              <w:rPr>
                <w:sz w:val="20"/>
                <w:szCs w:val="20"/>
                <w:color w:val="auto"/>
              </w:rPr>
            </w:pPr>
            <w:r>
              <w:rPr>
                <w:rFonts w:ascii="Arial" w:cs="Arial" w:eastAsia="Arial" w:hAnsi="Arial"/>
                <w:sz w:val="20"/>
                <w:szCs w:val="20"/>
                <w:color w:val="auto"/>
              </w:rPr>
              <w:t>XBRL Taxonomy Extension Calculation Linkbase Document</w:t>
            </w: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405"/>
        </w:trPr>
        <w:tc>
          <w:tcPr>
            <w:tcW w:w="1280" w:type="dxa"/>
            <w:vAlign w:val="bottom"/>
            <w:gridSpan w:val="2"/>
          </w:tcPr>
          <w:p>
            <w:pPr>
              <w:jc w:val="center"/>
              <w:ind w:right="120"/>
              <w:spacing w:after="0"/>
              <w:rPr>
                <w:sz w:val="20"/>
                <w:szCs w:val="20"/>
                <w:color w:val="auto"/>
              </w:rPr>
            </w:pPr>
            <w:r>
              <w:rPr>
                <w:rFonts w:ascii="Arial" w:cs="Arial" w:eastAsia="Arial" w:hAnsi="Arial"/>
                <w:sz w:val="20"/>
                <w:szCs w:val="20"/>
                <w:color w:val="auto"/>
                <w:w w:val="91"/>
              </w:rPr>
              <w:t>101.DEF</w:t>
            </w:r>
          </w:p>
        </w:tc>
        <w:tc>
          <w:tcPr>
            <w:tcW w:w="20" w:type="dxa"/>
            <w:vAlign w:val="bottom"/>
          </w:tcPr>
          <w:p>
            <w:pPr>
              <w:spacing w:after="0"/>
              <w:rPr>
                <w:sz w:val="24"/>
                <w:szCs w:val="24"/>
                <w:color w:val="auto"/>
              </w:rPr>
            </w:pPr>
          </w:p>
        </w:tc>
        <w:tc>
          <w:tcPr>
            <w:tcW w:w="6340" w:type="dxa"/>
            <w:vAlign w:val="bottom"/>
            <w:gridSpan w:val="8"/>
          </w:tcPr>
          <w:p>
            <w:pPr>
              <w:spacing w:after="0"/>
              <w:rPr>
                <w:sz w:val="20"/>
                <w:szCs w:val="20"/>
                <w:color w:val="auto"/>
              </w:rPr>
            </w:pPr>
            <w:r>
              <w:rPr>
                <w:rFonts w:ascii="Arial" w:cs="Arial" w:eastAsia="Arial" w:hAnsi="Arial"/>
                <w:sz w:val="20"/>
                <w:szCs w:val="20"/>
                <w:color w:val="auto"/>
              </w:rPr>
              <w:t>XBRL Taxonomy Extension Definition Linkbase Document</w:t>
            </w: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405"/>
        </w:trPr>
        <w:tc>
          <w:tcPr>
            <w:tcW w:w="1280" w:type="dxa"/>
            <w:vAlign w:val="bottom"/>
            <w:gridSpan w:val="2"/>
          </w:tcPr>
          <w:p>
            <w:pPr>
              <w:jc w:val="center"/>
              <w:ind w:right="100"/>
              <w:spacing w:after="0"/>
              <w:rPr>
                <w:sz w:val="20"/>
                <w:szCs w:val="20"/>
                <w:color w:val="auto"/>
              </w:rPr>
            </w:pPr>
            <w:r>
              <w:rPr>
                <w:rFonts w:ascii="Arial" w:cs="Arial" w:eastAsia="Arial" w:hAnsi="Arial"/>
                <w:sz w:val="20"/>
                <w:szCs w:val="20"/>
                <w:color w:val="auto"/>
                <w:w w:val="96"/>
              </w:rPr>
              <w:t>101.LAB</w:t>
            </w:r>
          </w:p>
        </w:tc>
        <w:tc>
          <w:tcPr>
            <w:tcW w:w="20" w:type="dxa"/>
            <w:vAlign w:val="bottom"/>
          </w:tcPr>
          <w:p>
            <w:pPr>
              <w:spacing w:after="0"/>
              <w:rPr>
                <w:sz w:val="24"/>
                <w:szCs w:val="24"/>
                <w:color w:val="auto"/>
              </w:rPr>
            </w:pPr>
          </w:p>
        </w:tc>
        <w:tc>
          <w:tcPr>
            <w:tcW w:w="6340" w:type="dxa"/>
            <w:vAlign w:val="bottom"/>
            <w:gridSpan w:val="8"/>
          </w:tcPr>
          <w:p>
            <w:pPr>
              <w:spacing w:after="0"/>
              <w:rPr>
                <w:sz w:val="20"/>
                <w:szCs w:val="20"/>
                <w:color w:val="auto"/>
              </w:rPr>
            </w:pPr>
            <w:r>
              <w:rPr>
                <w:rFonts w:ascii="Arial" w:cs="Arial" w:eastAsia="Arial" w:hAnsi="Arial"/>
                <w:sz w:val="20"/>
                <w:szCs w:val="20"/>
                <w:color w:val="auto"/>
              </w:rPr>
              <w:t>XBRL Taxonomy Extension Label Linkbase Document</w:t>
            </w: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405"/>
        </w:trPr>
        <w:tc>
          <w:tcPr>
            <w:tcW w:w="1280" w:type="dxa"/>
            <w:vAlign w:val="bottom"/>
            <w:gridSpan w:val="2"/>
          </w:tcPr>
          <w:p>
            <w:pPr>
              <w:jc w:val="center"/>
              <w:ind w:right="120"/>
              <w:spacing w:after="0"/>
              <w:rPr>
                <w:sz w:val="20"/>
                <w:szCs w:val="20"/>
                <w:color w:val="auto"/>
              </w:rPr>
            </w:pPr>
            <w:r>
              <w:rPr>
                <w:rFonts w:ascii="Arial" w:cs="Arial" w:eastAsia="Arial" w:hAnsi="Arial"/>
                <w:sz w:val="20"/>
                <w:szCs w:val="20"/>
                <w:color w:val="auto"/>
                <w:w w:val="89"/>
              </w:rPr>
              <w:t>101.PRE</w:t>
            </w:r>
          </w:p>
        </w:tc>
        <w:tc>
          <w:tcPr>
            <w:tcW w:w="20" w:type="dxa"/>
            <w:vAlign w:val="bottom"/>
          </w:tcPr>
          <w:p>
            <w:pPr>
              <w:spacing w:after="0"/>
              <w:rPr>
                <w:sz w:val="24"/>
                <w:szCs w:val="24"/>
                <w:color w:val="auto"/>
              </w:rPr>
            </w:pPr>
          </w:p>
        </w:tc>
        <w:tc>
          <w:tcPr>
            <w:tcW w:w="6340" w:type="dxa"/>
            <w:vAlign w:val="bottom"/>
            <w:gridSpan w:val="8"/>
          </w:tcPr>
          <w:p>
            <w:pPr>
              <w:spacing w:after="0"/>
              <w:rPr>
                <w:sz w:val="20"/>
                <w:szCs w:val="20"/>
                <w:color w:val="auto"/>
              </w:rPr>
            </w:pPr>
            <w:r>
              <w:rPr>
                <w:rFonts w:ascii="Arial" w:cs="Arial" w:eastAsia="Arial" w:hAnsi="Arial"/>
                <w:sz w:val="20"/>
                <w:szCs w:val="20"/>
                <w:color w:val="auto"/>
              </w:rPr>
              <w:t>XBRL Taxonomy Extension Presentation Linkbase Document</w:t>
            </w: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bl>
    <w:p>
      <w:pPr>
        <w:spacing w:after="0" w:line="236" w:lineRule="exact"/>
        <w:rPr>
          <w:sz w:val="20"/>
          <w:szCs w:val="20"/>
          <w:color w:val="auto"/>
        </w:rPr>
      </w:pPr>
    </w:p>
    <w:p>
      <w:pPr>
        <w:jc w:val="both"/>
        <w:ind w:firstLine="8"/>
        <w:spacing w:after="0" w:line="250" w:lineRule="auto"/>
        <w:tabs>
          <w:tab w:leader="none" w:pos="283"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These certifications are not deemed to be “filed” for purposes of Section 18 of the Exchange Act, or otherwise subject to the liability of that section. These certifications will not be deemed to be incorporated by reference into any filing under the Securities Act or the Exchange Act,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5" w:lineRule="exact"/>
        <w:rPr>
          <w:sz w:val="20"/>
          <w:szCs w:val="20"/>
          <w:color w:val="auto"/>
        </w:rPr>
      </w:pPr>
    </w:p>
    <w:p>
      <w:pPr>
        <w:ind w:left="40"/>
        <w:spacing w:after="0"/>
        <w:tabs>
          <w:tab w:leader="none" w:pos="4700" w:val="left"/>
        </w:tabs>
        <w:rPr>
          <w:sz w:val="20"/>
          <w:szCs w:val="20"/>
          <w:color w:val="auto"/>
        </w:rPr>
      </w:pPr>
      <w:r>
        <w:rPr>
          <w:rFonts w:ascii="Arial" w:cs="Arial" w:eastAsia="Arial" w:hAnsi="Arial"/>
          <w:sz w:val="20"/>
          <w:szCs w:val="20"/>
          <w:color w:val="auto"/>
        </w:rPr>
        <w:t>Date:  May 8, 2018</w:t>
      </w:r>
      <w:r>
        <w:rPr>
          <w:sz w:val="20"/>
          <w:szCs w:val="20"/>
          <w:color w:val="auto"/>
        </w:rPr>
        <w:tab/>
      </w:r>
      <w:r>
        <w:rPr>
          <w:rFonts w:ascii="Arial" w:cs="Arial" w:eastAsia="Arial" w:hAnsi="Arial"/>
          <w:sz w:val="19"/>
          <w:szCs w:val="19"/>
          <w:color w:val="auto"/>
        </w:rPr>
        <w:t>BLOOMIN’ BRANDS, INC.</w:t>
      </w:r>
    </w:p>
    <w:p>
      <w:pPr>
        <w:spacing w:after="0" w:line="54"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(Registrant)</w:t>
      </w:r>
    </w:p>
    <w:p>
      <w:pPr>
        <w:spacing w:after="0" w:line="216"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27305</wp:posOffset>
            </wp:positionV>
            <wp:extent cx="42710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71010" cy="17145"/>
                    </a:xfrm>
                    <a:prstGeom prst="rect">
                      <a:avLst/>
                    </a:prstGeom>
                    <a:noFill/>
                  </pic:spPr>
                </pic:pic>
              </a:graphicData>
            </a:graphic>
          </wp:anchor>
        </w:drawing>
      </w:r>
    </w:p>
    <w:p>
      <w:pPr>
        <w:spacing w:after="0" w:line="61"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David J. Deno</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Executive Vice President and Chief Financial and</w:t>
      </w:r>
    </w:p>
    <w:p>
      <w:pPr>
        <w:ind w:left="5200"/>
        <w:spacing w:after="0"/>
        <w:rPr>
          <w:sz w:val="20"/>
          <w:szCs w:val="20"/>
          <w:color w:val="auto"/>
        </w:rPr>
      </w:pPr>
      <w:r>
        <w:rPr>
          <w:rFonts w:ascii="Arial" w:cs="Arial" w:eastAsia="Arial" w:hAnsi="Arial"/>
          <w:sz w:val="20"/>
          <w:szCs w:val="20"/>
          <w:color w:val="auto"/>
        </w:rPr>
        <w:t>Administrative Officer</w:t>
      </w:r>
    </w:p>
    <w:p>
      <w:pPr>
        <w:ind w:left="5200"/>
        <w:spacing w:after="0"/>
        <w:rPr>
          <w:sz w:val="20"/>
          <w:szCs w:val="20"/>
          <w:color w:val="auto"/>
        </w:rPr>
      </w:pPr>
      <w:r>
        <w:rPr>
          <w:rFonts w:ascii="Arial" w:cs="Arial" w:eastAsia="Arial" w:hAnsi="Arial"/>
          <w:sz w:val="20"/>
          <w:szCs w:val="20"/>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[Remainder of page intentionally left blank]</w:t>
      </w:r>
    </w:p>
    <w:p>
      <w:pPr>
        <w:sectPr>
          <w:pgSz w:w="11900" w:h="16838" w:orient="portrait"/>
          <w:cols w:equalWidth="0" w:num="1">
            <w:col w:w="11420"/>
          </w:cols>
          <w:pgMar w:left="240" w:top="122"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Elizabeth A. Smith, certify that:</w:t>
      </w:r>
    </w:p>
    <w:p>
      <w:pPr>
        <w:spacing w:after="0" w:line="229" w:lineRule="exact"/>
        <w:rPr>
          <w:sz w:val="20"/>
          <w:szCs w:val="20"/>
          <w:color w:val="auto"/>
        </w:rPr>
      </w:pPr>
    </w:p>
    <w:p>
      <w:pPr>
        <w:ind w:left="580" w:hanging="572"/>
        <w:spacing w:after="0"/>
        <w:tabs>
          <w:tab w:leader="none" w:pos="5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Bloomin’ Brands, Inc.;</w:t>
      </w:r>
    </w:p>
    <w:p>
      <w:pPr>
        <w:spacing w:after="0" w:line="229"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580" w:right="20" w:hanging="572"/>
        <w:spacing w:after="0" w:line="316"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580" w:hanging="572"/>
        <w:spacing w:after="0" w:line="275"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580"/>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213" w:lineRule="exact"/>
        <w:rPr>
          <w:rFonts w:ascii="Arial" w:cs="Arial" w:eastAsia="Arial" w:hAnsi="Arial"/>
          <w:sz w:val="18"/>
          <w:szCs w:val="18"/>
          <w:color w:val="auto"/>
        </w:rPr>
      </w:pPr>
    </w:p>
    <w:p>
      <w:pPr>
        <w:jc w:val="both"/>
        <w:ind w:left="1300" w:hanging="482"/>
        <w:spacing w:after="0" w:line="291"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300" w:hanging="482"/>
        <w:spacing w:after="0" w:line="269" w:lineRule="auto"/>
        <w:tabs>
          <w:tab w:leader="none" w:pos="1300" w:val="left"/>
        </w:tabs>
        <w:numPr>
          <w:ilvl w:val="1"/>
          <w:numId w:val="55"/>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9"/>
          <w:szCs w:val="19"/>
          <w:color w:val="auto"/>
        </w:rPr>
      </w:pPr>
    </w:p>
    <w:p>
      <w:pPr>
        <w:jc w:val="both"/>
        <w:ind w:left="1300" w:hanging="482"/>
        <w:spacing w:after="0" w:line="250" w:lineRule="auto"/>
        <w:tabs>
          <w:tab w:leader="none" w:pos="1300" w:val="left"/>
        </w:tabs>
        <w:numPr>
          <w:ilvl w:val="1"/>
          <w:numId w:val="5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300" w:hanging="482"/>
        <w:spacing w:after="0" w:line="269" w:lineRule="auto"/>
        <w:tabs>
          <w:tab w:leader="none" w:pos="1300" w:val="left"/>
        </w:tabs>
        <w:numPr>
          <w:ilvl w:val="1"/>
          <w:numId w:val="55"/>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9"/>
          <w:szCs w:val="19"/>
          <w:color w:val="auto"/>
        </w:rPr>
      </w:pPr>
    </w:p>
    <w:p>
      <w:pPr>
        <w:jc w:val="both"/>
        <w:ind w:left="580" w:hanging="572"/>
        <w:spacing w:after="0" w:line="250" w:lineRule="auto"/>
        <w:tabs>
          <w:tab w:leader="none" w:pos="5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1300" w:hanging="482"/>
        <w:spacing w:after="0" w:line="250" w:lineRule="auto"/>
        <w:tabs>
          <w:tab w:leader="none" w:pos="1300" w:val="left"/>
        </w:tabs>
        <w:numPr>
          <w:ilvl w:val="1"/>
          <w:numId w:val="55"/>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520" w:hanging="1702"/>
        <w:spacing w:after="0" w:line="260" w:lineRule="auto"/>
        <w:tabs>
          <w:tab w:leader="none" w:pos="1305" w:val="left"/>
        </w:tabs>
        <w:numPr>
          <w:ilvl w:val="1"/>
          <w:numId w:val="55"/>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53" w:lineRule="exact"/>
        <w:rPr>
          <w:sz w:val="20"/>
          <w:szCs w:val="20"/>
          <w:color w:val="auto"/>
        </w:rPr>
      </w:pPr>
    </w:p>
    <w:p>
      <w:pPr>
        <w:ind w:left="40"/>
        <w:spacing w:after="0"/>
        <w:tabs>
          <w:tab w:leader="none" w:pos="700" w:val="left"/>
          <w:tab w:leader="none" w:pos="5040" w:val="left"/>
        </w:tabs>
        <w:rPr>
          <w:sz w:val="20"/>
          <w:szCs w:val="20"/>
          <w:color w:val="auto"/>
        </w:rPr>
      </w:pPr>
      <w:r>
        <w:rPr>
          <w:rFonts w:ascii="Arial" w:cs="Arial" w:eastAsia="Arial" w:hAnsi="Arial"/>
          <w:sz w:val="20"/>
          <w:szCs w:val="20"/>
          <w:color w:val="auto"/>
        </w:rPr>
        <w:t>Date:</w:t>
        <w:tab/>
        <w:t>May 8, 2018</w:t>
      </w:r>
      <w:r>
        <w:rPr>
          <w:sz w:val="20"/>
          <w:szCs w:val="20"/>
          <w:color w:val="auto"/>
        </w:rPr>
        <w:tab/>
      </w:r>
      <w:r>
        <w:rPr>
          <w:rFonts w:ascii="Arial" w:cs="Arial" w:eastAsia="Arial" w:hAnsi="Arial"/>
          <w:sz w:val="18"/>
          <w:szCs w:val="18"/>
          <w:color w:val="auto"/>
        </w:rPr>
        <w:t>/s/ Elizabeth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27305</wp:posOffset>
            </wp:positionV>
            <wp:extent cx="40563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56380" cy="17145"/>
                    </a:xfrm>
                    <a:prstGeom prst="rect">
                      <a:avLst/>
                    </a:prstGeom>
                    <a:noFill/>
                  </pic:spPr>
                </pic:pic>
              </a:graphicData>
            </a:graphic>
          </wp:anchor>
        </w:drawing>
      </w:r>
    </w:p>
    <w:p>
      <w:pPr>
        <w:spacing w:after="0" w:line="61"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Elizabeth A. Smith</w:t>
      </w:r>
    </w:p>
    <w:p>
      <w:pPr>
        <w:spacing w:after="0" w:line="54"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Chief Executive Officer</w:t>
      </w:r>
    </w:p>
    <w:p>
      <w:pPr>
        <w:spacing w:after="0" w:line="16"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(Principal Executive Officer)</w:t>
      </w:r>
    </w:p>
    <w:p>
      <w:pPr>
        <w:sectPr>
          <w:pgSz w:w="11900" w:h="16838" w:orient="portrait"/>
          <w:cols w:equalWidth="0" w:num="1">
            <w:col w:w="11420"/>
          </w:cols>
          <w:pgMar w:left="240" w:top="116"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20"/>
          <w:szCs w:val="20"/>
          <w:b w:val="1"/>
          <w:bCs w:val="1"/>
          <w:color w:val="auto"/>
        </w:rPr>
        <w:t>Exhibit 31.2</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I, David J. Deno, certify that:</w:t>
      </w:r>
    </w:p>
    <w:p>
      <w:pPr>
        <w:spacing w:after="0" w:line="216" w:lineRule="exact"/>
        <w:rPr>
          <w:sz w:val="20"/>
          <w:szCs w:val="20"/>
          <w:color w:val="auto"/>
        </w:rPr>
      </w:pPr>
    </w:p>
    <w:p>
      <w:pPr>
        <w:ind w:left="580" w:hanging="572"/>
        <w:spacing w:after="0"/>
        <w:tabs>
          <w:tab w:leader="none" w:pos="580" w:val="left"/>
        </w:tabs>
        <w:numPr>
          <w:ilvl w:val="0"/>
          <w:numId w:val="56"/>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Bloomin’ Brands, Inc.;</w:t>
      </w:r>
    </w:p>
    <w:p>
      <w:pPr>
        <w:spacing w:after="0" w:line="229"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5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580" w:right="20" w:hanging="572"/>
        <w:spacing w:after="0" w:line="316"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580" w:hanging="572"/>
        <w:spacing w:after="0" w:line="275"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580"/>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213" w:lineRule="exact"/>
        <w:rPr>
          <w:rFonts w:ascii="Arial" w:cs="Arial" w:eastAsia="Arial" w:hAnsi="Arial"/>
          <w:sz w:val="18"/>
          <w:szCs w:val="18"/>
          <w:color w:val="auto"/>
        </w:rPr>
      </w:pPr>
    </w:p>
    <w:p>
      <w:pPr>
        <w:jc w:val="both"/>
        <w:ind w:left="1300" w:hanging="482"/>
        <w:spacing w:after="0" w:line="291"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300" w:hanging="482"/>
        <w:spacing w:after="0" w:line="269" w:lineRule="auto"/>
        <w:tabs>
          <w:tab w:leader="none" w:pos="1300" w:val="left"/>
        </w:tabs>
        <w:numPr>
          <w:ilvl w:val="1"/>
          <w:numId w:val="56"/>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9"/>
          <w:szCs w:val="19"/>
          <w:color w:val="auto"/>
        </w:rPr>
      </w:pPr>
    </w:p>
    <w:p>
      <w:pPr>
        <w:jc w:val="both"/>
        <w:ind w:left="1300" w:hanging="482"/>
        <w:spacing w:after="0" w:line="250" w:lineRule="auto"/>
        <w:tabs>
          <w:tab w:leader="none" w:pos="1300" w:val="left"/>
        </w:tabs>
        <w:numPr>
          <w:ilvl w:val="1"/>
          <w:numId w:val="5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300" w:hanging="482"/>
        <w:spacing w:after="0" w:line="269" w:lineRule="auto"/>
        <w:tabs>
          <w:tab w:leader="none" w:pos="1300" w:val="left"/>
        </w:tabs>
        <w:numPr>
          <w:ilvl w:val="1"/>
          <w:numId w:val="56"/>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9"/>
          <w:szCs w:val="19"/>
          <w:color w:val="auto"/>
        </w:rPr>
      </w:pPr>
    </w:p>
    <w:p>
      <w:pPr>
        <w:jc w:val="both"/>
        <w:ind w:left="580" w:hanging="572"/>
        <w:spacing w:after="0" w:line="250" w:lineRule="auto"/>
        <w:tabs>
          <w:tab w:leader="none" w:pos="58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1300" w:hanging="482"/>
        <w:spacing w:after="0" w:line="250" w:lineRule="auto"/>
        <w:tabs>
          <w:tab w:leader="none" w:pos="1300" w:val="left"/>
        </w:tabs>
        <w:numPr>
          <w:ilvl w:val="1"/>
          <w:numId w:val="5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520" w:hanging="1702"/>
        <w:spacing w:after="0" w:line="260" w:lineRule="auto"/>
        <w:tabs>
          <w:tab w:leader="none" w:pos="1305" w:val="left"/>
        </w:tabs>
        <w:numPr>
          <w:ilvl w:val="1"/>
          <w:numId w:val="5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53" w:lineRule="exact"/>
        <w:rPr>
          <w:sz w:val="20"/>
          <w:szCs w:val="20"/>
          <w:color w:val="auto"/>
        </w:rPr>
      </w:pPr>
    </w:p>
    <w:p>
      <w:pPr>
        <w:ind w:left="40"/>
        <w:spacing w:after="0"/>
        <w:tabs>
          <w:tab w:leader="none" w:pos="700" w:val="left"/>
          <w:tab w:leader="none" w:pos="5040" w:val="left"/>
        </w:tabs>
        <w:rPr>
          <w:sz w:val="20"/>
          <w:szCs w:val="20"/>
          <w:color w:val="auto"/>
        </w:rPr>
      </w:pPr>
      <w:r>
        <w:rPr>
          <w:rFonts w:ascii="Arial" w:cs="Arial" w:eastAsia="Arial" w:hAnsi="Arial"/>
          <w:sz w:val="20"/>
          <w:szCs w:val="20"/>
          <w:color w:val="auto"/>
        </w:rPr>
        <w:t>Date:</w:t>
        <w:tab/>
        <w:t>May 8, 2018</w:t>
      </w:r>
      <w:r>
        <w:rPr>
          <w:sz w:val="20"/>
          <w:szCs w:val="20"/>
          <w:color w:val="auto"/>
        </w:rPr>
        <w:tab/>
      </w:r>
      <w:r>
        <w:rPr>
          <w:rFonts w:ascii="Arial" w:cs="Arial" w:eastAsia="Arial" w:hAnsi="Arial"/>
          <w:sz w:val="18"/>
          <w:szCs w:val="18"/>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27305</wp:posOffset>
            </wp:positionV>
            <wp:extent cx="405638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056380" cy="17145"/>
                    </a:xfrm>
                    <a:prstGeom prst="rect">
                      <a:avLst/>
                    </a:prstGeom>
                    <a:noFill/>
                  </pic:spPr>
                </pic:pic>
              </a:graphicData>
            </a:graphic>
          </wp:anchor>
        </w:drawing>
      </w:r>
    </w:p>
    <w:p>
      <w:pPr>
        <w:spacing w:after="0" w:line="61"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David J. Deno</w:t>
      </w:r>
    </w:p>
    <w:p>
      <w:pPr>
        <w:spacing w:after="0" w:line="54"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Executive Vice President and Chief Financial and Administrative Officer</w:t>
      </w:r>
    </w:p>
    <w:p>
      <w:pPr>
        <w:spacing w:after="0" w:line="16"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(Principal Financial Officer)</w:t>
      </w:r>
    </w:p>
    <w:p>
      <w:pPr>
        <w:sectPr>
          <w:pgSz w:w="11900" w:h="16838" w:orient="portrait"/>
          <w:cols w:equalWidth="0" w:num="1">
            <w:col w:w="11420"/>
          </w:cols>
          <w:pgMar w:left="240" w:top="118"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260" w:right="2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7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connection with the Quarterly Report of Bloomin’ Brands, Inc. (the “Company”) on Form 10-Q for the quarter ended April 1, 2018 as filed with the Securities and Exchange Commission on the date hereof (the “Report”), I, Elizabeth A. Smith, Chief Executive Officer of the Company, hereby certify, pursuant to 18 U.S.C. Section 1350, as adopted pursuant to Section 906 of the Sarbanes-Oxley Act of 2002, to the best of my knowledge, that:</w:t>
      </w:r>
    </w:p>
    <w:p>
      <w:pPr>
        <w:spacing w:after="0" w:line="192"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660" w:right="20" w:hanging="328"/>
        <w:spacing w:after="0" w:line="260" w:lineRule="auto"/>
        <w:tabs>
          <w:tab w:leader="none" w:pos="6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 for the dates and periods covered by the Report.</w:t>
      </w:r>
    </w:p>
    <w:p>
      <w:pPr>
        <w:spacing w:after="0" w:line="353" w:lineRule="exact"/>
        <w:rPr>
          <w:sz w:val="20"/>
          <w:szCs w:val="20"/>
          <w:color w:val="auto"/>
        </w:rPr>
      </w:pPr>
    </w:p>
    <w:p>
      <w:pPr>
        <w:ind w:left="80"/>
        <w:spacing w:after="0"/>
        <w:tabs>
          <w:tab w:leader="none" w:pos="760" w:val="left"/>
          <w:tab w:leader="none" w:pos="5080" w:val="left"/>
        </w:tabs>
        <w:rPr>
          <w:sz w:val="20"/>
          <w:szCs w:val="20"/>
          <w:color w:val="auto"/>
        </w:rPr>
      </w:pPr>
      <w:r>
        <w:rPr>
          <w:rFonts w:ascii="Arial" w:cs="Arial" w:eastAsia="Arial" w:hAnsi="Arial"/>
          <w:sz w:val="20"/>
          <w:szCs w:val="20"/>
          <w:color w:val="auto"/>
        </w:rPr>
        <w:t>Date:</w:t>
        <w:tab/>
        <w:t>May 8, 2018</w:t>
      </w:r>
      <w:r>
        <w:rPr>
          <w:sz w:val="20"/>
          <w:szCs w:val="20"/>
          <w:color w:val="auto"/>
        </w:rPr>
        <w:tab/>
      </w:r>
      <w:r>
        <w:rPr>
          <w:rFonts w:ascii="Arial" w:cs="Arial" w:eastAsia="Arial" w:hAnsi="Arial"/>
          <w:sz w:val="18"/>
          <w:szCs w:val="18"/>
          <w:color w:val="auto"/>
        </w:rPr>
        <w:t>/s/ Elizabeth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27305</wp:posOffset>
            </wp:positionV>
            <wp:extent cx="403034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030345" cy="17145"/>
                    </a:xfrm>
                    <a:prstGeom prst="rect">
                      <a:avLst/>
                    </a:prstGeom>
                    <a:noFill/>
                  </pic:spPr>
                </pic:pic>
              </a:graphicData>
            </a:graphic>
          </wp:anchor>
        </w:drawing>
      </w:r>
    </w:p>
    <w:p>
      <w:pPr>
        <w:spacing w:after="0" w:line="61"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Elizabeth A. Smith</w:t>
      </w:r>
    </w:p>
    <w:p>
      <w:pPr>
        <w:spacing w:after="0" w:line="5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Chief Executive Officer</w:t>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(Principal Executive Officer)</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and will be retained by, Bloomin’ Brands, Inc. and furnished to the Securities and Exchange Commission or its staff upon request.</w:t>
      </w:r>
    </w:p>
    <w:p>
      <w:pPr>
        <w:sectPr>
          <w:pgSz w:w="11900" w:h="16838" w:orient="portrait"/>
          <w:cols w:equalWidth="0" w:num="1">
            <w:col w:w="11420"/>
          </w:cols>
          <w:pgMar w:left="240" w:top="576"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260" w:right="2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7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connection with the Quarterly Report of Bloomin’ Brands, Inc. (the “Company”) on Form 10-Q for the quarter ended April 1, 2018 as filed with the Securities and Exchange Commission on the date hereof (the “Report”), I, David J. Deno, Executive Vice President and Chief Financial and Administrative Officer of the Company, hereby certify, pursuant to 18 U.S.C. Section 1350, as adopted pursuant to Section 906 of the Sarbanes-Oxley Act of 2002, to the best of my knowledge, that:</w:t>
      </w:r>
    </w:p>
    <w:p>
      <w:pPr>
        <w:spacing w:after="0" w:line="192"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660" w:right="20" w:hanging="328"/>
        <w:spacing w:after="0" w:line="260" w:lineRule="auto"/>
        <w:tabs>
          <w:tab w:leader="none" w:pos="6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 for the dates and periods covered by the Report.</w:t>
      </w:r>
    </w:p>
    <w:p>
      <w:pPr>
        <w:spacing w:after="0" w:line="353" w:lineRule="exact"/>
        <w:rPr>
          <w:sz w:val="20"/>
          <w:szCs w:val="20"/>
          <w:color w:val="auto"/>
        </w:rPr>
      </w:pPr>
    </w:p>
    <w:p>
      <w:pPr>
        <w:ind w:left="80"/>
        <w:spacing w:after="0"/>
        <w:tabs>
          <w:tab w:leader="none" w:pos="760" w:val="left"/>
          <w:tab w:leader="none" w:pos="5080" w:val="left"/>
        </w:tabs>
        <w:rPr>
          <w:sz w:val="20"/>
          <w:szCs w:val="20"/>
          <w:color w:val="auto"/>
        </w:rPr>
      </w:pPr>
      <w:r>
        <w:rPr>
          <w:rFonts w:ascii="Arial" w:cs="Arial" w:eastAsia="Arial" w:hAnsi="Arial"/>
          <w:sz w:val="20"/>
          <w:szCs w:val="20"/>
          <w:color w:val="auto"/>
        </w:rPr>
        <w:t>Date:</w:t>
        <w:tab/>
        <w:t>May 8, 2018</w:t>
      </w:r>
      <w:r>
        <w:rPr>
          <w:sz w:val="20"/>
          <w:szCs w:val="20"/>
          <w:color w:val="auto"/>
        </w:rPr>
        <w:tab/>
      </w:r>
      <w:r>
        <w:rPr>
          <w:rFonts w:ascii="Arial" w:cs="Arial" w:eastAsia="Arial" w:hAnsi="Arial"/>
          <w:sz w:val="18"/>
          <w:szCs w:val="18"/>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27305</wp:posOffset>
            </wp:positionV>
            <wp:extent cx="403034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030345" cy="17145"/>
                    </a:xfrm>
                    <a:prstGeom prst="rect">
                      <a:avLst/>
                    </a:prstGeom>
                    <a:noFill/>
                  </pic:spPr>
                </pic:pic>
              </a:graphicData>
            </a:graphic>
          </wp:anchor>
        </w:drawing>
      </w:r>
    </w:p>
    <w:p>
      <w:pPr>
        <w:spacing w:after="0" w:line="61"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David J. Deno</w:t>
      </w:r>
    </w:p>
    <w:p>
      <w:pPr>
        <w:spacing w:after="0" w:line="54" w:lineRule="exact"/>
        <w:rPr>
          <w:sz w:val="20"/>
          <w:szCs w:val="20"/>
          <w:color w:val="auto"/>
        </w:rPr>
      </w:pPr>
    </w:p>
    <w:p>
      <w:pPr>
        <w:ind w:left="5100"/>
        <w:spacing w:after="0"/>
        <w:rPr>
          <w:sz w:val="20"/>
          <w:szCs w:val="20"/>
          <w:color w:val="auto"/>
        </w:rPr>
      </w:pPr>
      <w:r>
        <w:rPr>
          <w:rFonts w:ascii="Arial" w:cs="Arial" w:eastAsia="Arial" w:hAnsi="Arial"/>
          <w:sz w:val="19"/>
          <w:szCs w:val="19"/>
          <w:color w:val="auto"/>
        </w:rPr>
        <w:t>Executive Vice President and Chief Financial and Administrative Officer</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(Principal Financial Officer)</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and will be retained by, Bloomin’ Brands, Inc.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1]"/>
      <w:numFmt w:val="upperLetter"/>
      <w:start w:val="24"/>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decimal"/>
      <w:start w:val="1"/>
    </w:lvl>
  </w:abstractNum>
  <w:abstractNum w:abstractNumId="3">
    <w:nsid w:val="7C3DBD3D"/>
    <w:multiLevelType w:val="hybridMultilevel"/>
    <w:lvl w:ilvl="0">
      <w:lvlJc w:val="left"/>
      <w:lvlText w:val="(%1)"/>
      <w:numFmt w:val="decimal"/>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1)"/>
      <w:numFmt w:val="decimal"/>
      <w:start w:val="1"/>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1)"/>
      <w:numFmt w:val="decimal"/>
      <w:start w:val="1"/>
    </w:lvl>
  </w:abstractNum>
  <w:abstractNum w:abstractNumId="10">
    <w:nsid w:val="419AC241"/>
    <w:multiLevelType w:val="hybridMultilevel"/>
    <w:lvl w:ilvl="0">
      <w:lvlJc w:val="left"/>
      <w:lvlText w:val="(%1)"/>
      <w:numFmt w:val="decimal"/>
      <w:start w:val="1"/>
    </w:lvl>
  </w:abstractNum>
  <w:abstractNum w:abstractNumId="11">
    <w:nsid w:val="5577F8E1"/>
    <w:multiLevelType w:val="hybridMultilevel"/>
    <w:lvl w:ilvl="0">
      <w:lvlJc w:val="left"/>
      <w:lvlText w:val="(%1)"/>
      <w:numFmt w:val="decimal"/>
      <w:start w:val="1"/>
    </w:lvl>
  </w:abstractNum>
  <w:abstractNum w:abstractNumId="12">
    <w:nsid w:val="440BADFC"/>
    <w:multiLevelType w:val="hybridMultilevel"/>
    <w:lvl w:ilvl="0">
      <w:lvlJc w:val="left"/>
      <w:lvlText w:val="(%1)"/>
      <w:numFmt w:val="decimal"/>
      <w:start w:val="1"/>
    </w:lvl>
  </w:abstractNum>
  <w:abstractNum w:abstractNumId="13">
    <w:nsid w:val="5072367"/>
    <w:multiLevelType w:val="hybridMultilevel"/>
    <w:lvl w:ilvl="0">
      <w:lvlJc w:val="left"/>
      <w:lvlText w:val="(%1)"/>
      <w:numFmt w:val="decimal"/>
      <w:start w:val="1"/>
    </w:lvl>
  </w:abstractNum>
  <w:abstractNum w:abstractNumId="14">
    <w:nsid w:val="3804823E"/>
    <w:multiLevelType w:val="hybridMultilevel"/>
    <w:lvl w:ilvl="0">
      <w:lvlJc w:val="left"/>
      <w:lvlText w:val="%1."/>
      <w:numFmt w:val="decimal"/>
      <w:start w:val="9"/>
    </w:lvl>
  </w:abstractNum>
  <w:abstractNum w:abstractNumId="15">
    <w:nsid w:val="77465F01"/>
    <w:multiLevelType w:val="hybridMultilevel"/>
    <w:lvl w:ilvl="0">
      <w:lvlJc w:val="left"/>
      <w:lvlText w:val="(%1)"/>
      <w:numFmt w:val="decimal"/>
      <w:start w:val="1"/>
    </w:lvl>
  </w:abstractNum>
  <w:abstractNum w:abstractNumId="16">
    <w:nsid w:val="7724C67E"/>
    <w:multiLevelType w:val="hybridMultilevel"/>
    <w:lvl w:ilvl="0">
      <w:lvlJc w:val="left"/>
      <w:lvlText w:val="(%1)"/>
      <w:numFmt w:val="decimal"/>
      <w:start w:val="1"/>
    </w:lvl>
  </w:abstractNum>
  <w:abstractNum w:abstractNumId="17">
    <w:nsid w:val="5C482A97"/>
    <w:multiLevelType w:val="hybridMultilevel"/>
    <w:lvl w:ilvl="0">
      <w:lvlJc w:val="left"/>
      <w:lvlText w:val="(%1)"/>
      <w:numFmt w:val="decimal"/>
      <w:start w:val="1"/>
    </w:lvl>
  </w:abstractNum>
  <w:abstractNum w:abstractNumId="18">
    <w:nsid w:val="2463B9EA"/>
    <w:multiLevelType w:val="hybridMultilevel"/>
    <w:lvl w:ilvl="0">
      <w:lvlJc w:val="left"/>
      <w:lvlText w:val="(%1)"/>
      <w:numFmt w:val="decimal"/>
      <w:start w:val="1"/>
    </w:lvl>
  </w:abstractNum>
  <w:abstractNum w:abstractNumId="19">
    <w:nsid w:val="5E884ADC"/>
    <w:multiLevelType w:val="hybridMultilevel"/>
    <w:lvl w:ilvl="0">
      <w:lvlJc w:val="left"/>
      <w:lvlText w:val="%1."/>
      <w:numFmt w:val="decimal"/>
      <w:start w:val="11"/>
    </w:lvl>
  </w:abstractNum>
  <w:abstractNum w:abstractNumId="20">
    <w:nsid w:val="51EAD36B"/>
    <w:multiLevelType w:val="hybridMultilevel"/>
    <w:lvl w:ilvl="0">
      <w:lvlJc w:val="left"/>
      <w:lvlText w:val="(%1)"/>
      <w:numFmt w:val="decimal"/>
      <w:start w:val="1"/>
    </w:lvl>
  </w:abstractNum>
  <w:abstractNum w:abstractNumId="21">
    <w:nsid w:val="2D517796"/>
    <w:multiLevelType w:val="hybridMultilevel"/>
    <w:lvl w:ilvl="0">
      <w:lvlJc w:val="left"/>
      <w:lvlText w:val="(%1)"/>
      <w:numFmt w:val="decimal"/>
      <w:start w:val="1"/>
    </w:lvl>
  </w:abstractNum>
  <w:abstractNum w:abstractNumId="22">
    <w:nsid w:val="580BD78F"/>
    <w:multiLevelType w:val="hybridMultilevel"/>
    <w:lvl w:ilvl="0">
      <w:lvlJc w:val="left"/>
      <w:lvlText w:val="(%1)"/>
      <w:numFmt w:val="decimal"/>
      <w:start w:val="1"/>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1)"/>
      <w:numFmt w:val="lowerRoman"/>
      <w:start w:val="1"/>
    </w:lvl>
  </w:abstractNum>
  <w:abstractNum w:abstractNumId="25">
    <w:nsid w:val="70A64E2A"/>
    <w:multiLevelType w:val="hybridMultilevel"/>
    <w:lvl w:ilvl="0">
      <w:lvlJc w:val="left"/>
      <w:lvlText w:val="(%1)"/>
      <w:numFmt w:val="lowerRoman"/>
      <w:start w:val="8"/>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lvl w:ilvl="1">
      <w:lvlJc w:val="left"/>
      <w:lvlText w:val="(%2)"/>
      <w:numFmt w:val="lowerRoman"/>
      <w:start w:val="1"/>
    </w:lvl>
  </w:abstractNum>
  <w:abstractNum w:abstractNumId="28">
    <w:nsid w:val="1D4ED43B"/>
    <w:multiLevelType w:val="hybridMultilevel"/>
    <w:lvl w:ilvl="0">
      <w:lvlJc w:val="left"/>
      <w:lvlText w:val="(%1)"/>
      <w:numFmt w:val="lowerRoman"/>
      <w:start w:val="3"/>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1)"/>
      <w:numFmt w:val="decimal"/>
      <w:start w:val="1"/>
    </w:lvl>
  </w:abstractNum>
  <w:abstractNum w:abstractNumId="31">
    <w:nsid w:val="57E4CCAF"/>
    <w:multiLevelType w:val="hybridMultilevel"/>
    <w:lvl w:ilvl="0">
      <w:lvlJc w:val="left"/>
      <w:lvlText w:val="(%1)"/>
      <w:numFmt w:val="decimal"/>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1)"/>
      <w:numFmt w:val="decimal"/>
      <w:start w:val="1"/>
    </w:lvl>
  </w:abstractNum>
  <w:abstractNum w:abstractNumId="34">
    <w:nsid w:val="542289EC"/>
    <w:multiLevelType w:val="hybridMultilevel"/>
    <w:lvl w:ilvl="0">
      <w:lvlJc w:val="left"/>
      <w:lvlText w:val="(%1)"/>
      <w:numFmt w:val="decimal"/>
      <w:start w:val="1"/>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1)"/>
      <w:numFmt w:val="decimal"/>
      <w:start w:val="1"/>
    </w:lvl>
  </w:abstractNum>
  <w:abstractNum w:abstractNumId="38">
    <w:nsid w:val="32FFF902"/>
    <w:multiLevelType w:val="hybridMultilevel"/>
    <w:lvl w:ilvl="0">
      <w:lvlJc w:val="left"/>
      <w:lvlText w:val="(%1)"/>
      <w:numFmt w:val="decimal"/>
      <w:start w:val="1"/>
    </w:lvl>
  </w:abstractNum>
  <w:abstractNum w:abstractNumId="39">
    <w:nsid w:val="684A481A"/>
    <w:multiLevelType w:val="hybridMultilevel"/>
    <w:lvl w:ilvl="0">
      <w:lvlJc w:val="left"/>
      <w:lvlText w:val="(%1)"/>
      <w:numFmt w:val="decimal"/>
      <w:start w:val="1"/>
    </w:lvl>
  </w:abstractNum>
  <w:abstractNum w:abstractNumId="40">
    <w:nsid w:val="579478FE"/>
    <w:multiLevelType w:val="hybridMultilevel"/>
    <w:lvl w:ilvl="0">
      <w:lvlJc w:val="left"/>
      <w:lvlText w:val="(%1)"/>
      <w:numFmt w:val="decimal"/>
      <w:start w:val="1"/>
    </w:lvl>
  </w:abstractNum>
  <w:abstractNum w:abstractNumId="41">
    <w:nsid w:val="749ABB43"/>
    <w:multiLevelType w:val="hybridMultilevel"/>
    <w:lvl w:ilvl="0">
      <w:lvlJc w:val="left"/>
      <w:lvlText w:val="(%1)"/>
      <w:numFmt w:val="decimal"/>
      <w:start w:val="1"/>
    </w:lvl>
  </w:abstractNum>
  <w:abstractNum w:abstractNumId="42">
    <w:nsid w:val="3DC240FB"/>
    <w:multiLevelType w:val="hybridMultilevel"/>
    <w:lvl w:ilvl="0">
      <w:lvlJc w:val="left"/>
      <w:lvlText w:val="(%1)"/>
      <w:numFmt w:val="decimal"/>
      <w:start w:val="1"/>
    </w:lvl>
  </w:abstractNum>
  <w:abstractNum w:abstractNumId="43">
    <w:nsid w:val="1BA026FA"/>
    <w:multiLevelType w:val="hybridMultilevel"/>
    <w:lvl w:ilvl="0">
      <w:lvlJc w:val="left"/>
      <w:lvlText w:val="(%1)"/>
      <w:numFmt w:val="decimal"/>
      <w:start w:val="1"/>
    </w:lvl>
  </w:abstractNum>
  <w:abstractNum w:abstractNumId="44">
    <w:nsid w:val="79A1DEAA"/>
    <w:multiLevelType w:val="hybridMultilevel"/>
    <w:lvl w:ilvl="0">
      <w:lvlJc w:val="left"/>
      <w:lvlText w:val="(%1)"/>
      <w:numFmt w:val="decimal"/>
      <w:start w:val="1"/>
    </w:lvl>
  </w:abstractNum>
  <w:abstractNum w:abstractNumId="45">
    <w:nsid w:val="75C6C33A"/>
    <w:multiLevelType w:val="hybridMultilevel"/>
    <w:lvl w:ilvl="0">
      <w:lvlJc w:val="left"/>
      <w:lvlText w:val="(%1)"/>
      <w:numFmt w:val="decimal"/>
      <w:start w:val="1"/>
    </w:lvl>
  </w:abstractNum>
  <w:abstractNum w:abstractNumId="46">
    <w:nsid w:val="12E685FB"/>
    <w:multiLevelType w:val="hybridMultilevel"/>
    <w:lvl w:ilvl="0">
      <w:lvlJc w:val="left"/>
      <w:lvlText w:val="(%1)"/>
      <w:numFmt w:val="decimal"/>
      <w:start w:val="3"/>
    </w:lvl>
  </w:abstractNum>
  <w:abstractNum w:abstractNumId="47">
    <w:nsid w:val="70C6A529"/>
    <w:multiLevelType w:val="hybridMultilevel"/>
    <w:lvl w:ilvl="0">
      <w:lvlJc w:val="left"/>
      <w:lvlText w:val="(%1)"/>
      <w:numFmt w:val="decimal"/>
      <w:start w:val="1"/>
    </w:lvl>
  </w:abstractNum>
  <w:abstractNum w:abstractNumId="48">
    <w:nsid w:val="520EEDD1"/>
    <w:multiLevelType w:val="hybridMultilevel"/>
    <w:lvl w:ilvl="0">
      <w:lvlJc w:val="left"/>
      <w:lvlText w:val="(%1)"/>
      <w:numFmt w:val="decimal"/>
      <w:start w:val="1"/>
    </w:lvl>
  </w:abstractNum>
  <w:abstractNum w:abstractNumId="49">
    <w:nsid w:val="374A3FE6"/>
    <w:multiLevelType w:val="hybridMultilevel"/>
    <w:lvl w:ilvl="0">
      <w:lvlJc w:val="left"/>
      <w:lvlText w:val="(%1)"/>
      <w:numFmt w:val="decimal"/>
      <w:start w:val="1"/>
    </w:lvl>
  </w:abstractNum>
  <w:abstractNum w:abstractNumId="50">
    <w:nsid w:val="4F4EF005"/>
    <w:multiLevelType w:val="hybridMultilevel"/>
    <w:lvl w:ilvl="0">
      <w:lvlJc w:val="left"/>
      <w:lvlText w:val="(%1)"/>
      <w:numFmt w:val="lowerRoman"/>
      <w:start w:val="4"/>
    </w:lvl>
  </w:abstractNum>
  <w:abstractNum w:abstractNumId="51">
    <w:nsid w:val="23F9C13C"/>
    <w:multiLevelType w:val="hybridMultilevel"/>
    <w:lvl w:ilvl="0">
      <w:lvlJc w:val="left"/>
      <w:lvlText w:val="(%1)"/>
      <w:numFmt w:val="decimal"/>
      <w:start w:val="1"/>
    </w:lvl>
  </w:abstractNum>
  <w:abstractNum w:abstractNumId="52">
    <w:nsid w:val="649BB77C"/>
    <w:multiLevelType w:val="hybridMultilevel"/>
    <w:lvl w:ilvl="0">
      <w:lvlJc w:val="left"/>
      <w:lvlText w:val="(%1)"/>
      <w:numFmt w:val="decimal"/>
      <w:start w:val="1"/>
    </w:lvl>
  </w:abstractNum>
  <w:abstractNum w:abstractNumId="53">
    <w:nsid w:val="275AC794"/>
    <w:multiLevelType w:val="hybridMultilevel"/>
    <w:lvl w:ilvl="0">
      <w:lvlJc w:val="left"/>
      <w:lvlText w:val="(%1)"/>
      <w:numFmt w:val="decimal"/>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2019-12-28T22:37:42Z</dcterms:created>
  <dcterms:modified xsi:type="dcterms:W3CDTF">2019-12-28T22:37:42Z</dcterms:modified>
</cp:coreProperties>
</file>