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77"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54" w:lineRule="exact"/>
        <w:rPr>
          <w:sz w:val="24"/>
          <w:szCs w:val="24"/>
          <w:color w:val="auto"/>
        </w:rPr>
      </w:pPr>
    </w:p>
    <w:p>
      <w:pPr>
        <w:ind w:left="1700" w:right="860" w:hanging="796"/>
        <w:spacing w:after="0" w:line="269" w:lineRule="auto"/>
        <w:tabs>
          <w:tab w:leader="none" w:pos="17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 w:lineRule="exact"/>
        <w:rPr>
          <w:rFonts w:ascii="Times New Roman" w:cs="Times New Roman" w:eastAsia="Times New Roman" w:hAnsi="Times New Roman"/>
          <w:sz w:val="20"/>
          <w:szCs w:val="20"/>
          <w:color w:val="auto"/>
        </w:rPr>
      </w:pPr>
    </w:p>
    <w:p>
      <w:pPr>
        <w:ind w:left="17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quarterly period ended March 31, 2019</w:t>
      </w:r>
    </w:p>
    <w:p>
      <w:pPr>
        <w:spacing w:after="0" w:line="54" w:lineRule="exact"/>
        <w:rPr>
          <w:sz w:val="24"/>
          <w:szCs w:val="24"/>
          <w:color w:val="auto"/>
        </w:rPr>
      </w:pPr>
    </w:p>
    <w:p>
      <w:pPr>
        <w:ind w:left="6180"/>
        <w:spacing w:after="0"/>
        <w:rPr>
          <w:sz w:val="20"/>
          <w:szCs w:val="20"/>
          <w:color w:val="auto"/>
        </w:rPr>
      </w:pPr>
      <w:r>
        <w:rPr>
          <w:rFonts w:ascii="Times New Roman" w:cs="Times New Roman" w:eastAsia="Times New Roman" w:hAnsi="Times New Roman"/>
          <w:sz w:val="20"/>
          <w:szCs w:val="20"/>
          <w:color w:val="auto"/>
        </w:rPr>
        <w:t>or</w:t>
      </w:r>
    </w:p>
    <w:p>
      <w:pPr>
        <w:spacing w:after="0" w:line="50" w:lineRule="exact"/>
        <w:rPr>
          <w:sz w:val="24"/>
          <w:szCs w:val="24"/>
          <w:color w:val="auto"/>
        </w:rPr>
      </w:pPr>
    </w:p>
    <w:p>
      <w:pPr>
        <w:ind w:left="1100" w:hanging="174"/>
        <w:spacing w:after="0"/>
        <w:tabs>
          <w:tab w:leader="none" w:pos="11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b w:val="1"/>
          <w:bCs w:val="1"/>
          <w:color w:val="auto"/>
        </w:rPr>
        <w:t>TRANSITION REPORT PURSUANT TO SECTION 13 OR 15(d) OF THE SECURITIES EXCHANGE</w:t>
      </w:r>
    </w:p>
    <w:p>
      <w:pPr>
        <w:spacing w:after="0" w:line="25" w:lineRule="exact"/>
        <w:rPr>
          <w:rFonts w:ascii="Times New Roman" w:cs="Times New Roman" w:eastAsia="Times New Roman" w:hAnsi="Times New Roman"/>
          <w:sz w:val="20"/>
          <w:szCs w:val="20"/>
          <w:color w:val="auto"/>
        </w:rPr>
      </w:pPr>
    </w:p>
    <w:p>
      <w:pPr>
        <w:ind w:left="17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ACT OF 1934</w:t>
      </w:r>
    </w:p>
    <w:p>
      <w:pPr>
        <w:spacing w:after="0" w:line="32"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20"/>
          <w:szCs w:val="20"/>
          <w:color w:val="auto"/>
        </w:rPr>
        <w:t>For the transition period from ______ to ______</w:t>
      </w:r>
    </w:p>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Commission File Number: 001-35625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158750</wp:posOffset>
            </wp:positionV>
            <wp:extent cx="866140" cy="1380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6140" cy="1380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BLOOMIN’ BRANDS, INC.</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380"/>
          </w:cols>
          <w:pgMar w:left="240" w:top="720" w:right="279" w:bottom="320" w:gutter="0" w:footer="0" w:header="0"/>
        </w:sectPr>
      </w:pPr>
    </w:p>
    <w:p>
      <w:pPr>
        <w:spacing w:after="0" w:line="147"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20-8023465</w:t>
      </w:r>
    </w:p>
    <w:p>
      <w:pPr>
        <w:spacing w:after="0" w:line="88" w:lineRule="exact"/>
        <w:rPr>
          <w:sz w:val="24"/>
          <w:szCs w:val="24"/>
          <w:color w:val="auto"/>
        </w:rPr>
      </w:pPr>
    </w:p>
    <w:p>
      <w:pPr>
        <w:sectPr>
          <w:pgSz w:w="11900" w:h="16838" w:orient="portrait"/>
          <w:cols w:equalWidth="0" w:num="2">
            <w:col w:w="7420" w:space="720"/>
            <w:col w:w="3240"/>
          </w:cols>
          <w:pgMar w:left="240" w:top="720" w:right="279" w:bottom="320" w:gutter="0" w:footer="0" w:header="0"/>
          <w:type w:val="continuous"/>
        </w:sectPr>
      </w:pPr>
    </w:p>
    <w:p>
      <w:pPr>
        <w:ind w:left="96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46" w:lineRule="exact"/>
        <w:rPr>
          <w:sz w:val="24"/>
          <w:szCs w:val="24"/>
          <w:color w:val="auto"/>
        </w:rPr>
      </w:pPr>
    </w:p>
    <w:p>
      <w:pPr>
        <w:sectPr>
          <w:pgSz w:w="11900" w:h="16838" w:orient="portrait"/>
          <w:cols w:equalWidth="0" w:num="2">
            <w:col w:w="6700" w:space="720"/>
            <w:col w:w="3960"/>
          </w:cols>
          <w:pgMar w:left="240" w:top="720" w:right="279" w:bottom="32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2202 North West Shore Boulevard, Suite 500, Tampa, Florida 33607</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ectPr>
          <w:pgSz w:w="11900" w:h="16838" w:orient="portrait"/>
          <w:cols w:equalWidth="0" w:num="1">
            <w:col w:w="11380"/>
          </w:cols>
          <w:pgMar w:left="240" w:top="720" w:right="279" w:bottom="320" w:gutter="0" w:footer="0" w:header="0"/>
          <w:type w:val="continuous"/>
        </w:sectPr>
      </w:pPr>
    </w:p>
    <w:p>
      <w:pPr>
        <w:spacing w:after="0" w:line="1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(813) 282-1225</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N/A</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ectPr>
          <w:pgSz w:w="11900" w:h="16838" w:orient="portrait"/>
          <w:cols w:equalWidth="0" w:num="1">
            <w:col w:w="11380"/>
          </w:cols>
          <w:pgMar w:left="240" w:top="720" w:right="279" w:bottom="320" w:gutter="0" w:footer="0" w:header="0"/>
          <w:type w:val="continuous"/>
        </w:sectPr>
      </w:pPr>
    </w:p>
    <w:p>
      <w:pPr>
        <w:spacing w:after="0" w:line="200" w:lineRule="exact"/>
        <w:rPr>
          <w:sz w:val="24"/>
          <w:szCs w:val="24"/>
          <w:color w:val="auto"/>
        </w:rPr>
      </w:pPr>
    </w:p>
    <w:p>
      <w:pPr>
        <w:spacing w:after="0" w:line="327"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6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Name of each exchange on which registered</w:t>
      </w:r>
    </w:p>
    <w:p>
      <w:pPr>
        <w:spacing w:after="0" w:line="84" w:lineRule="exact"/>
        <w:rPr>
          <w:sz w:val="24"/>
          <w:szCs w:val="24"/>
          <w:color w:val="auto"/>
        </w:rPr>
      </w:pPr>
    </w:p>
    <w:p>
      <w:pPr>
        <w:sectPr>
          <w:pgSz w:w="11900" w:h="16838" w:orient="portrait"/>
          <w:cols w:equalWidth="0" w:num="3">
            <w:col w:w="3120" w:space="720"/>
            <w:col w:w="3740" w:space="320"/>
            <w:col w:w="3480"/>
          </w:cols>
          <w:pgMar w:left="240" w:top="720" w:right="279" w:bottom="320" w:gutter="0" w:footer="0" w:header="0"/>
          <w:type w:val="continuous"/>
        </w:sectPr>
      </w:pPr>
    </w:p>
    <w:p>
      <w:pPr>
        <w:ind w:left="940"/>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p>
      <w:pPr>
        <w:spacing w:after="0" w:line="20" w:lineRule="exact"/>
        <w:rPr>
          <w:sz w:val="24"/>
          <w:szCs w:val="24"/>
          <w:color w:val="auto"/>
        </w:rPr>
      </w:pPr>
      <w:r>
        <w:rPr>
          <w:sz w:val="24"/>
          <w:szCs w:val="24"/>
          <w:color w:val="auto"/>
        </w:rPr>
        <w:br w:type="column"/>
      </w:r>
    </w:p>
    <w:p>
      <w:pPr>
        <w:jc w:val="center"/>
        <w:ind w:right="1620"/>
        <w:spacing w:after="0"/>
        <w:rPr>
          <w:sz w:val="20"/>
          <w:szCs w:val="20"/>
          <w:color w:val="auto"/>
        </w:rPr>
      </w:pPr>
      <w:r>
        <w:rPr>
          <w:rFonts w:ascii="Times New Roman" w:cs="Times New Roman" w:eastAsia="Times New Roman" w:hAnsi="Times New Roman"/>
          <w:sz w:val="16"/>
          <w:szCs w:val="16"/>
          <w:b w:val="1"/>
          <w:bCs w:val="1"/>
          <w:color w:val="auto"/>
        </w:rPr>
        <w:t>BLMN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p>
      <w:pPr>
        <w:spacing w:after="0" w:line="2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p>
      <w:pPr>
        <w:spacing w:after="0" w:line="200" w:lineRule="exact"/>
        <w:rPr>
          <w:sz w:val="24"/>
          <w:szCs w:val="24"/>
          <w:color w:val="auto"/>
        </w:rPr>
      </w:pPr>
    </w:p>
    <w:p>
      <w:pPr>
        <w:sectPr>
          <w:pgSz w:w="11900" w:h="16838" w:orient="portrait"/>
          <w:cols w:equalWidth="0" w:num="3">
            <w:col w:w="4700" w:space="720"/>
            <w:col w:w="2100" w:space="720"/>
            <w:col w:w="3140"/>
          </w:cols>
          <w:pgMar w:left="240" w:top="720" w:right="279" w:bottom="320" w:gutter="0" w:footer="0" w:header="0"/>
          <w:type w:val="continuous"/>
        </w:sectPr>
      </w:pPr>
    </w:p>
    <w:p>
      <w:pPr>
        <w:spacing w:after="0" w:line="49"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6" w:lineRule="exact"/>
        <w:rPr>
          <w:sz w:val="24"/>
          <w:szCs w:val="24"/>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7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Large accelerated filer x Accelerated filer o Non-accelerated filer o</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Smaller reporting company o Emerging growth company o</w:t>
      </w:r>
    </w:p>
    <w:p>
      <w:pPr>
        <w:spacing w:after="0" w:line="207"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30, 2019, 91,705,720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20" w:right="279" w:bottom="320" w:gutter="0" w:footer="0" w:header="0"/>
          <w:type w:val="continuous"/>
        </w:sectPr>
      </w:pPr>
    </w:p>
    <w:bookmarkStart w:id="1" w:name="page2"/>
    <w:bookmarkEnd w:id="1"/>
    <w:p>
      <w:pPr>
        <w:spacing w:after="0"/>
        <w:rPr>
          <w:rFonts w:ascii="Times New Roman" w:cs="Times New Roman" w:eastAsia="Times New Roman" w:hAnsi="Times New Roman"/>
          <w:sz w:val="14"/>
          <w:szCs w:val="14"/>
          <w:color w:val="0000FF"/>
        </w:rPr>
      </w:pPr>
      <w:hyperlink w:anchor="page2">
        <w:r>
          <w:rPr>
            <w:rFonts w:ascii="Times New Roman" w:cs="Times New Roman" w:eastAsia="Times New Roman" w:hAnsi="Times New Roman"/>
            <w:sz w:val="14"/>
            <w:szCs w:val="14"/>
            <w:color w:val="0000FF"/>
          </w:rPr>
          <w:t>Table of Contents</w:t>
        </w:r>
      </w:hyperlink>
    </w:p>
    <w:tbl>
      <w:tblPr>
        <w:tblLayout w:type="fixed"/>
        <w:tblInd w:w="0" w:type="dxa"/>
        <w:tblCellMar>
          <w:top w:w="0" w:type="dxa"/>
          <w:left w:w="0" w:type="dxa"/>
          <w:bottom w:w="0" w:type="dxa"/>
          <w:right w:w="0" w:type="dxa"/>
        </w:tblCellMar>
      </w:tblPr>
      <w:tr>
        <w:trPr>
          <w:trHeight w:val="282"/>
        </w:trPr>
        <w:tc>
          <w:tcPr>
            <w:tcW w:w="10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00" w:type="dxa"/>
            <w:vAlign w:val="bottom"/>
            <w:gridSpan w:val="10"/>
          </w:tcPr>
          <w:p>
            <w:pPr>
              <w:jc w:val="center"/>
              <w:ind w:right="2520"/>
              <w:spacing w:after="0"/>
              <w:rPr>
                <w:sz w:val="20"/>
                <w:szCs w:val="20"/>
                <w:color w:val="auto"/>
              </w:rPr>
            </w:pPr>
            <w:r>
              <w:rPr>
                <w:rFonts w:ascii="Times New Roman" w:cs="Times New Roman" w:eastAsia="Times New Roman" w:hAnsi="Times New Roman"/>
                <w:sz w:val="20"/>
                <w:szCs w:val="20"/>
                <w:b w:val="1"/>
                <w:bCs w:val="1"/>
                <w:color w:val="auto"/>
                <w:w w:val="98"/>
              </w:rPr>
              <w:t>BLOOMIN’ BRANDS, INC.</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50"/>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00" w:type="dxa"/>
            <w:vAlign w:val="bottom"/>
            <w:gridSpan w:val="14"/>
          </w:tcPr>
          <w:p>
            <w:pPr>
              <w:jc w:val="center"/>
              <w:ind w:right="1520"/>
              <w:spacing w:after="0"/>
              <w:rPr>
                <w:sz w:val="20"/>
                <w:szCs w:val="20"/>
                <w:color w:val="auto"/>
              </w:rPr>
            </w:pPr>
            <w:r>
              <w:rPr>
                <w:rFonts w:ascii="Times New Roman" w:cs="Times New Roman" w:eastAsia="Times New Roman" w:hAnsi="Times New Roman"/>
                <w:sz w:val="20"/>
                <w:szCs w:val="20"/>
                <w:color w:val="auto"/>
                <w:w w:val="97"/>
              </w:rPr>
              <w:t>INDEX TO QUARTERLY REPORT ON FORM 10-Q</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20" w:type="dxa"/>
            <w:vAlign w:val="bottom"/>
            <w:gridSpan w:val="13"/>
          </w:tcPr>
          <w:p>
            <w:pPr>
              <w:jc w:val="center"/>
              <w:ind w:right="2180"/>
              <w:spacing w:after="0"/>
              <w:rPr>
                <w:sz w:val="20"/>
                <w:szCs w:val="20"/>
                <w:color w:val="auto"/>
              </w:rPr>
            </w:pPr>
            <w:r>
              <w:rPr>
                <w:rFonts w:ascii="Times New Roman" w:cs="Times New Roman" w:eastAsia="Times New Roman" w:hAnsi="Times New Roman"/>
                <w:sz w:val="20"/>
                <w:szCs w:val="20"/>
                <w:color w:val="auto"/>
                <w:w w:val="98"/>
              </w:rPr>
              <w:t>For the Quarterly Period Ended March 31, 2019</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8"/>
        </w:trPr>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20" w:type="dxa"/>
            <w:vAlign w:val="bottom"/>
            <w:gridSpan w:val="9"/>
          </w:tcPr>
          <w:p>
            <w:pPr>
              <w:jc w:val="center"/>
              <w:ind w:right="3380"/>
              <w:spacing w:after="0"/>
              <w:rPr>
                <w:sz w:val="20"/>
                <w:szCs w:val="20"/>
                <w:color w:val="auto"/>
              </w:rPr>
            </w:pPr>
            <w:r>
              <w:rPr>
                <w:rFonts w:ascii="Times New Roman" w:cs="Times New Roman" w:eastAsia="Times New Roman" w:hAnsi="Times New Roman"/>
                <w:sz w:val="20"/>
                <w:szCs w:val="20"/>
                <w:color w:val="auto"/>
                <w:w w:val="99"/>
              </w:rPr>
              <w:t>(Unaudited)</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446"/>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00" w:type="dxa"/>
            <w:vAlign w:val="bottom"/>
            <w:gridSpan w:val="10"/>
          </w:tcPr>
          <w:p>
            <w:pPr>
              <w:jc w:val="center"/>
              <w:ind w:right="2500"/>
              <w:spacing w:after="0"/>
              <w:rPr>
                <w:sz w:val="20"/>
                <w:szCs w:val="20"/>
                <w:color w:val="auto"/>
              </w:rPr>
            </w:pPr>
            <w:r>
              <w:rPr>
                <w:rFonts w:ascii="Times New Roman" w:cs="Times New Roman" w:eastAsia="Times New Roman" w:hAnsi="Times New Roman"/>
                <w:sz w:val="20"/>
                <w:szCs w:val="20"/>
                <w:color w:val="auto"/>
                <w:w w:val="97"/>
              </w:rPr>
              <w:t>TABLE OF CONTENTS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6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00" w:type="dxa"/>
            <w:vAlign w:val="bottom"/>
            <w:gridSpan w:val="14"/>
          </w:tcPr>
          <w:p>
            <w:pPr>
              <w:jc w:val="center"/>
              <w:ind w:right="1960"/>
              <w:spacing w:after="0"/>
              <w:rPr>
                <w:rFonts w:ascii="Times New Roman" w:cs="Times New Roman" w:eastAsia="Times New Roman" w:hAnsi="Times New Roman"/>
                <w:sz w:val="20"/>
                <w:szCs w:val="20"/>
                <w:color w:val="0000FF"/>
                <w:w w:val="97"/>
              </w:rPr>
            </w:pPr>
            <w:hyperlink w:anchor="page3">
              <w:r>
                <w:rPr>
                  <w:rFonts w:ascii="Times New Roman" w:cs="Times New Roman" w:eastAsia="Times New Roman" w:hAnsi="Times New Roman"/>
                  <w:sz w:val="20"/>
                  <w:szCs w:val="20"/>
                  <w:color w:val="0000FF"/>
                  <w:w w:val="97"/>
                </w:rPr>
                <w:t>PART I — FINANCIAL INFORMATION</w:t>
              </w:r>
            </w:hyperlink>
          </w:p>
        </w:tc>
        <w:tc>
          <w:tcPr>
            <w:tcW w:w="1600" w:type="dxa"/>
            <w:vAlign w:val="bottom"/>
            <w:gridSpan w:val="3"/>
          </w:tcPr>
          <w:p>
            <w:pPr>
              <w:ind w:left="440"/>
              <w:spacing w:after="0"/>
              <w:rPr>
                <w:sz w:val="20"/>
                <w:szCs w:val="20"/>
                <w:color w:val="auto"/>
              </w:rPr>
            </w:pPr>
            <w:r>
              <w:rPr>
                <w:rFonts w:ascii="Times New Roman" w:cs="Times New Roman" w:eastAsia="Times New Roman" w:hAnsi="Times New Roman"/>
                <w:sz w:val="20"/>
                <w:szCs w:val="20"/>
                <w:color w:val="auto"/>
              </w:rPr>
              <w:t>Page No.</w:t>
            </w:r>
          </w:p>
        </w:tc>
      </w:tr>
      <w:tr>
        <w:trPr>
          <w:trHeight w:val="55"/>
        </w:trPr>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338"/>
        </w:trPr>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w:t>
            </w:r>
          </w:p>
        </w:tc>
        <w:tc>
          <w:tcPr>
            <w:tcW w:w="160" w:type="dxa"/>
            <w:vAlign w:val="bottom"/>
          </w:tcPr>
          <w:p>
            <w:pPr>
              <w:spacing w:after="0"/>
              <w:rPr>
                <w:sz w:val="24"/>
                <w:szCs w:val="24"/>
                <w:color w:val="auto"/>
              </w:rPr>
            </w:pPr>
          </w:p>
        </w:tc>
        <w:tc>
          <w:tcPr>
            <w:tcW w:w="8640" w:type="dxa"/>
            <w:vAlign w:val="bottom"/>
            <w:gridSpan w:val="21"/>
          </w:tcPr>
          <w:p>
            <w:pPr>
              <w:spacing w:after="0"/>
              <w:rPr>
                <w:rFonts w:ascii="Times New Roman" w:cs="Times New Roman" w:eastAsia="Times New Roman" w:hAnsi="Times New Roman"/>
                <w:sz w:val="20"/>
                <w:szCs w:val="20"/>
                <w:color w:val="0000EE"/>
              </w:rPr>
            </w:pPr>
            <w:hyperlink w:anchor="page3">
              <w:r>
                <w:rPr>
                  <w:rFonts w:ascii="Times New Roman" w:cs="Times New Roman" w:eastAsia="Times New Roman" w:hAnsi="Times New Roman"/>
                  <w:sz w:val="20"/>
                  <w:szCs w:val="20"/>
                  <w:color w:val="0000EE"/>
                </w:rPr>
                <w:t>Financial Statements (Unaudited)</w:t>
              </w:r>
            </w:hyperlink>
          </w:p>
        </w:tc>
        <w:tc>
          <w:tcPr>
            <w:tcW w:w="860" w:type="dxa"/>
            <w:vAlign w:val="bottom"/>
            <w:gridSpan w:val="2"/>
          </w:tcPr>
          <w:p>
            <w:pPr>
              <w:jc w:val="center"/>
              <w:ind w:left="661"/>
              <w:spacing w:after="0"/>
              <w:rPr>
                <w:rFonts w:ascii="Times New Roman" w:cs="Times New Roman" w:eastAsia="Times New Roman" w:hAnsi="Times New Roman"/>
                <w:sz w:val="20"/>
                <w:szCs w:val="20"/>
                <w:color w:val="0000EE"/>
                <w:w w:val="99"/>
              </w:rPr>
            </w:pPr>
            <w:hyperlink w:anchor="page3">
              <w:r>
                <w:rPr>
                  <w:rFonts w:ascii="Times New Roman" w:cs="Times New Roman" w:eastAsia="Times New Roman" w:hAnsi="Times New Roman"/>
                  <w:sz w:val="20"/>
                  <w:szCs w:val="20"/>
                  <w:color w:val="0000EE"/>
                  <w:w w:val="99"/>
                </w:rPr>
                <w:t>3</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40" w:type="dxa"/>
            <w:vAlign w:val="bottom"/>
            <w:gridSpan w:val="21"/>
          </w:tcPr>
          <w:p>
            <w:pPr>
              <w:ind w:left="140"/>
              <w:spacing w:after="0"/>
              <w:rPr>
                <w:rFonts w:ascii="Times New Roman" w:cs="Times New Roman" w:eastAsia="Times New Roman" w:hAnsi="Times New Roman"/>
                <w:sz w:val="20"/>
                <w:szCs w:val="20"/>
                <w:color w:val="0000EE"/>
              </w:rPr>
            </w:pPr>
            <w:hyperlink w:anchor="page3">
              <w:r>
                <w:rPr>
                  <w:rFonts w:ascii="Times New Roman" w:cs="Times New Roman" w:eastAsia="Times New Roman" w:hAnsi="Times New Roman"/>
                  <w:sz w:val="20"/>
                  <w:szCs w:val="20"/>
                  <w:color w:val="0000EE"/>
                </w:rPr>
                <w:t>Consolidated Financial Statements:</w:t>
              </w:r>
            </w:hyperlink>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80" w:type="dxa"/>
            <w:vAlign w:val="bottom"/>
            <w:gridSpan w:val="19"/>
          </w:tcPr>
          <w:p>
            <w:pPr>
              <w:spacing w:after="0"/>
              <w:rPr>
                <w:rFonts w:ascii="Times New Roman" w:cs="Times New Roman" w:eastAsia="Times New Roman" w:hAnsi="Times New Roman"/>
                <w:sz w:val="20"/>
                <w:szCs w:val="20"/>
                <w:color w:val="0000EE"/>
              </w:rPr>
            </w:pPr>
            <w:hyperlink w:anchor="page3">
              <w:r>
                <w:rPr>
                  <w:rFonts w:ascii="Times New Roman" w:cs="Times New Roman" w:eastAsia="Times New Roman" w:hAnsi="Times New Roman"/>
                  <w:sz w:val="20"/>
                  <w:szCs w:val="20"/>
                  <w:color w:val="0000EE"/>
                </w:rPr>
                <w:t>Consolidated Balance Sheets — March 31, 2019 and December 30, 2018</w:t>
              </w:r>
            </w:hyperlink>
          </w:p>
        </w:tc>
        <w:tc>
          <w:tcPr>
            <w:tcW w:w="860" w:type="dxa"/>
            <w:vAlign w:val="bottom"/>
            <w:gridSpan w:val="2"/>
          </w:tcPr>
          <w:p>
            <w:pPr>
              <w:jc w:val="center"/>
              <w:ind w:left="661"/>
              <w:spacing w:after="0"/>
              <w:rPr>
                <w:rFonts w:ascii="Times New Roman" w:cs="Times New Roman" w:eastAsia="Times New Roman" w:hAnsi="Times New Roman"/>
                <w:sz w:val="20"/>
                <w:szCs w:val="20"/>
                <w:color w:val="0000EE"/>
                <w:w w:val="99"/>
              </w:rPr>
            </w:pPr>
            <w:hyperlink w:anchor="page3">
              <w:r>
                <w:rPr>
                  <w:rFonts w:ascii="Times New Roman" w:cs="Times New Roman" w:eastAsia="Times New Roman" w:hAnsi="Times New Roman"/>
                  <w:sz w:val="20"/>
                  <w:szCs w:val="20"/>
                  <w:color w:val="0000EE"/>
                  <w:w w:val="99"/>
                </w:rPr>
                <w:t>3</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80" w:type="dxa"/>
            <w:vAlign w:val="bottom"/>
            <w:gridSpan w:val="17"/>
          </w:tcPr>
          <w:p>
            <w:pPr>
              <w:spacing w:after="0"/>
              <w:rPr>
                <w:rFonts w:ascii="Times New Roman" w:cs="Times New Roman" w:eastAsia="Times New Roman" w:hAnsi="Times New Roman"/>
                <w:sz w:val="20"/>
                <w:szCs w:val="20"/>
                <w:color w:val="0000EE"/>
              </w:rPr>
            </w:pPr>
            <w:hyperlink w:anchor="page4">
              <w:r>
                <w:rPr>
                  <w:rFonts w:ascii="Times New Roman" w:cs="Times New Roman" w:eastAsia="Times New Roman" w:hAnsi="Times New Roman"/>
                  <w:sz w:val="20"/>
                  <w:szCs w:val="20"/>
                  <w:color w:val="0000EE"/>
                </w:rPr>
                <w:t>Consolidated Statements of Operations and Comprehensive Income —</w:t>
              </w:r>
            </w:hyperlink>
          </w:p>
        </w:tc>
        <w:tc>
          <w:tcPr>
            <w:tcW w:w="2500" w:type="dxa"/>
            <w:vAlign w:val="bottom"/>
            <w:gridSpan w:val="2"/>
          </w:tcPr>
          <w:p>
            <w:pPr>
              <w:spacing w:after="0"/>
              <w:rPr>
                <w:sz w:val="24"/>
                <w:szCs w:val="24"/>
                <w:color w:val="auto"/>
              </w:rPr>
            </w:pPr>
          </w:p>
        </w:tc>
        <w:tc>
          <w:tcPr>
            <w:tcW w:w="860" w:type="dxa"/>
            <w:vAlign w:val="bottom"/>
            <w:gridSpan w:val="2"/>
          </w:tcPr>
          <w:p>
            <w:pPr>
              <w:jc w:val="center"/>
              <w:ind w:left="661"/>
              <w:spacing w:after="0"/>
              <w:rPr>
                <w:rFonts w:ascii="Times New Roman" w:cs="Times New Roman" w:eastAsia="Times New Roman" w:hAnsi="Times New Roman"/>
                <w:sz w:val="20"/>
                <w:szCs w:val="20"/>
                <w:color w:val="0000EE"/>
                <w:w w:val="99"/>
              </w:rPr>
            </w:pPr>
            <w:hyperlink w:anchor="page4">
              <w:r>
                <w:rPr>
                  <w:rFonts w:ascii="Times New Roman" w:cs="Times New Roman" w:eastAsia="Times New Roman" w:hAnsi="Times New Roman"/>
                  <w:sz w:val="20"/>
                  <w:szCs w:val="20"/>
                  <w:color w:val="0000EE"/>
                  <w:w w:val="99"/>
                </w:rPr>
                <w:t>4</w:t>
              </w:r>
            </w:hyperlink>
          </w:p>
        </w:tc>
        <w:tc>
          <w:tcPr>
            <w:tcW w:w="740" w:type="dxa"/>
            <w:vAlign w:val="bottom"/>
          </w:tcPr>
          <w:p>
            <w:pPr>
              <w:spacing w:after="0"/>
              <w:rPr>
                <w:sz w:val="24"/>
                <w:szCs w:val="24"/>
                <w:color w:val="auto"/>
              </w:rPr>
            </w:pPr>
          </w:p>
        </w:tc>
      </w:tr>
      <w:tr>
        <w:trPr>
          <w:trHeight w:val="210"/>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0" w:type="dxa"/>
            <w:vAlign w:val="bottom"/>
            <w:tcBorders>
              <w:top w:val="single" w:sz="8" w:color="0000EE"/>
            </w:tcBorders>
            <w:gridSpan w:val="15"/>
          </w:tcPr>
          <w:p>
            <w:pPr>
              <w:spacing w:after="0" w:line="209" w:lineRule="exact"/>
              <w:rPr>
                <w:rFonts w:ascii="Times New Roman" w:cs="Times New Roman" w:eastAsia="Times New Roman" w:hAnsi="Times New Roman"/>
                <w:sz w:val="20"/>
                <w:szCs w:val="20"/>
                <w:color w:val="0000EE"/>
              </w:rPr>
            </w:pPr>
            <w:hyperlink w:anchor="page4">
              <w:r>
                <w:rPr>
                  <w:rFonts w:ascii="Times New Roman" w:cs="Times New Roman" w:eastAsia="Times New Roman" w:hAnsi="Times New Roman"/>
                  <w:sz w:val="20"/>
                  <w:szCs w:val="20"/>
                  <w:color w:val="0000EE"/>
                </w:rPr>
                <w:t>For the Thirteen Weeks Ended March 31, 2019 and April 1, 2018</w:t>
              </w:r>
            </w:hyperlink>
          </w:p>
        </w:tc>
        <w:tc>
          <w:tcPr>
            <w:tcW w:w="2680" w:type="dxa"/>
            <w:vAlign w:val="bottom"/>
            <w:gridSpan w:val="4"/>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40" w:type="dxa"/>
            <w:vAlign w:val="bottom"/>
          </w:tcPr>
          <w:p>
            <w:pPr>
              <w:spacing w:after="0"/>
              <w:rPr>
                <w:sz w:val="18"/>
                <w:szCs w:val="18"/>
                <w:color w:val="auto"/>
              </w:rPr>
            </w:pPr>
          </w:p>
        </w:tc>
      </w:tr>
      <w:tr>
        <w:trPr>
          <w:trHeight w:val="54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80" w:type="dxa"/>
            <w:vAlign w:val="bottom"/>
            <w:tcBorders>
              <w:top w:val="single" w:sz="8" w:color="0000EE"/>
            </w:tcBorders>
            <w:gridSpan w:val="12"/>
          </w:tcPr>
          <w:p>
            <w:pPr>
              <w:spacing w:after="0"/>
              <w:rPr>
                <w:rFonts w:ascii="Times New Roman" w:cs="Times New Roman" w:eastAsia="Times New Roman" w:hAnsi="Times New Roman"/>
                <w:sz w:val="20"/>
                <w:szCs w:val="20"/>
                <w:color w:val="0000EE"/>
                <w:w w:val="98"/>
              </w:rPr>
            </w:pPr>
            <w:hyperlink w:anchor="page5">
              <w:r>
                <w:rPr>
                  <w:rFonts w:ascii="Times New Roman" w:cs="Times New Roman" w:eastAsia="Times New Roman" w:hAnsi="Times New Roman"/>
                  <w:sz w:val="20"/>
                  <w:szCs w:val="20"/>
                  <w:color w:val="0000EE"/>
                  <w:w w:val="98"/>
                </w:rPr>
                <w:t>Consolidated Statements of Changes in Stockholders’ Equity —</w:t>
              </w:r>
            </w:hyperlink>
          </w:p>
        </w:tc>
        <w:tc>
          <w:tcPr>
            <w:tcW w:w="80" w:type="dxa"/>
            <w:vAlign w:val="bottom"/>
            <w:tcBorders>
              <w:top w:val="single" w:sz="8" w:color="0000EE"/>
            </w:tcBorders>
          </w:tcPr>
          <w:p>
            <w:pPr>
              <w:spacing w:after="0"/>
              <w:rPr>
                <w:sz w:val="24"/>
                <w:szCs w:val="24"/>
                <w:color w:val="auto"/>
              </w:rPr>
            </w:pPr>
          </w:p>
        </w:tc>
        <w:tc>
          <w:tcPr>
            <w:tcW w:w="3120" w:type="dxa"/>
            <w:vAlign w:val="bottom"/>
            <w:gridSpan w:val="6"/>
          </w:tcPr>
          <w:p>
            <w:pPr>
              <w:spacing w:after="0"/>
              <w:rPr>
                <w:sz w:val="24"/>
                <w:szCs w:val="24"/>
                <w:color w:val="auto"/>
              </w:rPr>
            </w:pPr>
          </w:p>
        </w:tc>
        <w:tc>
          <w:tcPr>
            <w:tcW w:w="860" w:type="dxa"/>
            <w:vAlign w:val="bottom"/>
            <w:gridSpan w:val="2"/>
          </w:tcPr>
          <w:p>
            <w:pPr>
              <w:jc w:val="center"/>
              <w:ind w:left="661"/>
              <w:spacing w:after="0"/>
              <w:rPr>
                <w:rFonts w:ascii="Times New Roman" w:cs="Times New Roman" w:eastAsia="Times New Roman" w:hAnsi="Times New Roman"/>
                <w:sz w:val="20"/>
                <w:szCs w:val="20"/>
                <w:color w:val="0000EE"/>
                <w:w w:val="99"/>
              </w:rPr>
            </w:pPr>
            <w:hyperlink w:anchor="page5">
              <w:r>
                <w:rPr>
                  <w:rFonts w:ascii="Times New Roman" w:cs="Times New Roman" w:eastAsia="Times New Roman" w:hAnsi="Times New Roman"/>
                  <w:sz w:val="20"/>
                  <w:szCs w:val="20"/>
                  <w:color w:val="0000EE"/>
                  <w:w w:val="99"/>
                </w:rPr>
                <w:t>5</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80" w:type="dxa"/>
            <w:vAlign w:val="bottom"/>
            <w:gridSpan w:val="19"/>
          </w:tcPr>
          <w:p>
            <w:pPr>
              <w:spacing w:after="0" w:line="209" w:lineRule="exact"/>
              <w:rPr>
                <w:rFonts w:ascii="Times New Roman" w:cs="Times New Roman" w:eastAsia="Times New Roman" w:hAnsi="Times New Roman"/>
                <w:sz w:val="20"/>
                <w:szCs w:val="20"/>
                <w:color w:val="0000EE"/>
              </w:rPr>
            </w:pPr>
            <w:hyperlink w:anchor="page5">
              <w:r>
                <w:rPr>
                  <w:rFonts w:ascii="Times New Roman" w:cs="Times New Roman" w:eastAsia="Times New Roman" w:hAnsi="Times New Roman"/>
                  <w:sz w:val="20"/>
                  <w:szCs w:val="20"/>
                  <w:color w:val="0000EE"/>
                </w:rPr>
                <w:t>For the Thirteen Weeks Ended March 31, 2019 and April 1, 2018</w:t>
              </w:r>
            </w:hyperlink>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tcBorders>
              <w:top w:val="single" w:sz="8" w:color="0000EE"/>
            </w:tcBorders>
            <w:gridSpan w:val="11"/>
          </w:tcPr>
          <w:p>
            <w:pPr>
              <w:spacing w:after="0"/>
              <w:rPr>
                <w:rFonts w:ascii="Times New Roman" w:cs="Times New Roman" w:eastAsia="Times New Roman" w:hAnsi="Times New Roman"/>
                <w:sz w:val="20"/>
                <w:szCs w:val="20"/>
                <w:color w:val="0000EE"/>
                <w:w w:val="99"/>
              </w:rPr>
            </w:pPr>
            <w:hyperlink w:anchor="page7">
              <w:r>
                <w:rPr>
                  <w:rFonts w:ascii="Times New Roman" w:cs="Times New Roman" w:eastAsia="Times New Roman" w:hAnsi="Times New Roman"/>
                  <w:sz w:val="20"/>
                  <w:szCs w:val="20"/>
                  <w:color w:val="0000EE"/>
                  <w:w w:val="99"/>
                </w:rPr>
                <w:t>Condensed Consolidated Statements of Cash Flows —</w:t>
              </w:r>
            </w:hyperlink>
          </w:p>
        </w:tc>
        <w:tc>
          <w:tcPr>
            <w:tcW w:w="780" w:type="dxa"/>
            <w:vAlign w:val="bottom"/>
            <w:tcBorders>
              <w:top w:val="single" w:sz="8" w:color="0000EE"/>
            </w:tcBorders>
            <w:gridSpan w:val="2"/>
          </w:tcPr>
          <w:p>
            <w:pPr>
              <w:spacing w:after="0"/>
              <w:rPr>
                <w:sz w:val="24"/>
                <w:szCs w:val="24"/>
                <w:color w:val="auto"/>
              </w:rPr>
            </w:pPr>
          </w:p>
        </w:tc>
        <w:tc>
          <w:tcPr>
            <w:tcW w:w="3120" w:type="dxa"/>
            <w:vAlign w:val="bottom"/>
            <w:gridSpan w:val="6"/>
          </w:tcPr>
          <w:p>
            <w:pPr>
              <w:spacing w:after="0"/>
              <w:rPr>
                <w:sz w:val="24"/>
                <w:szCs w:val="24"/>
                <w:color w:val="auto"/>
              </w:rPr>
            </w:pPr>
          </w:p>
        </w:tc>
        <w:tc>
          <w:tcPr>
            <w:tcW w:w="860" w:type="dxa"/>
            <w:vAlign w:val="bottom"/>
            <w:gridSpan w:val="2"/>
          </w:tcPr>
          <w:p>
            <w:pPr>
              <w:jc w:val="center"/>
              <w:ind w:left="661"/>
              <w:spacing w:after="0"/>
              <w:rPr>
                <w:rFonts w:ascii="Times New Roman" w:cs="Times New Roman" w:eastAsia="Times New Roman" w:hAnsi="Times New Roman"/>
                <w:sz w:val="20"/>
                <w:szCs w:val="20"/>
                <w:color w:val="0000EE"/>
                <w:w w:val="99"/>
              </w:rPr>
            </w:pPr>
            <w:hyperlink w:anchor="page7">
              <w:r>
                <w:rPr>
                  <w:rFonts w:ascii="Times New Roman" w:cs="Times New Roman" w:eastAsia="Times New Roman" w:hAnsi="Times New Roman"/>
                  <w:sz w:val="20"/>
                  <w:szCs w:val="20"/>
                  <w:color w:val="0000EE"/>
                  <w:w w:val="99"/>
                </w:rPr>
                <w:t>7</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80" w:type="dxa"/>
            <w:vAlign w:val="bottom"/>
            <w:gridSpan w:val="19"/>
          </w:tcPr>
          <w:p>
            <w:pPr>
              <w:spacing w:after="0" w:line="209" w:lineRule="exact"/>
              <w:rPr>
                <w:rFonts w:ascii="Times New Roman" w:cs="Times New Roman" w:eastAsia="Times New Roman" w:hAnsi="Times New Roman"/>
                <w:sz w:val="20"/>
                <w:szCs w:val="20"/>
                <w:color w:val="0000EE"/>
              </w:rPr>
            </w:pPr>
            <w:hyperlink w:anchor="page7">
              <w:r>
                <w:rPr>
                  <w:rFonts w:ascii="Times New Roman" w:cs="Times New Roman" w:eastAsia="Times New Roman" w:hAnsi="Times New Roman"/>
                  <w:sz w:val="20"/>
                  <w:szCs w:val="20"/>
                  <w:color w:val="0000EE"/>
                </w:rPr>
                <w:t>For the Thirteen Weeks Ended March 31, 2019 and April 1, 2018</w:t>
              </w:r>
            </w:hyperlink>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54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tcBorders>
              <w:top w:val="single" w:sz="8" w:color="0000EE"/>
            </w:tcBorders>
            <w:gridSpan w:val="10"/>
          </w:tcPr>
          <w:p>
            <w:pPr>
              <w:spacing w:after="0"/>
              <w:rPr>
                <w:rFonts w:ascii="Times New Roman" w:cs="Times New Roman" w:eastAsia="Times New Roman" w:hAnsi="Times New Roman"/>
                <w:sz w:val="20"/>
                <w:szCs w:val="20"/>
                <w:color w:val="0000EE"/>
                <w:w w:val="98"/>
              </w:rPr>
            </w:pPr>
            <w:hyperlink w:anchor="page8">
              <w:r>
                <w:rPr>
                  <w:rFonts w:ascii="Times New Roman" w:cs="Times New Roman" w:eastAsia="Times New Roman" w:hAnsi="Times New Roman"/>
                  <w:sz w:val="20"/>
                  <w:szCs w:val="20"/>
                  <w:color w:val="0000EE"/>
                  <w:w w:val="98"/>
                </w:rPr>
                <w:t>Notes to Consolidated Financial Statements</w:t>
              </w:r>
            </w:hyperlink>
          </w:p>
        </w:tc>
        <w:tc>
          <w:tcPr>
            <w:tcW w:w="1700" w:type="dxa"/>
            <w:vAlign w:val="bottom"/>
            <w:tcBorders>
              <w:top w:val="single" w:sz="8" w:color="0000EE"/>
            </w:tcBorders>
            <w:gridSpan w:val="3"/>
          </w:tcPr>
          <w:p>
            <w:pPr>
              <w:spacing w:after="0"/>
              <w:rPr>
                <w:sz w:val="24"/>
                <w:szCs w:val="24"/>
                <w:color w:val="auto"/>
              </w:rPr>
            </w:pPr>
          </w:p>
        </w:tc>
        <w:tc>
          <w:tcPr>
            <w:tcW w:w="3120" w:type="dxa"/>
            <w:vAlign w:val="bottom"/>
            <w:gridSpan w:val="6"/>
          </w:tcPr>
          <w:p>
            <w:pPr>
              <w:spacing w:after="0"/>
              <w:rPr>
                <w:sz w:val="24"/>
                <w:szCs w:val="24"/>
                <w:color w:val="auto"/>
              </w:rPr>
            </w:pPr>
          </w:p>
        </w:tc>
        <w:tc>
          <w:tcPr>
            <w:tcW w:w="860" w:type="dxa"/>
            <w:vAlign w:val="bottom"/>
            <w:gridSpan w:val="2"/>
          </w:tcPr>
          <w:p>
            <w:pPr>
              <w:jc w:val="center"/>
              <w:ind w:left="661"/>
              <w:spacing w:after="0"/>
              <w:rPr>
                <w:rFonts w:ascii="Times New Roman" w:cs="Times New Roman" w:eastAsia="Times New Roman" w:hAnsi="Times New Roman"/>
                <w:sz w:val="20"/>
                <w:szCs w:val="20"/>
                <w:color w:val="0000EE"/>
                <w:w w:val="99"/>
              </w:rPr>
            </w:pPr>
            <w:hyperlink w:anchor="page8">
              <w:r>
                <w:rPr>
                  <w:rFonts w:ascii="Times New Roman" w:cs="Times New Roman" w:eastAsia="Times New Roman" w:hAnsi="Times New Roman"/>
                  <w:sz w:val="20"/>
                  <w:szCs w:val="20"/>
                  <w:color w:val="0000EE"/>
                  <w:w w:val="99"/>
                </w:rPr>
                <w:t>8</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2.</w:t>
            </w:r>
          </w:p>
        </w:tc>
        <w:tc>
          <w:tcPr>
            <w:tcW w:w="160" w:type="dxa"/>
            <w:vAlign w:val="bottom"/>
          </w:tcPr>
          <w:p>
            <w:pPr>
              <w:spacing w:after="0"/>
              <w:rPr>
                <w:sz w:val="24"/>
                <w:szCs w:val="24"/>
                <w:color w:val="auto"/>
              </w:rPr>
            </w:pPr>
          </w:p>
        </w:tc>
        <w:tc>
          <w:tcPr>
            <w:tcW w:w="8640" w:type="dxa"/>
            <w:vAlign w:val="bottom"/>
            <w:gridSpan w:val="21"/>
          </w:tcPr>
          <w:p>
            <w:pPr>
              <w:spacing w:after="0"/>
              <w:rPr>
                <w:rFonts w:ascii="Times New Roman" w:cs="Times New Roman" w:eastAsia="Times New Roman" w:hAnsi="Times New Roman"/>
                <w:sz w:val="20"/>
                <w:szCs w:val="20"/>
                <w:color w:val="0000EE"/>
              </w:rPr>
            </w:pPr>
            <w:hyperlink w:anchor="page24">
              <w:r>
                <w:rPr>
                  <w:rFonts w:ascii="Times New Roman" w:cs="Times New Roman" w:eastAsia="Times New Roman" w:hAnsi="Times New Roman"/>
                  <w:sz w:val="20"/>
                  <w:szCs w:val="20"/>
                  <w:color w:val="0000EE"/>
                </w:rPr>
                <w:t>Management’s Discussion and Analysis of Financial Condition and Results of Operations</w:t>
              </w:r>
            </w:hyperlink>
          </w:p>
        </w:tc>
        <w:tc>
          <w:tcPr>
            <w:tcW w:w="1600" w:type="dxa"/>
            <w:vAlign w:val="bottom"/>
            <w:gridSpan w:val="3"/>
          </w:tcPr>
          <w:p>
            <w:pPr>
              <w:jc w:val="center"/>
              <w:spacing w:after="0"/>
              <w:rPr>
                <w:rFonts w:ascii="Times New Roman" w:cs="Times New Roman" w:eastAsia="Times New Roman" w:hAnsi="Times New Roman"/>
                <w:sz w:val="20"/>
                <w:szCs w:val="20"/>
                <w:color w:val="0000EE"/>
                <w:w w:val="99"/>
              </w:rPr>
            </w:pPr>
            <w:hyperlink w:anchor="page24">
              <w:r>
                <w:rPr>
                  <w:rFonts w:ascii="Times New Roman" w:cs="Times New Roman" w:eastAsia="Times New Roman" w:hAnsi="Times New Roman"/>
                  <w:sz w:val="20"/>
                  <w:szCs w:val="20"/>
                  <w:color w:val="0000EE"/>
                  <w:w w:val="99"/>
                </w:rPr>
                <w:t>24</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3.</w:t>
            </w:r>
          </w:p>
        </w:tc>
        <w:tc>
          <w:tcPr>
            <w:tcW w:w="160" w:type="dxa"/>
            <w:vAlign w:val="bottom"/>
          </w:tcPr>
          <w:p>
            <w:pPr>
              <w:spacing w:after="0"/>
              <w:rPr>
                <w:sz w:val="24"/>
                <w:szCs w:val="24"/>
                <w:color w:val="auto"/>
              </w:rPr>
            </w:pPr>
          </w:p>
        </w:tc>
        <w:tc>
          <w:tcPr>
            <w:tcW w:w="4740" w:type="dxa"/>
            <w:vAlign w:val="bottom"/>
            <w:gridSpan w:val="13"/>
          </w:tcPr>
          <w:p>
            <w:pPr>
              <w:spacing w:after="0"/>
              <w:rPr>
                <w:rFonts w:ascii="Times New Roman" w:cs="Times New Roman" w:eastAsia="Times New Roman" w:hAnsi="Times New Roman"/>
                <w:sz w:val="20"/>
                <w:szCs w:val="20"/>
                <w:color w:val="0000EE"/>
                <w:w w:val="97"/>
              </w:rPr>
            </w:pPr>
            <w:hyperlink w:anchor="page43">
              <w:r>
                <w:rPr>
                  <w:rFonts w:ascii="Times New Roman" w:cs="Times New Roman" w:eastAsia="Times New Roman" w:hAnsi="Times New Roman"/>
                  <w:sz w:val="20"/>
                  <w:szCs w:val="20"/>
                  <w:color w:val="0000EE"/>
                  <w:w w:val="97"/>
                </w:rPr>
                <w:t>Quantitative and Qualitative Disclosures About Market Risk</w:t>
              </w:r>
            </w:hyperlink>
          </w:p>
        </w:tc>
        <w:tc>
          <w:tcPr>
            <w:tcW w:w="2360" w:type="dxa"/>
            <w:vAlign w:val="bottom"/>
            <w:gridSpan w:val="7"/>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Times New Roman" w:cs="Times New Roman" w:eastAsia="Times New Roman" w:hAnsi="Times New Roman"/>
                <w:sz w:val="19"/>
                <w:szCs w:val="19"/>
                <w:color w:val="0000EE"/>
                <w:w w:val="73"/>
              </w:rPr>
            </w:pPr>
            <w:hyperlink w:anchor="page43">
              <w:r>
                <w:rPr>
                  <w:rFonts w:ascii="Times New Roman" w:cs="Times New Roman" w:eastAsia="Times New Roman" w:hAnsi="Times New Roman"/>
                  <w:sz w:val="19"/>
                  <w:szCs w:val="19"/>
                  <w:color w:val="0000EE"/>
                  <w:w w:val="73"/>
                </w:rPr>
                <w:t>43</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4.</w:t>
            </w:r>
          </w:p>
        </w:tc>
        <w:tc>
          <w:tcPr>
            <w:tcW w:w="160" w:type="dxa"/>
            <w:vAlign w:val="bottom"/>
          </w:tcPr>
          <w:p>
            <w:pPr>
              <w:spacing w:after="0"/>
              <w:rPr>
                <w:sz w:val="24"/>
                <w:szCs w:val="24"/>
                <w:color w:val="auto"/>
              </w:rPr>
            </w:pPr>
          </w:p>
        </w:tc>
        <w:tc>
          <w:tcPr>
            <w:tcW w:w="4740" w:type="dxa"/>
            <w:vAlign w:val="bottom"/>
            <w:gridSpan w:val="13"/>
          </w:tcPr>
          <w:p>
            <w:pPr>
              <w:spacing w:after="0"/>
              <w:rPr>
                <w:rFonts w:ascii="Times New Roman" w:cs="Times New Roman" w:eastAsia="Times New Roman" w:hAnsi="Times New Roman"/>
                <w:sz w:val="20"/>
                <w:szCs w:val="20"/>
                <w:color w:val="0000FF"/>
              </w:rPr>
            </w:pPr>
            <w:hyperlink w:anchor="page43">
              <w:r>
                <w:rPr>
                  <w:rFonts w:ascii="Times New Roman" w:cs="Times New Roman" w:eastAsia="Times New Roman" w:hAnsi="Times New Roman"/>
                  <w:sz w:val="20"/>
                  <w:szCs w:val="20"/>
                  <w:color w:val="0000FF"/>
                </w:rPr>
                <w:t>Controls and Procedures</w:t>
              </w:r>
            </w:hyperlink>
          </w:p>
        </w:tc>
        <w:tc>
          <w:tcPr>
            <w:tcW w:w="3900" w:type="dxa"/>
            <w:vAlign w:val="bottom"/>
            <w:gridSpan w:val="8"/>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Times New Roman" w:cs="Times New Roman" w:eastAsia="Times New Roman" w:hAnsi="Times New Roman"/>
                <w:sz w:val="19"/>
                <w:szCs w:val="19"/>
                <w:color w:val="0000EE"/>
                <w:w w:val="73"/>
              </w:rPr>
            </w:pPr>
            <w:hyperlink w:anchor="page43">
              <w:r>
                <w:rPr>
                  <w:rFonts w:ascii="Times New Roman" w:cs="Times New Roman" w:eastAsia="Times New Roman" w:hAnsi="Times New Roman"/>
                  <w:sz w:val="19"/>
                  <w:szCs w:val="19"/>
                  <w:color w:val="0000EE"/>
                  <w:w w:val="73"/>
                </w:rPr>
                <w:t>43</w:t>
              </w:r>
            </w:hyperlink>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40" w:type="dxa"/>
            <w:vAlign w:val="bottom"/>
            <w:gridSpan w:val="11"/>
          </w:tcPr>
          <w:p>
            <w:pPr>
              <w:jc w:val="center"/>
              <w:ind w:right="2820"/>
              <w:spacing w:after="0"/>
              <w:rPr>
                <w:rFonts w:ascii="Times New Roman" w:cs="Times New Roman" w:eastAsia="Times New Roman" w:hAnsi="Times New Roman"/>
                <w:sz w:val="20"/>
                <w:szCs w:val="20"/>
                <w:color w:val="0000FF"/>
                <w:w w:val="97"/>
              </w:rPr>
            </w:pPr>
            <w:hyperlink w:anchor="page44">
              <w:r>
                <w:rPr>
                  <w:rFonts w:ascii="Times New Roman" w:cs="Times New Roman" w:eastAsia="Times New Roman" w:hAnsi="Times New Roman"/>
                  <w:sz w:val="20"/>
                  <w:szCs w:val="20"/>
                  <w:color w:val="0000FF"/>
                  <w:w w:val="97"/>
                </w:rPr>
                <w:t>PART II — OTHER INFORMATION</w:t>
              </w:r>
            </w:hyperlink>
          </w:p>
        </w:tc>
        <w:tc>
          <w:tcPr>
            <w:tcW w:w="7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r>
      <w:tr>
        <w:trPr>
          <w:trHeight w:val="264"/>
        </w:trPr>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w:t>
            </w:r>
          </w:p>
        </w:tc>
        <w:tc>
          <w:tcPr>
            <w:tcW w:w="160" w:type="dxa"/>
            <w:vAlign w:val="bottom"/>
          </w:tcPr>
          <w:p>
            <w:pPr>
              <w:spacing w:after="0"/>
              <w:rPr>
                <w:sz w:val="22"/>
                <w:szCs w:val="22"/>
                <w:color w:val="auto"/>
              </w:rPr>
            </w:pPr>
          </w:p>
        </w:tc>
        <w:tc>
          <w:tcPr>
            <w:tcW w:w="1480" w:type="dxa"/>
            <w:vAlign w:val="bottom"/>
            <w:gridSpan w:val="6"/>
          </w:tcPr>
          <w:p>
            <w:pPr>
              <w:spacing w:after="0"/>
              <w:rPr>
                <w:rFonts w:ascii="Times New Roman" w:cs="Times New Roman" w:eastAsia="Times New Roman" w:hAnsi="Times New Roman"/>
                <w:sz w:val="20"/>
                <w:szCs w:val="20"/>
                <w:color w:val="0000FF"/>
                <w:w w:val="98"/>
              </w:rPr>
            </w:pPr>
            <w:hyperlink w:anchor="page44">
              <w:r>
                <w:rPr>
                  <w:rFonts w:ascii="Times New Roman" w:cs="Times New Roman" w:eastAsia="Times New Roman" w:hAnsi="Times New Roman"/>
                  <w:sz w:val="20"/>
                  <w:szCs w:val="20"/>
                  <w:color w:val="0000FF"/>
                  <w:w w:val="98"/>
                </w:rPr>
                <w:t>Legal Proceedings</w:t>
              </w:r>
            </w:hyperlink>
          </w:p>
        </w:tc>
        <w:tc>
          <w:tcPr>
            <w:tcW w:w="1320" w:type="dxa"/>
            <w:vAlign w:val="bottom"/>
            <w:gridSpan w:val="4"/>
          </w:tcPr>
          <w:p>
            <w:pPr>
              <w:spacing w:after="0"/>
              <w:rPr>
                <w:sz w:val="22"/>
                <w:szCs w:val="22"/>
                <w:color w:val="auto"/>
              </w:rPr>
            </w:pPr>
          </w:p>
        </w:tc>
        <w:tc>
          <w:tcPr>
            <w:tcW w:w="3020" w:type="dxa"/>
            <w:vAlign w:val="bottom"/>
            <w:tcBorders>
              <w:top w:val="single" w:sz="8" w:color="0000FF"/>
            </w:tcBorders>
            <w:gridSpan w:val="6"/>
          </w:tcPr>
          <w:p>
            <w:pPr>
              <w:spacing w:after="0"/>
              <w:rPr>
                <w:sz w:val="22"/>
                <w:szCs w:val="22"/>
                <w:color w:val="auto"/>
              </w:rPr>
            </w:pPr>
          </w:p>
        </w:tc>
        <w:tc>
          <w:tcPr>
            <w:tcW w:w="2820" w:type="dxa"/>
            <w:vAlign w:val="bottom"/>
            <w:gridSpan w:val="5"/>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gridSpan w:val="2"/>
          </w:tcPr>
          <w:p>
            <w:pPr>
              <w:jc w:val="center"/>
              <w:ind w:right="700"/>
              <w:spacing w:after="0"/>
              <w:rPr>
                <w:rFonts w:ascii="Times New Roman" w:cs="Times New Roman" w:eastAsia="Times New Roman" w:hAnsi="Times New Roman"/>
                <w:sz w:val="19"/>
                <w:szCs w:val="19"/>
                <w:color w:val="0000EE"/>
                <w:w w:val="73"/>
              </w:rPr>
            </w:pPr>
            <w:hyperlink w:anchor="page44">
              <w:r>
                <w:rPr>
                  <w:rFonts w:ascii="Times New Roman" w:cs="Times New Roman" w:eastAsia="Times New Roman" w:hAnsi="Times New Roman"/>
                  <w:sz w:val="19"/>
                  <w:szCs w:val="19"/>
                  <w:color w:val="0000EE"/>
                  <w:w w:val="73"/>
                </w:rPr>
                <w:t>44</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1A.</w:t>
            </w:r>
          </w:p>
        </w:tc>
        <w:tc>
          <w:tcPr>
            <w:tcW w:w="160" w:type="dxa"/>
            <w:vAlign w:val="bottom"/>
          </w:tcPr>
          <w:p>
            <w:pPr>
              <w:spacing w:after="0"/>
              <w:rPr>
                <w:sz w:val="24"/>
                <w:szCs w:val="24"/>
                <w:color w:val="auto"/>
              </w:rPr>
            </w:pPr>
          </w:p>
        </w:tc>
        <w:tc>
          <w:tcPr>
            <w:tcW w:w="1000" w:type="dxa"/>
            <w:vAlign w:val="bottom"/>
            <w:gridSpan w:val="5"/>
          </w:tcPr>
          <w:p>
            <w:pPr>
              <w:spacing w:after="0"/>
              <w:rPr>
                <w:rFonts w:ascii="Times New Roman" w:cs="Times New Roman" w:eastAsia="Times New Roman" w:hAnsi="Times New Roman"/>
                <w:sz w:val="20"/>
                <w:szCs w:val="20"/>
                <w:color w:val="0000FF"/>
                <w:w w:val="97"/>
              </w:rPr>
            </w:pPr>
            <w:hyperlink w:anchor="page44">
              <w:r>
                <w:rPr>
                  <w:rFonts w:ascii="Times New Roman" w:cs="Times New Roman" w:eastAsia="Times New Roman" w:hAnsi="Times New Roman"/>
                  <w:sz w:val="20"/>
                  <w:szCs w:val="20"/>
                  <w:color w:val="0000FF"/>
                  <w:w w:val="97"/>
                </w:rPr>
                <w:t>Risk Factors</w:t>
              </w:r>
            </w:hyperlink>
          </w:p>
        </w:tc>
        <w:tc>
          <w:tcPr>
            <w:tcW w:w="480" w:type="dxa"/>
            <w:vAlign w:val="bottom"/>
          </w:tcPr>
          <w:p>
            <w:pPr>
              <w:spacing w:after="0"/>
              <w:rPr>
                <w:sz w:val="24"/>
                <w:szCs w:val="24"/>
                <w:color w:val="auto"/>
              </w:rPr>
            </w:pPr>
          </w:p>
        </w:tc>
        <w:tc>
          <w:tcPr>
            <w:tcW w:w="7160" w:type="dxa"/>
            <w:vAlign w:val="bottom"/>
            <w:gridSpan w:val="15"/>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Times New Roman" w:cs="Times New Roman" w:eastAsia="Times New Roman" w:hAnsi="Times New Roman"/>
                <w:sz w:val="19"/>
                <w:szCs w:val="19"/>
                <w:color w:val="0000EE"/>
                <w:w w:val="73"/>
              </w:rPr>
            </w:pPr>
            <w:hyperlink w:anchor="page44">
              <w:r>
                <w:rPr>
                  <w:rFonts w:ascii="Times New Roman" w:cs="Times New Roman" w:eastAsia="Times New Roman" w:hAnsi="Times New Roman"/>
                  <w:sz w:val="19"/>
                  <w:szCs w:val="19"/>
                  <w:color w:val="0000EE"/>
                  <w:w w:val="73"/>
                </w:rPr>
                <w:t>44</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3900" w:type="dxa"/>
            <w:vAlign w:val="bottom"/>
            <w:gridSpan w:val="8"/>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2.</w:t>
            </w:r>
          </w:p>
        </w:tc>
        <w:tc>
          <w:tcPr>
            <w:tcW w:w="160" w:type="dxa"/>
            <w:vAlign w:val="bottom"/>
          </w:tcPr>
          <w:p>
            <w:pPr>
              <w:spacing w:after="0"/>
              <w:rPr>
                <w:sz w:val="24"/>
                <w:szCs w:val="24"/>
                <w:color w:val="auto"/>
              </w:rPr>
            </w:pPr>
          </w:p>
        </w:tc>
        <w:tc>
          <w:tcPr>
            <w:tcW w:w="8640" w:type="dxa"/>
            <w:vAlign w:val="bottom"/>
            <w:gridSpan w:val="21"/>
          </w:tcPr>
          <w:p>
            <w:pPr>
              <w:spacing w:after="0"/>
              <w:rPr>
                <w:rFonts w:ascii="Times New Roman" w:cs="Times New Roman" w:eastAsia="Times New Roman" w:hAnsi="Times New Roman"/>
                <w:sz w:val="20"/>
                <w:szCs w:val="20"/>
                <w:color w:val="0000FF"/>
              </w:rPr>
            </w:pPr>
            <w:hyperlink w:anchor="page44">
              <w:r>
                <w:rPr>
                  <w:rFonts w:ascii="Times New Roman" w:cs="Times New Roman" w:eastAsia="Times New Roman" w:hAnsi="Times New Roman"/>
                  <w:sz w:val="20"/>
                  <w:szCs w:val="20"/>
                  <w:color w:val="0000FF"/>
                </w:rPr>
                <w:t>Unregistered Sales of Equity Securities and Use of Proceeds</w:t>
              </w:r>
            </w:hyperlink>
          </w:p>
        </w:tc>
        <w:tc>
          <w:tcPr>
            <w:tcW w:w="1600" w:type="dxa"/>
            <w:vAlign w:val="bottom"/>
            <w:gridSpan w:val="3"/>
          </w:tcPr>
          <w:p>
            <w:pPr>
              <w:jc w:val="center"/>
              <w:spacing w:after="0"/>
              <w:rPr>
                <w:rFonts w:ascii="Times New Roman" w:cs="Times New Roman" w:eastAsia="Times New Roman" w:hAnsi="Times New Roman"/>
                <w:sz w:val="20"/>
                <w:szCs w:val="20"/>
                <w:color w:val="0000EE"/>
                <w:w w:val="99"/>
              </w:rPr>
            </w:pPr>
            <w:hyperlink w:anchor="page44">
              <w:r>
                <w:rPr>
                  <w:rFonts w:ascii="Times New Roman" w:cs="Times New Roman" w:eastAsia="Times New Roman" w:hAnsi="Times New Roman"/>
                  <w:sz w:val="20"/>
                  <w:szCs w:val="20"/>
                  <w:color w:val="0000EE"/>
                  <w:w w:val="99"/>
                </w:rPr>
                <w:t>44</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6.</w:t>
            </w:r>
          </w:p>
        </w:tc>
        <w:tc>
          <w:tcPr>
            <w:tcW w:w="160" w:type="dxa"/>
            <w:vAlign w:val="bottom"/>
          </w:tcPr>
          <w:p>
            <w:pPr>
              <w:spacing w:after="0"/>
              <w:rPr>
                <w:sz w:val="24"/>
                <w:szCs w:val="24"/>
                <w:color w:val="auto"/>
              </w:rPr>
            </w:pPr>
          </w:p>
        </w:tc>
        <w:tc>
          <w:tcPr>
            <w:tcW w:w="4740" w:type="dxa"/>
            <w:vAlign w:val="bottom"/>
            <w:gridSpan w:val="13"/>
          </w:tcPr>
          <w:p>
            <w:pPr>
              <w:spacing w:after="0"/>
              <w:rPr>
                <w:rFonts w:ascii="Times New Roman" w:cs="Times New Roman" w:eastAsia="Times New Roman" w:hAnsi="Times New Roman"/>
                <w:sz w:val="20"/>
                <w:szCs w:val="20"/>
                <w:color w:val="0000FF"/>
              </w:rPr>
            </w:pPr>
            <w:hyperlink w:anchor="page45">
              <w:r>
                <w:rPr>
                  <w:rFonts w:ascii="Times New Roman" w:cs="Times New Roman" w:eastAsia="Times New Roman" w:hAnsi="Times New Roman"/>
                  <w:sz w:val="20"/>
                  <w:szCs w:val="20"/>
                  <w:color w:val="0000FF"/>
                </w:rPr>
                <w:t>Exhibits</w:t>
              </w:r>
            </w:hyperlink>
          </w:p>
        </w:tc>
        <w:tc>
          <w:tcPr>
            <w:tcW w:w="3900" w:type="dxa"/>
            <w:vAlign w:val="bottom"/>
            <w:gridSpan w:val="8"/>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Times New Roman" w:cs="Times New Roman" w:eastAsia="Times New Roman" w:hAnsi="Times New Roman"/>
                <w:sz w:val="19"/>
                <w:szCs w:val="19"/>
                <w:color w:val="0000EE"/>
                <w:w w:val="73"/>
              </w:rPr>
            </w:pPr>
            <w:hyperlink w:anchor="page45">
              <w:r>
                <w:rPr>
                  <w:rFonts w:ascii="Times New Roman" w:cs="Times New Roman" w:eastAsia="Times New Roman" w:hAnsi="Times New Roman"/>
                  <w:sz w:val="19"/>
                  <w:szCs w:val="19"/>
                  <w:color w:val="0000EE"/>
                  <w:w w:val="73"/>
                </w:rPr>
                <w:t>45</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80" w:type="dxa"/>
            <w:vAlign w:val="bottom"/>
            <w:gridSpan w:val="17"/>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54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40" w:type="dxa"/>
            <w:vAlign w:val="bottom"/>
            <w:gridSpan w:val="21"/>
          </w:tcPr>
          <w:p>
            <w:pPr>
              <w:spacing w:after="0"/>
              <w:rPr>
                <w:rFonts w:ascii="Times New Roman" w:cs="Times New Roman" w:eastAsia="Times New Roman" w:hAnsi="Times New Roman"/>
                <w:sz w:val="20"/>
                <w:szCs w:val="20"/>
                <w:color w:val="0000FF"/>
              </w:rPr>
            </w:pPr>
            <w:hyperlink w:anchor="page46">
              <w:r>
                <w:rPr>
                  <w:rFonts w:ascii="Times New Roman" w:cs="Times New Roman" w:eastAsia="Times New Roman" w:hAnsi="Times New Roman"/>
                  <w:sz w:val="20"/>
                  <w:szCs w:val="20"/>
                  <w:color w:val="0000FF"/>
                </w:rPr>
                <w:t>Signature</w:t>
              </w:r>
            </w:hyperlink>
          </w:p>
        </w:tc>
        <w:tc>
          <w:tcPr>
            <w:tcW w:w="1600" w:type="dxa"/>
            <w:vAlign w:val="bottom"/>
            <w:gridSpan w:val="3"/>
          </w:tcPr>
          <w:p>
            <w:pPr>
              <w:jc w:val="center"/>
              <w:spacing w:after="0"/>
              <w:rPr>
                <w:rFonts w:ascii="Times New Roman" w:cs="Times New Roman" w:eastAsia="Times New Roman" w:hAnsi="Times New Roman"/>
                <w:sz w:val="20"/>
                <w:szCs w:val="20"/>
                <w:color w:val="0000EE"/>
                <w:w w:val="99"/>
              </w:rPr>
            </w:pPr>
            <w:hyperlink w:anchor="page46">
              <w:r>
                <w:rPr>
                  <w:rFonts w:ascii="Times New Roman" w:cs="Times New Roman" w:eastAsia="Times New Roman" w:hAnsi="Times New Roman"/>
                  <w:sz w:val="20"/>
                  <w:szCs w:val="20"/>
                  <w:color w:val="0000EE"/>
                  <w:w w:val="99"/>
                </w:rPr>
                <w:t>46</w:t>
              </w:r>
            </w:hyperlink>
          </w:p>
        </w:tc>
      </w:tr>
      <w:tr>
        <w:trPr>
          <w:trHeight w:val="50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top w:val="single" w:sz="8" w:color="0000FF"/>
            </w:tcBorders>
            <w:gridSpan w:val="4"/>
          </w:tcPr>
          <w:p>
            <w:pPr>
              <w:spacing w:after="0"/>
              <w:rPr>
                <w:sz w:val="24"/>
                <w:szCs w:val="24"/>
                <w:color w:val="auto"/>
              </w:rPr>
            </w:pPr>
          </w:p>
        </w:tc>
        <w:tc>
          <w:tcPr>
            <w:tcW w:w="3980" w:type="dxa"/>
            <w:vAlign w:val="bottom"/>
            <w:gridSpan w:val="9"/>
          </w:tcPr>
          <w:p>
            <w:pPr>
              <w:jc w:val="center"/>
              <w:ind w:left="3470"/>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 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30, 2018</w:t>
            </w:r>
          </w:p>
        </w:tc>
        <w:tc>
          <w:tcPr>
            <w:tcW w:w="0" w:type="dxa"/>
            <w:vAlign w:val="bottom"/>
          </w:tcPr>
          <w:p>
            <w:pPr>
              <w:spacing w:after="0"/>
              <w:rPr>
                <w:sz w:val="1"/>
                <w:szCs w:val="1"/>
                <w:color w:val="auto"/>
              </w:rPr>
            </w:pPr>
          </w:p>
        </w:tc>
      </w:tr>
      <w:tr>
        <w:trPr>
          <w:trHeight w:val="237"/>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7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82,766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71,823</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73,149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72,812</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 net</w:t>
            </w:r>
          </w:p>
        </w:tc>
        <w:tc>
          <w:tcPr>
            <w:tcW w:w="30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93,909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190,848</w:t>
            </w:r>
          </w:p>
        </w:tc>
        <w:tc>
          <w:tcPr>
            <w:tcW w:w="0" w:type="dxa"/>
            <w:vAlign w:val="bottom"/>
          </w:tcPr>
          <w:p>
            <w:pPr>
              <w:spacing w:after="0"/>
              <w:rPr>
                <w:sz w:val="1"/>
                <w:szCs w:val="1"/>
                <w:color w:val="auto"/>
              </w:rPr>
            </w:pPr>
          </w:p>
        </w:tc>
      </w:tr>
      <w:tr>
        <w:trPr>
          <w:trHeight w:val="224"/>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19"/>
                <w:szCs w:val="19"/>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249,824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335,483</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1,079,494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1,115,929</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1,276,311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297,784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295,427</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479,744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503,972</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49,766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92,990</w:t>
            </w: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Other assets, net</w:t>
            </w:r>
          </w:p>
        </w:tc>
        <w:tc>
          <w:tcPr>
            <w:tcW w:w="30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119,624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120,973</w:t>
            </w: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3,552,547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2,464,774</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166,320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174,488</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378,272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246,653</w:t>
            </w:r>
          </w:p>
        </w:tc>
        <w:tc>
          <w:tcPr>
            <w:tcW w:w="0" w:type="dxa"/>
            <w:vAlign w:val="bottom"/>
          </w:tcPr>
          <w:p>
            <w:pPr>
              <w:spacing w:after="0"/>
              <w:rPr>
                <w:sz w:val="1"/>
                <w:szCs w:val="1"/>
                <w:color w:val="auto"/>
              </w:rPr>
            </w:pPr>
          </w:p>
        </w:tc>
      </w:tr>
      <w:tr>
        <w:trPr>
          <w:trHeight w:val="224"/>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Unearned revenue</w:t>
            </w:r>
          </w:p>
        </w:tc>
        <w:tc>
          <w:tcPr>
            <w:tcW w:w="300" w:type="dxa"/>
            <w:vAlign w:val="bottom"/>
          </w:tcPr>
          <w:p>
            <w:pPr>
              <w:spacing w:after="0"/>
              <w:rPr>
                <w:sz w:val="19"/>
                <w:szCs w:val="19"/>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250,703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342,708</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0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26,680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27,190</w:t>
            </w:r>
          </w:p>
        </w:tc>
        <w:tc>
          <w:tcPr>
            <w:tcW w:w="0" w:type="dxa"/>
            <w:vAlign w:val="bottom"/>
          </w:tcPr>
          <w:p>
            <w:pPr>
              <w:spacing w:after="0"/>
              <w:rPr>
                <w:sz w:val="1"/>
                <w:szCs w:val="1"/>
                <w:color w:val="auto"/>
              </w:rPr>
            </w:pPr>
          </w:p>
        </w:tc>
      </w:tr>
      <w:tr>
        <w:trPr>
          <w:trHeight w:val="224"/>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Pr>
          <w:p>
            <w:pPr>
              <w:spacing w:after="0"/>
              <w:rPr>
                <w:sz w:val="19"/>
                <w:szCs w:val="19"/>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821,975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791,039</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1,285,073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rent</w:t>
            </w:r>
          </w:p>
        </w:tc>
        <w:tc>
          <w:tcPr>
            <w:tcW w:w="300" w:type="dxa"/>
            <w:vAlign w:val="bottom"/>
          </w:tcPr>
          <w:p>
            <w:pPr>
              <w:spacing w:after="0"/>
              <w:rPr>
                <w:sz w:val="20"/>
                <w:szCs w:val="20"/>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167,027</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14,730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14,790</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 net</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1,037,630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1,067,585</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portion of deferred gain on sale-leaseback transactions, net</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177,983</w:t>
            </w: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30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140,776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191,533</w:t>
            </w: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3,300,184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2,409,957</w:t>
            </w:r>
          </w:p>
        </w:tc>
        <w:tc>
          <w:tcPr>
            <w:tcW w:w="0" w:type="dxa"/>
            <w:vAlign w:val="bottom"/>
          </w:tcPr>
          <w:p>
            <w:pPr>
              <w:spacing w:after="0"/>
              <w:rPr>
                <w:sz w:val="1"/>
                <w:szCs w:val="1"/>
                <w:color w:val="auto"/>
              </w:rPr>
            </w:pPr>
          </w:p>
        </w:tc>
      </w:tr>
      <w:tr>
        <w:trPr>
          <w:trHeight w:val="217"/>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Bloomin’ Brands stockholders’ equity</w:t>
            </w: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Preferred stock, $0.01 par value, 25,000,000 shares authorized; no shares issued and outstanding as of</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March 31, 2019 and December 30, 2018</w:t>
            </w:r>
          </w:p>
        </w:tc>
        <w:tc>
          <w:tcPr>
            <w:tcW w:w="30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 $0.01 par value, 475,000,000 shares authorized; 91,646,542 and 91,271,825 shares issued</w:t>
            </w: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and outstanding as of March 31, 2019 and December 30, 2018, respectively</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913</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1,099,346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1,107,582</w:t>
            </w: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Accumulated deficit</w:t>
            </w:r>
          </w:p>
        </w:tc>
        <w:tc>
          <w:tcPr>
            <w:tcW w:w="3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(714,425)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(920,010)</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(142,755)</w:t>
            </w:r>
          </w:p>
        </w:tc>
        <w:tc>
          <w:tcPr>
            <w:tcW w:w="0" w:type="dxa"/>
            <w:vAlign w:val="bottom"/>
          </w:tcPr>
          <w:p>
            <w:pPr>
              <w:spacing w:after="0"/>
              <w:rPr>
                <w:sz w:val="1"/>
                <w:szCs w:val="1"/>
                <w:color w:val="auto"/>
              </w:rPr>
            </w:pPr>
          </w:p>
        </w:tc>
      </w:tr>
      <w:tr>
        <w:trPr>
          <w:trHeight w:val="224"/>
        </w:trPr>
        <w:tc>
          <w:tcPr>
            <w:tcW w:w="73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Bloomin’ Brands stockholders’ equity</w:t>
            </w:r>
          </w:p>
        </w:tc>
        <w:tc>
          <w:tcPr>
            <w:tcW w:w="300" w:type="dxa"/>
            <w:vAlign w:val="bottom"/>
          </w:tcPr>
          <w:p>
            <w:pPr>
              <w:spacing w:after="0"/>
              <w:rPr>
                <w:sz w:val="19"/>
                <w:szCs w:val="19"/>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244,184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45,730</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0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9,087</w:t>
            </w: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252,363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54,817</w:t>
            </w: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3,552,547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2,464,774</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 UNAUDITED)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APRIL 1, 2018</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Restaurant sales</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1,111,642</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1,099,003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1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16,489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17,462</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1,128,131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1,116,465</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Costs and expenses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sales</w:t>
            </w:r>
          </w:p>
        </w:tc>
        <w:tc>
          <w:tcPr>
            <w:tcW w:w="18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352,111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352,132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Labor and other related</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319,015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311,062</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18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250,854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253,345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49,482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50,120</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70,589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68,696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1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2,739</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1,045,637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1,038,094</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from operations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82,494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78,371</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(10,310)</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180" w:type="dxa"/>
            <w:vAlign w:val="bottom"/>
          </w:tcPr>
          <w:p>
            <w:pPr>
              <w:spacing w:after="0"/>
              <w:rPr>
                <w:sz w:val="19"/>
                <w:szCs w:val="19"/>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71,145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68,062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1,925</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spacing w:after="0"/>
              <w:rPr>
                <w:sz w:val="19"/>
                <w:szCs w:val="19"/>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65,649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66,137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1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739</w:t>
            </w:r>
          </w:p>
        </w:tc>
        <w:tc>
          <w:tcPr>
            <w:tcW w:w="0" w:type="dxa"/>
            <w:vAlign w:val="bottom"/>
          </w:tcPr>
          <w:p>
            <w:pPr>
              <w:spacing w:after="0"/>
              <w:rPr>
                <w:sz w:val="1"/>
                <w:szCs w:val="1"/>
                <w:color w:val="auto"/>
              </w:rPr>
            </w:pPr>
          </w:p>
        </w:tc>
      </w:tr>
      <w:tr>
        <w:trPr>
          <w:trHeight w:val="290"/>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attributable to Bloomin’ Brands</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64,300</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65,398</w:t>
            </w:r>
          </w:p>
        </w:tc>
        <w:tc>
          <w:tcPr>
            <w:tcW w:w="0" w:type="dxa"/>
            <w:vAlign w:val="bottom"/>
          </w:tcPr>
          <w:p>
            <w:pPr>
              <w:spacing w:after="0"/>
              <w:rPr>
                <w:sz w:val="1"/>
                <w:szCs w:val="1"/>
                <w:color w:val="auto"/>
              </w:rPr>
            </w:pPr>
          </w:p>
        </w:tc>
      </w:tr>
      <w:tr>
        <w:trPr>
          <w:trHeight w:val="271"/>
        </w:trPr>
        <w:tc>
          <w:tcPr>
            <w:tcW w:w="8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65,649</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66,137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 net of tax</w:t>
            </w:r>
          </w:p>
        </w:tc>
        <w:tc>
          <w:tcPr>
            <w:tcW w:w="18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5,755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1,349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(loss) gain on derivatives,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888</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Reclassification of adjustment for (gain) loss on derivatives included in Net income, net of tax</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66,659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68,682</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interests</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1,257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721</w:t>
            </w:r>
          </w:p>
        </w:tc>
        <w:tc>
          <w:tcPr>
            <w:tcW w:w="0" w:type="dxa"/>
            <w:vAlign w:val="bottom"/>
          </w:tcPr>
          <w:p>
            <w:pPr>
              <w:spacing w:after="0"/>
              <w:rPr>
                <w:sz w:val="1"/>
                <w:szCs w:val="1"/>
                <w:color w:val="auto"/>
              </w:rPr>
            </w:pPr>
          </w:p>
        </w:tc>
      </w:tr>
      <w:tr>
        <w:trPr>
          <w:trHeight w:val="244"/>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attributable to Bloomin’ Brands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65,402</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67,961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8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0.71</w:t>
            </w:r>
          </w:p>
        </w:tc>
        <w:tc>
          <w:tcPr>
            <w:tcW w:w="0" w:type="dxa"/>
            <w:vAlign w:val="bottom"/>
          </w:tcPr>
          <w:p>
            <w:pPr>
              <w:spacing w:after="0"/>
              <w:rPr>
                <w:sz w:val="1"/>
                <w:szCs w:val="1"/>
                <w:color w:val="auto"/>
              </w:rPr>
            </w:pPr>
          </w:p>
        </w:tc>
      </w:tr>
      <w:tr>
        <w:trPr>
          <w:trHeight w:val="237"/>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0.69</w:t>
            </w:r>
          </w:p>
        </w:tc>
        <w:tc>
          <w:tcPr>
            <w:tcW w:w="3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0.68</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91,415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92,268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92,661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95,782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 UNAUDITED)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BLOOMIN’ BRANDS, INC.</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960" w:type="dxa"/>
            <w:vAlign w:val="bottom"/>
          </w:tcPr>
          <w:p>
            <w:pPr>
              <w:spacing w:after="0"/>
              <w:rPr>
                <w:sz w:val="13"/>
                <w:szCs w:val="13"/>
                <w:color w:val="auto"/>
              </w:rPr>
            </w:pPr>
          </w:p>
        </w:tc>
        <w:tc>
          <w:tcPr>
            <w:tcW w:w="220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160" w:type="dxa"/>
            <w:vAlign w:val="bottom"/>
          </w:tcPr>
          <w:p>
            <w:pPr>
              <w:spacing w:after="0"/>
              <w:rPr>
                <w:sz w:val="13"/>
                <w:szCs w:val="13"/>
                <w:color w:val="auto"/>
              </w:rPr>
            </w:pPr>
          </w:p>
        </w:tc>
        <w:tc>
          <w:tcPr>
            <w:tcW w:w="164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960" w:type="dxa"/>
            <w:vAlign w:val="bottom"/>
          </w:tcPr>
          <w:p>
            <w:pPr>
              <w:spacing w:after="0"/>
              <w:rPr>
                <w:sz w:val="14"/>
                <w:szCs w:val="14"/>
                <w:color w:val="auto"/>
              </w:rPr>
            </w:pPr>
          </w:p>
        </w:tc>
        <w:tc>
          <w:tcPr>
            <w:tcW w:w="22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OTHER</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960" w:type="dxa"/>
            <w:vAlign w:val="bottom"/>
          </w:tcPr>
          <w:p>
            <w:pPr>
              <w:spacing w:after="0"/>
              <w:rPr>
                <w:sz w:val="9"/>
                <w:szCs w:val="9"/>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9"/>
                <w:szCs w:val="9"/>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9"/>
                <w:szCs w:val="9"/>
                <w:color w:val="auto"/>
              </w:rPr>
            </w:pPr>
          </w:p>
        </w:tc>
        <w:tc>
          <w:tcPr>
            <w:tcW w:w="1340" w:type="dxa"/>
            <w:vAlign w:val="bottom"/>
            <w:gridSpan w:val="2"/>
          </w:tcPr>
          <w:p>
            <w:pPr>
              <w:ind w:left="60"/>
              <w:spacing w:after="0" w:line="110"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220" w:type="dxa"/>
            <w:vAlign w:val="bottom"/>
          </w:tcPr>
          <w:p>
            <w:pPr>
              <w:spacing w:after="0"/>
              <w:rPr>
                <w:sz w:val="9"/>
                <w:szCs w:val="9"/>
                <w:color w:val="auto"/>
              </w:rPr>
            </w:pPr>
          </w:p>
        </w:tc>
        <w:tc>
          <w:tcPr>
            <w:tcW w:w="1140" w:type="dxa"/>
            <w:vAlign w:val="bottom"/>
            <w:gridSpan w:val="2"/>
          </w:tcPr>
          <w:p>
            <w:pPr>
              <w:ind w:left="120"/>
              <w:spacing w:after="0" w:line="110" w:lineRule="exact"/>
              <w:rPr>
                <w:sz w:val="20"/>
                <w:szCs w:val="20"/>
                <w:color w:val="auto"/>
              </w:rPr>
            </w:pPr>
            <w:r>
              <w:rPr>
                <w:rFonts w:ascii="Times New Roman" w:cs="Times New Roman" w:eastAsia="Times New Roman" w:hAnsi="Times New Roman"/>
                <w:sz w:val="12"/>
                <w:szCs w:val="12"/>
                <w:b w:val="1"/>
                <w:bCs w:val="1"/>
                <w:color w:val="auto"/>
              </w:rPr>
              <w:t>ULATED</w:t>
            </w:r>
          </w:p>
        </w:tc>
        <w:tc>
          <w:tcPr>
            <w:tcW w:w="160" w:type="dxa"/>
            <w:vAlign w:val="bottom"/>
          </w:tcPr>
          <w:p>
            <w:pPr>
              <w:spacing w:after="0"/>
              <w:rPr>
                <w:sz w:val="9"/>
                <w:szCs w:val="9"/>
                <w:color w:val="auto"/>
              </w:rPr>
            </w:pPr>
          </w:p>
        </w:tc>
        <w:tc>
          <w:tcPr>
            <w:tcW w:w="1640" w:type="dxa"/>
            <w:vAlign w:val="bottom"/>
            <w:gridSpan w:val="2"/>
          </w:tcPr>
          <w:p>
            <w:pPr>
              <w:jc w:val="center"/>
              <w:ind w:right="260"/>
              <w:spacing w:after="0" w:line="11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9"/>
                <w:szCs w:val="9"/>
                <w:color w:val="auto"/>
              </w:rPr>
            </w:pPr>
          </w:p>
        </w:tc>
        <w:tc>
          <w:tcPr>
            <w:tcW w:w="1420" w:type="dxa"/>
            <w:vAlign w:val="bottom"/>
            <w:gridSpan w:val="2"/>
          </w:tcPr>
          <w:p>
            <w:pPr>
              <w:jc w:val="center"/>
              <w:ind w:right="240"/>
              <w:spacing w:after="0" w:line="110" w:lineRule="exact"/>
              <w:rPr>
                <w:sz w:val="20"/>
                <w:szCs w:val="20"/>
                <w:color w:val="auto"/>
              </w:rPr>
            </w:pPr>
            <w:r>
              <w:rPr>
                <w:rFonts w:ascii="Times New Roman" w:cs="Times New Roman" w:eastAsia="Times New Roman" w:hAnsi="Times New Roman"/>
                <w:sz w:val="12"/>
                <w:szCs w:val="12"/>
                <w:b w:val="1"/>
                <w:bCs w:val="1"/>
                <w:color w:val="auto"/>
              </w:rPr>
              <w:t>CONTROLLING</w:t>
            </w:r>
          </w:p>
        </w:tc>
        <w:tc>
          <w:tcPr>
            <w:tcW w:w="160" w:type="dxa"/>
            <w:vAlign w:val="bottom"/>
          </w:tcPr>
          <w:p>
            <w:pPr>
              <w:spacing w:after="0"/>
              <w:rPr>
                <w:sz w:val="9"/>
                <w:szCs w:val="9"/>
                <w:color w:val="auto"/>
              </w:rPr>
            </w:pPr>
          </w:p>
        </w:tc>
        <w:tc>
          <w:tcPr>
            <w:tcW w:w="74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19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2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Balance, December 30, 2018</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91,272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1,107,582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(920,010)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9,087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54,817</w:t>
            </w:r>
          </w:p>
        </w:tc>
        <w:tc>
          <w:tcPr>
            <w:tcW w:w="0" w:type="dxa"/>
            <w:vAlign w:val="bottom"/>
          </w:tcPr>
          <w:p>
            <w:pPr>
              <w:spacing w:after="0"/>
              <w:rPr>
                <w:sz w:val="1"/>
                <w:szCs w:val="1"/>
                <w:color w:val="auto"/>
              </w:rPr>
            </w:pPr>
          </w:p>
        </w:tc>
      </w:tr>
      <w:tr>
        <w:trPr>
          <w:trHeight w:val="216"/>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Cumulative-effect from a</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accounting</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principle, net of tax</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141,285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141,285</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64,300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65,649</w:t>
            </w:r>
          </w:p>
        </w:tc>
        <w:tc>
          <w:tcPr>
            <w:tcW w:w="0" w:type="dxa"/>
            <w:vAlign w:val="bottom"/>
          </w:tcPr>
          <w:p>
            <w:pPr>
              <w:spacing w:after="0"/>
              <w:rPr>
                <w:sz w:val="1"/>
                <w:szCs w:val="1"/>
                <w:color w:val="auto"/>
              </w:rPr>
            </w:pPr>
          </w:p>
        </w:tc>
      </w:tr>
      <w:tr>
        <w:trPr>
          <w:trHeight w:val="216"/>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net of tax</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1,010</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dividends declared,</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$0.10 per common share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(9,140)</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3,993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3,993</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Common stock issued under</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plans (1)</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w:t>
            </w:r>
          </w:p>
        </w:tc>
        <w:tc>
          <w:tcPr>
            <w:tcW w:w="0" w:type="dxa"/>
            <w:vAlign w:val="bottom"/>
          </w:tcPr>
          <w:p>
            <w:pPr>
              <w:spacing w:after="0"/>
              <w:rPr>
                <w:sz w:val="1"/>
                <w:szCs w:val="1"/>
                <w:color w:val="auto"/>
              </w:rPr>
            </w:pPr>
          </w:p>
        </w:tc>
      </w:tr>
      <w:tr>
        <w:trPr>
          <w:trHeight w:val="216"/>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to</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Contributions from</w:t>
            </w: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3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2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37"/>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1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96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Balance, March 31, 2019</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91,647</w:t>
            </w: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916</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1,099,346</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(714,425)</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(141,653)</w:t>
            </w:r>
          </w:p>
        </w:tc>
        <w:tc>
          <w:tcPr>
            <w:tcW w:w="10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8,179</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252,363</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6"/>
          <w:szCs w:val="16"/>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 UNAUDITED)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BLOOMIN’ BRANDS, INC.</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960" w:type="dxa"/>
            <w:vAlign w:val="bottom"/>
          </w:tcPr>
          <w:p>
            <w:pPr>
              <w:spacing w:after="0"/>
              <w:rPr>
                <w:sz w:val="13"/>
                <w:szCs w:val="13"/>
                <w:color w:val="auto"/>
              </w:rPr>
            </w:pPr>
          </w:p>
        </w:tc>
        <w:tc>
          <w:tcPr>
            <w:tcW w:w="220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160" w:type="dxa"/>
            <w:vAlign w:val="bottom"/>
          </w:tcPr>
          <w:p>
            <w:pPr>
              <w:spacing w:after="0"/>
              <w:rPr>
                <w:sz w:val="13"/>
                <w:szCs w:val="13"/>
                <w:color w:val="auto"/>
              </w:rPr>
            </w:pPr>
          </w:p>
        </w:tc>
        <w:tc>
          <w:tcPr>
            <w:tcW w:w="164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960" w:type="dxa"/>
            <w:vAlign w:val="bottom"/>
          </w:tcPr>
          <w:p>
            <w:pPr>
              <w:spacing w:after="0"/>
              <w:rPr>
                <w:sz w:val="14"/>
                <w:szCs w:val="14"/>
                <w:color w:val="auto"/>
              </w:rPr>
            </w:pPr>
          </w:p>
        </w:tc>
        <w:tc>
          <w:tcPr>
            <w:tcW w:w="22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OTHER</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960" w:type="dxa"/>
            <w:vAlign w:val="bottom"/>
          </w:tcPr>
          <w:p>
            <w:pPr>
              <w:spacing w:after="0"/>
              <w:rPr>
                <w:sz w:val="9"/>
                <w:szCs w:val="9"/>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9"/>
                <w:szCs w:val="9"/>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9"/>
                <w:szCs w:val="9"/>
                <w:color w:val="auto"/>
              </w:rPr>
            </w:pPr>
          </w:p>
        </w:tc>
        <w:tc>
          <w:tcPr>
            <w:tcW w:w="1340" w:type="dxa"/>
            <w:vAlign w:val="bottom"/>
            <w:gridSpan w:val="2"/>
          </w:tcPr>
          <w:p>
            <w:pPr>
              <w:ind w:left="60"/>
              <w:spacing w:after="0" w:line="110"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220" w:type="dxa"/>
            <w:vAlign w:val="bottom"/>
          </w:tcPr>
          <w:p>
            <w:pPr>
              <w:spacing w:after="0"/>
              <w:rPr>
                <w:sz w:val="9"/>
                <w:szCs w:val="9"/>
                <w:color w:val="auto"/>
              </w:rPr>
            </w:pPr>
          </w:p>
        </w:tc>
        <w:tc>
          <w:tcPr>
            <w:tcW w:w="1140" w:type="dxa"/>
            <w:vAlign w:val="bottom"/>
            <w:gridSpan w:val="2"/>
          </w:tcPr>
          <w:p>
            <w:pPr>
              <w:ind w:left="120"/>
              <w:spacing w:after="0" w:line="110" w:lineRule="exact"/>
              <w:rPr>
                <w:sz w:val="20"/>
                <w:szCs w:val="20"/>
                <w:color w:val="auto"/>
              </w:rPr>
            </w:pPr>
            <w:r>
              <w:rPr>
                <w:rFonts w:ascii="Times New Roman" w:cs="Times New Roman" w:eastAsia="Times New Roman" w:hAnsi="Times New Roman"/>
                <w:sz w:val="12"/>
                <w:szCs w:val="12"/>
                <w:b w:val="1"/>
                <w:bCs w:val="1"/>
                <w:color w:val="auto"/>
              </w:rPr>
              <w:t>ULATED</w:t>
            </w:r>
          </w:p>
        </w:tc>
        <w:tc>
          <w:tcPr>
            <w:tcW w:w="160" w:type="dxa"/>
            <w:vAlign w:val="bottom"/>
          </w:tcPr>
          <w:p>
            <w:pPr>
              <w:spacing w:after="0"/>
              <w:rPr>
                <w:sz w:val="9"/>
                <w:szCs w:val="9"/>
                <w:color w:val="auto"/>
              </w:rPr>
            </w:pPr>
          </w:p>
        </w:tc>
        <w:tc>
          <w:tcPr>
            <w:tcW w:w="1640" w:type="dxa"/>
            <w:vAlign w:val="bottom"/>
            <w:gridSpan w:val="2"/>
          </w:tcPr>
          <w:p>
            <w:pPr>
              <w:jc w:val="center"/>
              <w:ind w:right="260"/>
              <w:spacing w:after="0" w:line="11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9"/>
                <w:szCs w:val="9"/>
                <w:color w:val="auto"/>
              </w:rPr>
            </w:pPr>
          </w:p>
        </w:tc>
        <w:tc>
          <w:tcPr>
            <w:tcW w:w="1420" w:type="dxa"/>
            <w:vAlign w:val="bottom"/>
            <w:gridSpan w:val="2"/>
          </w:tcPr>
          <w:p>
            <w:pPr>
              <w:jc w:val="center"/>
              <w:ind w:right="240"/>
              <w:spacing w:after="0" w:line="110" w:lineRule="exact"/>
              <w:rPr>
                <w:sz w:val="20"/>
                <w:szCs w:val="20"/>
                <w:color w:val="auto"/>
              </w:rPr>
            </w:pPr>
            <w:r>
              <w:rPr>
                <w:rFonts w:ascii="Times New Roman" w:cs="Times New Roman" w:eastAsia="Times New Roman" w:hAnsi="Times New Roman"/>
                <w:sz w:val="12"/>
                <w:szCs w:val="12"/>
                <w:b w:val="1"/>
                <w:bCs w:val="1"/>
                <w:color w:val="auto"/>
              </w:rPr>
              <w:t>CONTROLLING</w:t>
            </w:r>
          </w:p>
        </w:tc>
        <w:tc>
          <w:tcPr>
            <w:tcW w:w="160" w:type="dxa"/>
            <w:vAlign w:val="bottom"/>
          </w:tcPr>
          <w:p>
            <w:pPr>
              <w:spacing w:after="0"/>
              <w:rPr>
                <w:sz w:val="9"/>
                <w:szCs w:val="9"/>
                <w:color w:val="auto"/>
              </w:rPr>
            </w:pPr>
          </w:p>
        </w:tc>
        <w:tc>
          <w:tcPr>
            <w:tcW w:w="74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19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2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December 31, 2017</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91,913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1,081,813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(913,191)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10,889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81,231</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65,398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66,216</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net of tax</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2,563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2,545</w:t>
            </w:r>
          </w:p>
        </w:tc>
        <w:tc>
          <w:tcPr>
            <w:tcW w:w="0" w:type="dxa"/>
            <w:vAlign w:val="bottom"/>
          </w:tcPr>
          <w:p>
            <w:pPr>
              <w:spacing w:after="0"/>
              <w:rPr>
                <w:sz w:val="1"/>
                <w:szCs w:val="1"/>
                <w:color w:val="auto"/>
              </w:rPr>
            </w:pPr>
          </w:p>
        </w:tc>
      </w:tr>
      <w:tr>
        <w:trPr>
          <w:trHeight w:val="216"/>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dividends declared,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$0.09 per common share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(8,371)</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and retirement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of common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(50,996)</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5,121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5,121</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Common stock issued under</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plans (1)</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1,619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13,663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13,679</w:t>
            </w:r>
          </w:p>
        </w:tc>
        <w:tc>
          <w:tcPr>
            <w:tcW w:w="0" w:type="dxa"/>
            <w:vAlign w:val="bottom"/>
          </w:tcPr>
          <w:p>
            <w:pPr>
              <w:spacing w:after="0"/>
              <w:rPr>
                <w:sz w:val="1"/>
                <w:szCs w:val="1"/>
                <w:color w:val="auto"/>
              </w:rPr>
            </w:pPr>
          </w:p>
        </w:tc>
      </w:tr>
      <w:tr>
        <w:trPr>
          <w:trHeight w:val="216"/>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the redemption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value of redeemable</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Distributions to</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0" w:type="dxa"/>
            <w:vAlign w:val="bottom"/>
          </w:tcPr>
          <w:p>
            <w:pPr>
              <w:spacing w:after="0"/>
              <w:rPr>
                <w:sz w:val="1"/>
                <w:szCs w:val="1"/>
                <w:color w:val="auto"/>
              </w:rPr>
            </w:pPr>
          </w:p>
        </w:tc>
      </w:tr>
      <w:tr>
        <w:trPr>
          <w:trHeight w:val="216"/>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Contributions from</w:t>
            </w: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1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April 1, 2018</w:t>
            </w:r>
          </w:p>
        </w:tc>
        <w:tc>
          <w:tcPr>
            <w:tcW w:w="10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91,416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1,092,147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(898,768)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10,778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108,435</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96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forfeitures and shares withheld for employee taxes.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(DOLLARS IN THOUSANDS, UNAUDITED)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979"/>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64"/>
        </w:trPr>
        <w:tc>
          <w:tcPr>
            <w:tcW w:w="7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300" w:type="dxa"/>
            <w:vAlign w:val="bottom"/>
          </w:tcPr>
          <w:p>
            <w:pPr>
              <w:spacing w:after="0"/>
              <w:rPr>
                <w:sz w:val="22"/>
                <w:szCs w:val="22"/>
                <w:color w:val="auto"/>
              </w:rPr>
            </w:pPr>
          </w:p>
        </w:tc>
        <w:tc>
          <w:tcPr>
            <w:tcW w:w="16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APRIL 1, 2018</w:t>
            </w:r>
          </w:p>
        </w:tc>
        <w:tc>
          <w:tcPr>
            <w:tcW w:w="0" w:type="dxa"/>
            <w:vAlign w:val="bottom"/>
          </w:tcPr>
          <w:p>
            <w:pPr>
              <w:spacing w:after="0"/>
              <w:rPr>
                <w:sz w:val="1"/>
                <w:szCs w:val="1"/>
                <w:color w:val="auto"/>
              </w:rPr>
            </w:pPr>
          </w:p>
        </w:tc>
      </w:tr>
      <w:tr>
        <w:trPr>
          <w:trHeight w:val="237"/>
        </w:trPr>
        <w:tc>
          <w:tcPr>
            <w:tcW w:w="7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provided by operating activities: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65,649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66,137</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to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49,482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50,120</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deferred discounts and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643</w:t>
            </w: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deferred gift card sales commissions</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8,407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9,415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2,739</w:t>
            </w: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operating lease assets</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17,814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Stock-based and other non-cash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6,058</w:t>
            </w: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Loss on sale of a business or subsidiary</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Recognition of deferred gain on sale-leaseback transactions</w:t>
            </w:r>
          </w:p>
        </w:tc>
        <w:tc>
          <w:tcPr>
            <w:tcW w:w="280" w:type="dxa"/>
            <w:vAlign w:val="bottom"/>
          </w:tcPr>
          <w:p>
            <w:pPr>
              <w:spacing w:after="0"/>
              <w:rPr>
                <w:sz w:val="20"/>
                <w:szCs w:val="20"/>
                <w:color w:val="auto"/>
              </w:rPr>
            </w:pP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70"/>
        </w:trPr>
        <w:tc>
          <w:tcPr>
            <w:tcW w:w="74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2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(66,730)</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(80,748)</w:t>
            </w: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83,883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51,535</w:t>
            </w:r>
          </w:p>
        </w:tc>
        <w:tc>
          <w:tcPr>
            <w:tcW w:w="0" w:type="dxa"/>
            <w:vAlign w:val="bottom"/>
          </w:tcPr>
          <w:p>
            <w:pPr>
              <w:spacing w:after="0"/>
              <w:rPr>
                <w:sz w:val="1"/>
                <w:szCs w:val="1"/>
                <w:color w:val="auto"/>
              </w:rPr>
            </w:pPr>
          </w:p>
        </w:tc>
      </w:tr>
      <w:tr>
        <w:trPr>
          <w:trHeight w:val="217"/>
        </w:trPr>
        <w:tc>
          <w:tcPr>
            <w:tcW w:w="7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(48,347)</w:t>
            </w:r>
          </w:p>
        </w:tc>
        <w:tc>
          <w:tcPr>
            <w:tcW w:w="0" w:type="dxa"/>
            <w:vAlign w:val="bottom"/>
          </w:tcPr>
          <w:p>
            <w:pPr>
              <w:spacing w:after="0"/>
              <w:rPr>
                <w:sz w:val="1"/>
                <w:szCs w:val="1"/>
                <w:color w:val="auto"/>
              </w:rPr>
            </w:pPr>
          </w:p>
        </w:tc>
      </w:tr>
      <w:tr>
        <w:trPr>
          <w:trHeight w:val="270"/>
        </w:trPr>
        <w:tc>
          <w:tcPr>
            <w:tcW w:w="74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Other investments, net</w:t>
            </w:r>
          </w:p>
        </w:tc>
        <w:tc>
          <w:tcPr>
            <w:tcW w:w="2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2,690</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2,137</w:t>
            </w: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(46,210)</w:t>
            </w:r>
          </w:p>
        </w:tc>
        <w:tc>
          <w:tcPr>
            <w:tcW w:w="0" w:type="dxa"/>
            <w:vAlign w:val="bottom"/>
          </w:tcPr>
          <w:p>
            <w:pPr>
              <w:spacing w:after="0"/>
              <w:rPr>
                <w:sz w:val="1"/>
                <w:szCs w:val="1"/>
                <w:color w:val="auto"/>
              </w:rPr>
            </w:pPr>
          </w:p>
        </w:tc>
      </w:tr>
      <w:tr>
        <w:trPr>
          <w:trHeight w:val="231"/>
        </w:trPr>
        <w:tc>
          <w:tcPr>
            <w:tcW w:w="7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(6,436)</w:t>
            </w: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borrowings on revolving credit facilities, net</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148,200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151,829</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Repayments of borrowings on revolving credit facilities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(122,000)</w:t>
            </w: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(Payments of taxes) proceeds from the exercise of share-based compensation, net</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13,679</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Purchase of limited partnership and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Repayments of partner deposits and accrued partner obligations</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(50,996)</w:t>
            </w:r>
          </w:p>
        </w:tc>
        <w:tc>
          <w:tcPr>
            <w:tcW w:w="0" w:type="dxa"/>
            <w:vAlign w:val="bottom"/>
          </w:tcPr>
          <w:p>
            <w:pPr>
              <w:spacing w:after="0"/>
              <w:rPr>
                <w:sz w:val="1"/>
                <w:szCs w:val="1"/>
                <w:color w:val="auto"/>
              </w:rPr>
            </w:pPr>
          </w:p>
        </w:tc>
      </w:tr>
      <w:tr>
        <w:trPr>
          <w:trHeight w:val="270"/>
        </w:trPr>
        <w:tc>
          <w:tcPr>
            <w:tcW w:w="74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2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(9,140)</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(8,371)</w:t>
            </w: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(29,082)</w:t>
            </w:r>
          </w:p>
        </w:tc>
        <w:tc>
          <w:tcPr>
            <w:tcW w:w="0" w:type="dxa"/>
            <w:vAlign w:val="bottom"/>
          </w:tcPr>
          <w:p>
            <w:pPr>
              <w:spacing w:after="0"/>
              <w:rPr>
                <w:sz w:val="1"/>
                <w:szCs w:val="1"/>
                <w:color w:val="auto"/>
              </w:rPr>
            </w:pPr>
          </w:p>
        </w:tc>
      </w:tr>
      <w:tr>
        <w:trPr>
          <w:trHeight w:val="270"/>
        </w:trPr>
        <w:tc>
          <w:tcPr>
            <w:tcW w:w="7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459</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10,943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(23,703)</w:t>
            </w:r>
          </w:p>
        </w:tc>
        <w:tc>
          <w:tcPr>
            <w:tcW w:w="0" w:type="dxa"/>
            <w:vAlign w:val="bottom"/>
          </w:tcPr>
          <w:p>
            <w:pPr>
              <w:spacing w:after="0"/>
              <w:rPr>
                <w:sz w:val="1"/>
                <w:szCs w:val="1"/>
                <w:color w:val="auto"/>
              </w:rPr>
            </w:pPr>
          </w:p>
        </w:tc>
      </w:tr>
      <w:tr>
        <w:trPr>
          <w:trHeight w:val="270"/>
        </w:trPr>
        <w:tc>
          <w:tcPr>
            <w:tcW w:w="7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as of the beginning of the period</w:t>
            </w:r>
          </w:p>
        </w:tc>
        <w:tc>
          <w:tcPr>
            <w:tcW w:w="2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71,823</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129,543</w:t>
            </w: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as of the end of the period</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82,766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105,840</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paid for interest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9,401</w:t>
            </w: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4,255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1,696</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Supplemental disclosures of non-cash investing and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Leased assets obtained in exchange for new operating lease liabilities</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17,618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Leased assets obtained in exchange for new finance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Decrease in liabilities from the acquisition of property, fixtures and equipment or capital leases</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(4,985)</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118" w:right="259" w:bottom="1440" w:gutter="0" w:footer="0" w:header="0"/>
          <w:type w:val="continuous"/>
        </w:sectPr>
      </w:pPr>
    </w:p>
    <w:bookmarkStart w:id="7" w:name="page8"/>
    <w:bookmarkEnd w:id="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color w:val="auto"/>
        </w:rPr>
        <w:t>Description of the Business and Basis of Presentation</w:t>
      </w:r>
    </w:p>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Description of the Business - </w:t>
      </w:r>
      <w:r>
        <w:rPr>
          <w:rFonts w:ascii="Times New Roman" w:cs="Times New Roman" w:eastAsia="Times New Roman" w:hAnsi="Times New Roman"/>
          <w:sz w:val="20"/>
          <w:szCs w:val="20"/>
          <w:color w:val="auto"/>
        </w:rPr>
        <w:t>Bloomin’ Brands (“Bloomin’ Brands” or the “Company”) owns and operates casual, upscale casual and fine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dining restaurants. The Company’s restaurant portfolio has four concepts: Outback Steakhouse, Carrabba’s Italian Grill, Bonefish Grill and Fleming’s Prime Steakhouse &amp; Wine Bar. Additional Outback Steakhouse, Carrabba’s Italian Grill and Bonefish Grill restaurants in which the Company has no direct investment are operated under franchise agreements.</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Basis of Presentation - </w:t>
      </w:r>
      <w:r>
        <w:rPr>
          <w:rFonts w:ascii="Times New Roman" w:cs="Times New Roman" w:eastAsia="Times New Roman" w:hAnsi="Times New Roman"/>
          <w:sz w:val="20"/>
          <w:szCs w:val="20"/>
          <w:color w:val="auto"/>
        </w:rPr>
        <w:t>The accompanying interim unaudited consolidated financial statements have been prepared by the Company pursuant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rules and regulations of the Securities and Exchange Commission. Accordingly, they do not include all the information and footnotes required by generally accepted accounting principles in the United States (“U.S. GAAP”) for complete financial statements. In the opinion of the Company, all adjustments necessary for fair financial statement presentation for the periods presented have been included and are of a normal, recurring nature. The results of operations for interim periods are not necessarily indicative of the results to be expected for the full year. These financial statements should be read in conjunction with the audited financial statements and notes thereto included in the Company’s Annual Report on Form 10-K for the year ended December 30, 2018.</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Recently Adopted Financial Accounting Standards </w:t>
      </w:r>
      <w:r>
        <w:rPr>
          <w:rFonts w:ascii="Times New Roman" w:cs="Times New Roman" w:eastAsia="Times New Roman" w:hAnsi="Times New Roman"/>
          <w:sz w:val="20"/>
          <w:szCs w:val="20"/>
          <w:color w:val="auto"/>
        </w:rPr>
        <w:t>- On December 31, 2018, the Company adopted Accounting Standards Update (“ASU”) No.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2016-02: Leases (Topic 842) (“ASU No. 2016-02”), ASU No. 2018-01: Leases (Topic 842): Land Easement Practical Expedient for Transition to Topic 842 (“ASU No. 2018-01”), and ASU No. 2018-11: Leases (Topic 842): Targeted Improvements (“ASU No. 2018-11”). ASU No. 2016-02 requires the lease rights and obligations arising from lease contracts, including existing and new arrangements, to be recognized as assets and liabilities on the balance sheet. ASU No. 2018-01 allows an entity to elect an optional transition practical expedient to not evaluate land easements that exist or expired before the Company’s adoption of ASU No. 2016-02. ASU No. 2018-11 allows for an additional transition method, which permits use of the effective date of adoption as the date of initial application of ASU No. 2016-02 without restating comparative period financial statements and provides entities with a practical expedient that allows entities to elect not to separate lease and non-lease components when certain conditions are met.</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adopted ASU No. 2016-02 using December 31, 2018 as the date of initial application. Consequently, financial information and the disclosures required under the new standard were not provided for dates and periods before December 31, 2018. The Company also elected a transition package including practical expedients that permitted it not to reassess the classification and initial direct costs of expired or existing contracts and leases, to not separate lease and non-lease components of restaurant facility leases executed subsequent to adoption, and to not evaluate land easements that exist or expired before the adoption. In preparation for adoption, the Company implemented a new lease accounting system.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Adoption resulted in the following, as of December 31, 2018:</w:t>
      </w:r>
    </w:p>
    <w:p>
      <w:pPr>
        <w:spacing w:after="0" w:line="229" w:lineRule="exact"/>
        <w:rPr>
          <w:sz w:val="20"/>
          <w:szCs w:val="20"/>
          <w:color w:val="auto"/>
        </w:rPr>
      </w:pPr>
    </w:p>
    <w:p>
      <w:pPr>
        <w:ind w:left="660" w:hanging="490"/>
        <w:spacing w:after="0"/>
        <w:tabs>
          <w:tab w:leader="none" w:pos="6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recording of right-of-use assets of $1.3 billion and lease liabilities of $1.5 billion;</w:t>
      </w:r>
    </w:p>
    <w:p>
      <w:pPr>
        <w:spacing w:after="0" w:line="21" w:lineRule="exact"/>
        <w:rPr>
          <w:rFonts w:ascii="Times New Roman" w:cs="Times New Roman" w:eastAsia="Times New Roman" w:hAnsi="Times New Roman"/>
          <w:sz w:val="20"/>
          <w:szCs w:val="20"/>
          <w:color w:val="auto"/>
        </w:rPr>
      </w:pPr>
    </w:p>
    <w:p>
      <w:pPr>
        <w:ind w:left="660" w:hanging="490"/>
        <w:spacing w:after="0" w:line="252" w:lineRule="auto"/>
        <w:tabs>
          <w:tab w:leader="none" w:pos="6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credit to the beginning balance of Accumulated Deficit of $190.4 million to derecognize deferred gains on sale-leaseback transactions and a debit to the beginning balance of Accumulated Deficit of $49.2 million to derecognize the related deferred tax assets; and</w:t>
      </w:r>
    </w:p>
    <w:p>
      <w:pPr>
        <w:jc w:val="both"/>
        <w:ind w:left="660" w:hanging="490"/>
        <w:spacing w:after="0" w:line="242" w:lineRule="auto"/>
        <w:tabs>
          <w:tab w:leader="none" w:pos="6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derecognition of existing debt obligations of $19.6 million and existing fixed assets of $16.1 million related to restaurant properties sold and leased back from third parties that previously did not qualify for sale accounting, with gains or losses associated with this change recognized in Accumulated Deficit.</w:t>
      </w:r>
    </w:p>
    <w:p>
      <w:pPr>
        <w:spacing w:after="0" w:line="20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Other restaurant operating expense increased during thirteen weeks ended March 31, 2019 from the adoption of ASU No. 2016-02 since the Company no longer recognizes the benefit of deferred gains on sale-leaseback transactions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through its statements of operations over the corresponding lease term. During the thirteen weeks ended April 1, 2018, the Company recognized $3.1 million of sale-leaseback deferred gain amortization.</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a result of adoption of ASU No. 2016-02, the Company recorded reclassification adjustments to certain balances that were recorded under Accounting Standards Codification Topic 840, “Leases” (“ASC 840”) in its Consolidated Balance Sheet as of December 30, 2018. The following table summarizes accounts with material reclassification adjustments which impacted Operating lease right-of-use assets as a part of the adoption of ASU No. 2016-02: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120" w:type="dxa"/>
            <w:vAlign w:val="bottom"/>
            <w:tcBorders>
              <w:bottom w:val="single" w:sz="8" w:color="CCEEFF"/>
            </w:tcBorders>
          </w:tcPr>
          <w:p>
            <w:pPr>
              <w:spacing w:after="0"/>
              <w:rPr>
                <w:sz w:val="18"/>
                <w:szCs w:val="18"/>
                <w:color w:val="auto"/>
              </w:rPr>
            </w:pPr>
          </w:p>
        </w:tc>
        <w:tc>
          <w:tcPr>
            <w:tcW w:w="65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CONSOLIDATED BALANCE SHEET CLASSIFICATION UNDER ASC 840</w:t>
            </w:r>
          </w:p>
        </w:tc>
      </w:tr>
      <w:tr>
        <w:trPr>
          <w:trHeight w:val="23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Favorable leases</w:t>
            </w:r>
          </w:p>
        </w:tc>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r>
      <w:tr>
        <w:trPr>
          <w:trHeight w:val="237"/>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Deferred rent</w:t>
            </w:r>
          </w:p>
        </w:tc>
        <w:tc>
          <w:tcPr>
            <w:tcW w:w="6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rent</w:t>
            </w: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Unfavorable leases</w:t>
            </w:r>
          </w:p>
        </w:tc>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long-term liabilities, net</w:t>
            </w:r>
          </w:p>
        </w:tc>
      </w:tr>
      <w:tr>
        <w:trPr>
          <w:trHeight w:val="237"/>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Exit-related lease accruals</w:t>
            </w:r>
          </w:p>
        </w:tc>
        <w:tc>
          <w:tcPr>
            <w:tcW w:w="6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long-term liabilities, net</w:t>
            </w:r>
          </w:p>
        </w:tc>
      </w:tr>
    </w:tbl>
    <w:p>
      <w:pPr>
        <w:spacing w:after="0" w:line="24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addition, rent payments that were recorded within prepaid assets under ASC 840 are now recorded as a reduction of the current portion of operating lease liabilities.</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Recently Issued Financial Accounting Standards Not Yet Adopted </w:t>
      </w:r>
      <w:r>
        <w:rPr>
          <w:rFonts w:ascii="Times New Roman" w:cs="Times New Roman" w:eastAsia="Times New Roman" w:hAnsi="Times New Roman"/>
          <w:sz w:val="20"/>
          <w:szCs w:val="20"/>
          <w:color w:val="auto"/>
        </w:rPr>
        <w:t>- In August 2018, the Financial Accounting Standards Board issued ASU No.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2018-15, “Intangibles-Goodwill and Other-Internal-Use Software (Subtopic 350-40): Customer’s Accounting for Implementation Costs Incurred in a Cloud Computing Arrangement That Is a Service Contract,” (“ASU No. 2018-15”), which clarifies the accounting for implementation costs in cloud computing arrangements. ASU No. 2018-15 is effective for the Company in the first quarter of 2020, and early adoption is permitted. The Company is currently evaluating the impact of the adoption of ASU No. 2018-15 on its consolidated financial statements.</w:t>
      </w:r>
    </w:p>
    <w:p>
      <w:pPr>
        <w:spacing w:after="0" w:line="19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Reclassifications - </w:t>
      </w:r>
      <w:r>
        <w:rPr>
          <w:rFonts w:ascii="Times New Roman" w:cs="Times New Roman" w:eastAsia="Times New Roman" w:hAnsi="Times New Roman"/>
          <w:sz w:val="20"/>
          <w:szCs w:val="20"/>
          <w:color w:val="auto"/>
        </w:rPr>
        <w:t>The Company reclassified certain items in the accompanying Consolidated Financial Statements for prior periods to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comparable with the classification for the current period. These reclassifications had no effect on previously reported net income.</w:t>
      </w:r>
    </w:p>
    <w:p>
      <w:pPr>
        <w:spacing w:after="0" w:line="17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19"/>
          <w:szCs w:val="19"/>
          <w:color w:val="auto"/>
        </w:rPr>
        <w:t>Revenue Recognition</w:t>
      </w:r>
    </w:p>
    <w:p>
      <w:pPr>
        <w:spacing w:after="0" w:line="22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table includes the categories of revenue included in the Company’s Consolidated Statements of Operations and Comprehensive Income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64"/>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22"/>
                <w:szCs w:val="22"/>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22"/>
                <w:szCs w:val="22"/>
                <w:color w:val="auto"/>
              </w:rPr>
            </w:pPr>
          </w:p>
        </w:tc>
        <w:tc>
          <w:tcPr>
            <w:tcW w:w="13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APRIL 1, 2018</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Restaurant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1,111,642</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1,099,003</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Franchise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13,762</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14,215</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revenue</w:t>
            </w:r>
          </w:p>
        </w:tc>
        <w:tc>
          <w:tcPr>
            <w:tcW w:w="1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2,727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3,247</w:t>
            </w:r>
          </w:p>
        </w:tc>
      </w:tr>
      <w:tr>
        <w:trPr>
          <w:trHeight w:val="270"/>
        </w:trPr>
        <w:tc>
          <w:tcPr>
            <w:tcW w:w="81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Total Franchise and other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16,489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17,462</w:t>
            </w:r>
          </w:p>
        </w:tc>
      </w:tr>
      <w:tr>
        <w:trPr>
          <w:trHeight w:val="244"/>
        </w:trPr>
        <w:tc>
          <w:tcPr>
            <w:tcW w:w="81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1,128,131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1,116,465</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tables include the disaggregation of Restaurant sales and Franchise revenue, by restaurant concept and major international market,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00" w:type="dxa"/>
            <w:vAlign w:val="bottom"/>
          </w:tcPr>
          <w:p>
            <w:pPr>
              <w:spacing w:after="0"/>
              <w:rPr>
                <w:sz w:val="16"/>
                <w:szCs w:val="16"/>
                <w:color w:val="auto"/>
              </w:rPr>
            </w:pPr>
          </w:p>
        </w:tc>
        <w:tc>
          <w:tcPr>
            <w:tcW w:w="286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74"/>
        </w:trPr>
        <w:tc>
          <w:tcPr>
            <w:tcW w:w="47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4"/>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APRIL 1, 2018</w:t>
            </w:r>
          </w:p>
        </w:tc>
      </w:tr>
      <w:tr>
        <w:trPr>
          <w:trHeight w:val="151"/>
        </w:trPr>
        <w:tc>
          <w:tcPr>
            <w:tcW w:w="4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FRANCHISE</w:t>
            </w:r>
          </w:p>
        </w:tc>
      </w:tr>
      <w:tr>
        <w:trPr>
          <w:trHeight w:val="207"/>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RESTAURANT SALES</w:t>
            </w: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RESTAURANT SALES</w:t>
            </w:r>
          </w:p>
        </w:tc>
        <w:tc>
          <w:tcPr>
            <w:tcW w:w="240" w:type="dxa"/>
            <w:vAlign w:val="bottom"/>
          </w:tcPr>
          <w:p>
            <w:pPr>
              <w:spacing w:after="0"/>
              <w:rPr>
                <w:sz w:val="18"/>
                <w:szCs w:val="18"/>
                <w:color w:val="auto"/>
              </w:rPr>
            </w:pPr>
          </w:p>
        </w:tc>
        <w:tc>
          <w:tcPr>
            <w:tcW w:w="134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REVENUE</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Outback Steakhouse</w:t>
            </w:r>
          </w:p>
        </w:tc>
        <w:tc>
          <w:tcPr>
            <w:tcW w:w="4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586,771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10,601</w:t>
            </w:r>
          </w:p>
        </w:tc>
        <w:tc>
          <w:tcPr>
            <w:tcW w:w="120" w:type="dxa"/>
            <w:vAlign w:val="bottom"/>
          </w:tcPr>
          <w:p>
            <w:pPr>
              <w:spacing w:after="0"/>
              <w:rPr>
                <w:sz w:val="20"/>
                <w:szCs w:val="20"/>
                <w:color w:val="auto"/>
              </w:rPr>
            </w:pPr>
          </w:p>
        </w:tc>
        <w:tc>
          <w:tcPr>
            <w:tcW w:w="4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571,479</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11,074</w:t>
            </w: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Carrabba’s Italian Grill</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173,475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173,927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147</w:t>
            </w: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Bonefish Grill</w:t>
            </w:r>
          </w:p>
        </w:tc>
        <w:tc>
          <w:tcPr>
            <w:tcW w:w="42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156,434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156,849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240</w:t>
            </w: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83,026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80,990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1,107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47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U.S. Total</w:t>
            </w:r>
          </w:p>
        </w:tc>
        <w:tc>
          <w:tcPr>
            <w:tcW w:w="420" w:type="dxa"/>
            <w:vAlign w:val="bottom"/>
            <w:tcBorders>
              <w:top w:val="single" w:sz="8" w:color="auto"/>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1,000,813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10,982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984,344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11,461</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Outback Steakhouse-Brazil</w:t>
            </w:r>
          </w:p>
        </w:tc>
        <w:tc>
          <w:tcPr>
            <w:tcW w:w="420" w:type="dxa"/>
            <w:vAlign w:val="bottom"/>
            <w:tcBorders>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89,565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95,123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4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21,264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2,780</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19,536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2,754</w:t>
            </w: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International Total</w:t>
            </w: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110,829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2,780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114,659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2,754</w:t>
            </w:r>
          </w:p>
        </w:tc>
      </w:tr>
      <w:tr>
        <w:trPr>
          <w:trHeight w:val="250"/>
        </w:trPr>
        <w:tc>
          <w:tcPr>
            <w:tcW w:w="4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1,111,642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13,762</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1,099,003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14,215</w:t>
            </w:r>
          </w:p>
        </w:tc>
      </w:tr>
      <w:tr>
        <w:trPr>
          <w:trHeight w:val="20"/>
        </w:trPr>
        <w:tc>
          <w:tcPr>
            <w:tcW w:w="4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table includes a detail of assets and liabilities from contracts with customers included on the Company’s Consolidated Balance Sheets as of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18"/>
                <w:szCs w:val="18"/>
                <w:color w:val="auto"/>
              </w:rPr>
            </w:pPr>
          </w:p>
        </w:tc>
        <w:tc>
          <w:tcPr>
            <w:tcW w:w="17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30, 2018</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current assets, net</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gift card sales commissions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11,195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16,431</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Unearned revenue</w:t>
            </w: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240,923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333,794</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loyalty revenue</w:t>
            </w:r>
          </w:p>
        </w:tc>
        <w:tc>
          <w:tcPr>
            <w:tcW w:w="260" w:type="dxa"/>
            <w:vAlign w:val="bottom"/>
          </w:tcPr>
          <w:p>
            <w:pPr>
              <w:spacing w:after="0"/>
              <w:rPr>
                <w:sz w:val="20"/>
                <w:szCs w:val="20"/>
                <w:color w:val="auto"/>
              </w:rPr>
            </w:pPr>
          </w:p>
        </w:tc>
        <w:tc>
          <w:tcPr>
            <w:tcW w:w="17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9,288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8,424</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franchise fees - current</w:t>
            </w:r>
          </w:p>
        </w:tc>
        <w:tc>
          <w:tcPr>
            <w:tcW w:w="26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490</w:t>
            </w:r>
          </w:p>
        </w:tc>
      </w:tr>
      <w:tr>
        <w:trPr>
          <w:trHeight w:val="290"/>
        </w:trPr>
        <w:tc>
          <w:tcPr>
            <w:tcW w:w="74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Total Unearned revenue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250,703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342,708</w:t>
            </w:r>
          </w:p>
        </w:tc>
      </w:tr>
      <w:tr>
        <w:trPr>
          <w:trHeight w:val="284"/>
        </w:trPr>
        <w:tc>
          <w:tcPr>
            <w:tcW w:w="7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franchise fees - non-current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4,702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4,531</w:t>
            </w:r>
          </w:p>
        </w:tc>
      </w:tr>
      <w:tr>
        <w:trPr>
          <w:trHeight w:val="33"/>
        </w:trPr>
        <w:tc>
          <w:tcPr>
            <w:tcW w:w="7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rollforward of deferred gift card sales commissions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64"/>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22"/>
                <w:szCs w:val="22"/>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22"/>
                <w:szCs w:val="22"/>
                <w:color w:val="auto"/>
              </w:rPr>
            </w:pPr>
          </w:p>
        </w:tc>
        <w:tc>
          <w:tcPr>
            <w:tcW w:w="13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APRIL 1, 2018</w:t>
            </w:r>
          </w:p>
        </w:tc>
      </w:tr>
      <w:tr>
        <w:trPr>
          <w:trHeight w:val="237"/>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16,431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16,231</w:t>
            </w: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gift card sales commissions amortization</w:t>
            </w:r>
          </w:p>
        </w:tc>
        <w:tc>
          <w:tcPr>
            <w:tcW w:w="180" w:type="dxa"/>
            <w:vAlign w:val="bottom"/>
          </w:tcPr>
          <w:p>
            <w:pPr>
              <w:spacing w:after="0"/>
              <w:rPr>
                <w:sz w:val="20"/>
                <w:szCs w:val="20"/>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(8,407)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(9,415)</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gift card sales commissions capitalization</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3,833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3,858</w:t>
            </w:r>
          </w:p>
        </w:tc>
      </w:tr>
      <w:tr>
        <w:trPr>
          <w:trHeight w:val="270"/>
        </w:trPr>
        <w:tc>
          <w:tcPr>
            <w:tcW w:w="8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w:t>
            </w: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11,195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10,039</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type w:val="continuous"/>
        </w:sectPr>
      </w:pPr>
    </w:p>
    <w:bookmarkStart w:id="10" w:name="page11"/>
    <w:bookmarkEnd w:id="1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rollforward of unearned gift card revenue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64"/>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22"/>
                <w:szCs w:val="22"/>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22"/>
                <w:szCs w:val="22"/>
                <w:color w:val="auto"/>
              </w:rPr>
            </w:pPr>
          </w:p>
        </w:tc>
        <w:tc>
          <w:tcPr>
            <w:tcW w:w="13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APRIL 1, 2018</w:t>
            </w:r>
          </w:p>
        </w:tc>
      </w:tr>
      <w:tr>
        <w:trPr>
          <w:trHeight w:val="237"/>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333,794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323,628</w:t>
            </w: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Gift card sales</w:t>
            </w:r>
          </w:p>
        </w:tc>
        <w:tc>
          <w:tcPr>
            <w:tcW w:w="180" w:type="dxa"/>
            <w:vAlign w:val="bottom"/>
          </w:tcPr>
          <w:p>
            <w:pPr>
              <w:spacing w:after="0"/>
              <w:rPr>
                <w:sz w:val="20"/>
                <w:szCs w:val="20"/>
                <w:color w:val="auto"/>
              </w:rPr>
            </w:pPr>
          </w:p>
        </w:tc>
        <w:tc>
          <w:tcPr>
            <w:tcW w:w="14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55,472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56,285</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Gift card redemptions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(141,459)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(144,556)</w:t>
            </w:r>
          </w:p>
        </w:tc>
      </w:tr>
      <w:tr>
        <w:trPr>
          <w:trHeight w:val="270"/>
        </w:trPr>
        <w:tc>
          <w:tcPr>
            <w:tcW w:w="8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Gift card breakage</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(6,884)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(7,574)</w:t>
            </w: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240,923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227,783</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19"/>
          <w:szCs w:val="19"/>
          <w:color w:val="auto"/>
        </w:rPr>
        <w:t>Disposals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252525"/>
        </w:rPr>
        <w:t xml:space="preserve">Refranchising </w:t>
      </w:r>
      <w:r>
        <w:rPr>
          <w:rFonts w:ascii="Times New Roman" w:cs="Times New Roman" w:eastAsia="Times New Roman" w:hAnsi="Times New Roman"/>
          <w:sz w:val="20"/>
          <w:szCs w:val="20"/>
          <w:color w:val="252525"/>
        </w:rPr>
        <w:t>- During the</w:t>
      </w:r>
      <w:r>
        <w:rPr>
          <w:rFonts w:ascii="Times New Roman" w:cs="Times New Roman" w:eastAsia="Times New Roman" w:hAnsi="Times New Roman"/>
          <w:sz w:val="20"/>
          <w:szCs w:val="20"/>
          <w:i w:val="1"/>
          <w:iCs w:val="1"/>
          <w:color w:val="252525"/>
        </w:rPr>
        <w:t xml:space="preserve"> </w:t>
      </w:r>
      <w:r>
        <w:rPr>
          <w:rFonts w:ascii="Times New Roman" w:cs="Times New Roman" w:eastAsia="Times New Roman" w:hAnsi="Times New Roman"/>
          <w:sz w:val="20"/>
          <w:szCs w:val="20"/>
          <w:color w:val="000000"/>
        </w:rPr>
        <w:t>thirteen weeks ended March 31, 2019</w:t>
      </w:r>
      <w:r>
        <w:rPr>
          <w:rFonts w:ascii="Times New Roman" w:cs="Times New Roman" w:eastAsia="Times New Roman" w:hAnsi="Times New Roman"/>
          <w:sz w:val="20"/>
          <w:szCs w:val="20"/>
          <w:color w:val="252525"/>
        </w:rPr>
        <w:t>, the Company completed the sale of 18 of its existing U.S. Company-owned</w:t>
      </w:r>
      <w:r>
        <w:rPr>
          <w:rFonts w:ascii="Times New Roman" w:cs="Times New Roman" w:eastAsia="Times New Roman" w:hAnsi="Times New Roman"/>
          <w:sz w:val="20"/>
          <w:szCs w:val="20"/>
          <w:i w:val="1"/>
          <w:iCs w:val="1"/>
          <w:color w:val="252525"/>
        </w:rPr>
        <w:t xml:space="preserve"> </w:t>
      </w:r>
      <w:r>
        <w:rPr>
          <w:rFonts w:ascii="Times New Roman" w:cs="Times New Roman" w:eastAsia="Times New Roman" w:hAnsi="Times New Roman"/>
          <w:sz w:val="20"/>
          <w:szCs w:val="20"/>
          <w:color w:val="252525"/>
        </w:rPr>
        <w:t>Carrabba’s Italian Grill locations to an existing franchisee (the “Buyer”) for aggregate cash proceeds of $3.6 million, net of certain purchase price adjustments.</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252525"/>
        </w:rPr>
        <w:t xml:space="preserve">The Company remains contingently liable on certain real estate lease agreements assigned to the Buyer. See Note </w:t>
      </w:r>
      <w:r>
        <w:rPr>
          <w:rFonts w:ascii="Times New Roman" w:cs="Times New Roman" w:eastAsia="Times New Roman" w:hAnsi="Times New Roman"/>
          <w:sz w:val="20"/>
          <w:szCs w:val="20"/>
          <w:color w:val="000000"/>
        </w:rPr>
        <w:t>16 -</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i w:val="1"/>
          <w:iCs w:val="1"/>
          <w:color w:val="000000"/>
        </w:rPr>
        <w:t>Commitments and</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i w:val="1"/>
          <w:iCs w:val="1"/>
          <w:color w:val="000000"/>
        </w:rPr>
        <w:t xml:space="preserve">Contingencies </w:t>
      </w:r>
      <w:r>
        <w:rPr>
          <w:rFonts w:ascii="Times New Roman" w:cs="Times New Roman" w:eastAsia="Times New Roman" w:hAnsi="Times New Roman"/>
          <w:sz w:val="20"/>
          <w:szCs w:val="20"/>
          <w:color w:val="000000"/>
        </w:rPr>
        <w:t>for additional details regarding lease guarantees.</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Assets Held for Sale </w:t>
      </w:r>
      <w:r>
        <w:rPr>
          <w:rFonts w:ascii="Times New Roman" w:cs="Times New Roman" w:eastAsia="Times New Roman" w:hAnsi="Times New Roman"/>
          <w:sz w:val="20"/>
          <w:szCs w:val="20"/>
          <w:color w:val="auto"/>
        </w:rPr>
        <w:t>- In March 2019, the Company signed a purchase agreement with a buyer to sell five of its U.S. surplus properties to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Outback Steakhouse franchisee for $12.8 million, less certain purchase price adjustments. These properties were reclassified from Property, fixtures and equipment, net to Assets held for sale during the thirteen weeks ended March 31, 2019. The sale of these properties is expected to be completed during 2019.</w:t>
      </w:r>
    </w:p>
    <w:p>
      <w:pPr>
        <w:spacing w:after="0" w:line="19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4.</w:t>
      </w:r>
      <w:r>
        <w:rPr>
          <w:sz w:val="20"/>
          <w:szCs w:val="20"/>
          <w:color w:val="auto"/>
        </w:rPr>
        <w:tab/>
      </w:r>
      <w:r>
        <w:rPr>
          <w:rFonts w:ascii="Times New Roman" w:cs="Times New Roman" w:eastAsia="Times New Roman" w:hAnsi="Times New Roman"/>
          <w:sz w:val="19"/>
          <w:szCs w:val="19"/>
          <w:color w:val="auto"/>
        </w:rPr>
        <w:t>Impairments and Exit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Provision for impaired assets and restaurant closings are as follows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64"/>
        </w:trPr>
        <w:tc>
          <w:tcPr>
            <w:tcW w:w="8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22"/>
                <w:szCs w:val="22"/>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22"/>
                <w:szCs w:val="22"/>
                <w:color w:val="auto"/>
              </w:rPr>
            </w:pPr>
          </w:p>
        </w:tc>
        <w:tc>
          <w:tcPr>
            <w:tcW w:w="12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APRIL 1, 2018</w:t>
            </w:r>
          </w:p>
        </w:tc>
      </w:tr>
      <w:tr>
        <w:trPr>
          <w:trHeight w:val="250"/>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Impairment losses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8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3,464</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111</w:t>
            </w:r>
          </w:p>
        </w:tc>
      </w:tr>
      <w:tr>
        <w:trPr>
          <w:trHeight w:val="33"/>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2,160</w:t>
            </w:r>
          </w:p>
        </w:tc>
      </w:tr>
      <w:tr>
        <w:trPr>
          <w:trHeight w:val="270"/>
        </w:trPr>
        <w:tc>
          <w:tcPr>
            <w:tcW w:w="82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Total impairment losses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3,482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2,271</w:t>
            </w: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Restaurant closure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8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348</w:t>
            </w:r>
          </w:p>
        </w:tc>
      </w:tr>
      <w:tr>
        <w:trPr>
          <w:trHeight w:val="33"/>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120</w:t>
            </w:r>
          </w:p>
        </w:tc>
      </w:tr>
      <w:tr>
        <w:trPr>
          <w:trHeight w:val="270"/>
        </w:trPr>
        <w:tc>
          <w:tcPr>
            <w:tcW w:w="82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Total restaurant closure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468</w:t>
            </w: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3,586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2,739</w:t>
            </w: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Impairment and closing charges for the periods presented resulted primarily from approved store closure initiatives, locations identified for remodel, relocation or closure and certain other assets.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1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Accrued Facility Closure and Other Costs Rollforward </w:t>
      </w:r>
      <w:r>
        <w:rPr>
          <w:rFonts w:ascii="Times New Roman" w:cs="Times New Roman" w:eastAsia="Times New Roman" w:hAnsi="Times New Roman"/>
          <w:sz w:val="20"/>
          <w:szCs w:val="20"/>
          <w:color w:val="auto"/>
        </w:rPr>
        <w:t>- The following table summarizes the Company’s accrual activity related to facility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closure and other costs, associated with certain closure initiatives, for the period indicated: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20"/>
        </w:trPr>
        <w:tc>
          <w:tcPr>
            <w:tcW w:w="8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6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18,094</w:t>
            </w:r>
          </w:p>
        </w:tc>
        <w:tc>
          <w:tcPr>
            <w:tcW w:w="0" w:type="dxa"/>
            <w:vAlign w:val="bottom"/>
          </w:tcPr>
          <w:p>
            <w:pPr>
              <w:spacing w:after="0"/>
              <w:rPr>
                <w:sz w:val="1"/>
                <w:szCs w:val="1"/>
                <w:color w:val="auto"/>
              </w:rPr>
            </w:pPr>
          </w:p>
        </w:tc>
      </w:tr>
      <w:tr>
        <w:trPr>
          <w:trHeight w:val="224"/>
        </w:trPr>
        <w:tc>
          <w:tcPr>
            <w:tcW w:w="8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Additions (1)</w:t>
            </w:r>
          </w:p>
        </w:tc>
        <w:tc>
          <w:tcPr>
            <w:tcW w:w="340" w:type="dxa"/>
            <w:vAlign w:val="bottom"/>
          </w:tcPr>
          <w:p>
            <w:pPr>
              <w:spacing w:after="0"/>
              <w:rPr>
                <w:sz w:val="19"/>
                <w:szCs w:val="19"/>
                <w:color w:val="auto"/>
              </w:rPr>
            </w:pPr>
          </w:p>
        </w:tc>
        <w:tc>
          <w:tcPr>
            <w:tcW w:w="2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1,288</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payments</w:t>
            </w:r>
          </w:p>
        </w:tc>
        <w:tc>
          <w:tcPr>
            <w:tcW w:w="34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0" w:type="dxa"/>
            <w:vAlign w:val="bottom"/>
          </w:tcPr>
          <w:p>
            <w:pPr>
              <w:spacing w:after="0"/>
              <w:rPr>
                <w:sz w:val="1"/>
                <w:szCs w:val="1"/>
                <w:color w:val="auto"/>
              </w:rPr>
            </w:pPr>
          </w:p>
        </w:tc>
      </w:tr>
      <w:tr>
        <w:trPr>
          <w:trHeight w:val="224"/>
        </w:trPr>
        <w:tc>
          <w:tcPr>
            <w:tcW w:w="8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Accretion</w:t>
            </w:r>
          </w:p>
        </w:tc>
        <w:tc>
          <w:tcPr>
            <w:tcW w:w="340" w:type="dxa"/>
            <w:vAlign w:val="bottom"/>
          </w:tcPr>
          <w:p>
            <w:pPr>
              <w:spacing w:after="0"/>
              <w:rPr>
                <w:sz w:val="19"/>
                <w:szCs w:val="19"/>
                <w:color w:val="auto"/>
              </w:rPr>
            </w:pPr>
          </w:p>
        </w:tc>
        <w:tc>
          <w:tcPr>
            <w:tcW w:w="2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340" w:type="dxa"/>
            <w:vAlign w:val="bottom"/>
            <w:tcBorders>
              <w:bottom w:val="single" w:sz="8" w:color="auto"/>
            </w:tcBorders>
            <w:shd w:val="clear" w:color="auto" w:fill="CCEEFF"/>
          </w:tcPr>
          <w:p>
            <w:pPr>
              <w:spacing w:after="0"/>
              <w:rPr>
                <w:sz w:val="22"/>
                <w:szCs w:val="22"/>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250"/>
        </w:trPr>
        <w:tc>
          <w:tcPr>
            <w:tcW w:w="8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end of the period (2)</w:t>
            </w:r>
          </w:p>
        </w:tc>
        <w:tc>
          <w:tcPr>
            <w:tcW w:w="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6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17,677</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3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846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closure initiative related lease liabilities recognized as a result of the adoption of ASU No. 2016-02.</w:t>
      </w:r>
    </w:p>
    <w:p>
      <w:pPr>
        <w:spacing w:after="0" w:line="5" w:lineRule="exact"/>
        <w:rPr>
          <w:rFonts w:ascii="Times New Roman" w:cs="Times New Roman" w:eastAsia="Times New Roman" w:hAnsi="Times New Roman"/>
          <w:sz w:val="16"/>
          <w:szCs w:val="16"/>
          <w:color w:val="auto"/>
        </w:rPr>
      </w:pPr>
    </w:p>
    <w:p>
      <w:pPr>
        <w:ind w:left="660" w:hanging="652"/>
        <w:spacing w:after="0" w:line="257" w:lineRule="auto"/>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2019, the Company had exit-related accruals of $2.9 million recorded in Accrued and other current liabilities and $14.8 million recorded in Non-current operating lease liabilities on the Consolidated Balance Sheet.</w:t>
      </w:r>
    </w:p>
    <w:p>
      <w:pPr>
        <w:spacing w:after="0" w:line="18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5.</w:t>
      </w:r>
      <w:r>
        <w:rPr>
          <w:sz w:val="20"/>
          <w:szCs w:val="20"/>
          <w:color w:val="auto"/>
        </w:rPr>
        <w:tab/>
      </w:r>
      <w:r>
        <w:rPr>
          <w:rFonts w:ascii="Times New Roman" w:cs="Times New Roman" w:eastAsia="Times New Roman" w:hAnsi="Times New Roman"/>
          <w:sz w:val="19"/>
          <w:szCs w:val="19"/>
          <w:color w:val="auto"/>
        </w:rPr>
        <w:t>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computation of basic and diluted earnings per share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64"/>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6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22"/>
                <w:szCs w:val="22"/>
                <w:color w:val="auto"/>
              </w:rPr>
            </w:pPr>
          </w:p>
        </w:tc>
        <w:tc>
          <w:tcPr>
            <w:tcW w:w="12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APRIL 1, 2018</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attributable to Bloomin’ Brands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64,300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65,398</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71"/>
        </w:trPr>
        <w:tc>
          <w:tcPr>
            <w:tcW w:w="8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91,415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92,268</w:t>
            </w:r>
          </w:p>
        </w:tc>
      </w:tr>
      <w:tr>
        <w:trPr>
          <w:trHeight w:val="284"/>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diluted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options</w:t>
            </w:r>
          </w:p>
        </w:tc>
        <w:tc>
          <w:tcPr>
            <w:tcW w:w="1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792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2,950</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Nonvested restricted stock units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524</w:t>
            </w:r>
          </w:p>
        </w:tc>
      </w:tr>
      <w:tr>
        <w:trPr>
          <w:trHeight w:val="270"/>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Nonvested performance-based share units</w:t>
            </w: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92,661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95,782</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71"/>
        </w:trPr>
        <w:tc>
          <w:tcPr>
            <w:tcW w:w="8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0.71</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0.69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0.68</w:t>
            </w:r>
          </w:p>
        </w:tc>
      </w:tr>
    </w:tbl>
    <w:p>
      <w:pPr>
        <w:spacing w:after="0" w:line="1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Securities outstanding not included in the computation of earnings per share because their effect was antidilutive were as follows,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tcPr>
          <w:p>
            <w:pPr>
              <w:spacing w:after="0"/>
              <w:rPr>
                <w:sz w:val="18"/>
                <w:szCs w:val="18"/>
                <w:color w:val="auto"/>
              </w:rPr>
            </w:pPr>
          </w:p>
        </w:tc>
        <w:tc>
          <w:tcPr>
            <w:tcW w:w="3080" w:type="dxa"/>
            <w:vAlign w:val="bottom"/>
            <w:tcBorders>
              <w:bottom w:val="single" w:sz="8" w:color="auto"/>
            </w:tcBorders>
            <w:gridSpan w:val="3"/>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64"/>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48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APRIL 1, 2018</w:t>
            </w:r>
          </w:p>
        </w:tc>
      </w:tr>
      <w:tr>
        <w:trPr>
          <w:trHeight w:val="237"/>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Stock options</w:t>
            </w:r>
          </w:p>
        </w:tc>
        <w:tc>
          <w:tcPr>
            <w:tcW w:w="150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3,384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1,950</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Nonvested restricted stock units</w:t>
            </w:r>
          </w:p>
        </w:tc>
        <w:tc>
          <w:tcPr>
            <w:tcW w:w="1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20"/>
                <w:szCs w:val="20"/>
                <w:color w:val="auto"/>
              </w:rPr>
            </w:pPr>
          </w:p>
        </w:tc>
        <w:tc>
          <w:tcPr>
            <w:tcW w:w="14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111</w:t>
            </w: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Nonvested performance-based share units</w:t>
            </w:r>
          </w:p>
        </w:tc>
        <w:tc>
          <w:tcPr>
            <w:tcW w:w="15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162</w:t>
            </w:r>
          </w:p>
        </w:tc>
      </w:tr>
      <w:tr>
        <w:trPr>
          <w:trHeight w:val="41"/>
        </w:trPr>
        <w:tc>
          <w:tcPr>
            <w:tcW w:w="83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6.</w:t>
      </w:r>
      <w:r>
        <w:rPr>
          <w:sz w:val="20"/>
          <w:szCs w:val="20"/>
          <w:color w:val="auto"/>
        </w:rPr>
        <w:tab/>
      </w:r>
      <w:r>
        <w:rPr>
          <w:rFonts w:ascii="Times New Roman" w:cs="Times New Roman" w:eastAsia="Times New Roman" w:hAnsi="Times New Roman"/>
          <w:sz w:val="19"/>
          <w:szCs w:val="19"/>
          <w:color w:val="auto"/>
        </w:rPr>
        <w:t>Stock-based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recognized stock-based compensation expense as follows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64"/>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22"/>
                <w:szCs w:val="22"/>
                <w:color w:val="auto"/>
              </w:rPr>
            </w:pPr>
          </w:p>
        </w:tc>
        <w:tc>
          <w:tcPr>
            <w:tcW w:w="126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APRIL 1, 2018</w:t>
            </w:r>
          </w:p>
        </w:tc>
      </w:tr>
      <w:tr>
        <w:trPr>
          <w:trHeight w:val="237"/>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options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1,897</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units</w:t>
            </w:r>
          </w:p>
        </w:tc>
        <w:tc>
          <w:tcPr>
            <w:tcW w:w="16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2,332</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Performance-based share units</w:t>
            </w: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596</w:t>
            </w:r>
          </w:p>
        </w:tc>
      </w:tr>
      <w:tr>
        <w:trPr>
          <w:trHeight w:val="224"/>
        </w:trPr>
        <w:tc>
          <w:tcPr>
            <w:tcW w:w="8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3,911</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4,825</w:t>
            </w:r>
          </w:p>
        </w:tc>
      </w:tr>
      <w:tr>
        <w:trPr>
          <w:trHeight w:val="33"/>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During the thirteen weeks ended March 31, 2019, the Company made grants to its employees of 0.4 million stock options, 0.2 million time-based restricted stock units and 0.1 million performance-based share units. On April 1, 2019, the Company made one-time transition award grants of 0.7 million stock options, 0.2 million time-based restricted stock units and 0.1 million performance-based share units to the Executive Chairman of the Board, Chief Executive Officer (“CEO”) and Chief Financial Officer in connection with the appointment of each to their respective positions.</w:t>
      </w:r>
    </w:p>
    <w:p>
      <w:pPr>
        <w:spacing w:after="0" w:line="1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Assumptions used in the Black-Scholes option pricing model and the weighted-average fair value of option awards granted were as follows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50"/>
        </w:trPr>
        <w:tc>
          <w:tcPr>
            <w:tcW w:w="2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320" w:type="dxa"/>
            <w:vAlign w:val="bottom"/>
          </w:tcPr>
          <w:p>
            <w:pPr>
              <w:spacing w:after="0"/>
              <w:rPr>
                <w:sz w:val="21"/>
                <w:szCs w:val="21"/>
                <w:color w:val="auto"/>
              </w:rPr>
            </w:pPr>
          </w:p>
        </w:tc>
        <w:tc>
          <w:tcPr>
            <w:tcW w:w="166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APRIL 1, 2018</w:t>
            </w:r>
          </w:p>
        </w:tc>
      </w:tr>
      <w:tr>
        <w:trPr>
          <w:trHeight w:val="250"/>
        </w:trPr>
        <w:tc>
          <w:tcPr>
            <w:tcW w:w="20" w:type="dxa"/>
            <w:vAlign w:val="bottom"/>
          </w:tcPr>
          <w:p>
            <w:pPr>
              <w:spacing w:after="0"/>
              <w:rPr>
                <w:sz w:val="21"/>
                <w:szCs w:val="21"/>
                <w:color w:val="auto"/>
              </w:rPr>
            </w:pPr>
          </w:p>
        </w:tc>
        <w:tc>
          <w:tcPr>
            <w:tcW w:w="7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Assumptions: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Weighted-average risk-free interest rate (1)</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33"/>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Dividend yield (2)</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37"/>
        </w:trPr>
        <w:tc>
          <w:tcPr>
            <w:tcW w:w="20" w:type="dxa"/>
            <w:vAlign w:val="bottom"/>
          </w:tcPr>
          <w:p>
            <w:pPr>
              <w:spacing w:after="0"/>
              <w:rPr>
                <w:sz w:val="20"/>
                <w:szCs w:val="20"/>
                <w:color w:val="auto"/>
              </w:rPr>
            </w:pPr>
          </w:p>
        </w:tc>
        <w:tc>
          <w:tcPr>
            <w:tcW w:w="7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Expected term (3)</w:t>
            </w:r>
          </w:p>
        </w:tc>
        <w:tc>
          <w:tcPr>
            <w:tcW w:w="280" w:type="dxa"/>
            <w:vAlign w:val="bottom"/>
          </w:tcPr>
          <w:p>
            <w:pPr>
              <w:spacing w:after="0"/>
              <w:rPr>
                <w:sz w:val="20"/>
                <w:szCs w:val="20"/>
                <w:color w:val="auto"/>
              </w:rPr>
            </w:pPr>
          </w:p>
        </w:tc>
        <w:tc>
          <w:tcPr>
            <w:tcW w:w="18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5.5 years</w:t>
            </w:r>
          </w:p>
        </w:tc>
        <w:tc>
          <w:tcPr>
            <w:tcW w:w="320" w:type="dxa"/>
            <w:vAlign w:val="bottom"/>
          </w:tcPr>
          <w:p>
            <w:pPr>
              <w:spacing w:after="0"/>
              <w:rPr>
                <w:sz w:val="20"/>
                <w:szCs w:val="20"/>
                <w:color w:val="auto"/>
              </w:rPr>
            </w:pP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5.8 years</w:t>
            </w:r>
          </w:p>
        </w:tc>
      </w:tr>
      <w:tr>
        <w:trPr>
          <w:trHeight w:val="33"/>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Weighted-average volatility (4)</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w:t>
            </w:r>
          </w:p>
        </w:tc>
      </w:tr>
      <w:tr>
        <w:trPr>
          <w:trHeight w:val="297"/>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grant date fair value per option</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7.23</w:t>
            </w:r>
          </w:p>
        </w:tc>
      </w:tr>
      <w:tr>
        <w:trPr>
          <w:trHeight w:val="193"/>
        </w:trPr>
        <w:tc>
          <w:tcPr>
            <w:tcW w:w="20" w:type="dxa"/>
            <w:vAlign w:val="bottom"/>
          </w:tcPr>
          <w:p>
            <w:pPr>
              <w:spacing w:after="0"/>
              <w:rPr>
                <w:sz w:val="16"/>
                <w:szCs w:val="16"/>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spacing w:after="0"/>
              <w:rPr>
                <w:sz w:val="16"/>
                <w:szCs w:val="16"/>
                <w:color w:val="auto"/>
              </w:rPr>
            </w:pPr>
          </w:p>
        </w:tc>
      </w:tr>
    </w:tbl>
    <w:p>
      <w:pPr>
        <w:ind w:left="660" w:hanging="652"/>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Risk-free interest rate is the U.S. Treasury yield curve in effect as of the grant date for periods within the expected term of the option.</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 yield is the level of dividends expected to be paid on the Company’s common stock over the expected term of the option.</w:t>
      </w:r>
    </w:p>
    <w:p>
      <w:pPr>
        <w:spacing w:after="0" w:line="5" w:lineRule="exact"/>
        <w:rPr>
          <w:rFonts w:ascii="Times New Roman" w:cs="Times New Roman" w:eastAsia="Times New Roman" w:hAnsi="Times New Roman"/>
          <w:sz w:val="16"/>
          <w:szCs w:val="16"/>
          <w:color w:val="auto"/>
        </w:rPr>
      </w:pPr>
    </w:p>
    <w:p>
      <w:pPr>
        <w:ind w:left="660" w:hanging="652"/>
        <w:spacing w:after="0" w:line="246"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term represents the period of time that the options are expected to be outstanding. The Company estimates the expected term based on historical exercise experience for its stock options.</w:t>
      </w:r>
    </w:p>
    <w:p>
      <w:pPr>
        <w:ind w:left="660" w:hanging="652"/>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historical volatility of the Company’s stock.</w:t>
      </w:r>
    </w:p>
    <w:p>
      <w:pPr>
        <w:spacing w:after="0" w:line="20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Restricted stock units granted prior to 2019 generally vest over a period of four years and restricted stock units granted in 2019 or later vest over a period of three years, in an equal number of shares each year.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represents unrecognized stock compensation expense and the remaining weighted-average vesting period as of March 31,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WEIGHTED-</w:t>
            </w:r>
          </w:p>
        </w:tc>
      </w:tr>
      <w:tr>
        <w:trPr>
          <w:trHeight w:val="149"/>
        </w:trPr>
        <w:tc>
          <w:tcPr>
            <w:tcW w:w="7400" w:type="dxa"/>
            <w:vAlign w:val="bottom"/>
          </w:tcPr>
          <w:p>
            <w:pPr>
              <w:spacing w:after="0"/>
              <w:rPr>
                <w:sz w:val="12"/>
                <w:szCs w:val="12"/>
                <w:color w:val="auto"/>
              </w:rPr>
            </w:pPr>
          </w:p>
        </w:tc>
        <w:tc>
          <w:tcPr>
            <w:tcW w:w="20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EXPENSE</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VESTING</w:t>
            </w:r>
          </w:p>
        </w:tc>
      </w:tr>
      <w:tr>
        <w:trPr>
          <w:trHeight w:val="207"/>
        </w:trPr>
        <w:tc>
          <w:tcPr>
            <w:tcW w:w="7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(in years)</w:t>
            </w:r>
          </w:p>
        </w:tc>
      </w:tr>
      <w:tr>
        <w:trPr>
          <w:trHeight w:val="237"/>
        </w:trPr>
        <w:tc>
          <w:tcPr>
            <w:tcW w:w="7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options</w:t>
            </w: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8,972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37"/>
        </w:trPr>
        <w:tc>
          <w:tcPr>
            <w:tcW w:w="7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units</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15,816</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Performance-based share units</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8,077</w:t>
            </w: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33"/>
        </w:trPr>
        <w:tc>
          <w:tcPr>
            <w:tcW w:w="7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7.</w:t>
      </w:r>
      <w:r>
        <w:rPr>
          <w:sz w:val="20"/>
          <w:szCs w:val="20"/>
          <w:color w:val="auto"/>
        </w:rPr>
        <w:tab/>
      </w:r>
      <w:r>
        <w:rPr>
          <w:rFonts w:ascii="Times New Roman" w:cs="Times New Roman" w:eastAsia="Times New Roman" w:hAnsi="Times New Roman"/>
          <w:sz w:val="19"/>
          <w:szCs w:val="19"/>
          <w:color w:val="auto"/>
        </w:rPr>
        <w:t>Other Current Assets, Net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current assets, net, consisted of the following as of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8"/>
                <w:szCs w:val="18"/>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18"/>
                <w:szCs w:val="18"/>
                <w:color w:val="auto"/>
              </w:rPr>
            </w:pPr>
          </w:p>
        </w:tc>
        <w:tc>
          <w:tcPr>
            <w:tcW w:w="182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30, 2018</w:t>
            </w:r>
          </w:p>
        </w:tc>
        <w:tc>
          <w:tcPr>
            <w:tcW w:w="0" w:type="dxa"/>
            <w:vAlign w:val="bottom"/>
          </w:tcPr>
          <w:p>
            <w:pPr>
              <w:spacing w:after="0"/>
              <w:rPr>
                <w:sz w:val="1"/>
                <w:szCs w:val="1"/>
                <w:color w:val="auto"/>
              </w:rPr>
            </w:pPr>
          </w:p>
        </w:tc>
      </w:tr>
      <w:tr>
        <w:trPr>
          <w:trHeight w:val="237"/>
        </w:trPr>
        <w:tc>
          <w:tcPr>
            <w:tcW w:w="72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Prepaid expenses</w:t>
            </w:r>
          </w:p>
        </w:tc>
        <w:tc>
          <w:tcPr>
            <w:tcW w:w="30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24,631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38,117</w:t>
            </w: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Accounts receivable - gift cards, net</w:t>
            </w:r>
          </w:p>
        </w:tc>
        <w:tc>
          <w:tcPr>
            <w:tcW w:w="300" w:type="dxa"/>
            <w:vAlign w:val="bottom"/>
          </w:tcPr>
          <w:p>
            <w:pPr>
              <w:spacing w:after="0"/>
              <w:rPr>
                <w:sz w:val="20"/>
                <w:szCs w:val="20"/>
                <w:color w:val="auto"/>
              </w:rPr>
            </w:pPr>
          </w:p>
        </w:tc>
        <w:tc>
          <w:tcPr>
            <w:tcW w:w="1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9,802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91,242</w:t>
            </w:r>
          </w:p>
        </w:tc>
        <w:tc>
          <w:tcPr>
            <w:tcW w:w="0" w:type="dxa"/>
            <w:vAlign w:val="bottom"/>
          </w:tcPr>
          <w:p>
            <w:pPr>
              <w:spacing w:after="0"/>
              <w:rPr>
                <w:sz w:val="1"/>
                <w:szCs w:val="1"/>
                <w:color w:val="auto"/>
              </w:rPr>
            </w:pPr>
          </w:p>
        </w:tc>
      </w:tr>
      <w:tr>
        <w:trPr>
          <w:trHeight w:val="33"/>
        </w:trPr>
        <w:tc>
          <w:tcPr>
            <w:tcW w:w="7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Accounts receivable - vendors, net</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10,029</w:t>
            </w: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Accounts receivable - franchisees, net</w:t>
            </w:r>
          </w:p>
        </w:tc>
        <w:tc>
          <w:tcPr>
            <w:tcW w:w="300" w:type="dxa"/>
            <w:vAlign w:val="bottom"/>
          </w:tcPr>
          <w:p>
            <w:pPr>
              <w:spacing w:after="0"/>
              <w:rPr>
                <w:sz w:val="20"/>
                <w:szCs w:val="20"/>
                <w:color w:val="auto"/>
              </w:rPr>
            </w:pPr>
          </w:p>
        </w:tc>
        <w:tc>
          <w:tcPr>
            <w:tcW w:w="1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1,303</w:t>
            </w:r>
          </w:p>
        </w:tc>
        <w:tc>
          <w:tcPr>
            <w:tcW w:w="0" w:type="dxa"/>
            <w:vAlign w:val="bottom"/>
          </w:tcPr>
          <w:p>
            <w:pPr>
              <w:spacing w:after="0"/>
              <w:rPr>
                <w:sz w:val="1"/>
                <w:szCs w:val="1"/>
                <w:color w:val="auto"/>
              </w:rPr>
            </w:pPr>
          </w:p>
        </w:tc>
      </w:tr>
      <w:tr>
        <w:trPr>
          <w:trHeight w:val="33"/>
        </w:trPr>
        <w:tc>
          <w:tcPr>
            <w:tcW w:w="7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Accounts receivable - other, net</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17,231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19,688</w:t>
            </w: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Deferred gift card sales commissions</w:t>
            </w:r>
          </w:p>
        </w:tc>
        <w:tc>
          <w:tcPr>
            <w:tcW w:w="300" w:type="dxa"/>
            <w:vAlign w:val="bottom"/>
          </w:tcPr>
          <w:p>
            <w:pPr>
              <w:spacing w:after="0"/>
              <w:rPr>
                <w:sz w:val="20"/>
                <w:szCs w:val="20"/>
                <w:color w:val="auto"/>
              </w:rPr>
            </w:pPr>
          </w:p>
        </w:tc>
        <w:tc>
          <w:tcPr>
            <w:tcW w:w="1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11,195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16,431</w:t>
            </w:r>
          </w:p>
        </w:tc>
        <w:tc>
          <w:tcPr>
            <w:tcW w:w="0" w:type="dxa"/>
            <w:vAlign w:val="bottom"/>
          </w:tcPr>
          <w:p>
            <w:pPr>
              <w:spacing w:after="0"/>
              <w:rPr>
                <w:sz w:val="1"/>
                <w:szCs w:val="1"/>
                <w:color w:val="auto"/>
              </w:rPr>
            </w:pPr>
          </w:p>
        </w:tc>
      </w:tr>
      <w:tr>
        <w:trPr>
          <w:trHeight w:val="33"/>
        </w:trPr>
        <w:tc>
          <w:tcPr>
            <w:tcW w:w="7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 held for sale</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15,134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5,143</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Other current assets, net</w:t>
            </w:r>
          </w:p>
        </w:tc>
        <w:tc>
          <w:tcPr>
            <w:tcW w:w="30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3,251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8,895</w:t>
            </w:r>
          </w:p>
        </w:tc>
        <w:tc>
          <w:tcPr>
            <w:tcW w:w="0" w:type="dxa"/>
            <w:vAlign w:val="bottom"/>
          </w:tcPr>
          <w:p>
            <w:pPr>
              <w:spacing w:after="0"/>
              <w:rPr>
                <w:sz w:val="1"/>
                <w:szCs w:val="1"/>
                <w:color w:val="auto"/>
              </w:rPr>
            </w:pPr>
          </w:p>
        </w:tc>
      </w:tr>
      <w:tr>
        <w:trPr>
          <w:trHeight w:val="255"/>
        </w:trPr>
        <w:tc>
          <w:tcPr>
            <w:tcW w:w="420" w:type="dxa"/>
            <w:vAlign w:val="bottom"/>
            <w:tcBorders>
              <w:bottom w:val="single" w:sz="8" w:color="CCEEFF"/>
            </w:tcBorders>
            <w:shd w:val="clear" w:color="auto" w:fill="CCEEFF"/>
          </w:tcPr>
          <w:p>
            <w:pPr>
              <w:spacing w:after="0"/>
              <w:rPr>
                <w:sz w:val="21"/>
                <w:szCs w:val="21"/>
                <w:color w:val="auto"/>
              </w:rPr>
            </w:pPr>
          </w:p>
        </w:tc>
        <w:tc>
          <w:tcPr>
            <w:tcW w:w="6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93,909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190,848</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20"/>
                <w:szCs w:val="20"/>
                <w:color w:val="auto"/>
              </w:rPr>
              <w:t>8.</w:t>
            </w:r>
          </w:p>
        </w:tc>
        <w:tc>
          <w:tcPr>
            <w:tcW w:w="678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20"/>
                <w:szCs w:val="20"/>
                <w:color w:val="auto"/>
              </w:rPr>
              <w:t>Accrued and Other Current 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0" w:type="dxa"/>
            <w:vAlign w:val="bottom"/>
            <w:vMerge w:val="continue"/>
          </w:tcPr>
          <w:p>
            <w:pPr>
              <w:spacing w:after="0"/>
              <w:rPr>
                <w:sz w:val="24"/>
                <w:szCs w:val="24"/>
                <w:color w:val="auto"/>
              </w:rPr>
            </w:pPr>
          </w:p>
        </w:tc>
        <w:tc>
          <w:tcPr>
            <w:tcW w:w="6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and other current liabilities consisted of the following as of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8"/>
                <w:szCs w:val="18"/>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18"/>
                <w:szCs w:val="18"/>
                <w:color w:val="auto"/>
              </w:rPr>
            </w:pPr>
          </w:p>
        </w:tc>
        <w:tc>
          <w:tcPr>
            <w:tcW w:w="182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30, 2018</w:t>
            </w:r>
          </w:p>
        </w:tc>
      </w:tr>
      <w:tr>
        <w:trPr>
          <w:trHeight w:val="237"/>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Accrued rent and current operating lease liabilities</w:t>
            </w:r>
          </w:p>
        </w:tc>
        <w:tc>
          <w:tcPr>
            <w:tcW w:w="30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172,712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2,850</w:t>
            </w: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Accrued payroll and other compensation</w:t>
            </w:r>
          </w:p>
        </w:tc>
        <w:tc>
          <w:tcPr>
            <w:tcW w:w="300" w:type="dxa"/>
            <w:vAlign w:val="bottom"/>
          </w:tcPr>
          <w:p>
            <w:pPr>
              <w:spacing w:after="0"/>
              <w:rPr>
                <w:sz w:val="20"/>
                <w:szCs w:val="20"/>
                <w:color w:val="auto"/>
              </w:rPr>
            </w:pPr>
          </w:p>
        </w:tc>
        <w:tc>
          <w:tcPr>
            <w:tcW w:w="1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88,887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101,249</w:t>
            </w: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Accrued insurance</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24,211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22,055</w:t>
            </w:r>
          </w:p>
        </w:tc>
      </w:tr>
      <w:tr>
        <w:trPr>
          <w:trHeight w:val="224"/>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00" w:type="dxa"/>
            <w:vAlign w:val="bottom"/>
          </w:tcPr>
          <w:p>
            <w:pPr>
              <w:spacing w:after="0"/>
              <w:rPr>
                <w:sz w:val="19"/>
                <w:szCs w:val="19"/>
                <w:color w:val="auto"/>
              </w:rPr>
            </w:pPr>
          </w:p>
        </w:tc>
        <w:tc>
          <w:tcPr>
            <w:tcW w:w="1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92,462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120,499</w:t>
            </w:r>
          </w:p>
        </w:tc>
      </w:tr>
      <w:tr>
        <w:trPr>
          <w:trHeight w:val="40"/>
        </w:trPr>
        <w:tc>
          <w:tcPr>
            <w:tcW w:w="72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62"/>
        </w:trPr>
        <w:tc>
          <w:tcPr>
            <w:tcW w:w="7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378,272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246,653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9.</w:t>
      </w:r>
      <w:r>
        <w:rPr>
          <w:sz w:val="20"/>
          <w:szCs w:val="20"/>
          <w:color w:val="auto"/>
        </w:rPr>
        <w:tab/>
      </w:r>
      <w:r>
        <w:rPr>
          <w:rFonts w:ascii="Times New Roman" w:cs="Times New Roman" w:eastAsia="Times New Roman" w:hAnsi="Times New Roman"/>
          <w:sz w:val="19"/>
          <w:szCs w:val="19"/>
          <w:color w:val="auto"/>
        </w:rPr>
        <w:t>Long-term Debt,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outstanding long-term debt, as of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80" w:type="dxa"/>
            <w:vAlign w:val="bottom"/>
          </w:tcPr>
          <w:p>
            <w:pPr>
              <w:spacing w:after="0"/>
              <w:rPr>
                <w:sz w:val="18"/>
                <w:szCs w:val="18"/>
                <w:color w:val="auto"/>
              </w:rPr>
            </w:pPr>
          </w:p>
        </w:tc>
        <w:tc>
          <w:tcPr>
            <w:tcW w:w="3140" w:type="dxa"/>
            <w:vAlign w:val="bottom"/>
            <w:gridSpan w:val="3"/>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DECEMBER 30, 2018</w:t>
            </w:r>
          </w:p>
        </w:tc>
        <w:tc>
          <w:tcPr>
            <w:tcW w:w="0" w:type="dxa"/>
            <w:vAlign w:val="bottom"/>
          </w:tcPr>
          <w:p>
            <w:pPr>
              <w:spacing w:after="0"/>
              <w:rPr>
                <w:sz w:val="1"/>
                <w:szCs w:val="1"/>
                <w:color w:val="auto"/>
              </w:rPr>
            </w:pPr>
          </w:p>
        </w:tc>
      </w:tr>
      <w:tr>
        <w:trPr>
          <w:trHeight w:val="151"/>
        </w:trPr>
        <w:tc>
          <w:tcPr>
            <w:tcW w:w="46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181"/>
              <w:spacing w:after="0" w:line="15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181"/>
              <w:spacing w:after="0" w:line="15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8"/>
                <w:szCs w:val="18"/>
                <w:color w:val="auto"/>
              </w:rPr>
            </w:pPr>
          </w:p>
        </w:tc>
        <w:tc>
          <w:tcPr>
            <w:tcW w:w="13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8"/>
                <w:szCs w:val="18"/>
                <w:color w:val="auto"/>
              </w:rPr>
            </w:pPr>
          </w:p>
        </w:tc>
        <w:tc>
          <w:tcPr>
            <w:tcW w:w="17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80" w:type="dxa"/>
            <w:vAlign w:val="bottom"/>
          </w:tcPr>
          <w:p>
            <w:pPr>
              <w:spacing w:after="0"/>
              <w:rPr>
                <w:sz w:val="18"/>
                <w:szCs w:val="18"/>
                <w:color w:val="auto"/>
              </w:rPr>
            </w:pPr>
          </w:p>
        </w:tc>
        <w:tc>
          <w:tcPr>
            <w:tcW w:w="140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8"/>
                <w:szCs w:val="18"/>
                <w:color w:val="auto"/>
              </w:rPr>
            </w:pPr>
          </w:p>
        </w:tc>
        <w:tc>
          <w:tcPr>
            <w:tcW w:w="16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Senior Secured Credit Facility:</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Term loan A (1)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468,750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475,000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6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Revolving credit facility (1)</w:t>
            </w: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595,400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599,500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Total Senior Secured Credit Facility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1,064,150</w:t>
            </w:r>
          </w:p>
        </w:tc>
        <w:tc>
          <w:tcPr>
            <w:tcW w:w="12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1,074,500</w:t>
            </w: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3,394</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Financing obligations</w:t>
            </w:r>
          </w:p>
        </w:tc>
        <w:tc>
          <w:tcPr>
            <w:tcW w:w="20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19,562</w:t>
            </w:r>
          </w:p>
        </w:tc>
        <w:tc>
          <w:tcPr>
            <w:tcW w:w="100" w:type="dxa"/>
            <w:vAlign w:val="bottom"/>
          </w:tcPr>
          <w:p>
            <w:pPr>
              <w:spacing w:after="0"/>
              <w:rPr>
                <w:sz w:val="20"/>
                <w:szCs w:val="20"/>
                <w:color w:val="auto"/>
              </w:rPr>
            </w:pPr>
          </w:p>
        </w:tc>
        <w:tc>
          <w:tcPr>
            <w:tcW w:w="16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7.58% to 7.82%</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3,297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tcPr>
          <w:p>
            <w:pPr>
              <w:spacing w:after="0"/>
              <w:rPr>
                <w:sz w:val="20"/>
                <w:szCs w:val="20"/>
                <w:color w:val="auto"/>
              </w:rPr>
            </w:pPr>
          </w:p>
        </w:tc>
        <w:tc>
          <w:tcPr>
            <w:tcW w:w="16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0.00% to 2.18%</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unamortized debt discount and issuance costs</w:t>
            </w: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debt, net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1,064,310</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1,094,775</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(26,680)</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(27,190)</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 net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1,037,630</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1,067,585</w:t>
            </w: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represents the weighted-average interest rate for the respective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Debt Covenants - </w:t>
      </w:r>
      <w:r>
        <w:rPr>
          <w:rFonts w:ascii="Times New Roman" w:cs="Times New Roman" w:eastAsia="Times New Roman" w:hAnsi="Times New Roman"/>
          <w:sz w:val="20"/>
          <w:szCs w:val="20"/>
          <w:color w:val="auto"/>
        </w:rPr>
        <w:t>As of March 31, 2019 and December 30, 2018, the Company was in compliance with its debt covenants.</w:t>
      </w:r>
    </w:p>
    <w:p>
      <w:pPr>
        <w:sectPr>
          <w:pgSz w:w="11900" w:h="16838" w:orient="portrait"/>
          <w:cols w:equalWidth="0" w:num="1">
            <w:col w:w="11420"/>
          </w:cols>
          <w:pgMar w:left="240" w:top="118" w:right="239" w:bottom="1440" w:gutter="0" w:footer="0" w:header="0"/>
        </w:sect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type w:val="continuous"/>
        </w:sectPr>
      </w:pPr>
    </w:p>
    <w:bookmarkStart w:id="14" w:name="page15"/>
    <w:bookmarkEnd w:id="1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Long-term Liabilities,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long-term liabilities, net, consisted of the following, as of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8"/>
                <w:szCs w:val="18"/>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18"/>
                <w:szCs w:val="18"/>
                <w:color w:val="auto"/>
              </w:rPr>
            </w:pPr>
          </w:p>
        </w:tc>
        <w:tc>
          <w:tcPr>
            <w:tcW w:w="182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30, 2018</w:t>
            </w:r>
          </w:p>
        </w:tc>
        <w:tc>
          <w:tcPr>
            <w:tcW w:w="0" w:type="dxa"/>
            <w:vAlign w:val="bottom"/>
          </w:tcPr>
          <w:p>
            <w:pPr>
              <w:spacing w:after="0"/>
              <w:rPr>
                <w:sz w:val="1"/>
                <w:szCs w:val="1"/>
                <w:color w:val="auto"/>
              </w:rPr>
            </w:pPr>
          </w:p>
        </w:tc>
      </w:tr>
      <w:tr>
        <w:trPr>
          <w:trHeight w:val="237"/>
        </w:trPr>
        <w:tc>
          <w:tcPr>
            <w:tcW w:w="72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Accrued insurance liability</w:t>
            </w:r>
          </w:p>
        </w:tc>
        <w:tc>
          <w:tcPr>
            <w:tcW w:w="30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33,929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33,771</w:t>
            </w: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Unfavorable leases (1)</w:t>
            </w:r>
          </w:p>
        </w:tc>
        <w:tc>
          <w:tcPr>
            <w:tcW w:w="300" w:type="dxa"/>
            <w:vAlign w:val="bottom"/>
          </w:tcPr>
          <w:p>
            <w:pPr>
              <w:spacing w:after="0"/>
              <w:rPr>
                <w:sz w:val="20"/>
                <w:szCs w:val="20"/>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32,120</w:t>
            </w:r>
          </w:p>
        </w:tc>
        <w:tc>
          <w:tcPr>
            <w:tcW w:w="0" w:type="dxa"/>
            <w:vAlign w:val="bottom"/>
          </w:tcPr>
          <w:p>
            <w:pPr>
              <w:spacing w:after="0"/>
              <w:rPr>
                <w:sz w:val="1"/>
                <w:szCs w:val="1"/>
                <w:color w:val="auto"/>
              </w:rPr>
            </w:pPr>
          </w:p>
        </w:tc>
      </w:tr>
      <w:tr>
        <w:trPr>
          <w:trHeight w:val="33"/>
        </w:trPr>
        <w:tc>
          <w:tcPr>
            <w:tcW w:w="7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Chef and Restaurant Managing Partner deferred compensation obligations and deposits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56,183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64,766</w:t>
            </w:r>
          </w:p>
        </w:tc>
        <w:tc>
          <w:tcPr>
            <w:tcW w:w="0" w:type="dxa"/>
            <w:vAlign w:val="bottom"/>
          </w:tcPr>
          <w:p>
            <w:pPr>
              <w:spacing w:after="0"/>
              <w:rPr>
                <w:sz w:val="1"/>
                <w:szCs w:val="1"/>
                <w:color w:val="auto"/>
              </w:rPr>
            </w:pPr>
          </w:p>
        </w:tc>
      </w:tr>
      <w:tr>
        <w:trPr>
          <w:trHeight w:val="224"/>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Pr>
          <w:p>
            <w:pPr>
              <w:spacing w:after="0"/>
              <w:rPr>
                <w:sz w:val="19"/>
                <w:szCs w:val="19"/>
                <w:color w:val="auto"/>
              </w:rPr>
            </w:pPr>
          </w:p>
        </w:tc>
        <w:tc>
          <w:tcPr>
            <w:tcW w:w="1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50,664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60,876</w:t>
            </w:r>
          </w:p>
        </w:tc>
        <w:tc>
          <w:tcPr>
            <w:tcW w:w="0" w:type="dxa"/>
            <w:vAlign w:val="bottom"/>
          </w:tcPr>
          <w:p>
            <w:pPr>
              <w:spacing w:after="0"/>
              <w:rPr>
                <w:sz w:val="1"/>
                <w:szCs w:val="1"/>
                <w:color w:val="auto"/>
              </w:rPr>
            </w:pPr>
          </w:p>
        </w:tc>
      </w:tr>
      <w:tr>
        <w:trPr>
          <w:trHeight w:val="40"/>
        </w:trPr>
        <w:tc>
          <w:tcPr>
            <w:tcW w:w="420" w:type="dxa"/>
            <w:vAlign w:val="bottom"/>
            <w:tcBorders>
              <w:bottom w:val="single" w:sz="8" w:color="CCEEFF"/>
            </w:tcBorders>
          </w:tcPr>
          <w:p>
            <w:pPr>
              <w:spacing w:after="0"/>
              <w:rPr>
                <w:sz w:val="3"/>
                <w:szCs w:val="3"/>
                <w:color w:val="auto"/>
              </w:rPr>
            </w:pPr>
          </w:p>
        </w:tc>
        <w:tc>
          <w:tcPr>
            <w:tcW w:w="67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420" w:type="dxa"/>
            <w:vAlign w:val="bottom"/>
            <w:tcBorders>
              <w:bottom w:val="single" w:sz="8" w:color="CCEEFF"/>
            </w:tcBorders>
            <w:shd w:val="clear" w:color="auto" w:fill="CCEEFF"/>
          </w:tcPr>
          <w:p>
            <w:pPr>
              <w:spacing w:after="0"/>
              <w:rPr>
                <w:sz w:val="22"/>
                <w:szCs w:val="22"/>
                <w:color w:val="auto"/>
              </w:rPr>
            </w:pPr>
          </w:p>
        </w:tc>
        <w:tc>
          <w:tcPr>
            <w:tcW w:w="6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140,776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191,533</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c>
          <w:tcPr>
            <w:tcW w:w="6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of accumulated amortization of $36.2 million as of December 30, 2018.</w:t>
            </w: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Stockholders’ Equity</w:t>
      </w:r>
    </w:p>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Share Repurchases </w:t>
      </w:r>
      <w:r>
        <w:rPr>
          <w:rFonts w:ascii="Times New Roman" w:cs="Times New Roman" w:eastAsia="Times New Roman" w:hAnsi="Times New Roman"/>
          <w:sz w:val="20"/>
          <w:szCs w:val="20"/>
          <w:color w:val="auto"/>
        </w:rPr>
        <w:t>- On February 12, 2019, the Company’s Board of Directors (the “Board”) canceled the remaining $36.0 million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authorization under the 2018 Share Repurchase Program and approved a new $150.0 million authorization (the “2019 Share Repurchase Program”). The 2019 Share Repurchase Program will expire on August 12, 2020. As of March 31, 2019, $150.0 million remained available for repurchase under the 2019 Share Repurchase Program.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Dividends - </w:t>
      </w:r>
      <w:r>
        <w:rPr>
          <w:rFonts w:ascii="Times New Roman" w:cs="Times New Roman" w:eastAsia="Times New Roman" w:hAnsi="Times New Roman"/>
          <w:sz w:val="20"/>
          <w:szCs w:val="20"/>
          <w:color w:val="auto"/>
        </w:rPr>
        <w:t>The Company declared and paid dividends per share during fiscal year 2019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280" w:type="dxa"/>
            <w:vAlign w:val="bottom"/>
          </w:tcPr>
          <w:p>
            <w:pPr>
              <w:spacing w:after="0"/>
              <w:rPr>
                <w:sz w:val="13"/>
                <w:szCs w:val="13"/>
                <w:color w:val="auto"/>
              </w:rPr>
            </w:pPr>
          </w:p>
        </w:tc>
        <w:tc>
          <w:tcPr>
            <w:tcW w:w="1520" w:type="dxa"/>
            <w:vAlign w:val="bottom"/>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7"/>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80" w:type="dxa"/>
            <w:vAlign w:val="bottom"/>
          </w:tcPr>
          <w:p>
            <w:pPr>
              <w:spacing w:after="0"/>
              <w:rPr>
                <w:sz w:val="18"/>
                <w:szCs w:val="18"/>
                <w:color w:val="auto"/>
              </w:rPr>
            </w:pPr>
          </w:p>
        </w:tc>
        <w:tc>
          <w:tcPr>
            <w:tcW w:w="1520" w:type="dxa"/>
            <w:vAlign w:val="bottom"/>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4"/>
        </w:trPr>
        <w:tc>
          <w:tcPr>
            <w:tcW w:w="80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First fiscal quarter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9,140</w:t>
            </w:r>
          </w:p>
        </w:tc>
      </w:tr>
      <w:tr>
        <w:trPr>
          <w:trHeight w:val="33"/>
        </w:trPr>
        <w:tc>
          <w:tcPr>
            <w:tcW w:w="8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April 2019, the Board declared a quarterly cash dividend of $0.10 per share, payable on May 24, 2019, to shareholders of record at the close of business on May 13, 2019.</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Accumulated Other Comprehensive Loss (“AOCL”) - </w:t>
      </w:r>
      <w:r>
        <w:rPr>
          <w:rFonts w:ascii="Times New Roman" w:cs="Times New Roman" w:eastAsia="Times New Roman" w:hAnsi="Times New Roman"/>
          <w:sz w:val="20"/>
          <w:szCs w:val="20"/>
          <w:color w:val="auto"/>
        </w:rPr>
        <w:t>Following are the components of AOCL as of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8"/>
                <w:szCs w:val="18"/>
                <w:color w:val="auto"/>
              </w:rPr>
            </w:pPr>
          </w:p>
        </w:tc>
        <w:tc>
          <w:tcPr>
            <w:tcW w:w="20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18"/>
                <w:szCs w:val="18"/>
                <w:color w:val="auto"/>
              </w:rPr>
            </w:pPr>
          </w:p>
        </w:tc>
        <w:tc>
          <w:tcPr>
            <w:tcW w:w="182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DECEMBER 30, 2018</w:t>
            </w:r>
          </w:p>
        </w:tc>
      </w:tr>
      <w:tr>
        <w:trPr>
          <w:trHeight w:val="237"/>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(135,149)</w:t>
            </w:r>
          </w:p>
        </w:tc>
      </w:tr>
      <w:tr>
        <w:trPr>
          <w:trHeight w:val="270"/>
        </w:trPr>
        <w:tc>
          <w:tcPr>
            <w:tcW w:w="6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Unrealized loss on derivatives, net of tax</w:t>
            </w:r>
          </w:p>
        </w:tc>
        <w:tc>
          <w:tcPr>
            <w:tcW w:w="34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(7,606)</w:t>
            </w: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(142,755)</w:t>
            </w:r>
          </w:p>
        </w:tc>
      </w:tr>
      <w:tr>
        <w:trPr>
          <w:trHeight w:val="20"/>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are the components of Other comprehensive income attributable to Bloomin’ Brands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22"/>
                <w:szCs w:val="22"/>
                <w:color w:val="auto"/>
              </w:rPr>
            </w:pPr>
          </w:p>
        </w:tc>
        <w:tc>
          <w:tcPr>
            <w:tcW w:w="12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APRIL 1, 2018</w:t>
            </w:r>
          </w:p>
        </w:tc>
        <w:tc>
          <w:tcPr>
            <w:tcW w:w="0" w:type="dxa"/>
            <w:vAlign w:val="bottom"/>
          </w:tcPr>
          <w:p>
            <w:pPr>
              <w:spacing w:after="0"/>
              <w:rPr>
                <w:sz w:val="1"/>
                <w:szCs w:val="1"/>
                <w:color w:val="auto"/>
              </w:rPr>
            </w:pPr>
          </w:p>
        </w:tc>
      </w:tr>
      <w:tr>
        <w:trPr>
          <w:trHeight w:val="237"/>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currency translation adjustment, net of tax (1)</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5,847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1,367</w:t>
            </w:r>
          </w:p>
        </w:tc>
        <w:tc>
          <w:tcPr>
            <w:tcW w:w="0" w:type="dxa"/>
            <w:vAlign w:val="bottom"/>
          </w:tcPr>
          <w:p>
            <w:pPr>
              <w:spacing w:after="0"/>
              <w:rPr>
                <w:sz w:val="1"/>
                <w:szCs w:val="1"/>
                <w:color w:val="auto"/>
              </w:rPr>
            </w:pPr>
          </w:p>
        </w:tc>
      </w:tr>
      <w:tr>
        <w:trPr>
          <w:trHeight w:val="297"/>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Unrealized (loss) gain on derivatives, net of tax (2)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888</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Reclassification of adjustments for (gain) loss on derivatives included in Net income, net of tax (3)</w:t>
            </w: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unrealized (loss) gain on derivatives, net of tax</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1,196</w:t>
            </w:r>
          </w:p>
        </w:tc>
        <w:tc>
          <w:tcPr>
            <w:tcW w:w="0" w:type="dxa"/>
            <w:vAlign w:val="bottom"/>
          </w:tcPr>
          <w:p>
            <w:pPr>
              <w:spacing w:after="0"/>
              <w:rPr>
                <w:sz w:val="1"/>
                <w:szCs w:val="1"/>
                <w:color w:val="auto"/>
              </w:rPr>
            </w:pPr>
          </w:p>
        </w:tc>
      </w:tr>
      <w:tr>
        <w:trPr>
          <w:trHeight w:val="25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attributable to Bloomin’ Brands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1,102</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2,563</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currency translation adjustment is net of tax of $0.1 million for the thirteen weeks ended April 1, 2018.</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Unrealized (loss) gain on derivatives is net of tax of ($1.5) million and $0.3 million for the thirteen weeks ended March 31, 2019 and April 1, 2018, respectively.</w:t>
      </w:r>
    </w:p>
    <w:p>
      <w:pPr>
        <w:spacing w:after="0" w:line="5" w:lineRule="exact"/>
        <w:rPr>
          <w:rFonts w:ascii="Times New Roman" w:cs="Times New Roman" w:eastAsia="Times New Roman" w:hAnsi="Times New Roman"/>
          <w:sz w:val="16"/>
          <w:szCs w:val="16"/>
          <w:color w:val="auto"/>
        </w:rPr>
      </w:pPr>
    </w:p>
    <w:p>
      <w:pPr>
        <w:ind w:left="660" w:hanging="652"/>
        <w:spacing w:after="0" w:line="257"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Reclassifications of adjustments for (gain) loss on derivatives are net of tax. See Note 12 - </w:t>
      </w:r>
      <w:r>
        <w:rPr>
          <w:rFonts w:ascii="Times New Roman" w:cs="Times New Roman" w:eastAsia="Times New Roman" w:hAnsi="Times New Roman"/>
          <w:sz w:val="16"/>
          <w:szCs w:val="16"/>
          <w:i w:val="1"/>
          <w:iCs w:val="1"/>
          <w:color w:val="auto"/>
        </w:rPr>
        <w:t>Derivative Instruments and Hedging Activities</w:t>
      </w:r>
      <w:r>
        <w:rPr>
          <w:rFonts w:ascii="Times New Roman" w:cs="Times New Roman" w:eastAsia="Times New Roman" w:hAnsi="Times New Roman"/>
          <w:sz w:val="16"/>
          <w:szCs w:val="16"/>
          <w:color w:val="auto"/>
        </w:rPr>
        <w:t xml:space="preserve"> for discussion of the tax impact of reclassifications.</w:t>
      </w:r>
    </w:p>
    <w:p>
      <w:pPr>
        <w:spacing w:after="0" w:line="14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color w:val="auto"/>
        </w:rPr>
        <w:t>Derivative Instruments and Hedging Activities</w:t>
      </w:r>
    </w:p>
    <w:p>
      <w:pPr>
        <w:spacing w:after="0" w:line="2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Cash Flow Hedges of Interest Rate Risk - </w:t>
      </w:r>
      <w:r>
        <w:rPr>
          <w:rFonts w:ascii="Times New Roman" w:cs="Times New Roman" w:eastAsia="Times New Roman" w:hAnsi="Times New Roman"/>
          <w:sz w:val="20"/>
          <w:szCs w:val="20"/>
          <w:color w:val="252525"/>
        </w:rPr>
        <w:t>On September 9, 2014, the Company entered into variable-to-fixed interest rate swap agreements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252525"/>
        </w:rPr>
        <w:t>with eight counterparties to hedge a portion of the cash flows of the Company’s variable rate debt (the “2014 Swap Agreements”). The 2014 Swap Agreements have an aggregate notional amount of $400.0 million and mature on May 16, 2019. Under the terms of the 2014 Swap Agreements, the Company pays a weighted-average fixed rate of 2.02% on the $400.0 million notional amount and receives payments from the counterparty based on the 30-day LIBOR rate.</w:t>
      </w:r>
    </w:p>
    <w:p>
      <w:pPr>
        <w:spacing w:after="0" w:line="19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52525"/>
        </w:rPr>
        <w:t xml:space="preserve">On October 24, 2018 and October 25, 2018, the Company entered into variable-to-fixed interest rate swap agreements with 12 counterparties to hedge a portion of the cash flows of the Company’s variable rate debt (the “2018 Swap Agreements”). The 2018 Swap Agreements have an aggregate notional amount of $550.0 million, a forward start date of May 16, 2019 (the maturity date of the 2014 Swap Agreements) and mature on November 30, 2022. Under the terms of the 2018 Swap Agreements, the Company will pay a weighted-average fixed rate of 3.04% on the notional amount and receive payments from the counterparty based on the </w:t>
      </w:r>
      <w:r>
        <w:rPr>
          <w:rFonts w:ascii="Times New Roman" w:cs="Times New Roman" w:eastAsia="Times New Roman" w:hAnsi="Times New Roman"/>
          <w:sz w:val="20"/>
          <w:szCs w:val="20"/>
          <w:color w:val="000000"/>
        </w:rPr>
        <w:t>one-month LIBOR</w:t>
      </w:r>
      <w:r>
        <w:rPr>
          <w:rFonts w:ascii="Times New Roman" w:cs="Times New Roman" w:eastAsia="Times New Roman" w:hAnsi="Times New Roman"/>
          <w:sz w:val="20"/>
          <w:szCs w:val="20"/>
          <w:color w:val="252525"/>
        </w:rPr>
        <w:t xml:space="preserve"> rate.</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252525"/>
        </w:rPr>
        <w:t xml:space="preserve">The Company’s swap agreements have been designated and qualify as cash flow hedges, are recognized on its Consolidated Balance Sheets at fair value and are classified based on the instruments’ maturity dates. The following table presents the fair value and classification of the Company’s swap agreements, as of </w:t>
      </w:r>
      <w:r>
        <w:rPr>
          <w:rFonts w:ascii="Times New Roman" w:cs="Times New Roman" w:eastAsia="Times New Roman" w:hAnsi="Times New Roman"/>
          <w:sz w:val="20"/>
          <w:szCs w:val="20"/>
          <w:color w:val="000000"/>
        </w:rPr>
        <w:t>the periods indicated</w:t>
      </w:r>
      <w:r>
        <w:rPr>
          <w:rFonts w:ascii="Times New Roman" w:cs="Times New Roman" w:eastAsia="Times New Roman" w:hAnsi="Times New Roman"/>
          <w:sz w:val="20"/>
          <w:szCs w:val="20"/>
          <w:color w:val="252525"/>
        </w:rPr>
        <w: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0" w:type="dxa"/>
            <w:vAlign w:val="bottom"/>
          </w:tcPr>
          <w:p>
            <w:pPr>
              <w:spacing w:after="0"/>
              <w:rPr>
                <w:sz w:val="1"/>
                <w:szCs w:val="1"/>
                <w:color w:val="auto"/>
              </w:rPr>
            </w:pPr>
          </w:p>
        </w:tc>
      </w:tr>
      <w:tr>
        <w:trPr>
          <w:trHeight w:val="207"/>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80" w:type="dxa"/>
            <w:vAlign w:val="bottom"/>
          </w:tcPr>
          <w:p>
            <w:pPr>
              <w:spacing w:after="0"/>
              <w:rPr>
                <w:sz w:val="18"/>
                <w:szCs w:val="18"/>
                <w:color w:val="auto"/>
              </w:rPr>
            </w:pPr>
          </w:p>
        </w:tc>
        <w:tc>
          <w:tcPr>
            <w:tcW w:w="17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30, 2018</w:t>
            </w: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0" w:type="dxa"/>
            <w:vAlign w:val="bottom"/>
          </w:tcPr>
          <w:p>
            <w:pPr>
              <w:spacing w:after="0"/>
              <w:rPr>
                <w:sz w:val="1"/>
                <w:szCs w:val="1"/>
                <w:color w:val="auto"/>
              </w:rPr>
            </w:pPr>
          </w:p>
        </w:tc>
      </w:tr>
      <w:tr>
        <w:trPr>
          <w:trHeight w:val="237"/>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rate swaps - asset (1)</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 net</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rate swaps - liability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3,217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Interest rate swaps - liability</w:t>
            </w: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13,767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9,723</w:t>
            </w:r>
          </w:p>
        </w:tc>
        <w:tc>
          <w:tcPr>
            <w:tcW w:w="100" w:type="dxa"/>
            <w:vAlign w:val="bottom"/>
            <w:tcBorders>
              <w:bottom w:val="single" w:sz="8" w:color="CCEEFF"/>
            </w:tcBorders>
          </w:tcPr>
          <w:p>
            <w:pPr>
              <w:spacing w:after="0"/>
              <w:rPr>
                <w:sz w:val="23"/>
                <w:szCs w:val="23"/>
                <w:color w:val="auto"/>
              </w:rPr>
            </w:pPr>
          </w:p>
        </w:tc>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fair value of derivative instruments - liabilities (1)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16,984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11,116</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52525"/>
        </w:rPr>
        <w:t xml:space="preserve">See Note </w:t>
      </w:r>
      <w:r>
        <w:rPr>
          <w:rFonts w:ascii="Times New Roman" w:cs="Times New Roman" w:eastAsia="Times New Roman" w:hAnsi="Times New Roman"/>
          <w:sz w:val="16"/>
          <w:szCs w:val="16"/>
          <w:color w:val="000000"/>
        </w:rPr>
        <w:t>14</w:t>
      </w:r>
      <w:r>
        <w:rPr>
          <w:rFonts w:ascii="Times New Roman" w:cs="Times New Roman" w:eastAsia="Times New Roman" w:hAnsi="Times New Roman"/>
          <w:sz w:val="16"/>
          <w:szCs w:val="16"/>
          <w:color w:val="252525"/>
        </w:rPr>
        <w:t xml:space="preserve"> - </w:t>
      </w:r>
      <w:r>
        <w:rPr>
          <w:rFonts w:ascii="Times New Roman" w:cs="Times New Roman" w:eastAsia="Times New Roman" w:hAnsi="Times New Roman"/>
          <w:sz w:val="16"/>
          <w:szCs w:val="16"/>
          <w:i w:val="1"/>
          <w:iCs w:val="1"/>
          <w:color w:val="000000"/>
        </w:rPr>
        <w:t>Fair Value Measurements</w:t>
      </w:r>
      <w:r>
        <w:rPr>
          <w:rFonts w:ascii="Times New Roman" w:cs="Times New Roman" w:eastAsia="Times New Roman" w:hAnsi="Times New Roman"/>
          <w:sz w:val="16"/>
          <w:szCs w:val="16"/>
          <w:color w:val="252525"/>
        </w:rPr>
        <w:t xml:space="preserve"> for fair value discussion of the interest rate swaps.</w:t>
      </w:r>
    </w:p>
    <w:p>
      <w:pPr>
        <w:spacing w:after="0" w:line="225" w:lineRule="exact"/>
        <w:rPr>
          <w:rFonts w:ascii="Times New Roman" w:cs="Times New Roman" w:eastAsia="Times New Roman" w:hAnsi="Times New Roman"/>
          <w:sz w:val="16"/>
          <w:szCs w:val="16"/>
          <w:color w:val="auto"/>
        </w:rPr>
      </w:pPr>
    </w:p>
    <w:p>
      <w:pPr>
        <w:ind w:left="5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52525"/>
        </w:rPr>
        <w:t>The following table summarizes the effects of the 2014 Swap Agreements on Net income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80" w:type="dxa"/>
            <w:vAlign w:val="bottom"/>
            <w:tcBorders>
              <w:bottom w:val="single" w:sz="8" w:color="auto"/>
            </w:tcBorders>
          </w:tcPr>
          <w:p>
            <w:pPr>
              <w:spacing w:after="0"/>
              <w:rPr>
                <w:sz w:val="18"/>
                <w:szCs w:val="18"/>
                <w:color w:val="auto"/>
              </w:rPr>
            </w:pPr>
          </w:p>
        </w:tc>
      </w:tr>
      <w:tr>
        <w:trPr>
          <w:trHeight w:val="264"/>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58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37"/>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rate swap benefit (expense) recognized in Interest expense, net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r>
      <w:tr>
        <w:trPr>
          <w:trHeight w:val="270"/>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Income tax (expense) benefit recognized in Provision for income taxes</w:t>
            </w: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107</w:t>
            </w: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effects of the interest rate swaps on 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52525"/>
        </w:rPr>
        <w:t>The Company estimates $3.2 million will be reclassified to interest expense over the next 12 months related to the 2018 Swap Agreements.</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52525"/>
        </w:rPr>
        <w:t xml:space="preserve">By utilizing the interest rate swaps, the Company is exposed to credit-related losses in the event that the counterparty fails to perform under the terms of the derivative contract. To mitigate this risk, the Company enters into derivative contracts with major financial institutions based upon credit ratings and other factors. The Company continually assesses the creditworthiness of its counterparties. As of </w:t>
      </w:r>
      <w:r>
        <w:rPr>
          <w:rFonts w:ascii="Times New Roman" w:cs="Times New Roman" w:eastAsia="Times New Roman" w:hAnsi="Times New Roman"/>
          <w:sz w:val="20"/>
          <w:szCs w:val="20"/>
          <w:color w:val="000000"/>
        </w:rPr>
        <w:t>March 31, 2019</w:t>
      </w:r>
      <w:r>
        <w:rPr>
          <w:rFonts w:ascii="Times New Roman" w:cs="Times New Roman" w:eastAsia="Times New Roman" w:hAnsi="Times New Roman"/>
          <w:sz w:val="20"/>
          <w:szCs w:val="20"/>
          <w:color w:val="252525"/>
        </w:rPr>
        <w:t>, all counterparties to the interest rate swaps had performed in accordance with their contractual obligations.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252525"/>
        </w:rPr>
        <w:t>The Company has agreements with each of its derivative counterparties that contain a provision where the Company could be declared in default on its derivative obligations if the repayment of the underlying indebtedness is accelerated by the lender due to the Company’s default on indebtedness.</w:t>
      </w:r>
    </w:p>
    <w:p>
      <w:pPr>
        <w:spacing w:after="0" w:line="1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52525"/>
        </w:rPr>
        <w:t xml:space="preserve">As of </w:t>
      </w:r>
      <w:r>
        <w:rPr>
          <w:rFonts w:ascii="Times New Roman" w:cs="Times New Roman" w:eastAsia="Times New Roman" w:hAnsi="Times New Roman"/>
          <w:sz w:val="20"/>
          <w:szCs w:val="20"/>
          <w:color w:val="000000"/>
        </w:rPr>
        <w:t>March 31, 2019</w:t>
      </w:r>
      <w:r>
        <w:rPr>
          <w:rFonts w:ascii="Times New Roman" w:cs="Times New Roman" w:eastAsia="Times New Roman" w:hAnsi="Times New Roman"/>
          <w:sz w:val="20"/>
          <w:szCs w:val="20"/>
          <w:color w:val="252525"/>
        </w:rPr>
        <w:t xml:space="preserve"> and </w:t>
      </w:r>
      <w:r>
        <w:rPr>
          <w:rFonts w:ascii="Times New Roman" w:cs="Times New Roman" w:eastAsia="Times New Roman" w:hAnsi="Times New Roman"/>
          <w:sz w:val="20"/>
          <w:szCs w:val="20"/>
          <w:color w:val="000000"/>
        </w:rPr>
        <w:t>December 30, 2018</w:t>
      </w:r>
      <w:r>
        <w:rPr>
          <w:rFonts w:ascii="Times New Roman" w:cs="Times New Roman" w:eastAsia="Times New Roman" w:hAnsi="Times New Roman"/>
          <w:sz w:val="20"/>
          <w:szCs w:val="20"/>
          <w:color w:val="252525"/>
        </w:rPr>
        <w:t xml:space="preserve">, the fair value of the Company’s interest rate swaps in a net liability position, including accrued interest but excluding any adjustment for nonperformance risk, was $16.9 million and $10.5 million, respectively. As of </w:t>
      </w:r>
      <w:r>
        <w:rPr>
          <w:rFonts w:ascii="Times New Roman" w:cs="Times New Roman" w:eastAsia="Times New Roman" w:hAnsi="Times New Roman"/>
          <w:sz w:val="20"/>
          <w:szCs w:val="20"/>
          <w:color w:val="000000"/>
        </w:rPr>
        <w:t>March 31, 2019</w:t>
      </w:r>
      <w:r>
        <w:rPr>
          <w:rFonts w:ascii="Times New Roman" w:cs="Times New Roman" w:eastAsia="Times New Roman" w:hAnsi="Times New Roman"/>
          <w:sz w:val="20"/>
          <w:szCs w:val="20"/>
          <w:color w:val="252525"/>
        </w:rPr>
        <w:t xml:space="preserve"> and </w:t>
      </w:r>
      <w:r>
        <w:rPr>
          <w:rFonts w:ascii="Times New Roman" w:cs="Times New Roman" w:eastAsia="Times New Roman" w:hAnsi="Times New Roman"/>
          <w:sz w:val="20"/>
          <w:szCs w:val="20"/>
          <w:color w:val="000000"/>
        </w:rPr>
        <w:t>December 30, 2018</w:t>
      </w:r>
      <w:r>
        <w:rPr>
          <w:rFonts w:ascii="Times New Roman" w:cs="Times New Roman" w:eastAsia="Times New Roman" w:hAnsi="Times New Roman"/>
          <w:sz w:val="20"/>
          <w:szCs w:val="20"/>
          <w:color w:val="252525"/>
        </w:rPr>
        <w:t>, the Company has not posted any collateral related to these agreements. If the Company had breached any of these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52525"/>
        </w:rPr>
        <w:t xml:space="preserve">provisions as of </w:t>
      </w:r>
      <w:r>
        <w:rPr>
          <w:rFonts w:ascii="Times New Roman" w:cs="Times New Roman" w:eastAsia="Times New Roman" w:hAnsi="Times New Roman"/>
          <w:sz w:val="20"/>
          <w:szCs w:val="20"/>
          <w:color w:val="000000"/>
        </w:rPr>
        <w:t>March 31, 2019</w:t>
      </w:r>
      <w:r>
        <w:rPr>
          <w:rFonts w:ascii="Times New Roman" w:cs="Times New Roman" w:eastAsia="Times New Roman" w:hAnsi="Times New Roman"/>
          <w:sz w:val="20"/>
          <w:szCs w:val="20"/>
          <w:color w:val="252525"/>
        </w:rPr>
        <w:t xml:space="preserve"> and </w:t>
      </w:r>
      <w:r>
        <w:rPr>
          <w:rFonts w:ascii="Times New Roman" w:cs="Times New Roman" w:eastAsia="Times New Roman" w:hAnsi="Times New Roman"/>
          <w:sz w:val="20"/>
          <w:szCs w:val="20"/>
          <w:color w:val="000000"/>
        </w:rPr>
        <w:t>December 30, 2018</w:t>
      </w:r>
      <w:r>
        <w:rPr>
          <w:rFonts w:ascii="Times New Roman" w:cs="Times New Roman" w:eastAsia="Times New Roman" w:hAnsi="Times New Roman"/>
          <w:sz w:val="20"/>
          <w:szCs w:val="20"/>
          <w:color w:val="252525"/>
        </w:rPr>
        <w:t>, it could have been required to settle its obligations under the agreements at their termination value of $16.9 million and $10.5 million, respectively.</w:t>
      </w:r>
    </w:p>
    <w:p>
      <w:pPr>
        <w:spacing w:after="0" w:line="194"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The Company’s determination of whether an arrangement contains a lease is based on an evaluation of whether the arrangement conveys the right to use and control specific property or equipment. The Company leases restaurant and office facilities and certain equipment under operating leases primarily having initial terms expiring between one and 20 years. Restaurant facility leases generally have renewal periods totaling five to 20 years, exercisable at the option of the Company. Contingent rentals represent payment of variable lease obligations based on a percentage of gross revenues, as defined by the terms of the applicable lease agreement for certain restaurant facility leases. The Company also has certain leases, which reset periodically based on a specified index. Such leases are recorded using the index that existed at lease commencement. Subsequent changes in the index are recorded as variable rental payments. Variable rental payments are expensed as incurred in the Company’s Consolidated Statements of Operations and Comprehensive Income and future variable rent obligations are not included within the lease liabilities in the Consolidated Balance Sheet. The depreciable life of lease assets and leasehold improvements are limited by the expected lease term. None of the Company’s leases contain any material residual value guarantees or material restrictive covenants.</w:t>
      </w:r>
    </w:p>
    <w:p>
      <w:pPr>
        <w:spacing w:after="0" w:line="1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For leases executed subsequent to the adoption of ASU No. 2016-02, the Company accounts for fixed lease and non-lease components of its restaurant facility leases as a single lease component. Additionally, for certain equipment leases, the Company applies a portfolio approach to account for the lease assets and liabilities. Leases with an initial term of 12 months or less are not recorded on the Consolidated Balance Sheet, they are recognized on a straight-line basis over the lease term within Other restaurant operating expense in the Company’s Consolidated Statements of Operations and Comprehensive Income.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color w:val="auto"/>
        </w:rPr>
        <w:t>The following table includes a detail of lease assets and liabilities included on the Company’s Consolidated Balance Sheet as of the period indicated:</w:t>
      </w:r>
    </w:p>
    <w:p>
      <w:pPr>
        <w:sectPr>
          <w:pgSz w:w="11900" w:h="16838" w:orient="portrait"/>
          <w:cols w:equalWidth="0" w:num="1">
            <w:col w:w="11420"/>
          </w:cols>
          <w:pgMar w:left="240" w:top="118" w:right="239" w:bottom="1440" w:gutter="0" w:footer="0" w:header="0"/>
        </w:sectPr>
      </w:pP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Operating lease right-of-use assets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Finance lease right-of-use assets (1)</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Total lease assets, net</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Current operating lease liabilities (2)</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Current finance lease liabilities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Non-current operating lease liabilities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Non-current finance lease liabilities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accumulated amortization of $0.3 million.</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accrued contingent percentage rent.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CONSOLIDATED BALANCE SHEET CLASSIFICATION</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MARCH 31, 2019</w:t>
            </w:r>
          </w:p>
        </w:tc>
      </w:tr>
      <w:tr>
        <w:trPr>
          <w:trHeight w:val="224"/>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1,276,311</w:t>
            </w:r>
          </w:p>
        </w:tc>
      </w:tr>
      <w:tr>
        <w:trPr>
          <w:trHeight w:val="297"/>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3,095</w:t>
            </w:r>
          </w:p>
        </w:tc>
      </w:tr>
      <w:tr>
        <w:trPr>
          <w:trHeight w:val="224"/>
        </w:trPr>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1,279,406</w:t>
            </w: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515"/>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170,039</w:t>
            </w:r>
          </w:p>
        </w:tc>
      </w:tr>
      <w:tr>
        <w:trPr>
          <w:trHeight w:val="270"/>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60" w:type="dxa"/>
            <w:vAlign w:val="bottom"/>
          </w:tcPr>
          <w:p>
            <w:pPr>
              <w:spacing w:after="0"/>
              <w:rPr>
                <w:sz w:val="23"/>
                <w:szCs w:val="23"/>
                <w:color w:val="auto"/>
              </w:rPr>
            </w:pPr>
          </w:p>
        </w:tc>
        <w:tc>
          <w:tcPr>
            <w:tcW w:w="1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1,630</w:t>
            </w:r>
          </w:p>
        </w:tc>
      </w:tr>
      <w:tr>
        <w:trPr>
          <w:trHeight w:val="270"/>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60" w:type="dxa"/>
            <w:vAlign w:val="bottom"/>
          </w:tcPr>
          <w:p>
            <w:pPr>
              <w:spacing w:after="0"/>
              <w:rPr>
                <w:sz w:val="23"/>
                <w:szCs w:val="23"/>
                <w:color w:val="auto"/>
              </w:rPr>
            </w:pPr>
          </w:p>
        </w:tc>
        <w:tc>
          <w:tcPr>
            <w:tcW w:w="1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1,285,073</w:t>
            </w:r>
          </w:p>
        </w:tc>
      </w:tr>
      <w:tr>
        <w:trPr>
          <w:trHeight w:val="297"/>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Long-term debt, net</w:t>
            </w: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1,764</w:t>
            </w:r>
          </w:p>
        </w:tc>
      </w:tr>
      <w:tr>
        <w:trPr>
          <w:trHeight w:val="224"/>
        </w:trPr>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1,458,506</w:t>
            </w: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-1611630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-1268730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-882650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-539750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-196850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733" w:lineRule="exact"/>
        <w:rPr>
          <w:sz w:val="20"/>
          <w:szCs w:val="20"/>
          <w:color w:val="auto"/>
        </w:rPr>
      </w:pPr>
    </w:p>
    <w:p>
      <w:pPr>
        <w:sectPr>
          <w:pgSz w:w="11900" w:h="16838" w:orient="portrait"/>
          <w:cols w:equalWidth="0" w:num="2">
            <w:col w:w="3840" w:space="280"/>
            <w:col w:w="7300"/>
          </w:cols>
          <w:pgMar w:left="240" w:top="11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Following is a summary of expenses and income related to leases recognized in the Company’s Consolidated Statement of Operations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Comprehensive Income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74"/>
        </w:trPr>
        <w:tc>
          <w:tcPr>
            <w:tcW w:w="3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2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CONSOLIDATED INCOME STATEMENT CLASSIFICATION</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leases (1)</w:t>
            </w:r>
          </w:p>
        </w:tc>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45,233</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Variable lease cost</w:t>
            </w:r>
          </w:p>
        </w:tc>
        <w:tc>
          <w:tcPr>
            <w:tcW w:w="5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220" w:type="dxa"/>
            <w:vAlign w:val="bottom"/>
          </w:tcPr>
          <w:p>
            <w:pPr>
              <w:spacing w:after="0"/>
              <w:rPr>
                <w:sz w:val="20"/>
                <w:szCs w:val="20"/>
                <w:color w:val="auto"/>
              </w:rPr>
            </w:pPr>
          </w:p>
        </w:tc>
        <w:tc>
          <w:tcPr>
            <w:tcW w:w="22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819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Finance leases</w:t>
            </w:r>
          </w:p>
        </w:tc>
        <w:tc>
          <w:tcPr>
            <w:tcW w:w="5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leased assets</w:t>
            </w:r>
          </w:p>
        </w:tc>
        <w:tc>
          <w:tcPr>
            <w:tcW w:w="5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20"/>
                <w:szCs w:val="20"/>
                <w:color w:val="auto"/>
              </w:rPr>
            </w:pPr>
          </w:p>
        </w:tc>
        <w:tc>
          <w:tcPr>
            <w:tcW w:w="22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Sublease revenue (2)</w:t>
            </w:r>
          </w:p>
        </w:tc>
        <w:tc>
          <w:tcPr>
            <w:tcW w:w="53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22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Lease costs, net (3)</w:t>
            </w:r>
          </w:p>
        </w:tc>
        <w:tc>
          <w:tcPr>
            <w:tcW w:w="5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45,135</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540" w:type="dxa"/>
            <w:vAlign w:val="bottom"/>
            <w:vMerge w:val="continue"/>
          </w:tcPr>
          <w:p>
            <w:pPr>
              <w:spacing w:after="0"/>
              <w:rPr>
                <w:sz w:val="15"/>
                <w:szCs w:val="15"/>
                <w:color w:val="auto"/>
              </w:rPr>
            </w:pPr>
          </w:p>
        </w:tc>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20" w:hanging="652"/>
        <w:spacing w:after="0" w:line="246"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rent expense for office facilities and Company-owned closed or subleased properties of $3.6 million, which is included in General and administrative expense and certain supply chain related rent expense of $0.3 million, which is included in Cost of sales.</w:t>
      </w: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rental income from Company-owned properties of $0.7 million.</w:t>
      </w:r>
    </w:p>
    <w:p>
      <w:pPr>
        <w:spacing w:after="0" w:line="5" w:lineRule="exact"/>
        <w:rPr>
          <w:rFonts w:ascii="Times New Roman" w:cs="Times New Roman" w:eastAsia="Times New Roman" w:hAnsi="Times New Roman"/>
          <w:sz w:val="16"/>
          <w:szCs w:val="16"/>
          <w:color w:val="auto"/>
        </w:rPr>
      </w:pPr>
    </w:p>
    <w:p>
      <w:pPr>
        <w:ind w:left="660" w:hanging="652"/>
        <w:spacing w:after="0" w:line="257"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thirteen weeks ended April 1, 2018, the Company recorded rent expense of $47.2 million, including $1.3 million of variable rent expense, and $1.6 million of sublease revenue.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type w:val="continuous"/>
        </w:sectPr>
      </w:pPr>
    </w:p>
    <w:bookmarkStart w:id="18" w:name="page19"/>
    <w:bookmarkEnd w:id="1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March 31, 2019, future minimum lease payments and sublease revenues under non-cancelable leases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13"/>
                <w:szCs w:val="13"/>
                <w:color w:val="auto"/>
              </w:rPr>
            </w:pPr>
          </w:p>
        </w:tc>
        <w:tc>
          <w:tcPr>
            <w:tcW w:w="10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SUBLEASE</w:t>
            </w:r>
          </w:p>
        </w:tc>
        <w:tc>
          <w:tcPr>
            <w:tcW w:w="0" w:type="dxa"/>
            <w:vAlign w:val="bottom"/>
          </w:tcPr>
          <w:p>
            <w:pPr>
              <w:spacing w:after="0"/>
              <w:rPr>
                <w:sz w:val="1"/>
                <w:szCs w:val="1"/>
                <w:color w:val="auto"/>
              </w:rPr>
            </w:pPr>
          </w:p>
        </w:tc>
      </w:tr>
      <w:tr>
        <w:trPr>
          <w:trHeight w:val="207"/>
        </w:trPr>
        <w:tc>
          <w:tcPr>
            <w:tcW w:w="7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37"/>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Year 1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177,405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1,699</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(5,936)</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Year 2</w:t>
            </w: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190,733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(6,028)</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Year 3</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186,753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(6,012)</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Year 4</w:t>
            </w: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182,697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(5,956)</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Year 5</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177,735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(5,945)</w:t>
            </w:r>
          </w:p>
        </w:tc>
        <w:tc>
          <w:tcPr>
            <w:tcW w:w="0" w:type="dxa"/>
            <w:vAlign w:val="bottom"/>
          </w:tcPr>
          <w:p>
            <w:pPr>
              <w:spacing w:after="0"/>
              <w:rPr>
                <w:sz w:val="1"/>
                <w:szCs w:val="1"/>
                <w:color w:val="auto"/>
              </w:rPr>
            </w:pPr>
          </w:p>
        </w:tc>
      </w:tr>
      <w:tr>
        <w:trPr>
          <w:trHeight w:val="270"/>
        </w:trPr>
        <w:tc>
          <w:tcPr>
            <w:tcW w:w="7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1,774,940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(67,921)</w:t>
            </w:r>
          </w:p>
        </w:tc>
        <w:tc>
          <w:tcPr>
            <w:tcW w:w="0" w:type="dxa"/>
            <w:vAlign w:val="bottom"/>
          </w:tcPr>
          <w:p>
            <w:pPr>
              <w:spacing w:after="0"/>
              <w:rPr>
                <w:sz w:val="1"/>
                <w:szCs w:val="1"/>
                <w:color w:val="auto"/>
              </w:rPr>
            </w:pPr>
          </w:p>
        </w:tc>
      </w:tr>
      <w:tr>
        <w:trPr>
          <w:trHeight w:val="284"/>
        </w:trPr>
        <w:tc>
          <w:tcPr>
            <w:tcW w:w="7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minimum lease payments (receipts) (2)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2,690,263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3,769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(97,798)</w:t>
            </w:r>
          </w:p>
        </w:tc>
        <w:tc>
          <w:tcPr>
            <w:tcW w:w="0" w:type="dxa"/>
            <w:vAlign w:val="bottom"/>
          </w:tcPr>
          <w:p>
            <w:pPr>
              <w:spacing w:after="0"/>
              <w:rPr>
                <w:sz w:val="1"/>
                <w:szCs w:val="1"/>
                <w:color w:val="auto"/>
              </w:rPr>
            </w:pPr>
          </w:p>
        </w:tc>
      </w:tr>
      <w:tr>
        <w:trPr>
          <w:trHeight w:val="257"/>
        </w:trPr>
        <w:tc>
          <w:tcPr>
            <w:tcW w:w="7540" w:type="dxa"/>
            <w:vAlign w:val="bottom"/>
            <w:tcBorders>
              <w:top w:val="single" w:sz="8" w:color="CCEEFF"/>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Less: Interest</w:t>
            </w:r>
          </w:p>
        </w:tc>
        <w:tc>
          <w:tcPr>
            <w:tcW w:w="1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(1,235,151)</w:t>
            </w:r>
          </w:p>
        </w:tc>
        <w:tc>
          <w:tcPr>
            <w:tcW w:w="12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CCEEFF"/>
            </w:tcBorders>
          </w:tcPr>
          <w:p>
            <w:pPr>
              <w:spacing w:after="0"/>
              <w:rPr>
                <w:sz w:val="22"/>
                <w:szCs w:val="22"/>
                <w:color w:val="auto"/>
              </w:rPr>
            </w:pPr>
          </w:p>
        </w:tc>
        <w:tc>
          <w:tcPr>
            <w:tcW w:w="980" w:type="dxa"/>
            <w:vAlign w:val="bottom"/>
            <w:tcBorders>
              <w:top w:val="single" w:sz="8" w:color="auto"/>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Present value of future lease payments (receipts)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1,455,112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3,394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operating lease prepaid rent of $14.6 million.</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 billion related to options to extend operating lease terms and excludes $96.3 million of signed operating leases that have not yet commenced.</w:t>
      </w:r>
    </w:p>
    <w:p>
      <w:pPr>
        <w:spacing w:after="0" w:line="16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is a summary of the weighted-average remaining lease terms and weighted-average discount rates of the Company’s leases as of the period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40" w:type="dxa"/>
            <w:vAlign w:val="bottom"/>
            <w:tcBorders>
              <w:bottom w:val="single" w:sz="8" w:color="CCEEFF"/>
            </w:tcBorders>
          </w:tcPr>
          <w:p>
            <w:pPr>
              <w:spacing w:after="0"/>
              <w:rPr>
                <w:sz w:val="18"/>
                <w:szCs w:val="18"/>
                <w:color w:val="auto"/>
              </w:rPr>
            </w:pPr>
          </w:p>
        </w:tc>
        <w:tc>
          <w:tcPr>
            <w:tcW w:w="278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MARCH 31, 2019</w:t>
            </w: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Weighted-average remaining lease term:</w:t>
            </w:r>
          </w:p>
        </w:tc>
        <w:tc>
          <w:tcPr>
            <w:tcW w:w="2780" w:type="dxa"/>
            <w:vAlign w:val="bottom"/>
            <w:tcBorders>
              <w:bottom w:val="single" w:sz="8" w:color="CCEEFF"/>
            </w:tcBorders>
            <w:shd w:val="clear" w:color="auto" w:fill="CCEEFF"/>
          </w:tcPr>
          <w:p>
            <w:pPr>
              <w:spacing w:after="0"/>
              <w:rPr>
                <w:sz w:val="21"/>
                <w:szCs w:val="21"/>
                <w:color w:val="auto"/>
              </w:rPr>
            </w:pPr>
          </w:p>
        </w:tc>
      </w:tr>
      <w:tr>
        <w:trPr>
          <w:trHeight w:val="224"/>
        </w:trPr>
        <w:tc>
          <w:tcPr>
            <w:tcW w:w="8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leases</w:t>
            </w:r>
          </w:p>
        </w:tc>
        <w:tc>
          <w:tcPr>
            <w:tcW w:w="27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14.7 years</w:t>
            </w:r>
          </w:p>
        </w:tc>
      </w:tr>
      <w:tr>
        <w:trPr>
          <w:trHeight w:val="33"/>
        </w:trPr>
        <w:tc>
          <w:tcPr>
            <w:tcW w:w="864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37"/>
        </w:trPr>
        <w:tc>
          <w:tcPr>
            <w:tcW w:w="8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Finance leases</w:t>
            </w:r>
          </w:p>
        </w:tc>
        <w:tc>
          <w:tcPr>
            <w:tcW w:w="27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2.4 years</w:t>
            </w:r>
          </w:p>
        </w:tc>
      </w:tr>
      <w:tr>
        <w:trPr>
          <w:trHeight w:val="237"/>
        </w:trPr>
        <w:tc>
          <w:tcPr>
            <w:tcW w:w="8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Weighted-average discount rate (1):</w:t>
            </w:r>
          </w:p>
        </w:tc>
        <w:tc>
          <w:tcPr>
            <w:tcW w:w="2780" w:type="dxa"/>
            <w:vAlign w:val="bottom"/>
          </w:tcPr>
          <w:p>
            <w:pPr>
              <w:spacing w:after="0"/>
              <w:rPr>
                <w:sz w:val="20"/>
                <w:szCs w:val="20"/>
                <w:color w:val="auto"/>
              </w:rPr>
            </w:pPr>
          </w:p>
        </w:tc>
      </w:tr>
      <w:tr>
        <w:trPr>
          <w:trHeight w:val="33"/>
        </w:trPr>
        <w:tc>
          <w:tcPr>
            <w:tcW w:w="864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37"/>
        </w:trPr>
        <w:tc>
          <w:tcPr>
            <w:tcW w:w="8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leases</w:t>
            </w:r>
          </w:p>
        </w:tc>
        <w:tc>
          <w:tcPr>
            <w:tcW w:w="2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r>
      <w:tr>
        <w:trPr>
          <w:trHeight w:val="224"/>
        </w:trPr>
        <w:tc>
          <w:tcPr>
            <w:tcW w:w="8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Finance leases</w:t>
            </w:r>
          </w:p>
        </w:tc>
        <w:tc>
          <w:tcPr>
            <w:tcW w:w="2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w:t>
            </w:r>
          </w:p>
        </w:tc>
      </w:tr>
      <w:tr>
        <w:trPr>
          <w:trHeight w:val="226"/>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2780" w:type="dxa"/>
            <w:vAlign w:val="bottom"/>
          </w:tcPr>
          <w:p>
            <w:pPr>
              <w:spacing w:after="0"/>
              <w:rPr>
                <w:sz w:val="19"/>
                <w:szCs w:val="19"/>
                <w:color w:val="auto"/>
              </w:rPr>
            </w:pPr>
          </w:p>
        </w:tc>
      </w:tr>
    </w:tbl>
    <w:p>
      <w:pPr>
        <w:ind w:left="660" w:hanging="652"/>
        <w:spacing w:after="0"/>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Company’s incremental borrowing rate at lease commencement.</w:t>
      </w:r>
    </w:p>
    <w:p>
      <w:pPr>
        <w:spacing w:after="0" w:line="1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is a summary of other impacts to the Company’s Consolidated Financial Statements related to its leases for the period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20"/>
        </w:trPr>
        <w:tc>
          <w:tcPr>
            <w:tcW w:w="8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MARCH 31, 2019</w:t>
            </w: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24"/>
        </w:trPr>
        <w:tc>
          <w:tcPr>
            <w:tcW w:w="8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8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47,649</w:t>
            </w:r>
          </w:p>
        </w:tc>
      </w:tr>
    </w:tbl>
    <w:p>
      <w:pPr>
        <w:spacing w:after="0" w:line="2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Properties Leased to Third Parties </w:t>
      </w:r>
      <w:r>
        <w:rPr>
          <w:rFonts w:ascii="Times New Roman" w:cs="Times New Roman" w:eastAsia="Times New Roman" w:hAnsi="Times New Roman"/>
          <w:sz w:val="20"/>
          <w:szCs w:val="20"/>
          <w:color w:val="auto"/>
        </w:rPr>
        <w:t>- The Company leases certain land and buildings to third parties, generally related to closed or refranchised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restaurants. The following table is a summary of assets leased to third parties included in Property, fixtures and equipment, net as of the period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MARCH 31, 2019</w:t>
            </w: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Land</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15,247</w:t>
            </w:r>
          </w:p>
        </w:tc>
      </w:tr>
      <w:tr>
        <w:trPr>
          <w:trHeight w:val="297"/>
        </w:trPr>
        <w:tc>
          <w:tcPr>
            <w:tcW w:w="9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Buildings and building improvements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23,120</w:t>
            </w:r>
          </w:p>
        </w:tc>
      </w:tr>
      <w:tr>
        <w:trPr>
          <w:trHeight w:val="270"/>
        </w:trPr>
        <w:tc>
          <w:tcPr>
            <w:tcW w:w="9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(10,080)</w:t>
            </w: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Buildings and building improvements, net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13,040</w:t>
            </w: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color w:val="auto"/>
        </w:rPr>
        <w:t>Fair Value Measurements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1</w:t>
            </w:r>
          </w:p>
        </w:tc>
        <w:tc>
          <w:tcPr>
            <w:tcW w:w="10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Unadjusted quoted market prices in active markets for identical assets or liabilities</w:t>
            </w:r>
          </w:p>
        </w:tc>
      </w:tr>
      <w:tr>
        <w:trPr>
          <w:trHeight w:val="224"/>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Level 2</w:t>
            </w:r>
          </w:p>
        </w:tc>
        <w:tc>
          <w:tcPr>
            <w:tcW w:w="10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Observable inputs available at measurement date other than quoted prices included in Level 1</w:t>
            </w:r>
          </w:p>
        </w:tc>
      </w:tr>
      <w:tr>
        <w:trPr>
          <w:trHeight w:val="47"/>
        </w:trPr>
        <w:tc>
          <w:tcPr>
            <w:tcW w:w="860" w:type="dxa"/>
            <w:vAlign w:val="bottom"/>
          </w:tcPr>
          <w:p>
            <w:pPr>
              <w:spacing w:after="0"/>
              <w:rPr>
                <w:sz w:val="4"/>
                <w:szCs w:val="4"/>
                <w:color w:val="auto"/>
              </w:rPr>
            </w:pPr>
          </w:p>
        </w:tc>
        <w:tc>
          <w:tcPr>
            <w:tcW w:w="10520" w:type="dxa"/>
            <w:vAlign w:val="bottom"/>
          </w:tcPr>
          <w:p>
            <w:pPr>
              <w:spacing w:after="0"/>
              <w:rPr>
                <w:sz w:val="4"/>
                <w:szCs w:val="4"/>
                <w:color w:val="auto"/>
              </w:rPr>
            </w:pPr>
          </w:p>
        </w:tc>
      </w:tr>
      <w:tr>
        <w:trPr>
          <w:trHeight w:val="224"/>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3</w:t>
            </w:r>
          </w:p>
        </w:tc>
        <w:tc>
          <w:tcPr>
            <w:tcW w:w="10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Unobservable inputs that cannot be corroborated by observable market data</w:t>
            </w:r>
          </w:p>
        </w:tc>
      </w:tr>
      <w:tr>
        <w:trPr>
          <w:trHeight w:val="47"/>
        </w:trPr>
        <w:tc>
          <w:tcPr>
            <w:tcW w:w="860" w:type="dxa"/>
            <w:vAlign w:val="bottom"/>
            <w:shd w:val="clear" w:color="auto" w:fill="CCEEFF"/>
          </w:tcPr>
          <w:p>
            <w:pPr>
              <w:spacing w:after="0"/>
              <w:rPr>
                <w:sz w:val="4"/>
                <w:szCs w:val="4"/>
                <w:color w:val="auto"/>
              </w:rPr>
            </w:pPr>
          </w:p>
        </w:tc>
        <w:tc>
          <w:tcPr>
            <w:tcW w:w="10520" w:type="dxa"/>
            <w:vAlign w:val="bottom"/>
            <w:shd w:val="clear" w:color="auto" w:fill="CCEEFF"/>
          </w:tcPr>
          <w:p>
            <w:pPr>
              <w:spacing w:after="0"/>
              <w:rPr>
                <w:sz w:val="4"/>
                <w:szCs w:val="4"/>
                <w:color w:val="auto"/>
              </w:rPr>
            </w:pPr>
          </w:p>
        </w:tc>
      </w:tr>
    </w:tbl>
    <w:p>
      <w:pPr>
        <w:spacing w:after="0" w:line="203"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Fair Value Measurements on a Recurring Basis - </w:t>
      </w:r>
      <w:r>
        <w:rPr>
          <w:rFonts w:ascii="Times New Roman" w:cs="Times New Roman" w:eastAsia="Times New Roman" w:hAnsi="Times New Roman"/>
          <w:sz w:val="20"/>
          <w:szCs w:val="20"/>
          <w:color w:val="auto"/>
        </w:rPr>
        <w:t>The following table summarizes the Company’s financial assets and liabilities measured 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fair value by hierarchy level on a recurring basis as of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6"/>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30, 2018</w:t>
            </w:r>
          </w:p>
        </w:tc>
        <w:tc>
          <w:tcPr>
            <w:tcW w:w="940" w:type="dxa"/>
            <w:vAlign w:val="bottom"/>
            <w:tcBorders>
              <w:bottom w:val="single" w:sz="8" w:color="auto"/>
            </w:tcBorders>
          </w:tcPr>
          <w:p>
            <w:pPr>
              <w:spacing w:after="0"/>
              <w:rPr>
                <w:sz w:val="18"/>
                <w:szCs w:val="18"/>
                <w:color w:val="auto"/>
              </w:rPr>
            </w:pPr>
          </w:p>
        </w:tc>
      </w:tr>
      <w:tr>
        <w:trPr>
          <w:trHeight w:val="264"/>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22"/>
                <w:szCs w:val="22"/>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22"/>
                <w:szCs w:val="22"/>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22"/>
                <w:szCs w:val="22"/>
                <w:color w:val="auto"/>
              </w:rPr>
            </w:pPr>
          </w:p>
        </w:tc>
        <w:tc>
          <w:tcPr>
            <w:tcW w:w="8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LEVEL 1</w:t>
            </w:r>
          </w:p>
        </w:tc>
        <w:tc>
          <w:tcPr>
            <w:tcW w:w="180" w:type="dxa"/>
            <w:vAlign w:val="bottom"/>
          </w:tcPr>
          <w:p>
            <w:pPr>
              <w:spacing w:after="0"/>
              <w:rPr>
                <w:sz w:val="22"/>
                <w:szCs w:val="22"/>
                <w:color w:val="auto"/>
              </w:rPr>
            </w:pPr>
          </w:p>
        </w:tc>
        <w:tc>
          <w:tcPr>
            <w:tcW w:w="9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LEVEL 2</w:t>
            </w:r>
          </w:p>
        </w:tc>
      </w:tr>
      <w:tr>
        <w:trPr>
          <w:trHeight w:val="250"/>
        </w:trPr>
        <w:tc>
          <w:tcPr>
            <w:tcW w:w="2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17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equivalents:</w:t>
            </w: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2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Fixed income funds</w:t>
            </w:r>
          </w:p>
        </w:tc>
        <w:tc>
          <w:tcPr>
            <w:tcW w:w="1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2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Money market funds</w:t>
            </w: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16,661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16,661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17,827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 net:</w:t>
            </w:r>
          </w:p>
        </w:tc>
        <w:tc>
          <w:tcPr>
            <w:tcW w:w="1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70"/>
        </w:trPr>
        <w:tc>
          <w:tcPr>
            <w:tcW w:w="400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6"/>
                <w:szCs w:val="16"/>
                <w:color w:val="auto"/>
              </w:rPr>
              <w:t>Derivative instruments - interest rate swaps</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765</w:t>
            </w:r>
          </w:p>
        </w:tc>
      </w:tr>
      <w:tr>
        <w:trPr>
          <w:trHeight w:val="244"/>
        </w:trPr>
        <w:tc>
          <w:tcPr>
            <w:tcW w:w="4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asset recurring fair value measurements</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17,305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17,068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19,219</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18,454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765</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2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2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1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Derivative instruments - interest rate swaps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1,393</w:t>
            </w:r>
          </w:p>
        </w:tc>
      </w:tr>
      <w:tr>
        <w:trPr>
          <w:trHeight w:val="237"/>
        </w:trPr>
        <w:tc>
          <w:tcPr>
            <w:tcW w:w="2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4"/>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Derivative instruments - interest rate swaps</w:t>
            </w: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13,767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13,767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9,723</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9,723</w:t>
            </w:r>
          </w:p>
        </w:tc>
      </w:tr>
      <w:tr>
        <w:trPr>
          <w:trHeight w:val="250"/>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liability recurring fair value measurements</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16,984</w:t>
            </w:r>
          </w:p>
        </w:tc>
        <w:tc>
          <w:tcPr>
            <w:tcW w:w="120" w:type="dxa"/>
            <w:vAlign w:val="bottom"/>
          </w:tcPr>
          <w:p>
            <w:pPr>
              <w:spacing w:after="0"/>
              <w:rPr>
                <w:sz w:val="21"/>
                <w:szCs w:val="21"/>
                <w:color w:val="auto"/>
              </w:rPr>
            </w:pP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16,984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11,116</w:t>
            </w: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11,116</w:t>
            </w:r>
          </w:p>
        </w:tc>
      </w:tr>
      <w:tr>
        <w:trPr>
          <w:trHeight w:val="20"/>
        </w:trPr>
        <w:tc>
          <w:tcPr>
            <w:tcW w:w="400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52"/>
        </w:trPr>
        <w:tc>
          <w:tcPr>
            <w:tcW w:w="6800" w:type="dxa"/>
            <w:vAlign w:val="bottom"/>
            <w:gridSpan w:val="9"/>
          </w:tcPr>
          <w:p>
            <w:pPr>
              <w:spacing w:after="0"/>
              <w:rPr>
                <w:sz w:val="20"/>
                <w:szCs w:val="20"/>
                <w:color w:val="auto"/>
              </w:rPr>
            </w:pPr>
            <w:r>
              <w:rPr>
                <w:rFonts w:ascii="Times New Roman" w:cs="Times New Roman" w:eastAsia="Times New Roman" w:hAnsi="Times New Roman"/>
                <w:sz w:val="20"/>
                <w:szCs w:val="20"/>
                <w:color w:val="auto"/>
                <w:w w:val="99"/>
              </w:rPr>
              <w:t>Fair value of each class of financial instrument is determined based on the following:</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2"/>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FINANCIAL INSTRUMENT</w:t>
            </w:r>
          </w:p>
        </w:tc>
        <w:tc>
          <w:tcPr>
            <w:tcW w:w="306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METHODS AND ASSUMPTIONS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104" w:lineRule="exact"/>
        <w:rPr>
          <w:sz w:val="20"/>
          <w:szCs w:val="20"/>
          <w:color w:val="auto"/>
        </w:rPr>
      </w:pPr>
    </w:p>
    <w:p>
      <w:pPr>
        <w:ind w:left="40"/>
        <w:spacing w:after="0" w:line="298" w:lineRule="auto"/>
        <w:rPr>
          <w:sz w:val="20"/>
          <w:szCs w:val="20"/>
          <w:color w:val="auto"/>
        </w:rPr>
      </w:pPr>
      <w:r>
        <w:rPr>
          <w:rFonts w:ascii="Times New Roman" w:cs="Times New Roman" w:eastAsia="Times New Roman" w:hAnsi="Times New Roman"/>
          <w:sz w:val="16"/>
          <w:szCs w:val="16"/>
          <w:color w:val="auto"/>
        </w:rPr>
        <w:t>Fixed income funds and Money market funds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Carrying value approximates fair value because maturities are less than three months.</w:t>
      </w:r>
    </w:p>
    <w:p>
      <w:pPr>
        <w:spacing w:after="0" w:line="274" w:lineRule="exact"/>
        <w:rPr>
          <w:sz w:val="20"/>
          <w:szCs w:val="20"/>
          <w:color w:val="auto"/>
        </w:rPr>
      </w:pPr>
    </w:p>
    <w:p>
      <w:pPr>
        <w:sectPr>
          <w:pgSz w:w="11900" w:h="16838" w:orient="portrait"/>
          <w:cols w:equalWidth="0" w:num="2">
            <w:col w:w="2100" w:space="440"/>
            <w:col w:w="8880"/>
          </w:cols>
          <w:pgMar w:left="240" w:top="118" w:right="239" w:bottom="1440" w:gutter="0" w:footer="0" w:header="0"/>
          <w:type w:val="continuous"/>
        </w:sectPr>
      </w:pPr>
    </w:p>
    <w:p>
      <w:pPr>
        <w:ind w:left="40"/>
        <w:spacing w:after="0"/>
        <w:tabs>
          <w:tab w:leader="none" w:pos="2520" w:val="left"/>
        </w:tabs>
        <w:rPr>
          <w:sz w:val="20"/>
          <w:szCs w:val="20"/>
          <w:color w:val="auto"/>
        </w:rPr>
      </w:pPr>
      <w:r>
        <w:rPr>
          <w:rFonts w:ascii="Times New Roman" w:cs="Times New Roman" w:eastAsia="Times New Roman" w:hAnsi="Times New Roman"/>
          <w:sz w:val="16"/>
          <w:szCs w:val="16"/>
          <w:color w:val="auto"/>
        </w:rPr>
        <w:t>Derivative instruments</w:t>
      </w:r>
      <w:r>
        <w:rPr>
          <w:sz w:val="20"/>
          <w:szCs w:val="20"/>
          <w:color w:val="auto"/>
        </w:rPr>
        <w:tab/>
      </w:r>
      <w:r>
        <w:rPr>
          <w:rFonts w:ascii="Times New Roman" w:cs="Times New Roman" w:eastAsia="Times New Roman" w:hAnsi="Times New Roman"/>
          <w:sz w:val="16"/>
          <w:szCs w:val="16"/>
          <w:color w:val="auto"/>
        </w:rPr>
        <w:t>The Company’s derivative instruments include interest rate swaps. Fair value measurements are based on the contractual terms of the</w:t>
      </w:r>
    </w:p>
    <w:p>
      <w:pPr>
        <w:spacing w:after="0" w:line="2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color w:val="auto"/>
        </w:rPr>
        <w:t>derivatives and use observable market-based inputs. The interest rate swaps are valued using a discounted cash flow analysis on the</w:t>
      </w:r>
    </w:p>
    <w:p>
      <w:pPr>
        <w:spacing w:after="0" w:line="1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color w:val="auto"/>
        </w:rPr>
        <w:t>expected cash flows of each derivative using observable inputs including interest rate curves and credit spreads. The Company also</w:t>
      </w:r>
    </w:p>
    <w:p>
      <w:pPr>
        <w:spacing w:after="0" w:line="1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color w:val="auto"/>
        </w:rPr>
        <w:t>considers its own nonperformance risk and the respective counterparty’s nonperformance risk in the fair value measurements. As of</w:t>
      </w:r>
    </w:p>
    <w:p>
      <w:pPr>
        <w:spacing w:after="0" w:line="1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March 31, 2019 and December 30, 2018, the Company has determined that the credit valuation adjustments are not significant to the</w:t>
      </w:r>
    </w:p>
    <w:p>
      <w:pPr>
        <w:spacing w:after="0" w:line="1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color w:val="auto"/>
        </w:rPr>
        <w:t>overall valuation of its derivatives.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type w:val="continuous"/>
        </w:sectPr>
      </w:pPr>
    </w:p>
    <w:bookmarkStart w:id="20" w:name="page21"/>
    <w:bookmarkEnd w:id="2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Fair Value Measurements on a Nonrecurring Basis - </w:t>
      </w:r>
      <w:r>
        <w:rPr>
          <w:rFonts w:ascii="Times New Roman" w:cs="Times New Roman" w:eastAsia="Times New Roman" w:hAnsi="Times New Roman"/>
          <w:sz w:val="20"/>
          <w:szCs w:val="20"/>
          <w:color w:val="auto"/>
        </w:rPr>
        <w:t>Assets and liabilities that are measured at fair value on a nonrecurring basis relate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primarily to property, fixtures and equipment, operating lease right-of-use assets, goodwill and other intangible assets, which are remeasured when carrying value exceeds fair value. The following table summarizes the Company’s assets measured at fair value by hierarchy level on a nonrecurring basis, for the periods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80" w:type="dxa"/>
            <w:vAlign w:val="bottom"/>
          </w:tcPr>
          <w:p>
            <w:pPr>
              <w:spacing w:after="0"/>
              <w:rPr>
                <w:sz w:val="16"/>
                <w:szCs w:val="16"/>
                <w:color w:val="auto"/>
              </w:rPr>
            </w:pPr>
          </w:p>
        </w:tc>
        <w:tc>
          <w:tcPr>
            <w:tcW w:w="2620" w:type="dxa"/>
            <w:vAlign w:val="bottom"/>
            <w:gridSpan w:val="4"/>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74"/>
        </w:trPr>
        <w:tc>
          <w:tcPr>
            <w:tcW w:w="56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4"/>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4"/>
          </w:tcPr>
          <w:p>
            <w:pPr>
              <w:jc w:val="right"/>
              <w:ind w:right="862"/>
              <w:spacing w:after="0"/>
              <w:rPr>
                <w:sz w:val="20"/>
                <w:szCs w:val="20"/>
                <w:color w:val="auto"/>
              </w:rPr>
            </w:pPr>
            <w:r>
              <w:rPr>
                <w:rFonts w:ascii="Times New Roman" w:cs="Times New Roman" w:eastAsia="Times New Roman" w:hAnsi="Times New Roman"/>
                <w:sz w:val="14"/>
                <w:szCs w:val="14"/>
                <w:b w:val="1"/>
                <w:bCs w:val="1"/>
                <w:color w:val="auto"/>
              </w:rPr>
              <w:t>APRIL 1, 2018</w:t>
            </w:r>
          </w:p>
        </w:tc>
        <w:tc>
          <w:tcPr>
            <w:tcW w:w="0" w:type="dxa"/>
            <w:vAlign w:val="bottom"/>
          </w:tcPr>
          <w:p>
            <w:pPr>
              <w:spacing w:after="0"/>
              <w:rPr>
                <w:sz w:val="1"/>
                <w:szCs w:val="1"/>
                <w:color w:val="auto"/>
              </w:rPr>
            </w:pPr>
          </w:p>
        </w:tc>
      </w:tr>
      <w:tr>
        <w:trPr>
          <w:trHeight w:val="15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126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3"/>
                <w:szCs w:val="13"/>
                <w:color w:val="auto"/>
              </w:rPr>
            </w:pPr>
          </w:p>
        </w:tc>
        <w:tc>
          <w:tcPr>
            <w:tcW w:w="1200" w:type="dxa"/>
            <w:vAlign w:val="bottom"/>
          </w:tcPr>
          <w:p>
            <w:pPr>
              <w:jc w:val="right"/>
              <w:ind w:right="342"/>
              <w:spacing w:after="0" w:line="15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5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8"/>
                <w:szCs w:val="18"/>
                <w:color w:val="auto"/>
              </w:rPr>
            </w:pP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0" w:type="dxa"/>
            <w:vAlign w:val="bottom"/>
          </w:tcPr>
          <w:p>
            <w:pPr>
              <w:spacing w:after="0"/>
              <w:rPr>
                <w:sz w:val="1"/>
                <w:szCs w:val="1"/>
                <w:color w:val="auto"/>
              </w:rPr>
            </w:pPr>
          </w:p>
        </w:tc>
      </w:tr>
      <w:tr>
        <w:trPr>
          <w:trHeight w:val="23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Assets held for sale </w:t>
            </w:r>
            <w:r>
              <w:rPr>
                <w:rFonts w:ascii="Times New Roman" w:cs="Times New Roman" w:eastAsia="Times New Roman" w:hAnsi="Times New Roman"/>
                <w:sz w:val="14"/>
                <w:szCs w:val="14"/>
                <w:color w:val="auto"/>
              </w:rPr>
              <w:t>(1)</w:t>
            </w: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2,149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Operating lease right-of-use assets </w:t>
            </w:r>
            <w:r>
              <w:rPr>
                <w:rFonts w:ascii="Times New Roman" w:cs="Times New Roman" w:eastAsia="Times New Roman" w:hAnsi="Times New Roman"/>
                <w:sz w:val="14"/>
                <w:szCs w:val="14"/>
                <w:color w:val="auto"/>
              </w:rPr>
              <w:t>(2)</w:t>
            </w:r>
          </w:p>
        </w:tc>
        <w:tc>
          <w:tcPr>
            <w:tcW w:w="32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2,242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Property, fixtures and equipment </w:t>
            </w:r>
            <w:r>
              <w:rPr>
                <w:rFonts w:ascii="Times New Roman" w:cs="Times New Roman" w:eastAsia="Times New Roman" w:hAnsi="Times New Roman"/>
                <w:sz w:val="14"/>
                <w:szCs w:val="14"/>
                <w:color w:val="auto"/>
              </w:rPr>
              <w:t>(2)</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2,671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2,221</w:t>
            </w:r>
          </w:p>
        </w:tc>
        <w:tc>
          <w:tcPr>
            <w:tcW w:w="0" w:type="dxa"/>
            <w:vAlign w:val="bottom"/>
          </w:tcPr>
          <w:p>
            <w:pPr>
              <w:spacing w:after="0"/>
              <w:rPr>
                <w:sz w:val="1"/>
                <w:szCs w:val="1"/>
                <w:color w:val="auto"/>
              </w:rPr>
            </w:pPr>
          </w:p>
        </w:tc>
      </w:tr>
      <w:tr>
        <w:trPr>
          <w:trHeight w:val="224"/>
        </w:trPr>
        <w:tc>
          <w:tcPr>
            <w:tcW w:w="562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4,881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3,482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2,271</w:t>
            </w:r>
          </w:p>
        </w:tc>
        <w:tc>
          <w:tcPr>
            <w:tcW w:w="0" w:type="dxa"/>
            <w:vAlign w:val="bottom"/>
          </w:tcPr>
          <w:p>
            <w:pPr>
              <w:spacing w:after="0"/>
              <w:rPr>
                <w:sz w:val="1"/>
                <w:szCs w:val="1"/>
                <w:color w:val="auto"/>
              </w:rPr>
            </w:pPr>
          </w:p>
        </w:tc>
      </w:tr>
      <w:tr>
        <w:trPr>
          <w:trHeight w:val="33"/>
        </w:trPr>
        <w:tc>
          <w:tcPr>
            <w:tcW w:w="5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6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Carrying value approximates fair value with all assets measured using third-party market appraisals or executed sales contracts (Level 2).</w:t>
      </w:r>
    </w:p>
    <w:p>
      <w:pPr>
        <w:spacing w:after="0" w:line="8" w:lineRule="exact"/>
        <w:rPr>
          <w:rFonts w:ascii="Times New Roman" w:cs="Times New Roman" w:eastAsia="Times New Roman" w:hAnsi="Times New Roman"/>
          <w:sz w:val="16"/>
          <w:szCs w:val="16"/>
          <w:color w:val="auto"/>
        </w:rPr>
      </w:pPr>
    </w:p>
    <w:p>
      <w:pPr>
        <w:jc w:val="both"/>
        <w:ind w:left="660" w:hanging="652"/>
        <w:spacing w:after="0" w:line="278" w:lineRule="auto"/>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Carrying value approximates fair value. Carrying values for Operating lease right-of-use assets and Property, fixtures and equipment measured using Level 3 inputs to estimate fair value totaled $2.0 million and $0.5 million, respectively, during the thirteen weeks ended March 31, 2019</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 xml:space="preserve"> Level 2 inputs were used to estimate the fair value for all other assets measured in the periods presented. Third-party market appraisals (Level 2) and discounted cash flow models (Level 3) were used to estimate fair value.</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Interim Disclosures about Fair Value of Financial Instruments - </w:t>
      </w:r>
      <w:r>
        <w:rPr>
          <w:rFonts w:ascii="Times New Roman" w:cs="Times New Roman" w:eastAsia="Times New Roman" w:hAnsi="Times New Roman"/>
          <w:sz w:val="20"/>
          <w:szCs w:val="20"/>
          <w:color w:val="auto"/>
        </w:rPr>
        <w:t>The Company’s non-derivative financial instruments consist of cash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equivalents, accounts receivable, accounts payable and current and long-term debt. The fair values of cash equivalents, accounts receivable and accounts payable approximate their carrying amounts reported in the Consolidated Balance Sheets due to their short duration.</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Debt is carried at amortized cost; however, the Company estimates the fair value of debt for disclosure purposes. The following table includes the carrying value and fair value of the Company’s debt by hierarchy level as of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jc w:val="right"/>
              <w:ind w:right="685"/>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30, 2018</w:t>
            </w:r>
          </w:p>
        </w:tc>
        <w:tc>
          <w:tcPr>
            <w:tcW w:w="0" w:type="dxa"/>
            <w:vAlign w:val="bottom"/>
          </w:tcPr>
          <w:p>
            <w:pPr>
              <w:spacing w:after="0"/>
              <w:rPr>
                <w:sz w:val="1"/>
                <w:szCs w:val="1"/>
                <w:color w:val="auto"/>
              </w:rPr>
            </w:pPr>
          </w:p>
        </w:tc>
      </w:tr>
      <w:tr>
        <w:trPr>
          <w:trHeight w:val="260"/>
        </w:trPr>
        <w:tc>
          <w:tcPr>
            <w:tcW w:w="6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22"/>
                <w:szCs w:val="22"/>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22"/>
                <w:szCs w:val="22"/>
                <w:color w:val="auto"/>
              </w:rPr>
            </w:pPr>
          </w:p>
        </w:tc>
        <w:tc>
          <w:tcPr>
            <w:tcW w:w="118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22"/>
                <w:szCs w:val="22"/>
                <w:color w:val="auto"/>
              </w:rPr>
            </w:pPr>
          </w:p>
        </w:tc>
        <w:tc>
          <w:tcPr>
            <w:tcW w:w="110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66"/>
        </w:trPr>
        <w:tc>
          <w:tcPr>
            <w:tcW w:w="6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LEVEL 2</w:t>
            </w:r>
          </w:p>
        </w:tc>
        <w:tc>
          <w:tcPr>
            <w:tcW w:w="180" w:type="dxa"/>
            <w:vAlign w:val="bottom"/>
          </w:tcPr>
          <w:p>
            <w:pPr>
              <w:spacing w:after="0"/>
              <w:rPr>
                <w:sz w:val="18"/>
                <w:szCs w:val="18"/>
                <w:color w:val="auto"/>
              </w:rPr>
            </w:pPr>
          </w:p>
        </w:tc>
        <w:tc>
          <w:tcPr>
            <w:tcW w:w="11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8"/>
                <w:szCs w:val="18"/>
                <w:color w:val="auto"/>
              </w:rPr>
            </w:pPr>
          </w:p>
        </w:tc>
        <w:tc>
          <w:tcPr>
            <w:tcW w:w="110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Senior Secured Credit Facility:</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Term loan 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468,750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466,406</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475,000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464,906</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595,400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589,446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599,500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590,508</w:t>
            </w:r>
          </w:p>
        </w:tc>
        <w:tc>
          <w:tcPr>
            <w:tcW w:w="0" w:type="dxa"/>
            <w:vAlign w:val="bottom"/>
          </w:tcPr>
          <w:p>
            <w:pPr>
              <w:spacing w:after="0"/>
              <w:rPr>
                <w:sz w:val="1"/>
                <w:szCs w:val="1"/>
                <w:color w:val="auto"/>
              </w:rPr>
            </w:pPr>
          </w:p>
        </w:tc>
      </w:tr>
      <w:tr>
        <w:trPr>
          <w:trHeight w:val="452"/>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15.  Income Taxes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2"/>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100" w:type="dxa"/>
            <w:vAlign w:val="bottom"/>
            <w:tcBorders>
              <w:bottom w:val="single" w:sz="8" w:color="auto"/>
            </w:tcBorders>
            <w:gridSpan w:val="4"/>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APRIL 1, 2018</w:t>
            </w:r>
          </w:p>
        </w:tc>
        <w:tc>
          <w:tcPr>
            <w:tcW w:w="0" w:type="dxa"/>
            <w:vAlign w:val="bottom"/>
          </w:tcPr>
          <w:p>
            <w:pPr>
              <w:spacing w:after="0"/>
              <w:rPr>
                <w:sz w:val="1"/>
                <w:szCs w:val="1"/>
                <w:color w:val="auto"/>
              </w:rPr>
            </w:pPr>
          </w:p>
        </w:tc>
      </w:tr>
      <w:tr>
        <w:trPr>
          <w:trHeight w:val="224"/>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33"/>
        </w:trPr>
        <w:tc>
          <w:tcPr>
            <w:tcW w:w="6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effective income tax rate for the thirteen weeks ended March 31, 2019 increased by 4.9 percentage points as compared to the thirteen weeks ended April 1, 2018. The increase was primarily due to favorable discrete items recorded in the thirteen weeks ended April 1, 2018 which included excess tax benefits from equity-based compensation arrangements. The increase was partially offset by changes in the mix of taxable income across the Company’s U.S. and international subsidiaries and a decrease in the estimated annual effective tax rate due to additional guidance issued in connection with the 2017 Tax Cuts and Jobs Act (the “Tax Act”).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Company has a blended federal and state statutory rate of approximately 26%. The effective income tax rate for the thirteen weeks ended March 31, 2019 was lower than the statutory rate primarily due to the benefit of tax credits for FICA taxes on certain employees’ tips.</w:t>
      </w:r>
    </w:p>
    <w:p>
      <w:pPr>
        <w:spacing w:after="0" w:line="17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19"/>
          <w:szCs w:val="19"/>
          <w:color w:val="auto"/>
        </w:rPr>
        <w:t>Commitments and Contingencies</w:t>
      </w:r>
    </w:p>
    <w:p>
      <w:pPr>
        <w:spacing w:after="0" w:line="22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Litigation and Other Matters - </w:t>
      </w:r>
      <w:r>
        <w:rPr>
          <w:rFonts w:ascii="Times New Roman" w:cs="Times New Roman" w:eastAsia="Times New Roman" w:hAnsi="Times New Roman"/>
          <w:sz w:val="20"/>
          <w:szCs w:val="20"/>
          <w:color w:val="auto"/>
        </w:rPr>
        <w:t>The Company had $2.4 million and $2.8 million of liabilities recorded for various legal matters as of March 31,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2019 and December 30, 2018, respectively.</w:t>
      </w:r>
    </w:p>
    <w:p>
      <w:pPr>
        <w:spacing w:after="0" w:line="17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The Company is subject to legal proceedings, claims and liabilities, such as liquor liability, slip and fall cases, wage-and-hour and other employment-related litigation, which arise in the ordinary course of business and are generally covered by insurance if they exceed specified retention or deductible amounts. In the opinion of management, the amount of ultimate liability with respect to those actions will not have a material adverse impact on the Company’s financial position or results of operations and cash flows.</w:t>
      </w:r>
    </w:p>
    <w:p>
      <w:pPr>
        <w:spacing w:after="0" w:line="190"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Lease Guarantees </w:t>
      </w:r>
      <w:r>
        <w:rPr>
          <w:rFonts w:ascii="Times New Roman" w:cs="Times New Roman" w:eastAsia="Times New Roman" w:hAnsi="Times New Roman"/>
          <w:sz w:val="20"/>
          <w:szCs w:val="20"/>
          <w:color w:val="auto"/>
        </w:rPr>
        <w:t>- The Company assigned its interest, and is contingently liable, under certain real estate leases. These leases have varying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terms, the latest of which expires in 2032. As of March 31, 2019, the undiscounted payments that the Company could be required to make in the event of non-payment by the primary lessees was approximately $34.2 million. The present value of these potential payments discounted at the Company’s incremental borrowing rate as of March 31, 2019 was approximately $26.7 million. In the event of default, the indemnity clauses in the Company’s purchase and sale agreements govern its ability to pursue and recover damages incurred. The Company believes the financial strength and operating history of the lessees’ significantly reduces the risk that it will be required to make payments under these leases. Accordingly, no liability has been recorded.</w:t>
      </w:r>
    </w:p>
    <w:p>
      <w:pPr>
        <w:spacing w:after="0" w:line="19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19"/>
          <w:szCs w:val="19"/>
          <w:color w:val="auto"/>
        </w:rPr>
        <w:t>Segment Reporting</w:t>
      </w:r>
    </w:p>
    <w:p>
      <w:pPr>
        <w:spacing w:after="0" w:line="22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color w:val="auto"/>
        </w:rPr>
        <w:t>The Company considers its restaurant concepts and international markets as operating segments, which reflects how the Company manages its business, reviews operating performance and allocates resources. Resources are allocated and performance is assessed by the Company’s CEO, whom the Company has determined to be its Chief Operating Decision Maker (“CODM”). The Company aggregates its operating segments into two reportable segments, U.S. and International. The U.S. segment includes all restaurants operating in the U.S. while restaurants operating outside the U.S. are included in the International segment. The following is a summary of reporting segments: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 (1)</w:t>
            </w:r>
          </w:p>
        </w:tc>
        <w:tc>
          <w:tcPr>
            <w:tcW w:w="12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CONCEPT</w:t>
            </w: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LOCATION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tcBorders>
              <w:top w:val="single" w:sz="8" w:color="auto"/>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680" w:type="dxa"/>
            <w:vAlign w:val="bottom"/>
            <w:tcBorders>
              <w:top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Outback Steakhouse</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3880" w:type="dxa"/>
            <w:vAlign w:val="bottom"/>
            <w:tcBorders>
              <w:top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620" w:type="dxa"/>
            <w:vAlign w:val="bottom"/>
            <w:tcBorders>
              <w:left w:val="single" w:sz="8" w:color="auto"/>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6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Carrabba’s Italian Grill</w:t>
            </w:r>
          </w:p>
        </w:tc>
        <w:tc>
          <w:tcPr>
            <w:tcW w:w="120" w:type="dxa"/>
            <w:vAlign w:val="bottom"/>
            <w:tcBorders>
              <w:right w:val="single" w:sz="8" w:color="auto"/>
            </w:tcBorders>
            <w:shd w:val="clear" w:color="auto" w:fill="CCEEFF"/>
          </w:tcPr>
          <w:p>
            <w:pPr>
              <w:spacing w:after="0"/>
              <w:rPr>
                <w:sz w:val="23"/>
                <w:szCs w:val="23"/>
                <w:color w:val="auto"/>
              </w:rPr>
            </w:pPr>
          </w:p>
        </w:tc>
        <w:tc>
          <w:tcPr>
            <w:tcW w:w="388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Borders>
              <w:left w:val="single" w:sz="8" w:color="auto"/>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Bonefish Grill</w:t>
            </w: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Borders>
              <w:left w:val="single" w:sz="8" w:color="auto"/>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continue"/>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62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46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388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20" w:type="dxa"/>
            <w:vAlign w:val="bottom"/>
            <w:tcBorders>
              <w:right w:val="single" w:sz="8" w:color="auto"/>
            </w:tcBorders>
          </w:tcPr>
          <w:p>
            <w:pPr>
              <w:spacing w:after="0"/>
              <w:rPr>
                <w:sz w:val="18"/>
                <w:szCs w:val="18"/>
                <w:color w:val="auto"/>
              </w:rPr>
            </w:pPr>
          </w:p>
        </w:tc>
        <w:tc>
          <w:tcPr>
            <w:tcW w:w="46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Outback Steakhouse</w:t>
            </w:r>
          </w:p>
        </w:tc>
        <w:tc>
          <w:tcPr>
            <w:tcW w:w="120" w:type="dxa"/>
            <w:vAlign w:val="bottom"/>
            <w:tcBorders>
              <w:right w:val="single" w:sz="8" w:color="auto"/>
            </w:tcBorders>
          </w:tcPr>
          <w:p>
            <w:pPr>
              <w:spacing w:after="0"/>
              <w:rPr>
                <w:sz w:val="18"/>
                <w:szCs w:val="18"/>
                <w:color w:val="auto"/>
              </w:rPr>
            </w:pPr>
          </w:p>
        </w:tc>
        <w:tc>
          <w:tcPr>
            <w:tcW w:w="38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 Hong Kong/China</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20" w:type="dxa"/>
            <w:vAlign w:val="bottom"/>
            <w:tcBorders>
              <w:left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2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Carrabba’s Italian Grill (Abbraccio)</w:t>
            </w:r>
          </w:p>
        </w:tc>
        <w:tc>
          <w:tcPr>
            <w:tcW w:w="1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2620" w:type="dxa"/>
            <w:vAlign w:val="bottom"/>
          </w:tcPr>
          <w:p>
            <w:pPr>
              <w:jc w:val="right"/>
              <w:ind w:right="1181"/>
              <w:spacing w:after="0"/>
              <w:rPr>
                <w:sz w:val="20"/>
                <w:szCs w:val="20"/>
                <w:color w:val="auto"/>
              </w:rPr>
            </w:pPr>
            <w:r>
              <w:rPr>
                <w:rFonts w:ascii="Times New Roman" w:cs="Times New Roman" w:eastAsia="Times New Roman" w:hAnsi="Times New Roman"/>
                <w:sz w:val="16"/>
                <w:szCs w:val="16"/>
                <w:color w:val="auto"/>
                <w:w w:val="98"/>
              </w:rPr>
              <w:t>_________________</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franchise locations.</w:t>
      </w:r>
    </w:p>
    <w:p>
      <w:pPr>
        <w:spacing w:after="0" w:line="20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0"/>
          <w:szCs w:val="20"/>
          <w:color w:val="auto"/>
        </w:rPr>
        <w:t xml:space="preserve">Segment accounting policies are the same as those described in Note 2 - </w:t>
      </w:r>
      <w:r>
        <w:rPr>
          <w:rFonts w:ascii="Times New Roman" w:cs="Times New Roman" w:eastAsia="Times New Roman" w:hAnsi="Times New Roman"/>
          <w:sz w:val="20"/>
          <w:szCs w:val="20"/>
          <w:i w:val="1"/>
          <w:iCs w:val="1"/>
          <w:color w:val="auto"/>
        </w:rPr>
        <w:t>Summary of Significant Accounting Policies</w:t>
      </w:r>
      <w:r>
        <w:rPr>
          <w:rFonts w:ascii="Times New Roman" w:cs="Times New Roman" w:eastAsia="Times New Roman" w:hAnsi="Times New Roman"/>
          <w:sz w:val="20"/>
          <w:szCs w:val="20"/>
          <w:color w:val="auto"/>
        </w:rPr>
        <w:t xml:space="preserve"> in the Company’s Annual Report on Form 10-K for the year ended December 30, 2018. Revenues for all segments include only transactions with customers and exclude intersegment revenues. Excluded from Income from operations for U.S. and International are certain legal and corporate costs not directly related to the performance of the segments, most stock-based compensation expenses and certain bonus expenses.</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40"/>
          </w:cols>
          <w:pgMar w:left="240" w:top="118" w:right="21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summary of Total revenue by segment,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64"/>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22"/>
                <w:szCs w:val="22"/>
                <w:color w:val="auto"/>
              </w:rPr>
            </w:pPr>
          </w:p>
        </w:tc>
        <w:tc>
          <w:tcPr>
            <w:tcW w:w="126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APRIL 1, 2018</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7"/>
                <w:shd w:val="clear" w:color="auto" w:fill="CCEEFF"/>
              </w:rPr>
              <w:t>Total revenues</w:t>
            </w:r>
          </w:p>
        </w:tc>
        <w:tc>
          <w:tcPr>
            <w:tcW w:w="73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4"/>
        </w:trPr>
        <w:tc>
          <w:tcPr>
            <w:tcW w:w="40" w:type="dxa"/>
            <w:vAlign w:val="bottom"/>
          </w:tcPr>
          <w:p>
            <w:pPr>
              <w:spacing w:after="0"/>
              <w:rPr>
                <w:sz w:val="19"/>
                <w:szCs w:val="19"/>
                <w:color w:val="auto"/>
              </w:rPr>
            </w:pPr>
          </w:p>
        </w:tc>
        <w:tc>
          <w:tcPr>
            <w:tcW w:w="83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U.S.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1,014,507</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998,707</w:t>
            </w:r>
          </w:p>
        </w:tc>
      </w:tr>
      <w:tr>
        <w:trPr>
          <w:trHeight w:val="33"/>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International</w:t>
            </w: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113,624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117,758</w:t>
            </w:r>
          </w:p>
        </w:tc>
      </w:tr>
      <w:tr>
        <w:trPr>
          <w:trHeight w:val="250"/>
        </w:trPr>
        <w:tc>
          <w:tcPr>
            <w:tcW w:w="40" w:type="dxa"/>
            <w:vAlign w:val="bottom"/>
          </w:tcPr>
          <w:p>
            <w:pPr>
              <w:spacing w:after="0"/>
              <w:rPr>
                <w:sz w:val="21"/>
                <w:szCs w:val="21"/>
                <w:color w:val="auto"/>
              </w:rPr>
            </w:pPr>
          </w:p>
        </w:tc>
        <w:tc>
          <w:tcPr>
            <w:tcW w:w="83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1,128,131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1,116,465</w:t>
            </w: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is a reconciliation of Segment income from operations to Income before provision for income taxes,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64"/>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22"/>
                <w:szCs w:val="22"/>
                <w:color w:val="auto"/>
              </w:rPr>
            </w:pPr>
          </w:p>
        </w:tc>
        <w:tc>
          <w:tcPr>
            <w:tcW w:w="12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APRIL 1, 2018</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Segment income from operations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113,035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109,134</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International</w:t>
            </w: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13,720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8,325</w:t>
            </w:r>
          </w:p>
        </w:tc>
      </w:tr>
      <w:tr>
        <w:trPr>
          <w:trHeight w:val="224"/>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segment income from operations</w:t>
            </w:r>
          </w:p>
        </w:tc>
        <w:tc>
          <w:tcPr>
            <w:tcW w:w="16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126,755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117,459</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Unallocated corporate operating expense</w:t>
            </w: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(39,088)</w:t>
            </w:r>
          </w:p>
        </w:tc>
      </w:tr>
      <w:tr>
        <w:trPr>
          <w:trHeight w:val="224"/>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income from operations</w:t>
            </w:r>
          </w:p>
        </w:tc>
        <w:tc>
          <w:tcPr>
            <w:tcW w:w="16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82,494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78,371</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r>
      <w:tr>
        <w:trPr>
          <w:trHeight w:val="270"/>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(10,310)</w:t>
            </w: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71,145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68,062</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summary of Depreciation and amortization expense by segment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64"/>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22"/>
                <w:szCs w:val="22"/>
                <w:color w:val="auto"/>
              </w:rPr>
            </w:pPr>
          </w:p>
        </w:tc>
        <w:tc>
          <w:tcPr>
            <w:tcW w:w="126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APRIL 1, 2018</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38,786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39,274</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International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6,456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6,732</w:t>
            </w:r>
          </w:p>
        </w:tc>
      </w:tr>
      <w:tr>
        <w:trPr>
          <w:trHeight w:val="270"/>
        </w:trPr>
        <w:tc>
          <w:tcPr>
            <w:tcW w:w="8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Corporate</w:t>
            </w: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4,240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4,114</w:t>
            </w: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49,482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50,120</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Geographic Areas </w:t>
      </w:r>
      <w:r>
        <w:rPr>
          <w:rFonts w:ascii="Times New Roman" w:cs="Times New Roman" w:eastAsia="Times New Roman" w:hAnsi="Times New Roman"/>
          <w:sz w:val="20"/>
          <w:szCs w:val="20"/>
          <w:color w:val="auto"/>
        </w:rPr>
        <w:t>— International assets are defined as assets residing in a country other than the U.S. The following table details long-lived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assets, excluding operating lease right-of-use assets, goodwill, intangible assets and deferred tax assets, by major geographic area as of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8"/>
                <w:szCs w:val="18"/>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18"/>
                <w:szCs w:val="18"/>
                <w:color w:val="auto"/>
              </w:rPr>
            </w:pPr>
          </w:p>
        </w:tc>
        <w:tc>
          <w:tcPr>
            <w:tcW w:w="182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DECEMBER 30, 2018</w:t>
            </w:r>
          </w:p>
        </w:tc>
      </w:tr>
      <w:tr>
        <w:trPr>
          <w:trHeight w:val="237"/>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w:t>
            </w:r>
          </w:p>
        </w:tc>
        <w:tc>
          <w:tcPr>
            <w:tcW w:w="34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1,059,814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1,107,679</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Brazil</w:t>
            </w:r>
          </w:p>
        </w:tc>
        <w:tc>
          <w:tcPr>
            <w:tcW w:w="3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126,084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115,560</w:t>
            </w:r>
          </w:p>
        </w:tc>
      </w:tr>
      <w:tr>
        <w:trPr>
          <w:trHeight w:val="270"/>
        </w:trPr>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13,220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13,663</w:t>
            </w:r>
          </w:p>
        </w:tc>
      </w:tr>
      <w:tr>
        <w:trPr>
          <w:trHeight w:val="244"/>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1,199,118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1,236,902</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type w:val="continuous"/>
        </w:sectPr>
      </w:pPr>
    </w:p>
    <w:bookmarkStart w:id="23" w:name="page24"/>
    <w:bookmarkEnd w:id="2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 should be read in conjunction with our unaudited consolidated financial statements and the related notes. Unless the context otherwise indicates, as used in this report, the term the “Company,” “we,” “us,” “our” and other similar terms mean Bloomin’ Brands, Inc. and its subsidiaries.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w:t>
      </w:r>
    </w:p>
    <w:p>
      <w:pPr>
        <w:spacing w:after="0" w:line="2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and Section 21E of the Securities Exchange Act of 1934, as amended.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2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spacing w:after="0" w:line="190"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 reactions to public health and food safety issues;</w:t>
      </w:r>
    </w:p>
    <w:p>
      <w:pPr>
        <w:spacing w:after="0" w:line="229"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compete in the highly competitive restaurant industry with many well-established competitors and new market entrants;</w:t>
      </w:r>
    </w:p>
    <w:p>
      <w:pPr>
        <w:spacing w:after="0" w:line="229"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Minimum wage increases and additional mandated employee benefits;</w:t>
      </w:r>
    </w:p>
    <w:p>
      <w:pPr>
        <w:spacing w:after="0" w:line="229"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conditions and their effects on consumer confidence and discretionary spending, consumer traffic, the cost and availability of credit and interest rates;</w:t>
      </w:r>
    </w:p>
    <w:p>
      <w:pPr>
        <w:spacing w:after="0" w:line="173"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6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protect our information technology systems from interruption or security breach, including cyber security threats, and to protect consumer data and personal employee information;</w:t>
      </w:r>
    </w:p>
    <w:p>
      <w:pPr>
        <w:spacing w:after="0" w:line="159"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price and availability of commodities;</w:t>
      </w:r>
    </w:p>
    <w:p>
      <w:pPr>
        <w:spacing w:after="0" w:line="229"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6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governmental laws and regulations, the costs of compliance with such laws and regulations and the effects of changes to applicable laws and regulations, including tax laws and unanticipated liabilities;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21"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respond to changes in patterns of consumer traffic, consumer tastes and dietary habits;</w:t>
      </w:r>
    </w:p>
    <w:p>
      <w:pPr>
        <w:spacing w:after="0" w:line="229"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implement our remodeling, relocation and expansion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w:t>
      </w:r>
    </w:p>
    <w:p>
      <w:pPr>
        <w:spacing w:after="0" w:line="188"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international economic, political and social conditions and legal systems on our foreign operations and on foreign currency exchange rates;</w:t>
      </w:r>
    </w:p>
    <w:p>
      <w:pPr>
        <w:spacing w:after="0" w:line="173"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preserve and grow the reputation and value of our brands, particularly in light of changes in consumer engagement with social media platforms;</w:t>
      </w:r>
    </w:p>
    <w:p>
      <w:pPr>
        <w:spacing w:after="0" w:line="173"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impairment in the carrying value of our goodwill or other intangible or long-lived assets and its effect on our financial condition and results of operations;</w:t>
      </w:r>
    </w:p>
    <w:p>
      <w:pPr>
        <w:spacing w:after="0" w:line="173"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Strategic actions, including acquisitions and dispositions, and our success in implementing these initiatives or integrating any acquired or newly created businesses;</w:t>
      </w:r>
    </w:p>
    <w:p>
      <w:pPr>
        <w:spacing w:after="0" w:line="173"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Seasonal and periodic fluctuations in our results and the effects of significant adverse weather conditions and other disasters or unforeseen events;</w:t>
      </w:r>
    </w:p>
    <w:p>
      <w:pPr>
        <w:spacing w:after="0" w:line="173"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our substantial leverage and restrictive covenants in our various credit facilities on our ability to raise additional capital to fund our operations, to make capital expenditures to invest in new or renovate restaurants and to react to changes in the economy or our industry, and our exposure to interest rate risk in connection with our variable-rate debt;</w:t>
      </w:r>
    </w:p>
    <w:p>
      <w:pPr>
        <w:spacing w:after="0" w:line="188"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adequacy of our cash flow and earnings and other conditions which may affect our ability to pay dividends and repurchase shares of our common stock; and</w:t>
      </w:r>
    </w:p>
    <w:p>
      <w:pPr>
        <w:spacing w:after="0" w:line="173"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6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factors as discussed in Part I, Item IA. Risk Factors of our Annual Report on Form 10-K for the year ended December 30, 2018.</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light of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are one of the largest casual dining restaurant companies in the world with a portfolio of leading, differentiated restaurant concepts. As of March 31, 2019, we owned and operated 1,174 restaurants and franchised 307 restaurants across 48 states, Puerto Rico, Guam and 20 countries. We have four founder-inspired concepts: Outback Steakhouse, Carrabba’s Italian Grill, Bonefish Grill and Fleming’s Prime Steakhouse &amp; Wine Bar.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Summary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financial results for the thirteen weeks ended March 31, 2019 (“first quarter of 2019”) include the following:</w:t>
      </w:r>
    </w:p>
    <w:p>
      <w:pPr>
        <w:spacing w:after="0" w:line="229" w:lineRule="exact"/>
        <w:rPr>
          <w:sz w:val="20"/>
          <w:szCs w:val="20"/>
          <w:color w:val="auto"/>
        </w:rPr>
      </w:pPr>
    </w:p>
    <w:p>
      <w:pPr>
        <w:jc w:val="both"/>
        <w:ind w:left="660" w:right="20" w:hanging="328"/>
        <w:spacing w:after="0" w:line="296" w:lineRule="auto"/>
        <w:tabs>
          <w:tab w:leader="none" w:pos="66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increase in Total revenues of 1.0% in the first quarter of 2019, as compared to the first quarter of 2018, was primarily due to higher U.S. comparable restaurant sales and the net impact of restaurant openings and closures, partially offset by foreign currency translation.</w:t>
      </w:r>
    </w:p>
    <w:p>
      <w:pPr>
        <w:spacing w:after="0" w:line="149" w:lineRule="exact"/>
        <w:rPr>
          <w:rFonts w:ascii="Times New Roman" w:cs="Times New Roman" w:eastAsia="Times New Roman" w:hAnsi="Times New Roman"/>
          <w:sz w:val="19"/>
          <w:szCs w:val="19"/>
          <w:color w:val="auto"/>
        </w:rPr>
      </w:pPr>
    </w:p>
    <w:p>
      <w:pPr>
        <w:jc w:val="both"/>
        <w:ind w:left="660" w:hanging="328"/>
        <w:spacing w:after="0" w:line="249" w:lineRule="auto"/>
        <w:tabs>
          <w:tab w:leader="none" w:pos="6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from operations of $82.5 million in the first quarter of 2019, as compared to $78.4 million in the first quarter of 2018, increased primarily due to higher U.S. comparable restaurant sales and the impact of certain cost savings initiatives. These increases were partially offset by labor and commodity inflation, and the impact of deferred gain amortization no longer recognized upon adoption of the new lease standard.</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Refranchising - </w:t>
      </w:r>
      <w:r>
        <w:rPr>
          <w:rFonts w:ascii="Times New Roman" w:cs="Times New Roman" w:eastAsia="Times New Roman" w:hAnsi="Times New Roman"/>
          <w:sz w:val="20"/>
          <w:szCs w:val="20"/>
          <w:color w:val="252525"/>
        </w:rPr>
        <w:t>During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thirteen weeks ended March 31, 2019</w:t>
      </w:r>
      <w:r>
        <w:rPr>
          <w:rFonts w:ascii="Times New Roman" w:cs="Times New Roman" w:eastAsia="Times New Roman" w:hAnsi="Times New Roman"/>
          <w:sz w:val="20"/>
          <w:szCs w:val="20"/>
          <w:color w:val="252525"/>
        </w:rPr>
        <w:t>, we completed the sale of 18 of our existing U.S. Company-owned Carrabba’s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252525"/>
        </w:rPr>
        <w:t xml:space="preserve">Italian Grill locations to an existing franchisee for aggregate cash proceeds of $3.6 million, net of certain purchase price adjustments. </w:t>
      </w:r>
      <w:r>
        <w:rPr>
          <w:rFonts w:ascii="Times New Roman" w:cs="Times New Roman" w:eastAsia="Times New Roman" w:hAnsi="Times New Roman"/>
          <w:sz w:val="20"/>
          <w:szCs w:val="20"/>
          <w:color w:val="000000"/>
        </w:rPr>
        <w:t>See Note</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 xml:space="preserve">3 - </w:t>
      </w:r>
      <w:r>
        <w:rPr>
          <w:rFonts w:ascii="Times New Roman" w:cs="Times New Roman" w:eastAsia="Times New Roman" w:hAnsi="Times New Roman"/>
          <w:sz w:val="20"/>
          <w:szCs w:val="20"/>
          <w:i w:val="1"/>
          <w:iCs w:val="1"/>
          <w:color w:val="000000"/>
        </w:rPr>
        <w:t>Disposals</w:t>
      </w:r>
      <w:r>
        <w:rPr>
          <w:rFonts w:ascii="Times New Roman" w:cs="Times New Roman" w:eastAsia="Times New Roman" w:hAnsi="Times New Roman"/>
          <w:sz w:val="20"/>
          <w:szCs w:val="20"/>
          <w:color w:val="000000"/>
        </w:rPr>
        <w:t xml:space="preserve"> of our Notes to Consolidated Financial Statements for additional details.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Performance Indicators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Key measures that we use in evaluating our restaurants and assessing our business include the following:</w:t>
      </w:r>
    </w:p>
    <w:p>
      <w:pPr>
        <w:spacing w:after="0" w:line="225" w:lineRule="exact"/>
        <w:rPr>
          <w:sz w:val="20"/>
          <w:szCs w:val="20"/>
          <w:color w:val="auto"/>
        </w:rPr>
      </w:pPr>
    </w:p>
    <w:p>
      <w:pPr>
        <w:ind w:left="660" w:hanging="328"/>
        <w:spacing w:after="0" w:line="273" w:lineRule="auto"/>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Average restaurant unit volumes</w:t>
      </w:r>
      <w:r>
        <w:rPr>
          <w:rFonts w:ascii="Times New Roman" w:cs="Times New Roman" w:eastAsia="Times New Roman" w:hAnsi="Times New Roman"/>
          <w:sz w:val="20"/>
          <w:szCs w:val="20"/>
          <w:color w:val="auto"/>
        </w:rPr>
        <w:t>—average sales (excluding gift card breakage) per restaurant to measure changes in customer traffic,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pricing and development of the brand;</w:t>
      </w:r>
    </w:p>
    <w:p>
      <w:pPr>
        <w:spacing w:after="0" w:line="165" w:lineRule="exact"/>
        <w:rPr>
          <w:rFonts w:ascii="Times New Roman" w:cs="Times New Roman" w:eastAsia="Times New Roman" w:hAnsi="Times New Roman"/>
          <w:sz w:val="20"/>
          <w:szCs w:val="20"/>
          <w:color w:val="auto"/>
        </w:rPr>
      </w:pPr>
    </w:p>
    <w:p>
      <w:pPr>
        <w:jc w:val="both"/>
        <w:ind w:left="660" w:hanging="328"/>
        <w:spacing w:after="0" w:line="256" w:lineRule="auto"/>
        <w:tabs>
          <w:tab w:leader="none" w:pos="660" w:val="left"/>
        </w:tabs>
        <w:numPr>
          <w:ilvl w:val="0"/>
          <w:numId w:val="2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Comparable restaurant sales</w:t>
      </w:r>
      <w:r>
        <w:rPr>
          <w:rFonts w:ascii="Times New Roman" w:cs="Times New Roman" w:eastAsia="Times New Roman" w:hAnsi="Times New Roman"/>
          <w:sz w:val="20"/>
          <w:szCs w:val="20"/>
          <w:color w:val="auto"/>
        </w:rPr>
        <w:t>—year-over-year comparison of sales volumes (excluding gift card breakage) for Company-owned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restaurants that are open 18 months or more in order to remove the impact of new restaurant openings in comparing the operations of existing restaurants;</w:t>
      </w:r>
    </w:p>
    <w:p>
      <w:pPr>
        <w:spacing w:after="0" w:line="182" w:lineRule="exact"/>
        <w:rPr>
          <w:rFonts w:ascii="Times New Roman" w:cs="Times New Roman" w:eastAsia="Times New Roman" w:hAnsi="Times New Roman"/>
          <w:sz w:val="20"/>
          <w:szCs w:val="20"/>
          <w:i w:val="1"/>
          <w:iCs w:val="1"/>
          <w:color w:val="auto"/>
        </w:rPr>
      </w:pPr>
    </w:p>
    <w:p>
      <w:pPr>
        <w:ind w:left="660" w:right="20" w:hanging="328"/>
        <w:spacing w:after="0" w:line="273" w:lineRule="auto"/>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System-wide sales</w:t>
      </w:r>
      <w:r>
        <w:rPr>
          <w:rFonts w:ascii="Times New Roman" w:cs="Times New Roman" w:eastAsia="Times New Roman" w:hAnsi="Times New Roman"/>
          <w:sz w:val="20"/>
          <w:szCs w:val="20"/>
          <w:color w:val="auto"/>
        </w:rPr>
        <w:t>—total restaurant sales volume for all Company-owned and franchise restaurants, regardless of ownership,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interpret the overall health of our brands;</w:t>
      </w:r>
    </w:p>
    <w:p>
      <w:pPr>
        <w:spacing w:after="0" w:line="165" w:lineRule="exact"/>
        <w:rPr>
          <w:rFonts w:ascii="Times New Roman" w:cs="Times New Roman" w:eastAsia="Times New Roman" w:hAnsi="Times New Roman"/>
          <w:sz w:val="20"/>
          <w:szCs w:val="20"/>
          <w:color w:val="auto"/>
        </w:rPr>
      </w:pPr>
    </w:p>
    <w:p>
      <w:pPr>
        <w:ind w:left="660" w:hanging="328"/>
        <w:spacing w:after="0" w:line="273" w:lineRule="auto"/>
        <w:tabs>
          <w:tab w:leader="none" w:pos="660" w:val="left"/>
        </w:tabs>
        <w:numPr>
          <w:ilvl w:val="0"/>
          <w:numId w:val="2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Restaurant-level operating margin, Income from operations, Net income and Diluted earnings per share </w:t>
      </w:r>
      <w:r>
        <w:rPr>
          <w:rFonts w:ascii="Times New Roman" w:cs="Times New Roman" w:eastAsia="Times New Roman" w:hAnsi="Times New Roman"/>
          <w:sz w:val="20"/>
          <w:szCs w:val="20"/>
          <w:color w:val="auto"/>
        </w:rPr>
        <w:t>— financial measures utilized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evaluate our operating performance.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21" w:lineRule="exact"/>
        <w:rPr>
          <w:sz w:val="20"/>
          <w:szCs w:val="20"/>
          <w:color w:val="auto"/>
        </w:rPr>
      </w:pPr>
    </w:p>
    <w:p>
      <w:pPr>
        <w:jc w:val="both"/>
        <w:ind w:left="660"/>
        <w:spacing w:after="0" w:line="260" w:lineRule="auto"/>
        <w:rPr>
          <w:sz w:val="20"/>
          <w:szCs w:val="20"/>
          <w:color w:val="auto"/>
        </w:rPr>
      </w:pPr>
      <w:r>
        <w:rPr>
          <w:rFonts w:ascii="Times New Roman" w:cs="Times New Roman" w:eastAsia="Times New Roman" w:hAnsi="Times New Roman"/>
          <w:sz w:val="19"/>
          <w:szCs w:val="19"/>
          <w:color w:val="auto"/>
        </w:rPr>
        <w:t>Restaurant-level operating margin is widely regarded in the industry as a useful metric to evaluate restaurant level operating efficiency and performance of ongoing restaurant-level operations, and we use it for these purposes, overall and particularly within our two segments. Our restaurant-level operating margin is expressed as the percentage of our Restaurant sales that Cost of sales, Labor and other related and Other restaurant operating (including advertising expenses) represent, in each case as such items are reflected in our Consolidated Statement of Operations. The following categories of our revenue and operating expenses are not included in restaurant-level operating margin because we do not consider them reflective of operating performance at the restaurant-level within a period:</w:t>
      </w:r>
    </w:p>
    <w:p>
      <w:pPr>
        <w:spacing w:after="0" w:line="187" w:lineRule="exact"/>
        <w:rPr>
          <w:sz w:val="20"/>
          <w:szCs w:val="20"/>
          <w:color w:val="auto"/>
        </w:rPr>
      </w:pPr>
    </w:p>
    <w:p>
      <w:pPr>
        <w:ind w:left="1300" w:hanging="644"/>
        <w:spacing w:after="0" w:line="251" w:lineRule="auto"/>
        <w:tabs>
          <w:tab w:leader="none" w:pos="13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Franchise and other revenues which are earned primarily from franchise royalties and other non-food and beverage revenue streams, such as rental and sublease income.</w:t>
      </w:r>
    </w:p>
    <w:p>
      <w:pPr>
        <w:ind w:left="1300" w:hanging="644"/>
        <w:spacing w:after="0" w:line="239" w:lineRule="auto"/>
        <w:tabs>
          <w:tab w:leader="none" w:pos="13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and amortization which, although substantially all of which is related to restaurant-level assets, represent historical sunk costs rather than cash outlays for the restaurants.</w:t>
      </w:r>
    </w:p>
    <w:p>
      <w:pPr>
        <w:spacing w:after="0" w:line="1" w:lineRule="exact"/>
        <w:rPr>
          <w:rFonts w:ascii="Times New Roman" w:cs="Times New Roman" w:eastAsia="Times New Roman" w:hAnsi="Times New Roman"/>
          <w:sz w:val="20"/>
          <w:szCs w:val="20"/>
          <w:color w:val="auto"/>
        </w:rPr>
      </w:pPr>
    </w:p>
    <w:p>
      <w:pPr>
        <w:ind w:left="1300" w:right="20" w:hanging="644"/>
        <w:spacing w:after="0" w:line="239" w:lineRule="auto"/>
        <w:tabs>
          <w:tab w:leader="none" w:pos="13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and administrative expense which includes primarily non-restaurant-level costs associated with support of the restaurants and other activities at our corporate offices.</w:t>
      </w:r>
    </w:p>
    <w:p>
      <w:pPr>
        <w:spacing w:after="0" w:line="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 impairment charges and restaurant closing costs which are not reflective of ongoing restaurant performance in a period.</w:t>
      </w:r>
    </w:p>
    <w:p>
      <w:pPr>
        <w:spacing w:after="0" w:line="207"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0"/>
          <w:szCs w:val="20"/>
          <w:color w:val="auto"/>
        </w:rPr>
        <w:t>Restaurant-level operating margin excludes various expenses, as discussed above, that are essential to support the operations of our restaurants and may materially impact our Consolidated Statement of Operations. As a result, restaurant-level operating margin is not indicative of our consolidated results of operations and is presented exclusively as a supplement to, and not a substitute for, Net income or Income from operations. In addition, our presentation of restaurant-level operating margin may not be comparable to similarly titled measures used by other companies in our industry;</w:t>
      </w:r>
    </w:p>
    <w:p>
      <w:pPr>
        <w:spacing w:after="0" w:line="190" w:lineRule="exact"/>
        <w:rPr>
          <w:sz w:val="20"/>
          <w:szCs w:val="20"/>
          <w:color w:val="auto"/>
        </w:rPr>
      </w:pPr>
    </w:p>
    <w:p>
      <w:pPr>
        <w:ind w:left="660" w:right="20" w:hanging="328"/>
        <w:spacing w:after="0" w:line="273" w:lineRule="auto"/>
        <w:tabs>
          <w:tab w:leader="none" w:pos="660" w:val="left"/>
        </w:tabs>
        <w:numPr>
          <w:ilvl w:val="0"/>
          <w:numId w:val="2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Adjusted restaurant-level operating margin, Adjusted income from operations, Adjusted net income and Adjusted diluted earnings per share</w:t>
      </w:r>
      <w:r>
        <w:rPr>
          <w:rFonts w:ascii="Times New Roman" w:cs="Times New Roman" w:eastAsia="Times New Roman" w:hAnsi="Times New Roman"/>
          <w:sz w:val="20"/>
          <w:szCs w:val="20"/>
          <w:color w:val="auto"/>
        </w:rPr>
        <w:t>—non-GAAP financial measures utilized to evaluate our operating performance.</w:t>
      </w:r>
    </w:p>
    <w:p>
      <w:pPr>
        <w:spacing w:after="0" w:line="169" w:lineRule="exact"/>
        <w:rPr>
          <w:rFonts w:ascii="Times New Roman" w:cs="Times New Roman" w:eastAsia="Times New Roman" w:hAnsi="Times New Roman"/>
          <w:sz w:val="20"/>
          <w:szCs w:val="20"/>
          <w:i w:val="1"/>
          <w:iCs w:val="1"/>
          <w:color w:val="auto"/>
        </w:rPr>
      </w:pPr>
    </w:p>
    <w:p>
      <w:pPr>
        <w:jc w:val="both"/>
        <w:ind w:left="660"/>
        <w:spacing w:after="0" w:line="243" w:lineRule="auto"/>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We believe that our use of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of Directors evaluate our operating performance, allocate resources and administer employee incentive plans; and</w:t>
      </w:r>
    </w:p>
    <w:p>
      <w:pPr>
        <w:spacing w:after="0" w:line="199" w:lineRule="exact"/>
        <w:rPr>
          <w:rFonts w:ascii="Times New Roman" w:cs="Times New Roman" w:eastAsia="Times New Roman" w:hAnsi="Times New Roman"/>
          <w:sz w:val="20"/>
          <w:szCs w:val="20"/>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Customer satisfaction scores</w:t>
      </w:r>
      <w:r>
        <w:rPr>
          <w:rFonts w:ascii="Times New Roman" w:cs="Times New Roman" w:eastAsia="Times New Roman" w:hAnsi="Times New Roman"/>
          <w:sz w:val="20"/>
          <w:szCs w:val="20"/>
          <w:color w:val="auto"/>
        </w:rPr>
        <w:t>—measurement of our customers’ experiences in a variety of key areas.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Selected Operating Data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presents the number of our restaurants in operation at the end of the periods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Number of restaurants (at end of the period):</w:t>
            </w:r>
          </w:p>
        </w:tc>
        <w:tc>
          <w:tcPr>
            <w:tcW w:w="20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94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APRIL 1, 2018</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w:t>
            </w: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44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Outback Steakhouse</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Company-owned</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Franchised</w:t>
            </w:r>
          </w:p>
        </w:tc>
        <w:tc>
          <w:tcPr>
            <w:tcW w:w="1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CCEEFF"/>
            </w:tcBorders>
          </w:tcPr>
          <w:p>
            <w:pPr>
              <w:spacing w:after="0"/>
              <w:rPr>
                <w:sz w:val="23"/>
                <w:szCs w:val="23"/>
                <w:color w:val="auto"/>
              </w:rPr>
            </w:pPr>
          </w:p>
        </w:tc>
        <w:tc>
          <w:tcPr>
            <w:tcW w:w="1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738</w:t>
            </w:r>
          </w:p>
        </w:tc>
        <w:tc>
          <w:tcPr>
            <w:tcW w:w="0" w:type="dxa"/>
            <w:vAlign w:val="bottom"/>
          </w:tcPr>
          <w:p>
            <w:pPr>
              <w:spacing w:after="0"/>
              <w:rPr>
                <w:sz w:val="1"/>
                <w:szCs w:val="1"/>
                <w:color w:val="auto"/>
              </w:rPr>
            </w:pPr>
          </w:p>
        </w:tc>
      </w:tr>
      <w:tr>
        <w:trPr>
          <w:trHeight w:val="231"/>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Carrabba’s Italian Grill</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Company-owned (1)</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Franchised (1)</w:t>
            </w:r>
          </w:p>
        </w:tc>
        <w:tc>
          <w:tcPr>
            <w:tcW w:w="1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tcPr>
          <w:p>
            <w:pPr>
              <w:spacing w:after="0"/>
              <w:rPr>
                <w:sz w:val="23"/>
                <w:szCs w:val="23"/>
                <w:color w:val="auto"/>
              </w:rPr>
            </w:pPr>
          </w:p>
        </w:tc>
        <w:tc>
          <w:tcPr>
            <w:tcW w:w="1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31"/>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Bonefish Grill</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Company-owned</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Franchised</w:t>
            </w:r>
          </w:p>
        </w:tc>
        <w:tc>
          <w:tcPr>
            <w:tcW w:w="1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23"/>
                <w:szCs w:val="23"/>
                <w:color w:val="auto"/>
              </w:rPr>
            </w:pPr>
          </w:p>
        </w:tc>
        <w:tc>
          <w:tcPr>
            <w:tcW w:w="1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31"/>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Company-owned</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4"/>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4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Company-owned</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1"/>
        </w:trPr>
        <w:tc>
          <w:tcPr>
            <w:tcW w:w="7440" w:type="dxa"/>
            <w:vAlign w:val="bottom"/>
            <w:tcBorders>
              <w:top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U.S. Total</w:t>
            </w:r>
          </w:p>
        </w:tc>
        <w:tc>
          <w:tcPr>
            <w:tcW w:w="1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1,226</w:t>
            </w:r>
          </w:p>
        </w:tc>
        <w:tc>
          <w:tcPr>
            <w:tcW w:w="100" w:type="dxa"/>
            <w:vAlign w:val="bottom"/>
            <w:tcBorders>
              <w:top w:val="single" w:sz="8" w:color="CCEEFF"/>
            </w:tcBorders>
          </w:tcPr>
          <w:p>
            <w:pPr>
              <w:spacing w:after="0"/>
              <w:rPr>
                <w:sz w:val="18"/>
                <w:szCs w:val="18"/>
                <w:color w:val="auto"/>
              </w:rPr>
            </w:pPr>
          </w:p>
        </w:tc>
        <w:tc>
          <w:tcPr>
            <w:tcW w:w="1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1,239</w:t>
            </w:r>
          </w:p>
        </w:tc>
        <w:tc>
          <w:tcPr>
            <w:tcW w:w="0" w:type="dxa"/>
            <w:vAlign w:val="bottom"/>
          </w:tcPr>
          <w:p>
            <w:pPr>
              <w:spacing w:after="0"/>
              <w:rPr>
                <w:sz w:val="1"/>
                <w:szCs w:val="1"/>
                <w:color w:val="auto"/>
              </w:rPr>
            </w:pPr>
          </w:p>
        </w:tc>
      </w:tr>
      <w:tr>
        <w:trPr>
          <w:trHeight w:val="40"/>
        </w:trPr>
        <w:tc>
          <w:tcPr>
            <w:tcW w:w="744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44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Company-owned</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Outback Steakhouse - Brazil (2)</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Franchised</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Outback Steakhouse - South Korea</w:t>
            </w: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1"/>
        </w:trPr>
        <w:tc>
          <w:tcPr>
            <w:tcW w:w="7440" w:type="dxa"/>
            <w:vAlign w:val="bottom"/>
            <w:tcBorders>
              <w:top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International Total</w:t>
            </w:r>
          </w:p>
        </w:tc>
        <w:tc>
          <w:tcPr>
            <w:tcW w:w="1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Borders>
              <w:top w:val="single" w:sz="8" w:color="CCEEFF"/>
            </w:tcBorders>
          </w:tcPr>
          <w:p>
            <w:pPr>
              <w:spacing w:after="0"/>
              <w:rPr>
                <w:sz w:val="18"/>
                <w:szCs w:val="18"/>
                <w:color w:val="auto"/>
              </w:rPr>
            </w:pPr>
          </w:p>
        </w:tc>
        <w:tc>
          <w:tcPr>
            <w:tcW w:w="1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40"/>
        </w:trPr>
        <w:tc>
          <w:tcPr>
            <w:tcW w:w="744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System-wide total</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1,481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1,494</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440" w:type="dxa"/>
            <w:vAlign w:val="bottom"/>
            <w:vMerge w:val="continue"/>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2019, we sold 18 Carrabba’s Italian Grill locations, which are now operated as franchises.</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restaurant counts for Brazil are reported as of February 28, 2019 and 2018, respectively, to correspond with the balance sheet dates of this subsidiary.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sets forth, for the periods indicated, the percentages of certain items in our Consolidated Statements of Operations in relation to Total revenues or Restaurant sales, as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0" w:type="dxa"/>
            <w:vAlign w:val="bottom"/>
          </w:tcPr>
          <w:p>
            <w:pPr>
              <w:spacing w:after="0"/>
              <w:rPr>
                <w:sz w:val="18"/>
                <w:szCs w:val="18"/>
                <w:color w:val="auto"/>
              </w:rPr>
            </w:pPr>
          </w:p>
        </w:tc>
        <w:tc>
          <w:tcPr>
            <w:tcW w:w="3220" w:type="dxa"/>
            <w:vAlign w:val="bottom"/>
            <w:tcBorders>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64"/>
        </w:trPr>
        <w:tc>
          <w:tcPr>
            <w:tcW w:w="8200" w:type="dxa"/>
            <w:vAlign w:val="bottom"/>
          </w:tcPr>
          <w:p>
            <w:pPr>
              <w:spacing w:after="0"/>
              <w:rPr>
                <w:sz w:val="22"/>
                <w:szCs w:val="22"/>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5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APRIL 1, 2018</w:t>
            </w:r>
          </w:p>
        </w:tc>
        <w:tc>
          <w:tcPr>
            <w:tcW w:w="0" w:type="dxa"/>
            <w:vAlign w:val="bottom"/>
          </w:tcPr>
          <w:p>
            <w:pPr>
              <w:spacing w:after="0"/>
              <w:rPr>
                <w:sz w:val="1"/>
                <w:szCs w:val="1"/>
                <w:color w:val="auto"/>
              </w:rPr>
            </w:pPr>
          </w:p>
        </w:tc>
      </w:tr>
      <w:tr>
        <w:trPr>
          <w:trHeight w:val="250"/>
        </w:trPr>
        <w:tc>
          <w:tcPr>
            <w:tcW w:w="8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Restaurant sales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98.4 %</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24"/>
        </w:trPr>
        <w:tc>
          <w:tcPr>
            <w:tcW w:w="820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Total revenues</w:t>
            </w:r>
          </w:p>
        </w:tc>
        <w:tc>
          <w:tcPr>
            <w:tcW w:w="15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9"/>
                <w:szCs w:val="19"/>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Costs and expenses</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sales (1)</w:t>
            </w:r>
          </w:p>
        </w:tc>
        <w:tc>
          <w:tcPr>
            <w:tcW w:w="15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Labor and other related (1)</w:t>
            </w: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37"/>
        </w:trPr>
        <w:tc>
          <w:tcPr>
            <w:tcW w:w="8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restaurant operating (1)</w:t>
            </w:r>
          </w:p>
        </w:tc>
        <w:tc>
          <w:tcPr>
            <w:tcW w:w="15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37"/>
        </w:trPr>
        <w:tc>
          <w:tcPr>
            <w:tcW w:w="8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5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70"/>
        </w:trPr>
        <w:tc>
          <w:tcPr>
            <w:tcW w:w="820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5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92.7</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93.0</w:t>
            </w:r>
          </w:p>
        </w:tc>
        <w:tc>
          <w:tcPr>
            <w:tcW w:w="0" w:type="dxa"/>
            <w:vAlign w:val="bottom"/>
          </w:tcPr>
          <w:p>
            <w:pPr>
              <w:spacing w:after="0"/>
              <w:rPr>
                <w:sz w:val="1"/>
                <w:szCs w:val="1"/>
                <w:color w:val="auto"/>
              </w:rPr>
            </w:pPr>
          </w:p>
        </w:tc>
      </w:tr>
      <w:tr>
        <w:trPr>
          <w:trHeight w:val="23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from operations</w:t>
            </w: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37"/>
        </w:trPr>
        <w:tc>
          <w:tcPr>
            <w:tcW w:w="8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5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 net</w:t>
            </w:r>
          </w:p>
        </w:tc>
        <w:tc>
          <w:tcPr>
            <w:tcW w:w="15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24"/>
        </w:trPr>
        <w:tc>
          <w:tcPr>
            <w:tcW w:w="8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15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9"/>
                <w:szCs w:val="19"/>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24"/>
        </w:trPr>
        <w:tc>
          <w:tcPr>
            <w:tcW w:w="8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5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9"/>
                <w:szCs w:val="19"/>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50"/>
        </w:trPr>
        <w:tc>
          <w:tcPr>
            <w:tcW w:w="8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attributable to Bloomin’ Brands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________________</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0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652"/>
        <w:spacing w:after="0" w:line="235" w:lineRule="auto"/>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percentage of Restaurant sales.</w:t>
      </w:r>
    </w:p>
    <w:p>
      <w:pPr>
        <w:spacing w:after="0" w:line="1"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of one percent of Total revenues.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RESTAURANT SALES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the change in Restaurant sales for the period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For the period ended April 1, 2018</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1,099.0</w:t>
            </w:r>
          </w:p>
        </w:tc>
      </w:tr>
      <w:tr>
        <w:trPr>
          <w:trHeight w:val="237"/>
        </w:trPr>
        <w:tc>
          <w:tcPr>
            <w:tcW w:w="8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from:</w:t>
            </w:r>
          </w:p>
        </w:tc>
        <w:tc>
          <w:tcPr>
            <w:tcW w:w="34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33"/>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Comparable restaurant sales</w:t>
            </w:r>
          </w:p>
        </w:tc>
        <w:tc>
          <w:tcPr>
            <w:tcW w:w="34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26.5</w:t>
            </w:r>
          </w:p>
        </w:tc>
      </w:tr>
      <w:tr>
        <w:trPr>
          <w:trHeight w:val="224"/>
        </w:trPr>
        <w:tc>
          <w:tcPr>
            <w:tcW w:w="8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Restaurant openings</w:t>
            </w:r>
          </w:p>
        </w:tc>
        <w:tc>
          <w:tcPr>
            <w:tcW w:w="340" w:type="dxa"/>
            <w:vAlign w:val="bottom"/>
          </w:tcPr>
          <w:p>
            <w:pPr>
              <w:spacing w:after="0"/>
              <w:rPr>
                <w:sz w:val="19"/>
                <w:szCs w:val="19"/>
                <w:color w:val="auto"/>
              </w:rPr>
            </w:pPr>
          </w:p>
        </w:tc>
        <w:tc>
          <w:tcPr>
            <w:tcW w:w="2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13.1</w:t>
            </w:r>
          </w:p>
        </w:tc>
      </w:tr>
      <w:tr>
        <w:trPr>
          <w:trHeight w:val="33"/>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Effect of foreign currency translation</w:t>
            </w:r>
          </w:p>
        </w:tc>
        <w:tc>
          <w:tcPr>
            <w:tcW w:w="34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24"/>
        </w:trPr>
        <w:tc>
          <w:tcPr>
            <w:tcW w:w="8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Restaurant closings</w:t>
            </w:r>
          </w:p>
        </w:tc>
        <w:tc>
          <w:tcPr>
            <w:tcW w:w="34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33"/>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64"/>
        </w:trPr>
        <w:tc>
          <w:tcPr>
            <w:tcW w:w="8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Divestiture of restaurants through refranchising transactions</w:t>
            </w:r>
          </w:p>
        </w:tc>
        <w:tc>
          <w:tcPr>
            <w:tcW w:w="340" w:type="dxa"/>
            <w:vAlign w:val="bottom"/>
            <w:tcBorders>
              <w:bottom w:val="single" w:sz="8" w:color="auto"/>
            </w:tcBorders>
            <w:shd w:val="clear" w:color="auto" w:fill="CCEEFF"/>
          </w:tcPr>
          <w:p>
            <w:pPr>
              <w:spacing w:after="0"/>
              <w:rPr>
                <w:sz w:val="22"/>
                <w:szCs w:val="22"/>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50"/>
        </w:trPr>
        <w:tc>
          <w:tcPr>
            <w:tcW w:w="8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 the period ended March 31, 2019</w:t>
            </w:r>
          </w:p>
        </w:tc>
        <w:tc>
          <w:tcPr>
            <w:tcW w:w="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6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1,111.6</w:t>
            </w:r>
          </w:p>
        </w:tc>
      </w:tr>
      <w:tr>
        <w:trPr>
          <w:trHeight w:val="20"/>
        </w:trPr>
        <w:tc>
          <w:tcPr>
            <w:tcW w:w="8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increase in Restaurant sales in the thirteen weeks ended March 31, 2019 was primarily due to higher U.S. comparable restaurant sales and the opening of 28 new restaurants not included in our comparable restaurant sales base. The increase in restaurant sales was partially offset by the effect of foreign currency translation of the Brazilian Real relative to the U.S. dollar and the closing of 27 restaurants since December 31, 2017.</w:t>
      </w:r>
    </w:p>
    <w:p>
      <w:pPr>
        <w:sectPr>
          <w:pgSz w:w="11900" w:h="16838" w:orient="portrait"/>
          <w:cols w:equalWidth="0" w:num="1">
            <w:col w:w="11420"/>
          </w:cols>
          <w:pgMar w:left="240" w:top="118"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type w:val="continuous"/>
        </w:sectPr>
      </w:pPr>
    </w:p>
    <w:bookmarkStart w:id="29" w:name="page30"/>
    <w:bookmarkEnd w:id="2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Average Restaurant Unit Volumes and Operating Weeks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the average restaurant unit volumes and operating weeks,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64"/>
        </w:trPr>
        <w:tc>
          <w:tcPr>
            <w:tcW w:w="8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22"/>
                <w:szCs w:val="22"/>
                <w:color w:val="auto"/>
              </w:rPr>
            </w:pPr>
          </w:p>
        </w:tc>
        <w:tc>
          <w:tcPr>
            <w:tcW w:w="12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APRIL 1, 2018</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Average restaurant unit volumes (weekly):</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Outback Steakhouse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77,198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74,439</w:t>
            </w: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Carrabba’s Italian Grill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59,940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59,479</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Bonefish Grill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63,654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62,193</w:t>
            </w: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91,238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90,190</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International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Outback Steakhouse - Brazil (1)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74,878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84,694</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weeks: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Outback Steakhouse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7,594</w:t>
            </w: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Carrabba’s Italian Grill</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2,924</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Bonefish Grill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2,522</w:t>
            </w: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898</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International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Outback Steakhouse - Brazil</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1,123</w:t>
            </w:r>
          </w:p>
        </w:tc>
      </w:tr>
      <w:tr>
        <w:trPr>
          <w:trHeight w:val="226"/>
        </w:trPr>
        <w:tc>
          <w:tcPr>
            <w:tcW w:w="83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bl>
    <w:p>
      <w:pPr>
        <w:ind w:left="660" w:hanging="652"/>
        <w:spacing w:after="0"/>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Translated at average exchange rates of 3.79 and 3.25 for the thirteen weeks ended March 31, 2019 and April 1, 2018, respectively.</w:t>
      </w:r>
    </w:p>
    <w:p>
      <w:pPr>
        <w:spacing w:after="0" w:line="200" w:lineRule="exact"/>
        <w:rPr>
          <w:rFonts w:ascii="Times New Roman" w:cs="Times New Roman" w:eastAsia="Times New Roman" w:hAnsi="Times New Roman"/>
          <w:sz w:val="16"/>
          <w:szCs w:val="16"/>
          <w:color w:val="auto"/>
        </w:rPr>
      </w:pPr>
    </w:p>
    <w:p>
      <w:pPr>
        <w:spacing w:after="0" w:line="255" w:lineRule="exact"/>
        <w:rPr>
          <w:rFonts w:ascii="Times New Roman" w:cs="Times New Roman" w:eastAsia="Times New Roman" w:hAnsi="Times New Roman"/>
          <w:sz w:val="16"/>
          <w:szCs w:val="16"/>
          <w:color w:val="auto"/>
        </w:rPr>
      </w:pPr>
    </w:p>
    <w:p>
      <w:pPr>
        <w:ind w:left="5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Comparable Restaurant Sales, Traffic and Average Check Per Person Increases (Decreases)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comparable restaurant sales, traffic and average check per person increases (decreases), for the periods indicated:</w:t>
      </w:r>
    </w:p>
    <w:p>
      <w:pPr>
        <w:spacing w:after="0" w:line="214"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4"/>
          <w:szCs w:val="14"/>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5184775</wp:posOffset>
            </wp:positionH>
            <wp:positionV relativeFrom="paragraph">
              <wp:posOffset>24765</wp:posOffset>
            </wp:positionV>
            <wp:extent cx="20669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66925"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60" w:type="dxa"/>
            <w:vAlign w:val="bottom"/>
          </w:tcPr>
          <w:p>
            <w:pPr>
              <w:spacing w:after="0"/>
              <w:rPr>
                <w:sz w:val="18"/>
                <w:szCs w:val="18"/>
                <w:color w:val="auto"/>
              </w:rPr>
            </w:pPr>
          </w:p>
        </w:tc>
        <w:tc>
          <w:tcPr>
            <w:tcW w:w="17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5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APRIL 1, 2018</w:t>
            </w:r>
          </w:p>
        </w:tc>
      </w:tr>
      <w:tr>
        <w:trPr>
          <w:trHeight w:val="250"/>
        </w:trPr>
        <w:tc>
          <w:tcPr>
            <w:tcW w:w="8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Year over year percentage change:</w:t>
            </w: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8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Comparable restaurant sales (stores open 18 months or more) (1):</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8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8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Outback Steakhouse</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33"/>
        </w:trPr>
        <w:tc>
          <w:tcPr>
            <w:tcW w:w="8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Carrabba’s Italian Grill</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237"/>
        </w:trPr>
        <w:tc>
          <w:tcPr>
            <w:tcW w:w="8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Bonefish Grill</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33"/>
        </w:trPr>
        <w:tc>
          <w:tcPr>
            <w:tcW w:w="8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37"/>
        </w:trPr>
        <w:tc>
          <w:tcPr>
            <w:tcW w:w="8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Combined U.S.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33"/>
        </w:trPr>
        <w:tc>
          <w:tcPr>
            <w:tcW w:w="8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International</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8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Outback Steakhouse - Brazil (2)</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33"/>
        </w:trPr>
        <w:tc>
          <w:tcPr>
            <w:tcW w:w="8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97"/>
        </w:trPr>
        <w:tc>
          <w:tcPr>
            <w:tcW w:w="81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37"/>
        </w:trPr>
        <w:tc>
          <w:tcPr>
            <w:tcW w:w="8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Traffic:</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8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8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Outback Steakhouse</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33"/>
        </w:trPr>
        <w:tc>
          <w:tcPr>
            <w:tcW w:w="8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Carrabba’s Italian Grill</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37"/>
        </w:trPr>
        <w:tc>
          <w:tcPr>
            <w:tcW w:w="8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Bonefish Grill</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33"/>
        </w:trPr>
        <w:tc>
          <w:tcPr>
            <w:tcW w:w="8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37"/>
        </w:trPr>
        <w:tc>
          <w:tcPr>
            <w:tcW w:w="8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Combined U.S.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33"/>
        </w:trPr>
        <w:tc>
          <w:tcPr>
            <w:tcW w:w="8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International</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8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Outback Steakhouse - Brazil</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8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97"/>
        </w:trPr>
        <w:tc>
          <w:tcPr>
            <w:tcW w:w="81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37"/>
        </w:trPr>
        <w:tc>
          <w:tcPr>
            <w:tcW w:w="8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Average check per person (3):</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8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8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Outback Steakhouse</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33"/>
        </w:trPr>
        <w:tc>
          <w:tcPr>
            <w:tcW w:w="8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Carrabba’s Italian Grill</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237"/>
        </w:trPr>
        <w:tc>
          <w:tcPr>
            <w:tcW w:w="8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Bonefish Grill</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33"/>
        </w:trPr>
        <w:tc>
          <w:tcPr>
            <w:tcW w:w="8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r>
      <w:tr>
        <w:trPr>
          <w:trHeight w:val="237"/>
        </w:trPr>
        <w:tc>
          <w:tcPr>
            <w:tcW w:w="8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Combined U.S.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33"/>
        </w:trPr>
        <w:tc>
          <w:tcPr>
            <w:tcW w:w="8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International</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8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Outback Steakhouse - Brazil</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r>
    </w:tbl>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line="246"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Comparable restaurant sales exclude the effect of fluctuations in foreign currency rates. Relocated international restaurants closed more than 30 days and relocated U.S. restaurants closed more than 60 days are excluded from comparable restaurant sales until at least 18 months after reopening.</w:t>
      </w:r>
    </w:p>
    <w:p>
      <w:pPr>
        <w:ind w:left="660" w:hanging="652"/>
        <w:spacing w:after="0"/>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trading day impact from calendar period reporting.</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check per person includes the impact of menu pricing changes, product mix and discounts.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Franchise and other 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22"/>
                <w:szCs w:val="22"/>
                <w:color w:val="auto"/>
              </w:rPr>
            </w:pPr>
          </w:p>
        </w:tc>
        <w:tc>
          <w:tcPr>
            <w:tcW w:w="126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APRIL 1, 2018</w:t>
            </w:r>
          </w:p>
        </w:tc>
        <w:tc>
          <w:tcPr>
            <w:tcW w:w="0" w:type="dxa"/>
            <w:vAlign w:val="bottom"/>
          </w:tcPr>
          <w:p>
            <w:pPr>
              <w:spacing w:after="0"/>
              <w:rPr>
                <w:sz w:val="1"/>
                <w:szCs w:val="1"/>
                <w:color w:val="auto"/>
              </w:rPr>
            </w:pPr>
          </w:p>
        </w:tc>
      </w:tr>
      <w:tr>
        <w:trPr>
          <w:trHeight w:val="237"/>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Franchise revenues (1)</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Other revenues</w:t>
            </w: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franchise royalties, advertising fees and initial franchise fees.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COSTS AND EXPENSES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Cost of sales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64"/>
        </w:trPr>
        <w:tc>
          <w:tcPr>
            <w:tcW w:w="7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6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22"/>
                <w:szCs w:val="22"/>
                <w:color w:val="auto"/>
              </w:rPr>
            </w:pPr>
          </w:p>
        </w:tc>
        <w:tc>
          <w:tcPr>
            <w:tcW w:w="102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50"/>
        </w:trPr>
        <w:tc>
          <w:tcPr>
            <w:tcW w:w="7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sales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352.1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352.1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of Restaurant sales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bl>
    <w:p>
      <w:pPr>
        <w:spacing w:after="0" w:line="2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Cost of sales decreased as a percentage of Restaurant sales in the thirteen weeks ended March 31, 2019 as compared to the thirteen weeks ended April 1, 2018 primarily due to 0.7% for increases in average check per person and 0.3% from the impact of certain cost saving initiatives, partially offset by an increase as a percentage of Restaurant sales of 0.6% for commodity cost inflation.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Labor and other related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64"/>
        </w:trPr>
        <w:tc>
          <w:tcPr>
            <w:tcW w:w="7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6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96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50"/>
        </w:trPr>
        <w:tc>
          <w:tcPr>
            <w:tcW w:w="7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Labor and other related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319.0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of Restaurant sales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bl>
    <w:p>
      <w:pPr>
        <w:spacing w:after="0" w:line="2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Labor and other related expenses increased as a percentage of Restaurant sales in the thirteen weeks ended March 31, 2019 as compared to the thirteen weeks ended April 1, 2018 primarily due to 1.0% from higher labor costs due to wage rate increases and investments in our service model, partially offset by a decrease as a percentage of Restaurant sales of 0.6% from increases in average check per person.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restaurant operating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64"/>
        </w:trPr>
        <w:tc>
          <w:tcPr>
            <w:tcW w:w="7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6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22"/>
                <w:szCs w:val="22"/>
                <w:color w:val="auto"/>
              </w:rPr>
            </w:pPr>
          </w:p>
        </w:tc>
        <w:tc>
          <w:tcPr>
            <w:tcW w:w="102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50"/>
        </w:trPr>
        <w:tc>
          <w:tcPr>
            <w:tcW w:w="7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250.9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253.3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of Restaurant sales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bl>
    <w:p>
      <w:pPr>
        <w:spacing w:after="0" w:line="2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Other restaurant operating expenses decreased as a percentage of Restaurant sales in the thirteen weeks ended March 31, 2019 as compared to the thirteen weeks ended April 1, 2018 primarily due to 0.5% from increases in average check per person and 0.3% from the impact of certain cost saving initiatives, partially offset by an increase as a percentage of Restaurant sales of 0.3% from the impact of deferred gains on sale-leaseback transactions no longer recognize in 2019 as a result of the adoption of the new lease accounting standard.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General and administrative expense includes salaries and benefits, management incentive programs, related payroll tax and benefits, other employee-related costs and professional services. Following is a summary of the change in general and administrative expense for the period indicated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 the period ended April 1, 2018</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68.7</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from:</w:t>
            </w:r>
          </w:p>
        </w:tc>
        <w:tc>
          <w:tcPr>
            <w:tcW w:w="2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Severance</w:t>
            </w:r>
          </w:p>
        </w:tc>
        <w:tc>
          <w:tcPr>
            <w:tcW w:w="24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3.0</w:t>
            </w:r>
          </w:p>
        </w:tc>
      </w:tr>
      <w:tr>
        <w:trPr>
          <w:trHeight w:val="270"/>
        </w:trPr>
        <w:tc>
          <w:tcPr>
            <w:tcW w:w="88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Foreign currency exchange</w:t>
            </w:r>
          </w:p>
        </w:tc>
        <w:tc>
          <w:tcPr>
            <w:tcW w:w="240" w:type="dxa"/>
            <w:vAlign w:val="bottom"/>
            <w:tcBorders>
              <w:bottom w:val="single" w:sz="8" w:color="auto"/>
            </w:tcBorders>
          </w:tcPr>
          <w:p>
            <w:pPr>
              <w:spacing w:after="0"/>
              <w:rPr>
                <w:sz w:val="23"/>
                <w:szCs w:val="23"/>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 the period ended March 31, 2019</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70.6</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Provision for impaired assets and restaurant closings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64"/>
        </w:trPr>
        <w:tc>
          <w:tcPr>
            <w:tcW w:w="73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60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4"/>
        </w:trPr>
        <w:tc>
          <w:tcPr>
            <w:tcW w:w="73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0.9</w:t>
            </w:r>
          </w:p>
        </w:tc>
      </w:tr>
      <w:tr>
        <w:trPr>
          <w:trHeight w:val="33"/>
        </w:trPr>
        <w:tc>
          <w:tcPr>
            <w:tcW w:w="7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Impairment and closing charges for the periods presented resulted primarily from approved store closure initiatives, locations identified for remodel, relocation or closure and certain other assets.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from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4"/>
        </w:trPr>
        <w:tc>
          <w:tcPr>
            <w:tcW w:w="7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6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7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82.5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78.4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4.1</w:t>
            </w:r>
          </w:p>
        </w:tc>
      </w:tr>
      <w:tr>
        <w:trPr>
          <w:trHeight w:val="237"/>
        </w:trPr>
        <w:tc>
          <w:tcPr>
            <w:tcW w:w="7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of Total revenues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0.3%</w:t>
            </w:r>
          </w:p>
        </w:tc>
      </w:tr>
    </w:tbl>
    <w:p>
      <w:pPr>
        <w:spacing w:after="0" w:line="2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increase in income from operations generated in the thirteen weeks ended March 31, 2019 as compared to the thirteen weeks ended April 1, 2018 was primarily due to higher U.S. comparable restaurant sales and the impact of certain cost savings initiatives. These increases were partially offset by labor and commodity expense inflation and the impact of deferred gain amortization no longer recognized upon adoption of the new lease standard.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expense, net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64"/>
        </w:trPr>
        <w:tc>
          <w:tcPr>
            <w:tcW w:w="73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60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4"/>
        </w:trPr>
        <w:tc>
          <w:tcPr>
            <w:tcW w:w="73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0.9</w:t>
            </w:r>
          </w:p>
        </w:tc>
      </w:tr>
      <w:tr>
        <w:trPr>
          <w:trHeight w:val="33"/>
        </w:trPr>
        <w:tc>
          <w:tcPr>
            <w:tcW w:w="7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increase in Interest expense, net for the thirteen weeks ended March 31, 2019 is primarily due to higher interest rates, partially offset by lower interest expense from our derivative instruments and the derecognition of certain debt obligations due to adoption of ASU No. 2016-02.</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Provision for income taxes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8"/>
                <w:szCs w:val="18"/>
                <w:color w:val="auto"/>
              </w:rPr>
            </w:pPr>
          </w:p>
        </w:tc>
        <w:tc>
          <w:tcPr>
            <w:tcW w:w="2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4"/>
        </w:trPr>
        <w:tc>
          <w:tcPr>
            <w:tcW w:w="7080" w:type="dxa"/>
            <w:vAlign w:val="bottom"/>
          </w:tcPr>
          <w:p>
            <w:pPr>
              <w:spacing w:after="0"/>
              <w:rPr>
                <w:sz w:val="22"/>
                <w:szCs w:val="22"/>
                <w:color w:val="auto"/>
              </w:rPr>
            </w:pP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60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22"/>
                <w:szCs w:val="22"/>
                <w:color w:val="auto"/>
              </w:rPr>
            </w:pPr>
          </w:p>
        </w:tc>
        <w:tc>
          <w:tcPr>
            <w:tcW w:w="106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4"/>
        </w:trPr>
        <w:tc>
          <w:tcPr>
            <w:tcW w:w="70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33"/>
        </w:trPr>
        <w:tc>
          <w:tcPr>
            <w:tcW w:w="70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7"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color w:val="auto"/>
        </w:rPr>
        <w:t>The effective income tax rate for the thirteen weeks ended March 31, 2019 increased by 4.9 percentage points as compared to the thirteen weeks ended April 1, 2018. The increase was primarily due to favorable discrete items recorded in the thirteen weeks ended April 1, 2018, which included excess tax benefits from equity-based compensation arrangements. The increase was partially offset by changes in the mix of taxable income across our U.S. and international subsidiaries and a decrease in the estimated annual effective tax rate due to additional guidance issued in connection with the Tax Act.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SEGMENT PERFORMANCE</w:t>
      </w:r>
    </w:p>
    <w:p>
      <w:pPr>
        <w:spacing w:after="0" w:line="22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color w:val="auto"/>
        </w:rPr>
        <w:t>We consider our restaurant concepts and international markets as operating segments, which reflects how we manage our business, review operating performance and allocate resources. Resources are allocated and performance is assessed by our CEO, whom we have determined to be our CODM. We aggregate our operating segments into two reportable segments, U.S. and International. The U.S. segment includes all restaurants operating in the U.S. while restaurants operating outside the U.S. are included in the International segment. The following is a summary of reporting segments: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 (1)</w:t>
            </w:r>
          </w:p>
        </w:tc>
        <w:tc>
          <w:tcPr>
            <w:tcW w:w="12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CONCEPT</w:t>
            </w: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LOCATION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tcBorders>
              <w:top w:val="single" w:sz="8" w:color="auto"/>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680" w:type="dxa"/>
            <w:vAlign w:val="bottom"/>
            <w:tcBorders>
              <w:top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Outback Steakhouse</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3880" w:type="dxa"/>
            <w:vAlign w:val="bottom"/>
            <w:tcBorders>
              <w:top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620" w:type="dxa"/>
            <w:vAlign w:val="bottom"/>
            <w:tcBorders>
              <w:left w:val="single" w:sz="8" w:color="auto"/>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6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Carrabba’s Italian Grill</w:t>
            </w:r>
          </w:p>
        </w:tc>
        <w:tc>
          <w:tcPr>
            <w:tcW w:w="120" w:type="dxa"/>
            <w:vAlign w:val="bottom"/>
            <w:tcBorders>
              <w:right w:val="single" w:sz="8" w:color="auto"/>
            </w:tcBorders>
            <w:shd w:val="clear" w:color="auto" w:fill="CCEEFF"/>
          </w:tcPr>
          <w:p>
            <w:pPr>
              <w:spacing w:after="0"/>
              <w:rPr>
                <w:sz w:val="23"/>
                <w:szCs w:val="23"/>
                <w:color w:val="auto"/>
              </w:rPr>
            </w:pPr>
          </w:p>
        </w:tc>
        <w:tc>
          <w:tcPr>
            <w:tcW w:w="388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Borders>
              <w:left w:val="single" w:sz="8" w:color="auto"/>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Bonefish Grill</w:t>
            </w: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Borders>
              <w:left w:val="single" w:sz="8" w:color="auto"/>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continue"/>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62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46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388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20" w:type="dxa"/>
            <w:vAlign w:val="bottom"/>
            <w:tcBorders>
              <w:right w:val="single" w:sz="8" w:color="auto"/>
            </w:tcBorders>
          </w:tcPr>
          <w:p>
            <w:pPr>
              <w:spacing w:after="0"/>
              <w:rPr>
                <w:sz w:val="18"/>
                <w:szCs w:val="18"/>
                <w:color w:val="auto"/>
              </w:rPr>
            </w:pPr>
          </w:p>
        </w:tc>
        <w:tc>
          <w:tcPr>
            <w:tcW w:w="46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Outback Steakhouse</w:t>
            </w:r>
          </w:p>
        </w:tc>
        <w:tc>
          <w:tcPr>
            <w:tcW w:w="120" w:type="dxa"/>
            <w:vAlign w:val="bottom"/>
            <w:tcBorders>
              <w:right w:val="single" w:sz="8" w:color="auto"/>
            </w:tcBorders>
          </w:tcPr>
          <w:p>
            <w:pPr>
              <w:spacing w:after="0"/>
              <w:rPr>
                <w:sz w:val="18"/>
                <w:szCs w:val="18"/>
                <w:color w:val="auto"/>
              </w:rPr>
            </w:pPr>
          </w:p>
        </w:tc>
        <w:tc>
          <w:tcPr>
            <w:tcW w:w="38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 Hong Kong/China</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20" w:type="dxa"/>
            <w:vAlign w:val="bottom"/>
            <w:tcBorders>
              <w:left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2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Carrabba’s Italian Grill (Abbraccio)</w:t>
            </w:r>
          </w:p>
        </w:tc>
        <w:tc>
          <w:tcPr>
            <w:tcW w:w="1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2620" w:type="dxa"/>
            <w:vAlign w:val="bottom"/>
          </w:tcPr>
          <w:p>
            <w:pPr>
              <w:jc w:val="right"/>
              <w:ind w:right="1181"/>
              <w:spacing w:after="0"/>
              <w:rPr>
                <w:sz w:val="20"/>
                <w:szCs w:val="20"/>
                <w:color w:val="auto"/>
              </w:rPr>
            </w:pPr>
            <w:r>
              <w:rPr>
                <w:rFonts w:ascii="Times New Roman" w:cs="Times New Roman" w:eastAsia="Times New Roman" w:hAnsi="Times New Roman"/>
                <w:sz w:val="16"/>
                <w:szCs w:val="16"/>
                <w:color w:val="auto"/>
                <w:w w:val="98"/>
              </w:rPr>
              <w:t>_________________</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franchise locations.</w:t>
      </w:r>
    </w:p>
    <w:p>
      <w:pPr>
        <w:spacing w:after="0" w:line="19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Revenues for both segments include only transactions with customers and exclude intersegment revenues. Excluded from income from operations for U.S. and International are legal and certain corporate costs not directly related to the performance of the segments, certain stock-based compensation expenses and certain bonus expenses.</w:t>
      </w:r>
    </w:p>
    <w:p>
      <w:pPr>
        <w:spacing w:after="0" w:line="184"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20"/>
          <w:szCs w:val="20"/>
          <w:color w:val="auto"/>
        </w:rPr>
        <w:t xml:space="preserve">Refer to Note 17 </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Segment Reporting</w:t>
      </w:r>
      <w:r>
        <w:rPr>
          <w:rFonts w:ascii="Times New Roman" w:cs="Times New Roman" w:eastAsia="Times New Roman" w:hAnsi="Times New Roman"/>
          <w:sz w:val="20"/>
          <w:szCs w:val="20"/>
          <w:color w:val="auto"/>
        </w:rPr>
        <w:t xml:space="preserve"> of the Notes to Consolidated Financial Statements for a reconciliation of segment income from operations to the consolidated operating results.</w:t>
      </w:r>
    </w:p>
    <w:p>
      <w:pPr>
        <w:spacing w:after="0" w:line="17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 xml:space="preserve">Restaurant-level operating margin is widely regarded in the industry as a useful metric to evaluate restaurant-level operating efficiency and performance of ongoing restaurant-level operations, and we use it for these purposes, overall and particularly within our two segments. See the </w:t>
      </w:r>
      <w:r>
        <w:rPr>
          <w:rFonts w:ascii="Times New Roman" w:cs="Times New Roman" w:eastAsia="Times New Roman" w:hAnsi="Times New Roman"/>
          <w:sz w:val="20"/>
          <w:szCs w:val="20"/>
          <w:i w:val="1"/>
          <w:iCs w:val="1"/>
          <w:color w:val="auto"/>
        </w:rPr>
        <w:t xml:space="preserve">Overview-Key Performance Indicators </w:t>
      </w:r>
      <w:r>
        <w:rPr>
          <w:rFonts w:ascii="Times New Roman" w:cs="Times New Roman" w:eastAsia="Times New Roman" w:hAnsi="Times New Roman"/>
          <w:sz w:val="20"/>
          <w:szCs w:val="20"/>
          <w:color w:val="auto"/>
        </w:rPr>
        <w:t>section of Management’s Discussion and Analysis for additional details regarding the calculation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restaurant-level operating margin.</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40"/>
          </w:cols>
          <w:pgMar w:left="240" w:top="118" w:right="21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64"/>
        </w:trPr>
        <w:tc>
          <w:tcPr>
            <w:tcW w:w="8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22"/>
                <w:szCs w:val="22"/>
                <w:color w:val="auto"/>
              </w:rPr>
            </w:pPr>
          </w:p>
        </w:tc>
        <w:tc>
          <w:tcPr>
            <w:tcW w:w="13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APRIL 1, 2018</w:t>
            </w:r>
          </w:p>
        </w:tc>
      </w:tr>
      <w:tr>
        <w:trPr>
          <w:trHeight w:val="250"/>
        </w:trPr>
        <w:tc>
          <w:tcPr>
            <w:tcW w:w="8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8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Restaurant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1,000,813</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984,344</w:t>
            </w:r>
          </w:p>
        </w:tc>
      </w:tr>
      <w:tr>
        <w:trPr>
          <w:trHeight w:val="33"/>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13,694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14,363</w:t>
            </w:r>
          </w:p>
        </w:tc>
      </w:tr>
      <w:tr>
        <w:trPr>
          <w:trHeight w:val="224"/>
        </w:trPr>
        <w:tc>
          <w:tcPr>
            <w:tcW w:w="8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1,014,507</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998,707</w:t>
            </w:r>
          </w:p>
        </w:tc>
      </w:tr>
      <w:tr>
        <w:trPr>
          <w:trHeight w:val="33"/>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Restaurant-level operating margin</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37"/>
        </w:trPr>
        <w:tc>
          <w:tcPr>
            <w:tcW w:w="8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113,035</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109,134</w:t>
            </w:r>
          </w:p>
        </w:tc>
      </w:tr>
      <w:tr>
        <w:trPr>
          <w:trHeight w:val="33"/>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Operating income margin</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33"/>
        </w:trPr>
        <w:tc>
          <w:tcPr>
            <w:tcW w:w="8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Restaurant sales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the change in U.S. segment Restaurant sales for the period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For the period ended April 1, 2018</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984.3</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from:</w:t>
            </w:r>
          </w:p>
        </w:tc>
        <w:tc>
          <w:tcPr>
            <w:tcW w:w="2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Comparable restaurant sales</w:t>
            </w:r>
          </w:p>
        </w:tc>
        <w:tc>
          <w:tcPr>
            <w:tcW w:w="24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21.9</w:t>
            </w:r>
          </w:p>
        </w:tc>
      </w:tr>
      <w:tr>
        <w:trPr>
          <w:trHeight w:val="224"/>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Restaurant openings</w:t>
            </w:r>
          </w:p>
        </w:tc>
        <w:tc>
          <w:tcPr>
            <w:tcW w:w="240" w:type="dxa"/>
            <w:vAlign w:val="bottom"/>
          </w:tcPr>
          <w:p>
            <w:pPr>
              <w:spacing w:after="0"/>
              <w:rPr>
                <w:sz w:val="19"/>
                <w:szCs w:val="19"/>
                <w:color w:val="auto"/>
              </w:rPr>
            </w:pPr>
          </w:p>
        </w:tc>
        <w:tc>
          <w:tcPr>
            <w:tcW w:w="23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r>
      <w:tr>
        <w:trPr>
          <w:trHeight w:val="33"/>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Restaurant closings</w:t>
            </w:r>
          </w:p>
        </w:tc>
        <w:tc>
          <w:tcPr>
            <w:tcW w:w="24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70"/>
        </w:trPr>
        <w:tc>
          <w:tcPr>
            <w:tcW w:w="88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Divestiture of restaurants through refranchising transactions</w:t>
            </w:r>
          </w:p>
        </w:tc>
        <w:tc>
          <w:tcPr>
            <w:tcW w:w="240" w:type="dxa"/>
            <w:vAlign w:val="bottom"/>
            <w:tcBorders>
              <w:bottom w:val="single" w:sz="8" w:color="auto"/>
            </w:tcBorders>
          </w:tcPr>
          <w:p>
            <w:pPr>
              <w:spacing w:after="0"/>
              <w:rPr>
                <w:sz w:val="23"/>
                <w:szCs w:val="23"/>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 the period ended March 31, 2019</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1,000.8</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increase in U.S. Restaurant sales in the thirteen weeks ended March 31, 2019 was primarily due to higher comparable restaurant sales and the opening of seven new restaurants not included in our comparable restaurant sales base. The increase in restaurant sales was partially offset the closing of 17 restaurants since December 31, 2017.</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from operations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increase in U.S. income from operations generated in the thirteen weeks ended March 31, 2019 as compared to the thirteen weeks ended April 1, 2018, was primarily due to higher comparable restaurant sales and the impact of certain cost savings initiatives. These increases were partially offset by labor and commodity inflation, and the impact of deferred gain amortization no longer recognized upon adoption of the new lease standard.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International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64"/>
        </w:trPr>
        <w:tc>
          <w:tcPr>
            <w:tcW w:w="8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22"/>
                <w:szCs w:val="22"/>
                <w:color w:val="auto"/>
              </w:rPr>
            </w:pPr>
          </w:p>
        </w:tc>
        <w:tc>
          <w:tcPr>
            <w:tcW w:w="13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APRIL 1, 2018</w:t>
            </w:r>
          </w:p>
        </w:tc>
      </w:tr>
      <w:tr>
        <w:trPr>
          <w:trHeight w:val="250"/>
        </w:trPr>
        <w:tc>
          <w:tcPr>
            <w:tcW w:w="8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8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Restaurant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110,829</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114,659</w:t>
            </w:r>
          </w:p>
        </w:tc>
      </w:tr>
      <w:tr>
        <w:trPr>
          <w:trHeight w:val="33"/>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2,795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3,099</w:t>
            </w:r>
          </w:p>
        </w:tc>
      </w:tr>
      <w:tr>
        <w:trPr>
          <w:trHeight w:val="224"/>
        </w:trPr>
        <w:tc>
          <w:tcPr>
            <w:tcW w:w="8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113,624</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117,758</w:t>
            </w:r>
          </w:p>
        </w:tc>
      </w:tr>
      <w:tr>
        <w:trPr>
          <w:trHeight w:val="33"/>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Restaurant-level operating margin</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37"/>
        </w:trPr>
        <w:tc>
          <w:tcPr>
            <w:tcW w:w="8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13,720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8,325</w:t>
            </w:r>
          </w:p>
        </w:tc>
      </w:tr>
      <w:tr>
        <w:trPr>
          <w:trHeight w:val="33"/>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Operating income margin</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33"/>
        </w:trPr>
        <w:tc>
          <w:tcPr>
            <w:tcW w:w="8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type w:val="continuous"/>
        </w:sectPr>
      </w:pPr>
    </w:p>
    <w:bookmarkStart w:id="35" w:name="page36"/>
    <w:bookmarkEnd w:id="3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Restaurant sales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the change in International segment Restaurant sales for the period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 the period ended April 1, 2018</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114.7</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from:</w:t>
            </w:r>
          </w:p>
        </w:tc>
        <w:tc>
          <w:tcPr>
            <w:tcW w:w="2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Effect of foreign currency translation</w:t>
            </w:r>
          </w:p>
        </w:tc>
        <w:tc>
          <w:tcPr>
            <w:tcW w:w="24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24"/>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Restaurant closings</w:t>
            </w:r>
          </w:p>
        </w:tc>
        <w:tc>
          <w:tcPr>
            <w:tcW w:w="2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33"/>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Restaurant openings</w:t>
            </w:r>
          </w:p>
        </w:tc>
        <w:tc>
          <w:tcPr>
            <w:tcW w:w="24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10.5</w:t>
            </w:r>
          </w:p>
        </w:tc>
      </w:tr>
      <w:tr>
        <w:trPr>
          <w:trHeight w:val="270"/>
        </w:trPr>
        <w:tc>
          <w:tcPr>
            <w:tcW w:w="88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Comparable restaurant sales</w:t>
            </w:r>
          </w:p>
        </w:tc>
        <w:tc>
          <w:tcPr>
            <w:tcW w:w="240" w:type="dxa"/>
            <w:vAlign w:val="bottom"/>
            <w:tcBorders>
              <w:bottom w:val="single" w:sz="8" w:color="auto"/>
            </w:tcBorders>
          </w:tcPr>
          <w:p>
            <w:pPr>
              <w:spacing w:after="0"/>
              <w:rPr>
                <w:sz w:val="23"/>
                <w:szCs w:val="23"/>
                <w:color w:val="auto"/>
              </w:rPr>
            </w:pPr>
          </w:p>
        </w:tc>
        <w:tc>
          <w:tcPr>
            <w:tcW w:w="2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 the period ended March 31, 2019</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110.8</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decrease in Restaurant sales in the thirteen weeks ended March 31, 2019 was primarily due to the effect of foreign currency translation of the Brazilian Real relative to the U.S. dollar and the closing of 10 restaurants since December 31, 2017, partially offset by the opening of 21 new restaurants not included in our comparable restaurant sales base and higher comparable restaurant sales.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from operations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increase in International income from operations in the thirteen weeks ended March 31, 2019 as compared to the thirteen weeks ended April 1, 2018 was primarily due to an increase in comparable restaurant sales and lower impairment and restaurant closing costs. These increases were partially offset by commodity and labor expense inflation.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2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System-Wide Sales - </w:t>
      </w:r>
      <w:r>
        <w:rPr>
          <w:rFonts w:ascii="Times New Roman" w:cs="Times New Roman" w:eastAsia="Times New Roman" w:hAnsi="Times New Roman"/>
          <w:sz w:val="20"/>
          <w:szCs w:val="20"/>
          <w:color w:val="auto"/>
        </w:rPr>
        <w:t>System-wide sales is a non-GAAP financial measure that includes sales of all restaurants operating under our brand names,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Revenue Recognition</w:t>
      </w:r>
      <w:r>
        <w:rPr>
          <w:rFonts w:ascii="Times New Roman" w:cs="Times New Roman" w:eastAsia="Times New Roman" w:hAnsi="Times New Roman"/>
          <w:sz w:val="20"/>
          <w:szCs w:val="20"/>
          <w:color w:val="auto"/>
        </w:rPr>
        <w:t xml:space="preserve"> of the Notes to Consolidated Financial Statements.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following table provides a summary of sales of franchised restaurants, which are not included in our consolidated financial results. Franchise sales within this table do not represent our sales and are presented only as an indicator of changes in the restaurant system, which management believes is important information regarding the health of our restaurant concepts and in determining our royalties and/or service fees.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FRANCHISE SALES</w:t>
            </w:r>
          </w:p>
        </w:tc>
        <w:tc>
          <w:tcPr>
            <w:tcW w:w="1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22"/>
                <w:szCs w:val="22"/>
                <w:color w:val="auto"/>
              </w:rPr>
            </w:pPr>
          </w:p>
        </w:tc>
        <w:tc>
          <w:tcPr>
            <w:tcW w:w="12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APRIL 1, 2018</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Outback Steakhouse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Carrabba’s Italian Grill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Bonefish Grill</w:t>
            </w: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U.S. 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Outback Steakhouse-South Korea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International 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5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franchise sales (1)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_____________________</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Franchise sales are not included in Total revenues in the Consolidated Statements of Operations and Comprehensive Income.</w:t>
      </w:r>
    </w:p>
    <w:p>
      <w:pPr>
        <w:spacing w:after="0" w:line="204"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Adjusted restaurant-level operating margin - </w:t>
      </w:r>
      <w:r>
        <w:rPr>
          <w:rFonts w:ascii="Times New Roman" w:cs="Times New Roman" w:eastAsia="Times New Roman" w:hAnsi="Times New Roman"/>
          <w:sz w:val="20"/>
          <w:szCs w:val="20"/>
          <w:color w:val="auto"/>
        </w:rPr>
        <w:t>The following table shows the percentages of certain operating cost financial statement line items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relation to Restaurant sales: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40" w:type="dxa"/>
            <w:vAlign w:val="bottom"/>
            <w:tcBorders>
              <w:bottom w:val="single" w:sz="8" w:color="auto"/>
            </w:tcBorders>
          </w:tcPr>
          <w:p>
            <w:pPr>
              <w:spacing w:after="0"/>
              <w:rPr>
                <w:sz w:val="18"/>
                <w:szCs w:val="18"/>
                <w:color w:val="auto"/>
              </w:rPr>
            </w:pPr>
          </w:p>
        </w:tc>
      </w:tr>
      <w:tr>
        <w:trPr>
          <w:trHeight w:val="264"/>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340" w:type="dxa"/>
            <w:vAlign w:val="bottom"/>
            <w:tcBorders>
              <w:bottom w:val="single" w:sz="8" w:color="auto"/>
            </w:tcBorders>
            <w:gridSpan w:val="3"/>
          </w:tcPr>
          <w:p>
            <w:pPr>
              <w:jc w:val="right"/>
              <w:ind w:right="1022"/>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Pr>
          <w:p>
            <w:pPr>
              <w:spacing w:after="0"/>
              <w:rPr>
                <w:sz w:val="22"/>
                <w:szCs w:val="22"/>
                <w:color w:val="auto"/>
              </w:rPr>
            </w:pPr>
          </w:p>
        </w:tc>
        <w:tc>
          <w:tcPr>
            <w:tcW w:w="3360" w:type="dxa"/>
            <w:vAlign w:val="bottom"/>
            <w:tcBorders>
              <w:bottom w:val="single" w:sz="8" w:color="auto"/>
            </w:tcBorders>
            <w:gridSpan w:val="3"/>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APRIL 1, 2018</w:t>
            </w:r>
          </w:p>
        </w:tc>
      </w:tr>
      <w:tr>
        <w:trPr>
          <w:trHeight w:val="264"/>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7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17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17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164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ADJUSTED (1)</w:t>
            </w:r>
          </w:p>
        </w:tc>
      </w:tr>
      <w:tr>
        <w:trPr>
          <w:trHeight w:val="237"/>
        </w:trPr>
        <w:tc>
          <w:tcPr>
            <w:tcW w:w="20" w:type="dxa"/>
            <w:vAlign w:val="bottom"/>
          </w:tcPr>
          <w:p>
            <w:pPr>
              <w:spacing w:after="0"/>
              <w:rPr>
                <w:sz w:val="20"/>
                <w:szCs w:val="20"/>
                <w:color w:val="auto"/>
              </w:rPr>
            </w:pPr>
          </w:p>
        </w:tc>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9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r>
      <w:tr>
        <w:trPr>
          <w:trHeight w:val="237"/>
        </w:trPr>
        <w:tc>
          <w:tcPr>
            <w:tcW w:w="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Labor and other related</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33"/>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r>
      <w:tr>
        <w:trPr>
          <w:trHeight w:val="29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Restaurant-level operating margin</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193"/>
        </w:trPr>
        <w:tc>
          <w:tcPr>
            <w:tcW w:w="2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bl>
    <w:p>
      <w:pPr>
        <w:ind w:left="660" w:hanging="652"/>
        <w:spacing w:after="0" w:line="257" w:lineRule="auto"/>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unfavorable adjustments recorded in Other restaurant operating for the following activities, as described in the </w:t>
      </w:r>
      <w:r>
        <w:rPr>
          <w:rFonts w:ascii="Times New Roman" w:cs="Times New Roman" w:eastAsia="Times New Roman" w:hAnsi="Times New Roman"/>
          <w:sz w:val="16"/>
          <w:szCs w:val="16"/>
          <w:i w:val="1"/>
          <w:iCs w:val="1"/>
          <w:color w:val="auto"/>
        </w:rPr>
        <w:t>Adjusted income from operations, Adjusted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net income and Adjusted diluted earnings per share </w:t>
      </w:r>
      <w:r>
        <w:rPr>
          <w:rFonts w:ascii="Times New Roman" w:cs="Times New Roman" w:eastAsia="Times New Roman" w:hAnsi="Times New Roman"/>
          <w:sz w:val="16"/>
          <w:szCs w:val="16"/>
          <w:color w:val="auto"/>
        </w:rPr>
        <w:t>table below for the period indicated:</w:t>
      </w:r>
    </w:p>
    <w:p>
      <w:pPr>
        <w:spacing w:after="0" w:line="95" w:lineRule="exact"/>
        <w:rPr>
          <w:sz w:val="20"/>
          <w:szCs w:val="20"/>
          <w:color w:val="auto"/>
        </w:rPr>
      </w:pPr>
    </w:p>
    <w:tbl>
      <w:tblPr>
        <w:tblLayout w:type="fixed"/>
        <w:tblInd w:w="1050" w:type="dxa"/>
        <w:tblCellMar>
          <w:top w:w="0" w:type="dxa"/>
          <w:left w:w="0" w:type="dxa"/>
          <w:bottom w:w="0" w:type="dxa"/>
          <w:right w:w="0" w:type="dxa"/>
        </w:tblCellMar>
      </w:tblPr>
      <w:tr>
        <w:trPr>
          <w:trHeight w:val="274"/>
        </w:trPr>
        <w:tc>
          <w:tcPr>
            <w:tcW w:w="7600" w:type="dxa"/>
            <w:vAlign w:val="bottom"/>
            <w:tcBorders>
              <w:top w:val="single" w:sz="8" w:color="auto"/>
              <w:left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2240" w:type="dxa"/>
            <w:vAlign w:val="bottom"/>
            <w:tcBorders>
              <w:top w:val="single" w:sz="8" w:color="auto"/>
              <w:right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20"/>
        </w:trPr>
        <w:tc>
          <w:tcPr>
            <w:tcW w:w="7600" w:type="dxa"/>
            <w:vAlign w:val="bottom"/>
            <w:tcBorders>
              <w:left w:val="single" w:sz="8" w:color="auto"/>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jc w:val="right"/>
              <w:ind w:right="683"/>
              <w:spacing w:after="0"/>
              <w:rPr>
                <w:sz w:val="20"/>
                <w:szCs w:val="20"/>
                <w:color w:val="auto"/>
              </w:rPr>
            </w:pPr>
            <w:r>
              <w:rPr>
                <w:rFonts w:ascii="Times New Roman" w:cs="Times New Roman" w:eastAsia="Times New Roman" w:hAnsi="Times New Roman"/>
                <w:sz w:val="14"/>
                <w:szCs w:val="14"/>
                <w:b w:val="1"/>
                <w:bCs w:val="1"/>
                <w:color w:val="auto"/>
              </w:rPr>
              <w:t>APRIL 1, 2018</w:t>
            </w:r>
          </w:p>
        </w:tc>
      </w:tr>
      <w:tr>
        <w:trPr>
          <w:trHeight w:val="237"/>
        </w:trPr>
        <w:tc>
          <w:tcPr>
            <w:tcW w:w="760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Restaurant and asset impairments and closing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bottom w:val="single" w:sz="8" w:color="CCEEFF"/>
              <w:right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0.8</w:t>
            </w:r>
          </w:p>
        </w:tc>
      </w:tr>
      <w:tr>
        <w:trPr>
          <w:trHeight w:val="270"/>
        </w:trPr>
        <w:tc>
          <w:tcPr>
            <w:tcW w:w="7600" w:type="dxa"/>
            <w:vAlign w:val="bottom"/>
            <w:tcBorders>
              <w:left w:val="single" w:sz="8" w:color="auto"/>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Restaurant relocations and related costs</w:t>
            </w:r>
          </w:p>
        </w:tc>
        <w:tc>
          <w:tcPr>
            <w:tcW w:w="180" w:type="dxa"/>
            <w:vAlign w:val="bottom"/>
            <w:tcBorders>
              <w:bottom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0.2</w:t>
            </w:r>
          </w:p>
        </w:tc>
      </w:tr>
      <w:tr>
        <w:trPr>
          <w:trHeight w:val="275"/>
        </w:trPr>
        <w:tc>
          <w:tcPr>
            <w:tcW w:w="7600" w:type="dxa"/>
            <w:vAlign w:val="bottom"/>
            <w:tcBorders>
              <w:left w:val="single" w:sz="8" w:color="auto"/>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bottom w:val="single" w:sz="8" w:color="CCEEFF"/>
              <w:right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76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40" w:type="dxa"/>
            <w:vAlign w:val="bottom"/>
            <w:tcBorders>
              <w:top w:val="single" w:sz="8" w:color="auto"/>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type w:val="continuous"/>
        </w:sectPr>
      </w:pPr>
    </w:p>
    <w:bookmarkStart w:id="37" w:name="page38"/>
    <w:bookmarkEnd w:id="3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income from operations, Adjusted net income and Adjusted diluted earnings per share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64"/>
        </w:trPr>
        <w:tc>
          <w:tcPr>
            <w:tcW w:w="8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6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22"/>
                <w:szCs w:val="22"/>
                <w:color w:val="auto"/>
              </w:rPr>
            </w:pPr>
          </w:p>
        </w:tc>
        <w:tc>
          <w:tcPr>
            <w:tcW w:w="130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APRIL 1, 2018</w:t>
            </w:r>
          </w:p>
        </w:tc>
        <w:tc>
          <w:tcPr>
            <w:tcW w:w="0" w:type="dxa"/>
            <w:vAlign w:val="bottom"/>
          </w:tcPr>
          <w:p>
            <w:pPr>
              <w:spacing w:after="0"/>
              <w:rPr>
                <w:sz w:val="1"/>
                <w:szCs w:val="1"/>
                <w:color w:val="auto"/>
              </w:rPr>
            </w:pPr>
          </w:p>
        </w:tc>
      </w:tr>
      <w:tr>
        <w:trPr>
          <w:trHeight w:val="237"/>
        </w:trPr>
        <w:tc>
          <w:tcPr>
            <w:tcW w:w="8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82,494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78,371</w:t>
            </w:r>
          </w:p>
        </w:tc>
        <w:tc>
          <w:tcPr>
            <w:tcW w:w="0" w:type="dxa"/>
            <w:vAlign w:val="bottom"/>
          </w:tcPr>
          <w:p>
            <w:pPr>
              <w:spacing w:after="0"/>
              <w:rPr>
                <w:sz w:val="1"/>
                <w:szCs w:val="1"/>
                <w:color w:val="auto"/>
              </w:rPr>
            </w:pPr>
          </w:p>
        </w:tc>
      </w:tr>
      <w:tr>
        <w:trPr>
          <w:trHeight w:val="237"/>
        </w:trPr>
        <w:tc>
          <w:tcPr>
            <w:tcW w:w="828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Operating income margin</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33"/>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Severance (1)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2,855</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965</w:t>
            </w:r>
          </w:p>
        </w:tc>
        <w:tc>
          <w:tcPr>
            <w:tcW w:w="0" w:type="dxa"/>
            <w:vAlign w:val="bottom"/>
          </w:tcPr>
          <w:p>
            <w:pPr>
              <w:spacing w:after="0"/>
              <w:rPr>
                <w:sz w:val="1"/>
                <w:szCs w:val="1"/>
                <w:color w:val="auto"/>
              </w:rPr>
            </w:pPr>
          </w:p>
        </w:tc>
      </w:tr>
      <w:tr>
        <w:trPr>
          <w:trHeight w:val="33"/>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Restaurant and asset impairments and closing costs (2)</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1,295</w:t>
            </w:r>
          </w:p>
        </w:tc>
        <w:tc>
          <w:tcPr>
            <w:tcW w:w="0" w:type="dxa"/>
            <w:vAlign w:val="bottom"/>
          </w:tcPr>
          <w:p>
            <w:pPr>
              <w:spacing w:after="0"/>
              <w:rPr>
                <w:sz w:val="1"/>
                <w:szCs w:val="1"/>
                <w:color w:val="auto"/>
              </w:rPr>
            </w:pPr>
          </w:p>
        </w:tc>
      </w:tr>
      <w:tr>
        <w:trPr>
          <w:trHeight w:val="237"/>
        </w:trPr>
        <w:tc>
          <w:tcPr>
            <w:tcW w:w="8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Restaurant relocations and related costs (3)</w:t>
            </w:r>
          </w:p>
        </w:tc>
        <w:tc>
          <w:tcPr>
            <w:tcW w:w="160" w:type="dxa"/>
            <w:vAlign w:val="bottom"/>
          </w:tcPr>
          <w:p>
            <w:pPr>
              <w:spacing w:after="0"/>
              <w:rPr>
                <w:sz w:val="20"/>
                <w:szCs w:val="20"/>
                <w:color w:val="auto"/>
              </w:rPr>
            </w:pP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1,032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1,725</w:t>
            </w:r>
          </w:p>
        </w:tc>
        <w:tc>
          <w:tcPr>
            <w:tcW w:w="0" w:type="dxa"/>
            <w:vAlign w:val="bottom"/>
          </w:tcPr>
          <w:p>
            <w:pPr>
              <w:spacing w:after="0"/>
              <w:rPr>
                <w:sz w:val="1"/>
                <w:szCs w:val="1"/>
                <w:color w:val="auto"/>
              </w:rPr>
            </w:pPr>
          </w:p>
        </w:tc>
      </w:tr>
      <w:tr>
        <w:trPr>
          <w:trHeight w:val="33"/>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Legal and contingent matters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264"/>
        </w:trPr>
        <w:tc>
          <w:tcPr>
            <w:tcW w:w="82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Total income from operations adjustments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6,018</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4,455</w:t>
            </w:r>
          </w:p>
        </w:tc>
        <w:tc>
          <w:tcPr>
            <w:tcW w:w="0" w:type="dxa"/>
            <w:vAlign w:val="bottom"/>
          </w:tcPr>
          <w:p>
            <w:pPr>
              <w:spacing w:after="0"/>
              <w:rPr>
                <w:sz w:val="1"/>
                <w:szCs w:val="1"/>
                <w:color w:val="auto"/>
              </w:rPr>
            </w:pPr>
          </w:p>
        </w:tc>
      </w:tr>
      <w:tr>
        <w:trPr>
          <w:trHeight w:val="264"/>
        </w:trPr>
        <w:tc>
          <w:tcPr>
            <w:tcW w:w="8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income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88,512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82,826</w:t>
            </w:r>
          </w:p>
        </w:tc>
        <w:tc>
          <w:tcPr>
            <w:tcW w:w="0" w:type="dxa"/>
            <w:vAlign w:val="bottom"/>
          </w:tcPr>
          <w:p>
            <w:pPr>
              <w:spacing w:after="0"/>
              <w:rPr>
                <w:sz w:val="1"/>
                <w:szCs w:val="1"/>
                <w:color w:val="auto"/>
              </w:rPr>
            </w:pPr>
          </w:p>
        </w:tc>
      </w:tr>
      <w:tr>
        <w:trPr>
          <w:trHeight w:val="217"/>
        </w:trPr>
        <w:tc>
          <w:tcPr>
            <w:tcW w:w="828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Adjusted operating income margin</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33"/>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attributable to Bloomin’ Brands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64,300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65,398</w:t>
            </w:r>
          </w:p>
        </w:tc>
        <w:tc>
          <w:tcPr>
            <w:tcW w:w="0" w:type="dxa"/>
            <w:vAlign w:val="bottom"/>
          </w:tcPr>
          <w:p>
            <w:pPr>
              <w:spacing w:after="0"/>
              <w:rPr>
                <w:sz w:val="1"/>
                <w:szCs w:val="1"/>
                <w:color w:val="auto"/>
              </w:rPr>
            </w:pPr>
          </w:p>
        </w:tc>
      </w:tr>
      <w:tr>
        <w:trPr>
          <w:trHeight w:val="33"/>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Income from operations adjustments</w:t>
            </w: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6,018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4,455</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adjustments,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4,455</w:t>
            </w:r>
          </w:p>
        </w:tc>
        <w:tc>
          <w:tcPr>
            <w:tcW w:w="0" w:type="dxa"/>
            <w:vAlign w:val="bottom"/>
          </w:tcPr>
          <w:p>
            <w:pPr>
              <w:spacing w:after="0"/>
              <w:rPr>
                <w:sz w:val="1"/>
                <w:szCs w:val="1"/>
                <w:color w:val="auto"/>
              </w:rPr>
            </w:pPr>
          </w:p>
        </w:tc>
      </w:tr>
      <w:tr>
        <w:trPr>
          <w:trHeight w:val="270"/>
        </w:trPr>
        <w:tc>
          <w:tcPr>
            <w:tcW w:w="8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Adjustment to provision for income taxes (4)</w:t>
            </w: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(1,681)</w:t>
            </w:r>
          </w:p>
        </w:tc>
        <w:tc>
          <w:tcPr>
            <w:tcW w:w="0" w:type="dxa"/>
            <w:vAlign w:val="bottom"/>
          </w:tcPr>
          <w:p>
            <w:pPr>
              <w:spacing w:after="0"/>
              <w:rPr>
                <w:sz w:val="1"/>
                <w:szCs w:val="1"/>
                <w:color w:val="auto"/>
              </w:rPr>
            </w:pPr>
          </w:p>
        </w:tc>
      </w:tr>
      <w:tr>
        <w:trPr>
          <w:trHeight w:val="257"/>
        </w:trPr>
        <w:tc>
          <w:tcPr>
            <w:tcW w:w="8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adjustments</w:t>
            </w: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2,774</w:t>
            </w:r>
          </w:p>
        </w:tc>
        <w:tc>
          <w:tcPr>
            <w:tcW w:w="0" w:type="dxa"/>
            <w:vAlign w:val="bottom"/>
          </w:tcPr>
          <w:p>
            <w:pPr>
              <w:spacing w:after="0"/>
              <w:rPr>
                <w:sz w:val="1"/>
                <w:szCs w:val="1"/>
                <w:color w:val="auto"/>
              </w:rPr>
            </w:pPr>
          </w:p>
        </w:tc>
      </w:tr>
      <w:tr>
        <w:trPr>
          <w:trHeight w:val="290"/>
        </w:trPr>
        <w:tc>
          <w:tcPr>
            <w:tcW w:w="82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Adjusted 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69,499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68,172</w:t>
            </w:r>
          </w:p>
        </w:tc>
        <w:tc>
          <w:tcPr>
            <w:tcW w:w="0" w:type="dxa"/>
            <w:vAlign w:val="bottom"/>
          </w:tcPr>
          <w:p>
            <w:pPr>
              <w:spacing w:after="0"/>
              <w:rPr>
                <w:sz w:val="1"/>
                <w:szCs w:val="1"/>
                <w:color w:val="auto"/>
              </w:rPr>
            </w:pPr>
          </w:p>
        </w:tc>
      </w:tr>
      <w:tr>
        <w:trPr>
          <w:trHeight w:val="284"/>
        </w:trPr>
        <w:tc>
          <w:tcPr>
            <w:tcW w:w="8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2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0.69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0.68</w:t>
            </w: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0.71</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92,661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95,782</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severance expense incurred as a result of restructuring activities.</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asset impairment charges and related costs primarily associated with approved closure initiatives.</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asset impairment charges and accelerated depreciation incurred in connection with our relocation program.</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income tax effect of the adjustments for the periods presented.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LIQUIDITY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liquidity sources consist of cash flow from our operations, cash and cash equivalents and credit capacity under our credit facilities. We expect to use cash primarily for general operating expenses, share repurchases and dividend payments, principal and interest payments on our debt, remodeling or relocating older restaurants, obligations related to our deferred compensation plans and investments in technology.</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believe that our expected liquidity sources are adequate to fund debt service requirements, lease obligations, capital expenditures and working capital obligations for at least the next 12 months following this filing and beyond. However, our ability to continue to meet these requirements and obligations will depend on, among other things, our ability to achieve anticipated levels of revenue and cash flow and our ability to manage costs and working capital successfully.</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Cash and Cash Equivalents </w:t>
      </w:r>
      <w:r>
        <w:rPr>
          <w:rFonts w:ascii="Times New Roman" w:cs="Times New Roman" w:eastAsia="Times New Roman" w:hAnsi="Times New Roman"/>
          <w:sz w:val="20"/>
          <w:szCs w:val="20"/>
          <w:color w:val="auto"/>
        </w:rPr>
        <w:t>- As of March 31, 2019, we had $82.8 million in cash and cash equivalents, of which $26.3 million was held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foreign affiliates. The international jurisdictions in which we have significant cash do not have any known restrictions that would prohibit repatriation.</w:t>
      </w:r>
    </w:p>
    <w:p>
      <w:pPr>
        <w:sectPr>
          <w:pgSz w:w="11900" w:h="16838" w:orient="portrait"/>
          <w:cols w:equalWidth="0" w:num="1">
            <w:col w:w="11420"/>
          </w:cols>
          <w:pgMar w:left="240" w:top="118"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8" w:right="239" w:bottom="1440" w:gutter="0" w:footer="0" w:header="0"/>
          <w:type w:val="continuous"/>
        </w:sectPr>
      </w:pPr>
    </w:p>
    <w:bookmarkStart w:id="38" w:name="page39"/>
    <w:bookmarkEnd w:id="3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March 31, 2019, we had aggregate accumulated foreign earnings of approximately $94.4 million. This amount consisted primarily of historical earnings from 2017 and prior that were previously taxed in the U.S. under the Tax Act and post-2017 foreign earnings, which we may repatriate to the U.S. without additional U.S. federal income tax. These amounts are no longer considered indefinitely reinvested in our foreign subsidiaries.</w:t>
      </w:r>
    </w:p>
    <w:p>
      <w:pPr>
        <w:spacing w:after="0" w:line="19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Closure Initiatives </w:t>
      </w:r>
      <w:r>
        <w:rPr>
          <w:rFonts w:ascii="Times New Roman" w:cs="Times New Roman" w:eastAsia="Times New Roman" w:hAnsi="Times New Roman"/>
          <w:sz w:val="20"/>
          <w:szCs w:val="20"/>
          <w:color w:val="auto"/>
        </w:rPr>
        <w:t>- Total aggregate future undiscounted cash expenditures of $13.6 million to $16.6 million for certain closure initiatives,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related to lease liabilities, are expected to occur over the remaining lease terms with the final term ending in January 2029.</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Capital Expenditures </w:t>
      </w:r>
      <w:r>
        <w:rPr>
          <w:rFonts w:ascii="Times New Roman" w:cs="Times New Roman" w:eastAsia="Times New Roman" w:hAnsi="Times New Roman"/>
          <w:sz w:val="20"/>
          <w:szCs w:val="20"/>
          <w:color w:val="auto"/>
        </w:rPr>
        <w:t>- We estimate that our capital expenditures will total approximately $175.0 million to $200.0 million in 2019. The amount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actual capital expenditures may be affected by general economic, financial, competitive, legislative and regulatory factors, among other things, including restrictions imposed by our borrowing arrangements.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Credit Facilities </w:t>
      </w:r>
      <w:r>
        <w:rPr>
          <w:rFonts w:ascii="Times New Roman" w:cs="Times New Roman" w:eastAsia="Times New Roman" w:hAnsi="Times New Roman"/>
          <w:sz w:val="20"/>
          <w:szCs w:val="20"/>
          <w:color w:val="auto"/>
        </w:rPr>
        <w:t>- As of March 31, 2019, we had $1.1 billion of outstanding borrowings under our Senior Secured Credit Facility. We continue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evaluate whether we will make further payments of our outstanding debt ahead of scheduled maturities. Following is a summary of our outstanding credit facilities as of the dates indicated and principal payments and debt issuance during the period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SENIOR SECURED CREDIT FACILITY</w:t>
            </w:r>
          </w:p>
        </w:tc>
        <w:tc>
          <w:tcPr>
            <w:tcW w:w="124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TOTAL CREDIT</w:t>
            </w:r>
          </w:p>
        </w:tc>
        <w:tc>
          <w:tcPr>
            <w:tcW w:w="0" w:type="dxa"/>
            <w:vAlign w:val="bottom"/>
          </w:tcPr>
          <w:p>
            <w:pPr>
              <w:spacing w:after="0"/>
              <w:rPr>
                <w:sz w:val="1"/>
                <w:szCs w:val="1"/>
                <w:color w:val="auto"/>
              </w:rPr>
            </w:pPr>
          </w:p>
        </w:tc>
      </w:tr>
      <w:tr>
        <w:trPr>
          <w:trHeight w:val="56"/>
        </w:trPr>
        <w:tc>
          <w:tcPr>
            <w:tcW w:w="648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TERM LOAN A</w:t>
            </w: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REVOLVING FACILITY</w:t>
            </w:r>
          </w:p>
        </w:tc>
        <w:tc>
          <w:tcPr>
            <w:tcW w:w="160" w:type="dxa"/>
            <w:vAlign w:val="bottom"/>
          </w:tcPr>
          <w:p>
            <w:pPr>
              <w:spacing w:after="0"/>
              <w:rPr>
                <w:sz w:val="18"/>
                <w:szCs w:val="18"/>
                <w:color w:val="auto"/>
              </w:rPr>
            </w:pP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0" w:type="dxa"/>
            <w:vAlign w:val="bottom"/>
          </w:tcPr>
          <w:p>
            <w:pPr>
              <w:spacing w:after="0"/>
              <w:rPr>
                <w:sz w:val="1"/>
                <w:szCs w:val="1"/>
                <w:color w:val="auto"/>
              </w:rPr>
            </w:pPr>
          </w:p>
        </w:tc>
      </w:tr>
      <w:tr>
        <w:trPr>
          <w:trHeight w:val="237"/>
        </w:trPr>
        <w:tc>
          <w:tcPr>
            <w:tcW w:w="6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December 30, 2018</w:t>
            </w: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475,000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599,500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1,074,500</w:t>
            </w:r>
          </w:p>
        </w:tc>
        <w:tc>
          <w:tcPr>
            <w:tcW w:w="0" w:type="dxa"/>
            <w:vAlign w:val="bottom"/>
          </w:tcPr>
          <w:p>
            <w:pPr>
              <w:spacing w:after="0"/>
              <w:rPr>
                <w:sz w:val="1"/>
                <w:szCs w:val="1"/>
                <w:color w:val="auto"/>
              </w:rPr>
            </w:pPr>
          </w:p>
        </w:tc>
      </w:tr>
      <w:tr>
        <w:trPr>
          <w:trHeight w:val="237"/>
        </w:trPr>
        <w:tc>
          <w:tcPr>
            <w:tcW w:w="6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2019 new debt</w:t>
            </w:r>
          </w:p>
        </w:tc>
        <w:tc>
          <w:tcPr>
            <w:tcW w:w="24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148,200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148,200</w:t>
            </w:r>
          </w:p>
        </w:tc>
        <w:tc>
          <w:tcPr>
            <w:tcW w:w="0" w:type="dxa"/>
            <w:vAlign w:val="bottom"/>
          </w:tcPr>
          <w:p>
            <w:pPr>
              <w:spacing w:after="0"/>
              <w:rPr>
                <w:sz w:val="1"/>
                <w:szCs w:val="1"/>
                <w:color w:val="auto"/>
              </w:rPr>
            </w:pPr>
          </w:p>
        </w:tc>
      </w:tr>
      <w:tr>
        <w:trPr>
          <w:trHeight w:val="33"/>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 payments</w:t>
            </w:r>
          </w:p>
        </w:tc>
        <w:tc>
          <w:tcPr>
            <w:tcW w:w="2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(152,300)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(158,550)</w:t>
            </w:r>
          </w:p>
        </w:tc>
        <w:tc>
          <w:tcPr>
            <w:tcW w:w="0" w:type="dxa"/>
            <w:vAlign w:val="bottom"/>
          </w:tcPr>
          <w:p>
            <w:pPr>
              <w:spacing w:after="0"/>
              <w:rPr>
                <w:sz w:val="1"/>
                <w:szCs w:val="1"/>
                <w:color w:val="auto"/>
              </w:rPr>
            </w:pPr>
          </w:p>
        </w:tc>
      </w:tr>
      <w:tr>
        <w:trPr>
          <w:trHeight w:val="290"/>
        </w:trPr>
        <w:tc>
          <w:tcPr>
            <w:tcW w:w="64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Balance as of March 31, 2019</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468,750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595,400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1,064,150</w:t>
            </w:r>
          </w:p>
        </w:tc>
        <w:tc>
          <w:tcPr>
            <w:tcW w:w="0" w:type="dxa"/>
            <w:vAlign w:val="bottom"/>
          </w:tcPr>
          <w:p>
            <w:pPr>
              <w:spacing w:after="0"/>
              <w:rPr>
                <w:sz w:val="1"/>
                <w:szCs w:val="1"/>
                <w:color w:val="auto"/>
              </w:rPr>
            </w:pPr>
          </w:p>
        </w:tc>
      </w:tr>
      <w:tr>
        <w:trPr>
          <w:trHeight w:val="311"/>
        </w:trPr>
        <w:tc>
          <w:tcPr>
            <w:tcW w:w="64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Weighted-average interest rate, as of March 31, 2019</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Principal maturity date</w:t>
            </w:r>
          </w:p>
        </w:tc>
        <w:tc>
          <w:tcPr>
            <w:tcW w:w="24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November 2022</w:t>
            </w:r>
          </w:p>
        </w:tc>
        <w:tc>
          <w:tcPr>
            <w:tcW w:w="3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November 2022</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Credit Agreement </w:t>
      </w:r>
      <w:r>
        <w:rPr>
          <w:rFonts w:ascii="Times New Roman" w:cs="Times New Roman" w:eastAsia="Times New Roman" w:hAnsi="Times New Roman"/>
          <w:sz w:val="20"/>
          <w:szCs w:val="20"/>
          <w:color w:val="auto"/>
        </w:rPr>
        <w:t>- As of March 31, 2019, we had $382.6 million in available unused borrowing capacity under our revolving credit facility, net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letters of credit of $22.0 million.</w:t>
      </w:r>
    </w:p>
    <w:p>
      <w:pPr>
        <w:spacing w:after="0" w:line="1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Our Credit Agreement contains term loan mandatory prepayment requirements of 50% of our annual excess cash flow, as defined in the Credit Agreement. The amount outstanding required to be prepaid may vary based on our leverage ratio and year end results. Other than the annual required minimum amortization premiums of $25.0 million, we do not anticipate any other payments will be required through March 29, 2020.</w:t>
      </w:r>
    </w:p>
    <w:p>
      <w:pPr>
        <w:spacing w:after="0" w:line="15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Debt Covenants </w:t>
      </w:r>
      <w:r>
        <w:rPr>
          <w:rFonts w:ascii="Times New Roman" w:cs="Times New Roman" w:eastAsia="Times New Roman" w:hAnsi="Times New Roman"/>
          <w:sz w:val="20"/>
          <w:szCs w:val="20"/>
          <w:color w:val="auto"/>
        </w:rPr>
        <w:t>- Our Credit Agreement contains various financial and non-financial covenants. A violation of these covenants could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negatively impact our liquidity by restricting our ability to borrow under the revolving credit facility and cause an acceleration of the amounts due under the credit facilities. See Note 13 - </w:t>
      </w:r>
      <w:r>
        <w:rPr>
          <w:rFonts w:ascii="Times New Roman" w:cs="Times New Roman" w:eastAsia="Times New Roman" w:hAnsi="Times New Roman"/>
          <w:sz w:val="20"/>
          <w:szCs w:val="20"/>
          <w:i w:val="1"/>
          <w:iCs w:val="1"/>
          <w:color w:val="auto"/>
        </w:rPr>
        <w:t>Long-term Debt, Net</w:t>
      </w:r>
      <w:r>
        <w:rPr>
          <w:rFonts w:ascii="Times New Roman" w:cs="Times New Roman" w:eastAsia="Times New Roman" w:hAnsi="Times New Roman"/>
          <w:sz w:val="20"/>
          <w:szCs w:val="20"/>
          <w:color w:val="auto"/>
        </w:rPr>
        <w:t xml:space="preserve"> in our Annual Report on Form 10-K for the year ended December 30, 2018 for further information.</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March 31, 2019 and December 30, 2018, we were in compliance with our debt covenants. We believe that we will remain in compliance with our debt covenants during the next 12 months and beyond.</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Cash Flow Hedges of Interest Rate Risk - </w:t>
      </w:r>
      <w:r>
        <w:rPr>
          <w:rFonts w:ascii="Times New Roman" w:cs="Times New Roman" w:eastAsia="Times New Roman" w:hAnsi="Times New Roman"/>
          <w:sz w:val="20"/>
          <w:szCs w:val="20"/>
          <w:color w:val="252525"/>
        </w:rPr>
        <w:t>We have variable-to-fixed interest rate swap agreements with eight counterparties to hedge a portion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252525"/>
        </w:rPr>
        <w:t>of the cash flows of our variable rate debt. The 2014 Swap Agreements have an aggregate notional amount of $400.0 million and mature on May 16, 2019. We pay a weighted-average fixed rate of 2.02% on the $400.0 million notional amount and receive payments from the counterparty based on the 30-day LIBOR rate.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In 2018, we entered into variable-to-fixed interest rate swap agreements with </w:t>
      </w:r>
      <w:r>
        <w:rPr>
          <w:rFonts w:ascii="Times New Roman" w:cs="Times New Roman" w:eastAsia="Times New Roman" w:hAnsi="Times New Roman"/>
          <w:sz w:val="19"/>
          <w:szCs w:val="19"/>
          <w:color w:val="252525"/>
        </w:rPr>
        <w:t>12 counterparties to hedge a portion of the cash flows of our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252525"/>
        </w:rPr>
        <w:t xml:space="preserve">variable rate debt. The 2018 Swap Agreements have an aggregate notional amount of $550.0 million, a forward start date of May 16, 2019 (the maturity date of the 2014 Swap Agreements) and mature on November 30, 2022. Under the terms of the 2018 Swap Agreements, we will pay a weighted-average fixed rate of 3.04% on the notional amount and receive payments from the counterparty based on the </w:t>
      </w:r>
      <w:r>
        <w:rPr>
          <w:rFonts w:ascii="Times New Roman" w:cs="Times New Roman" w:eastAsia="Times New Roman" w:hAnsi="Times New Roman"/>
          <w:sz w:val="19"/>
          <w:szCs w:val="19"/>
          <w:color w:val="000000"/>
        </w:rPr>
        <w:t>one-month LIBOR</w:t>
      </w:r>
      <w:r>
        <w:rPr>
          <w:rFonts w:ascii="Times New Roman" w:cs="Times New Roman" w:eastAsia="Times New Roman" w:hAnsi="Times New Roman"/>
          <w:sz w:val="19"/>
          <w:szCs w:val="19"/>
          <w:color w:val="252525"/>
        </w:rPr>
        <w:t xml:space="preserve"> rate. See Note </w:t>
      </w:r>
      <w:r>
        <w:rPr>
          <w:rFonts w:ascii="Times New Roman" w:cs="Times New Roman" w:eastAsia="Times New Roman" w:hAnsi="Times New Roman"/>
          <w:sz w:val="19"/>
          <w:szCs w:val="19"/>
          <w:color w:val="000000"/>
        </w:rPr>
        <w:t>12 -</w:t>
      </w:r>
      <w:r>
        <w:rPr>
          <w:rFonts w:ascii="Times New Roman" w:cs="Times New Roman" w:eastAsia="Times New Roman" w:hAnsi="Times New Roman"/>
          <w:sz w:val="19"/>
          <w:szCs w:val="19"/>
          <w:color w:val="252525"/>
        </w:rPr>
        <w:t xml:space="preserve"> </w:t>
      </w:r>
      <w:r>
        <w:rPr>
          <w:rFonts w:ascii="Times New Roman" w:cs="Times New Roman" w:eastAsia="Times New Roman" w:hAnsi="Times New Roman"/>
          <w:sz w:val="19"/>
          <w:szCs w:val="19"/>
          <w:i w:val="1"/>
          <w:iCs w:val="1"/>
          <w:color w:val="000000"/>
        </w:rPr>
        <w:t>Derivative Instruments and Hedging Activities</w:t>
      </w:r>
      <w:r>
        <w:rPr>
          <w:rFonts w:ascii="Times New Roman" w:cs="Times New Roman" w:eastAsia="Times New Roman" w:hAnsi="Times New Roman"/>
          <w:sz w:val="19"/>
          <w:szCs w:val="19"/>
          <w:color w:val="252525"/>
        </w:rPr>
        <w:t xml:space="preserve"> </w:t>
      </w:r>
      <w:r>
        <w:rPr>
          <w:rFonts w:ascii="Times New Roman" w:cs="Times New Roman" w:eastAsia="Times New Roman" w:hAnsi="Times New Roman"/>
          <w:sz w:val="19"/>
          <w:szCs w:val="19"/>
          <w:color w:val="000000"/>
        </w:rPr>
        <w:t>of the Notes to Consolidated Financial Statements for further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SUMMARY OF CASH FLOWS</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a summary of our cash flows provided by (used in) operating, investing and financing activities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64"/>
        </w:trPr>
        <w:tc>
          <w:tcPr>
            <w:tcW w:w="8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22"/>
                <w:szCs w:val="22"/>
                <w:color w:val="auto"/>
              </w:rPr>
            </w:pPr>
          </w:p>
        </w:tc>
        <w:tc>
          <w:tcPr>
            <w:tcW w:w="13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APRIL 1, 2018</w:t>
            </w:r>
          </w:p>
        </w:tc>
      </w:tr>
      <w:tr>
        <w:trPr>
          <w:trHeight w:val="237"/>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Net cash provided by operating activities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83,883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51,535</w:t>
            </w:r>
          </w:p>
        </w:tc>
      </w:tr>
      <w:tr>
        <w:trPr>
          <w:trHeight w:val="237"/>
        </w:trPr>
        <w:tc>
          <w:tcPr>
            <w:tcW w:w="8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0" w:type="dxa"/>
            <w:vAlign w:val="bottom"/>
          </w:tcPr>
          <w:p>
            <w:pPr>
              <w:spacing w:after="0"/>
              <w:rPr>
                <w:sz w:val="20"/>
                <w:szCs w:val="20"/>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(46,210)</w:t>
            </w:r>
          </w:p>
        </w:tc>
      </w:tr>
      <w:tr>
        <w:trPr>
          <w:trHeight w:val="33"/>
        </w:trPr>
        <w:tc>
          <w:tcPr>
            <w:tcW w:w="8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Net cash used in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(31,379)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(29,082)</w:t>
            </w:r>
          </w:p>
        </w:tc>
      </w:tr>
      <w:tr>
        <w:trPr>
          <w:trHeight w:val="270"/>
        </w:trPr>
        <w:tc>
          <w:tcPr>
            <w:tcW w:w="8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10,943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(23,703)</w:t>
            </w:r>
          </w:p>
        </w:tc>
      </w:tr>
      <w:tr>
        <w:trPr>
          <w:trHeight w:val="20"/>
        </w:trPr>
        <w:tc>
          <w:tcPr>
            <w:tcW w:w="8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Operating activities </w:t>
      </w:r>
      <w:r>
        <w:rPr>
          <w:rFonts w:ascii="Times New Roman" w:cs="Times New Roman" w:eastAsia="Times New Roman" w:hAnsi="Times New Roman"/>
          <w:sz w:val="20"/>
          <w:szCs w:val="20"/>
          <w:color w:val="auto"/>
        </w:rPr>
        <w:t>- Net cash provided by operating activities increased during the thirteen weeks ended March 31, 2019, as compared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thirteen weeks ended April 1, 2018 primarily due to the timing of collections of receivables and the timing of payments, partially offset by higher interest and income tax payments.</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Investing activities - </w:t>
      </w:r>
      <w:r>
        <w:rPr>
          <w:rFonts w:ascii="Times New Roman" w:cs="Times New Roman" w:eastAsia="Times New Roman" w:hAnsi="Times New Roman"/>
          <w:sz w:val="20"/>
          <w:szCs w:val="20"/>
          <w:color w:val="auto"/>
        </w:rPr>
        <w:t>Net cash used in investing activities for the thirteen weeks ended March 31, 2019 and April 1, 2018 primarily consisted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capital expenditures.</w:t>
      </w:r>
    </w:p>
    <w:p>
      <w:pPr>
        <w:spacing w:after="0" w:line="16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i w:val="1"/>
          <w:iCs w:val="1"/>
          <w:color w:val="auto"/>
        </w:rPr>
        <w:t xml:space="preserve">Financing activities - </w:t>
      </w:r>
      <w:r>
        <w:rPr>
          <w:rFonts w:ascii="Times New Roman" w:cs="Times New Roman" w:eastAsia="Times New Roman" w:hAnsi="Times New Roman"/>
          <w:sz w:val="19"/>
          <w:szCs w:val="19"/>
          <w:color w:val="auto"/>
        </w:rPr>
        <w:t>Net cash used in financing activities for the thirteen weeks ended March 31, 2019 was primarily due to the following: (i)</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payment of cash dividends on our common stock, (ii) the repayment of long-term debt, (iii) repayments of partner deposits and accrued partner obligations, (iv) repayments of our revolving credit facility, net of drawdowns and (v) tax payments related to share-based compensation.</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Net cash used in financing activities for the thirteen weeks ended April 1, 2018 was primarily due to the following: (i) the repurchase of common stock, (ii) payment of cash dividends on our common stock, (iii) repayment of long-term debt and (iv) repayments of partner deposits and accrued partner obligations. Net cash used in financing activities was partially offset by drawdowns on our revolving credit facility, net of repayments, and proceeds from the exercise of stock options.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our current assets, current liabilities and working capital (deficit):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18"/>
                <w:szCs w:val="18"/>
                <w:color w:val="auto"/>
              </w:rPr>
            </w:pPr>
          </w:p>
        </w:tc>
        <w:tc>
          <w:tcPr>
            <w:tcW w:w="182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DECEMBER 30, 2018</w:t>
            </w:r>
          </w:p>
        </w:tc>
        <w:tc>
          <w:tcPr>
            <w:tcW w:w="0" w:type="dxa"/>
            <w:vAlign w:val="bottom"/>
          </w:tcPr>
          <w:p>
            <w:pPr>
              <w:spacing w:after="0"/>
              <w:rPr>
                <w:sz w:val="1"/>
                <w:szCs w:val="1"/>
                <w:color w:val="auto"/>
              </w:rPr>
            </w:pPr>
          </w:p>
        </w:tc>
      </w:tr>
      <w:tr>
        <w:trPr>
          <w:trHeight w:val="237"/>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249,824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335,483</w:t>
            </w: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821,975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791,039</w:t>
            </w: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Working capital (deficit) (1)</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(572,151)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(455,556)</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3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20" w:hanging="652"/>
        <w:spacing w:after="0" w:line="257"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 in net working capital (deficit) during the thirteen weeks ended March 31, 2019 is primarily due to current lease liabilities recognized as a result of the adoption of ASU No. 2016-02.</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Working capital (deficit) includes: (i) Unearned revenue primarily from unredeemed gift cards of $250.7 million and $342.7 million as of March 31, 2019 and December 30, 2018, respectively, and (ii) current operating lease liabilities of $170.0 million as of March 31, 2019, with the corresponding operating right-of-use assets recorded as non-current on the Company’s Balance Sheet. 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used to service debt obligations and to make capital expenditures.</w:t>
      </w:r>
    </w:p>
    <w:p>
      <w:pPr>
        <w:spacing w:after="0" w:line="19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Deferred Compensation Programs - </w:t>
      </w:r>
      <w:r>
        <w:rPr>
          <w:rFonts w:ascii="Times New Roman" w:cs="Times New Roman" w:eastAsia="Times New Roman" w:hAnsi="Times New Roman"/>
          <w:sz w:val="20"/>
          <w:szCs w:val="20"/>
          <w:color w:val="auto"/>
        </w:rPr>
        <w:t>The deferred compensation obligation due to managing and chef partners was $61.2 million and $69.6</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as of March 31, 2019 and December 30, 2018, respectively. We invest in various corporate-owned life insurance policies, which are held within an irrevocable grantor or “rabbi” trust account for settlement of our obligations under the deferred compensation plans. The rabbi trust is funded through our voluntary contributions. The unfunded obligation for managing and chef partners’ deferred compensation was $16.3 million as of March 31, 2019.</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use capital to fund the deferred compensation plans and currently expect cash funding of $14.0 million to $16.0 million for 2019. Actual funding of the deferred compensation obligations and future funding requirements may vary significantly depending on the actual performance compared to targets, timing of deferred payments of partner contracts, forfeiture rates, number of partner participants, growth of partner investments and our funding strategy.</w:t>
      </w:r>
    </w:p>
    <w:p>
      <w:pPr>
        <w:spacing w:after="0" w:line="1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Other Compensation Programs </w:t>
      </w:r>
      <w:r>
        <w:rPr>
          <w:rFonts w:ascii="Times New Roman" w:cs="Times New Roman" w:eastAsia="Times New Roman" w:hAnsi="Times New Roman"/>
          <w:sz w:val="20"/>
          <w:szCs w:val="20"/>
          <w:color w:val="auto"/>
        </w:rPr>
        <w:t>- Certain U.S. Partners participate in a non-qualified long-term compensation program that we fund as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obligation for each participant becomes due.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DIVIDENDS AND SHARE REPURCHASES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Dividends </w:t>
      </w:r>
      <w:r>
        <w:rPr>
          <w:rFonts w:ascii="Times New Roman" w:cs="Times New Roman" w:eastAsia="Times New Roman" w:hAnsi="Times New Roman"/>
          <w:sz w:val="20"/>
          <w:szCs w:val="20"/>
          <w:color w:val="auto"/>
        </w:rPr>
        <w:t>- In April 2019, the Board declared a quarterly cash dividend of $0.10 per share, payable on May 24, 2019. Future dividend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payments are dependent on our earnings, financial condition, capital expenditure requirements, surplus and other factors that the Board considers relevant.</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Share Repurchases </w:t>
      </w:r>
      <w:r>
        <w:rPr>
          <w:rFonts w:ascii="Times New Roman" w:cs="Times New Roman" w:eastAsia="Times New Roman" w:hAnsi="Times New Roman"/>
          <w:sz w:val="20"/>
          <w:szCs w:val="20"/>
          <w:color w:val="auto"/>
        </w:rPr>
        <w:t>- On February 12, 2019, our Board canceled the remaining $36.0 million of authorization under the 2018 Share Repurchase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Program and approved a new $150.0 million authorization. The 2019 Share Repurchase Program will expire on August 12, 2020. As of March 31, 2019, we had $150.0 million remaining available for repurchase under the 2019 Share Repurchase Program.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our dividends and share repurchases from fiscal year 2015 through March 31, 2019:</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SHARE REPURCHASES</w:t>
            </w:r>
          </w:p>
        </w:tc>
        <w:tc>
          <w:tcPr>
            <w:tcW w:w="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8"/>
                <w:szCs w:val="18"/>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DIVIDENDS PAID</w:t>
            </w:r>
          </w:p>
        </w:tc>
        <w:tc>
          <w:tcPr>
            <w:tcW w:w="460" w:type="dxa"/>
            <w:vAlign w:val="bottom"/>
          </w:tcPr>
          <w:p>
            <w:pPr>
              <w:spacing w:after="0"/>
              <w:rPr>
                <w:sz w:val="18"/>
                <w:szCs w:val="18"/>
                <w:color w:val="auto"/>
              </w:rPr>
            </w:pPr>
          </w:p>
        </w:tc>
        <w:tc>
          <w:tcPr>
            <w:tcW w:w="1340" w:type="dxa"/>
            <w:vAlign w:val="bottom"/>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7"/>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Fiscal year 2015</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29,332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169,999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199,331</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Fiscal year 2016</w:t>
            </w:r>
          </w:p>
        </w:tc>
        <w:tc>
          <w:tcPr>
            <w:tcW w:w="220" w:type="dxa"/>
            <w:vAlign w:val="bottom"/>
          </w:tcPr>
          <w:p>
            <w:pPr>
              <w:spacing w:after="0"/>
              <w:rPr>
                <w:sz w:val="20"/>
                <w:szCs w:val="20"/>
                <w:color w:val="auto"/>
              </w:rPr>
            </w:pPr>
          </w:p>
        </w:tc>
        <w:tc>
          <w:tcPr>
            <w:tcW w:w="16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31,379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309,887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341,266</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Fiscal year 2017</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30,988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272,736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303,724</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Fiscal year 2018</w:t>
            </w:r>
          </w:p>
        </w:tc>
        <w:tc>
          <w:tcPr>
            <w:tcW w:w="220" w:type="dxa"/>
            <w:vAlign w:val="bottom"/>
          </w:tcPr>
          <w:p>
            <w:pPr>
              <w:spacing w:after="0"/>
              <w:rPr>
                <w:sz w:val="20"/>
                <w:szCs w:val="20"/>
                <w:color w:val="auto"/>
              </w:rPr>
            </w:pPr>
          </w:p>
        </w:tc>
        <w:tc>
          <w:tcPr>
            <w:tcW w:w="16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33,312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113,967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147,279</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First fiscal quarter 2019</w:t>
            </w:r>
          </w:p>
        </w:tc>
        <w:tc>
          <w:tcPr>
            <w:tcW w:w="2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9,140</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9,140</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134,151</w:t>
            </w:r>
          </w:p>
        </w:tc>
        <w:tc>
          <w:tcPr>
            <w:tcW w:w="120" w:type="dxa"/>
            <w:vAlign w:val="bottom"/>
            <w:tcBorders>
              <w:top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866,589</w:t>
            </w:r>
          </w:p>
        </w:tc>
        <w:tc>
          <w:tcPr>
            <w:tcW w:w="120" w:type="dxa"/>
            <w:vAlign w:val="bottom"/>
            <w:tcBorders>
              <w:top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1,000,740</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share repurchases for the settlement of taxes related to equity awards of $180, $447, and $770 for fiscal years 2017, 2016 and 2015, respectively.</w:t>
      </w:r>
    </w:p>
    <w:p>
      <w:pPr>
        <w:spacing w:after="0" w:line="200" w:lineRule="exact"/>
        <w:rPr>
          <w:rFonts w:ascii="Times New Roman" w:cs="Times New Roman" w:eastAsia="Times New Roman" w:hAnsi="Times New Roman"/>
          <w:sz w:val="16"/>
          <w:szCs w:val="16"/>
          <w:color w:val="auto"/>
        </w:rPr>
      </w:pPr>
    </w:p>
    <w:p>
      <w:pPr>
        <w:spacing w:after="0" w:line="214" w:lineRule="exact"/>
        <w:rPr>
          <w:rFonts w:ascii="Times New Roman" w:cs="Times New Roman" w:eastAsia="Times New Roman" w:hAnsi="Times New Roman"/>
          <w:sz w:val="16"/>
          <w:szCs w:val="16"/>
          <w:color w:val="auto"/>
        </w:rPr>
      </w:pPr>
    </w:p>
    <w:p>
      <w:pPr>
        <w:ind w:left="5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Financial Accounting Standards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For a description of recently issued Financial Accounting Standards that we adopted during the thirteen weeks ended March 31, 2019 and, that are applicable to us and likely to have material effect on our consolidated financial statements, but have not yet been adopted, see Note 1 - </w:t>
      </w:r>
      <w:r>
        <w:rPr>
          <w:rFonts w:ascii="Times New Roman" w:cs="Times New Roman" w:eastAsia="Times New Roman" w:hAnsi="Times New Roman"/>
          <w:sz w:val="20"/>
          <w:szCs w:val="20"/>
          <w:i w:val="1"/>
          <w:iCs w:val="1"/>
          <w:color w:val="auto"/>
        </w:rPr>
        <w:t xml:space="preserve">Description of the Business and Basis of Presentation </w:t>
      </w:r>
      <w:r>
        <w:rPr>
          <w:rFonts w:ascii="Times New Roman" w:cs="Times New Roman" w:eastAsia="Times New Roman" w:hAnsi="Times New Roman"/>
          <w:sz w:val="20"/>
          <w:szCs w:val="20"/>
          <w:color w:val="auto"/>
        </w:rPr>
        <w:t>of the Notes to the Consolidated Financial Statements of this Quarterly Report on Form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10-Q.</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are exposed to market risk from changes in interest rates, changes in foreign currency exchange rates and changes in commodity prices. We believe that there have been no material changes in our market risk since December 30, 2018, except as set forth below. See Part II, Item 7A., “Quantitative and Qualitative Disclosures about Market Risk,” in our Annual Report on Form 10-K for the year ended December 30, 2018 for further information regarding market risk.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Exchange Rate Risk</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are subject to foreign currency exchange risk for our restaurants operating in foreign countries. Our exposure to foreign currency exchange risk is primarily related to fluctuations in the Brazilian Real relative to the U.S. dollar. Our operations in other markets consist of Company-owned restaurants on a smaller scale than Brazil. If foreign currency exchange rates depreciate in the countries in which we operate, we may experience declines in our operating results. For the thirteen weeks ended March 31, 2019, a 10% change in average foreign currency rates against the U.S. dollar would have increased or decreased our Total revenues and Net income for our consolidated foreign entities by $12.3 million and $1.0 million, respectively. Currently, we do not enter into currency forward exchange or option contracts to hedge foreign currency exposures.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have established and maintain disclosure controls and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of the end of the period covered by this report. Based on that evaluation, the Chief Executive Officer and Chief Financial Officer concluded that our disclosure controls and procedures were effective as of March 31, 2019.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a part of implementation of the new lease standard on December 31, 2018, we assessed and modified our internal controls over financial reporting. There have been no other changes in our internal control over financial reporting during the thirteen weeks ended March 31, 2019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22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For a description of our legal proceedings, see Note 16 - </w:t>
      </w:r>
      <w:r>
        <w:rPr>
          <w:rFonts w:ascii="Times New Roman" w:cs="Times New Roman" w:eastAsia="Times New Roman" w:hAnsi="Times New Roman"/>
          <w:sz w:val="20"/>
          <w:szCs w:val="20"/>
          <w:i w:val="1"/>
          <w:iCs w:val="1"/>
          <w:color w:val="auto"/>
        </w:rPr>
        <w:t>Commitments and Contingencies</w:t>
      </w:r>
      <w:r>
        <w:rPr>
          <w:rFonts w:ascii="Times New Roman" w:cs="Times New Roman" w:eastAsia="Times New Roman" w:hAnsi="Times New Roman"/>
          <w:sz w:val="20"/>
          <w:szCs w:val="20"/>
          <w:color w:val="auto"/>
        </w:rPr>
        <w:t xml:space="preserve"> of the Notes to the Consolidated Financial Statements of this Quarterly Report on Form 10-Q.</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addition to the other information discussed in this report, please consider the factors described in Part I, Item 1A., “Risk Factors” in our 2018 Form 10-K which could materially affect our business, financial condition or future results. There have not been any material changes to the risk factors described in our 2018 Form 10-K, but these are not the only risks facing our Company. Additional risks and uncertainties not currently known to us or that we currently deem to be immaterial also may adversely affect our business, financial condition or operating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sales of equity securities during the first quarter of 2019 that were not registered under the Securities Act of 1933.</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February 12, 2019, the Board of Directors authorized the repurchase of $150.0 million of our outstanding common stock as announced in our press release issued on February 14, 2019 (the “2019 Share Repurchase Program”). The 2019 Share Repurchase Program will expire on August 12, 2020. We did not repurchase any shares of our outstanding common stock during the thirteen weeks ended March 31, 2019.</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60" w:type="dxa"/>
            <w:vAlign w:val="bottom"/>
          </w:tcPr>
          <w:p>
            <w:pPr>
              <w:ind w:left="780"/>
              <w:spacing w:after="0"/>
              <w:rPr>
                <w:sz w:val="20"/>
                <w:szCs w:val="20"/>
                <w:color w:val="auto"/>
              </w:rPr>
            </w:pPr>
            <w:r>
              <w:rPr>
                <w:rFonts w:ascii="Times New Roman" w:cs="Times New Roman" w:eastAsia="Times New Roman" w:hAnsi="Times New Roman"/>
                <w:sz w:val="16"/>
                <w:szCs w:val="16"/>
                <w:b w:val="1"/>
                <w:bCs w:val="1"/>
                <w:color w:val="auto"/>
              </w:rPr>
              <w:t>FILINGS REFERENCED FOR</w:t>
            </w:r>
          </w:p>
        </w:tc>
      </w:tr>
      <w:tr>
        <w:trPr>
          <w:trHeight w:val="212"/>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6340" w:type="dxa"/>
            <w:vAlign w:val="bottom"/>
            <w:gridSpan w:val="12"/>
          </w:tcPr>
          <w:p>
            <w:pPr>
              <w:ind w:left="2000"/>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c>
          <w:tcPr>
            <w:tcW w:w="376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tc>
      </w:tr>
      <w:tr>
        <w:trPr>
          <w:trHeight w:val="40"/>
        </w:trPr>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r>
      <w:tr>
        <w:trPr>
          <w:trHeight w:val="338"/>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tcBorders>
              <w:bottom w:val="single" w:sz="8" w:color="0000FF"/>
            </w:tcBorders>
            <w:gridSpan w:val="10"/>
          </w:tcPr>
          <w:p>
            <w:pPr>
              <w:spacing w:after="0"/>
              <w:rPr>
                <w:rFonts w:ascii="Times New Roman" w:cs="Times New Roman" w:eastAsia="Times New Roman" w:hAnsi="Times New Roman"/>
                <w:sz w:val="20"/>
                <w:szCs w:val="20"/>
                <w:color w:val="0000FF"/>
              </w:rPr>
            </w:pPr>
            <w:hyperlink w:anchor="page47">
              <w:r>
                <w:rPr>
                  <w:rFonts w:ascii="Times New Roman" w:cs="Times New Roman" w:eastAsia="Times New Roman" w:hAnsi="Times New Roman"/>
                  <w:sz w:val="20"/>
                  <w:szCs w:val="20"/>
                  <w:color w:val="0000FF"/>
                </w:rPr>
                <w:t>Employment Offer Letter Agreement, dated as of January 15, 2019, between</w:t>
              </w:r>
            </w:hyperlink>
          </w:p>
        </w:tc>
        <w:tc>
          <w:tcPr>
            <w:tcW w:w="100" w:type="dxa"/>
            <w:vAlign w:val="bottom"/>
            <w:gridSpan w:val="2"/>
          </w:tcPr>
          <w:p>
            <w:pPr>
              <w:spacing w:after="0"/>
              <w:rPr>
                <w:sz w:val="24"/>
                <w:szCs w:val="2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20" w:type="dxa"/>
            <w:vAlign w:val="bottom"/>
            <w:tcBorders>
              <w:bottom w:val="single" w:sz="8" w:color="0000FF"/>
            </w:tcBorders>
            <w:gridSpan w:val="2"/>
          </w:tcPr>
          <w:p>
            <w:pPr>
              <w:spacing w:after="0" w:line="209" w:lineRule="exact"/>
              <w:rPr>
                <w:rFonts w:ascii="Times New Roman" w:cs="Times New Roman" w:eastAsia="Times New Roman" w:hAnsi="Times New Roman"/>
                <w:sz w:val="20"/>
                <w:szCs w:val="20"/>
                <w:color w:val="0000FF"/>
                <w:w w:val="98"/>
              </w:rPr>
            </w:pPr>
            <w:hyperlink w:anchor="page47">
              <w:r>
                <w:rPr>
                  <w:rFonts w:ascii="Times New Roman" w:cs="Times New Roman" w:eastAsia="Times New Roman" w:hAnsi="Times New Roman"/>
                  <w:sz w:val="20"/>
                  <w:szCs w:val="20"/>
                  <w:color w:val="0000FF"/>
                  <w:w w:val="98"/>
                </w:rPr>
                <w:t>Bloomin’ Brands, Inc. and Jeff Carcara</w:t>
              </w:r>
            </w:hyperlink>
          </w:p>
        </w:tc>
        <w:tc>
          <w:tcPr>
            <w:tcW w:w="3220" w:type="dxa"/>
            <w:vAlign w:val="bottom"/>
            <w:gridSpan w:val="10"/>
          </w:tcPr>
          <w:p>
            <w:pPr>
              <w:spacing w:after="0"/>
              <w:rPr>
                <w:sz w:val="18"/>
                <w:szCs w:val="18"/>
                <w:color w:val="auto"/>
              </w:rPr>
            </w:pPr>
          </w:p>
        </w:tc>
        <w:tc>
          <w:tcPr>
            <w:tcW w:w="3760" w:type="dxa"/>
            <w:vAlign w:val="bottom"/>
          </w:tcPr>
          <w:p>
            <w:pPr>
              <w:spacing w:after="0"/>
              <w:rPr>
                <w:sz w:val="18"/>
                <w:szCs w:val="18"/>
                <w:color w:val="auto"/>
              </w:rPr>
            </w:pPr>
          </w:p>
        </w:tc>
      </w:tr>
      <w:tr>
        <w:trPr>
          <w:trHeight w:val="385"/>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tcBorders>
              <w:bottom w:val="single" w:sz="8" w:color="0000FF"/>
            </w:tcBorders>
            <w:gridSpan w:val="10"/>
          </w:tcPr>
          <w:p>
            <w:pPr>
              <w:spacing w:after="0"/>
              <w:rPr>
                <w:rFonts w:ascii="Times New Roman" w:cs="Times New Roman" w:eastAsia="Times New Roman" w:hAnsi="Times New Roman"/>
                <w:sz w:val="20"/>
                <w:szCs w:val="20"/>
                <w:color w:val="0000FF"/>
              </w:rPr>
            </w:pPr>
            <w:hyperlink w:anchor="page54">
              <w:r>
                <w:rPr>
                  <w:rFonts w:ascii="Times New Roman" w:cs="Times New Roman" w:eastAsia="Times New Roman" w:hAnsi="Times New Roman"/>
                  <w:sz w:val="20"/>
                  <w:szCs w:val="20"/>
                  <w:color w:val="0000FF"/>
                </w:rPr>
                <w:t>Second Amended and Restated Employment Agreement, effective April 1,</w:t>
              </w:r>
            </w:hyperlink>
          </w:p>
        </w:tc>
        <w:tc>
          <w:tcPr>
            <w:tcW w:w="100" w:type="dxa"/>
            <w:vAlign w:val="bottom"/>
            <w:gridSpan w:val="2"/>
          </w:tcPr>
          <w:p>
            <w:pPr>
              <w:spacing w:after="0"/>
              <w:rPr>
                <w:sz w:val="24"/>
                <w:szCs w:val="2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tcBorders>
              <w:bottom w:val="single" w:sz="8" w:color="0000FF"/>
            </w:tcBorders>
            <w:gridSpan w:val="5"/>
          </w:tcPr>
          <w:p>
            <w:pPr>
              <w:spacing w:after="0" w:line="209" w:lineRule="exact"/>
              <w:rPr>
                <w:rFonts w:ascii="Times New Roman" w:cs="Times New Roman" w:eastAsia="Times New Roman" w:hAnsi="Times New Roman"/>
                <w:sz w:val="20"/>
                <w:szCs w:val="20"/>
                <w:color w:val="0000FF"/>
                <w:w w:val="98"/>
              </w:rPr>
            </w:pPr>
            <w:hyperlink w:anchor="page54">
              <w:r>
                <w:rPr>
                  <w:rFonts w:ascii="Times New Roman" w:cs="Times New Roman" w:eastAsia="Times New Roman" w:hAnsi="Times New Roman"/>
                  <w:sz w:val="20"/>
                  <w:szCs w:val="20"/>
                  <w:color w:val="0000FF"/>
                  <w:w w:val="98"/>
                </w:rPr>
                <w:t>2019, by and between Elizabeth A. Smith and Bloomin’ Brands, Inc.</w:t>
              </w:r>
            </w:hyperlink>
          </w:p>
        </w:tc>
        <w:tc>
          <w:tcPr>
            <w:tcW w:w="880" w:type="dxa"/>
            <w:vAlign w:val="bottom"/>
            <w:gridSpan w:val="7"/>
          </w:tcPr>
          <w:p>
            <w:pPr>
              <w:spacing w:after="0"/>
              <w:rPr>
                <w:sz w:val="18"/>
                <w:szCs w:val="18"/>
                <w:color w:val="auto"/>
              </w:rPr>
            </w:pPr>
          </w:p>
        </w:tc>
        <w:tc>
          <w:tcPr>
            <w:tcW w:w="3760" w:type="dxa"/>
            <w:vAlign w:val="bottom"/>
          </w:tcPr>
          <w:p>
            <w:pPr>
              <w:spacing w:after="0"/>
              <w:rPr>
                <w:sz w:val="18"/>
                <w:szCs w:val="18"/>
                <w:color w:val="auto"/>
              </w:rPr>
            </w:pPr>
          </w:p>
        </w:tc>
      </w:tr>
      <w:tr>
        <w:trPr>
          <w:trHeight w:val="385"/>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tcBorders>
              <w:bottom w:val="single" w:sz="8" w:color="0000FF"/>
            </w:tcBorders>
            <w:gridSpan w:val="10"/>
          </w:tcPr>
          <w:p>
            <w:pPr>
              <w:spacing w:after="0"/>
              <w:rPr>
                <w:rFonts w:ascii="Times New Roman" w:cs="Times New Roman" w:eastAsia="Times New Roman" w:hAnsi="Times New Roman"/>
                <w:sz w:val="20"/>
                <w:szCs w:val="20"/>
                <w:color w:val="0000FF"/>
              </w:rPr>
            </w:pPr>
            <w:hyperlink w:anchor="page75">
              <w:r>
                <w:rPr>
                  <w:rFonts w:ascii="Times New Roman" w:cs="Times New Roman" w:eastAsia="Times New Roman" w:hAnsi="Times New Roman"/>
                  <w:sz w:val="20"/>
                  <w:szCs w:val="20"/>
                  <w:color w:val="0000FF"/>
                </w:rPr>
                <w:t>Amended and Restated Officer Employment Agreement, effective April 1,</w:t>
              </w:r>
            </w:hyperlink>
          </w:p>
        </w:tc>
        <w:tc>
          <w:tcPr>
            <w:tcW w:w="100" w:type="dxa"/>
            <w:vAlign w:val="bottom"/>
            <w:gridSpan w:val="2"/>
          </w:tcPr>
          <w:p>
            <w:pPr>
              <w:spacing w:after="0"/>
              <w:rPr>
                <w:sz w:val="24"/>
                <w:szCs w:val="2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40" w:type="dxa"/>
            <w:vAlign w:val="bottom"/>
            <w:gridSpan w:val="12"/>
          </w:tcPr>
          <w:p>
            <w:pPr>
              <w:spacing w:after="0" w:line="209" w:lineRule="exact"/>
              <w:rPr>
                <w:rFonts w:ascii="Times New Roman" w:cs="Times New Roman" w:eastAsia="Times New Roman" w:hAnsi="Times New Roman"/>
                <w:sz w:val="20"/>
                <w:szCs w:val="20"/>
                <w:color w:val="0000FF"/>
              </w:rPr>
            </w:pPr>
            <w:hyperlink w:anchor="page75">
              <w:r>
                <w:rPr>
                  <w:rFonts w:ascii="Times New Roman" w:cs="Times New Roman" w:eastAsia="Times New Roman" w:hAnsi="Times New Roman"/>
                  <w:sz w:val="20"/>
                  <w:szCs w:val="20"/>
                  <w:color w:val="0000FF"/>
                </w:rPr>
                <w:t>2019, by and between David J. Deno and Bloomin’ Brands, Inc.</w:t>
              </w:r>
            </w:hyperlink>
          </w:p>
        </w:tc>
        <w:tc>
          <w:tcPr>
            <w:tcW w:w="37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385"/>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tcBorders>
              <w:bottom w:val="single" w:sz="8" w:color="0000FF"/>
            </w:tcBorders>
            <w:gridSpan w:val="10"/>
          </w:tcPr>
          <w:p>
            <w:pPr>
              <w:spacing w:after="0"/>
              <w:rPr>
                <w:rFonts w:ascii="Times New Roman" w:cs="Times New Roman" w:eastAsia="Times New Roman" w:hAnsi="Times New Roman"/>
                <w:sz w:val="20"/>
                <w:szCs w:val="20"/>
                <w:color w:val="0000FF"/>
              </w:rPr>
            </w:pPr>
            <w:hyperlink w:anchor="page96">
              <w:r>
                <w:rPr>
                  <w:rFonts w:ascii="Times New Roman" w:cs="Times New Roman" w:eastAsia="Times New Roman" w:hAnsi="Times New Roman"/>
                  <w:sz w:val="20"/>
                  <w:szCs w:val="20"/>
                  <w:color w:val="0000FF"/>
                </w:rPr>
                <w:t>Employment Offer Letter Agreement, dated as of March 7, 2019, between</w:t>
              </w:r>
            </w:hyperlink>
          </w:p>
        </w:tc>
        <w:tc>
          <w:tcPr>
            <w:tcW w:w="100" w:type="dxa"/>
            <w:vAlign w:val="bottom"/>
            <w:gridSpan w:val="2"/>
          </w:tcPr>
          <w:p>
            <w:pPr>
              <w:spacing w:after="0"/>
              <w:rPr>
                <w:sz w:val="24"/>
                <w:szCs w:val="2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40" w:type="dxa"/>
            <w:vAlign w:val="bottom"/>
            <w:gridSpan w:val="12"/>
          </w:tcPr>
          <w:p>
            <w:pPr>
              <w:spacing w:after="0" w:line="209" w:lineRule="exact"/>
              <w:rPr>
                <w:rFonts w:ascii="Times New Roman" w:cs="Times New Roman" w:eastAsia="Times New Roman" w:hAnsi="Times New Roman"/>
                <w:sz w:val="20"/>
                <w:szCs w:val="20"/>
                <w:color w:val="0000FF"/>
              </w:rPr>
            </w:pPr>
            <w:hyperlink w:anchor="page96">
              <w:r>
                <w:rPr>
                  <w:rFonts w:ascii="Times New Roman" w:cs="Times New Roman" w:eastAsia="Times New Roman" w:hAnsi="Times New Roman"/>
                  <w:sz w:val="20"/>
                  <w:szCs w:val="20"/>
                  <w:color w:val="0000FF"/>
                </w:rPr>
                <w:t>Bloomin’ Brands, Inc. and Christopher Meyer</w:t>
              </w:r>
            </w:hyperlink>
          </w:p>
        </w:tc>
        <w:tc>
          <w:tcPr>
            <w:tcW w:w="37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385"/>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Borders>
              <w:bottom w:val="single" w:sz="8" w:color="0000FF"/>
            </w:tcBorders>
            <w:gridSpan w:val="9"/>
          </w:tcPr>
          <w:p>
            <w:pPr>
              <w:spacing w:after="0"/>
              <w:rPr>
                <w:rFonts w:ascii="Times New Roman" w:cs="Times New Roman" w:eastAsia="Times New Roman" w:hAnsi="Times New Roman"/>
                <w:sz w:val="20"/>
                <w:szCs w:val="20"/>
                <w:color w:val="0000FF"/>
              </w:rPr>
            </w:pPr>
            <w:hyperlink w:anchor="page103">
              <w:r>
                <w:rPr>
                  <w:rFonts w:ascii="Times New Roman" w:cs="Times New Roman" w:eastAsia="Times New Roman" w:hAnsi="Times New Roman"/>
                  <w:sz w:val="20"/>
                  <w:szCs w:val="20"/>
                  <w:color w:val="0000FF"/>
                </w:rPr>
                <w:t>Certification of Chief Executive Officer pursuant to Section 302 of the</w:t>
              </w:r>
            </w:hyperlink>
          </w:p>
        </w:tc>
        <w:tc>
          <w:tcPr>
            <w:tcW w:w="120" w:type="dxa"/>
            <w:vAlign w:val="bottom"/>
            <w:gridSpan w:val="3"/>
          </w:tcPr>
          <w:p>
            <w:pPr>
              <w:spacing w:after="0"/>
              <w:rPr>
                <w:sz w:val="24"/>
                <w:szCs w:val="2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Borders>
              <w:bottom w:val="single" w:sz="8" w:color="0000FF"/>
            </w:tcBorders>
          </w:tcPr>
          <w:p>
            <w:pPr>
              <w:spacing w:after="0" w:line="209" w:lineRule="exact"/>
              <w:rPr>
                <w:rFonts w:ascii="Times New Roman" w:cs="Times New Roman" w:eastAsia="Times New Roman" w:hAnsi="Times New Roman"/>
                <w:sz w:val="20"/>
                <w:szCs w:val="20"/>
                <w:color w:val="0000FF"/>
                <w:w w:val="98"/>
              </w:rPr>
            </w:pPr>
            <w:hyperlink w:anchor="page103">
              <w:r>
                <w:rPr>
                  <w:rFonts w:ascii="Times New Roman" w:cs="Times New Roman" w:eastAsia="Times New Roman" w:hAnsi="Times New Roman"/>
                  <w:sz w:val="20"/>
                  <w:szCs w:val="20"/>
                  <w:color w:val="0000FF"/>
                  <w:w w:val="98"/>
                </w:rPr>
                <w:t>Sarbanes-Oxley Act of 2002</w:t>
              </w:r>
            </w:hyperlink>
          </w:p>
        </w:tc>
        <w:tc>
          <w:tcPr>
            <w:tcW w:w="4080" w:type="dxa"/>
            <w:vAlign w:val="bottom"/>
            <w:gridSpan w:val="11"/>
          </w:tcPr>
          <w:p>
            <w:pPr>
              <w:spacing w:after="0"/>
              <w:rPr>
                <w:sz w:val="18"/>
                <w:szCs w:val="18"/>
                <w:color w:val="auto"/>
              </w:rPr>
            </w:pPr>
          </w:p>
        </w:tc>
        <w:tc>
          <w:tcPr>
            <w:tcW w:w="3760" w:type="dxa"/>
            <w:vAlign w:val="bottom"/>
          </w:tcPr>
          <w:p>
            <w:pPr>
              <w:spacing w:after="0"/>
              <w:rPr>
                <w:sz w:val="18"/>
                <w:szCs w:val="18"/>
                <w:color w:val="auto"/>
              </w:rPr>
            </w:pPr>
          </w:p>
        </w:tc>
      </w:tr>
      <w:tr>
        <w:trPr>
          <w:trHeight w:val="385"/>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tcBorders>
              <w:bottom w:val="single" w:sz="8" w:color="0000FF"/>
            </w:tcBorders>
            <w:gridSpan w:val="10"/>
          </w:tcPr>
          <w:p>
            <w:pPr>
              <w:spacing w:after="0"/>
              <w:rPr>
                <w:rFonts w:ascii="Times New Roman" w:cs="Times New Roman" w:eastAsia="Times New Roman" w:hAnsi="Times New Roman"/>
                <w:sz w:val="20"/>
                <w:szCs w:val="20"/>
                <w:color w:val="0000FF"/>
              </w:rPr>
            </w:pPr>
            <w:hyperlink w:anchor="page104">
              <w:r>
                <w:rPr>
                  <w:rFonts w:ascii="Times New Roman" w:cs="Times New Roman" w:eastAsia="Times New Roman" w:hAnsi="Times New Roman"/>
                  <w:sz w:val="20"/>
                  <w:szCs w:val="20"/>
                  <w:color w:val="0000FF"/>
                </w:rPr>
                <w:t>Certification of Chief Financial Officer pursuant to Section 302 of the</w:t>
              </w:r>
            </w:hyperlink>
          </w:p>
        </w:tc>
        <w:tc>
          <w:tcPr>
            <w:tcW w:w="100" w:type="dxa"/>
            <w:vAlign w:val="bottom"/>
            <w:gridSpan w:val="2"/>
          </w:tcPr>
          <w:p>
            <w:pPr>
              <w:spacing w:after="0"/>
              <w:rPr>
                <w:sz w:val="24"/>
                <w:szCs w:val="2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Borders>
              <w:bottom w:val="single" w:sz="8" w:color="0000FF"/>
            </w:tcBorders>
          </w:tcPr>
          <w:p>
            <w:pPr>
              <w:spacing w:after="0" w:line="209" w:lineRule="exact"/>
              <w:rPr>
                <w:rFonts w:ascii="Times New Roman" w:cs="Times New Roman" w:eastAsia="Times New Roman" w:hAnsi="Times New Roman"/>
                <w:sz w:val="20"/>
                <w:szCs w:val="20"/>
                <w:color w:val="0000FF"/>
                <w:w w:val="98"/>
              </w:rPr>
            </w:pPr>
            <w:hyperlink w:anchor="page104">
              <w:r>
                <w:rPr>
                  <w:rFonts w:ascii="Times New Roman" w:cs="Times New Roman" w:eastAsia="Times New Roman" w:hAnsi="Times New Roman"/>
                  <w:sz w:val="20"/>
                  <w:szCs w:val="20"/>
                  <w:color w:val="0000FF"/>
                  <w:w w:val="98"/>
                </w:rPr>
                <w:t>Sarbanes-Oxley Act of 2002</w:t>
              </w:r>
            </w:hyperlink>
          </w:p>
        </w:tc>
        <w:tc>
          <w:tcPr>
            <w:tcW w:w="4080" w:type="dxa"/>
            <w:vAlign w:val="bottom"/>
            <w:gridSpan w:val="11"/>
          </w:tcPr>
          <w:p>
            <w:pPr>
              <w:spacing w:after="0"/>
              <w:rPr>
                <w:sz w:val="18"/>
                <w:szCs w:val="18"/>
                <w:color w:val="auto"/>
              </w:rPr>
            </w:pPr>
          </w:p>
        </w:tc>
        <w:tc>
          <w:tcPr>
            <w:tcW w:w="3760" w:type="dxa"/>
            <w:vAlign w:val="bottom"/>
          </w:tcPr>
          <w:p>
            <w:pPr>
              <w:spacing w:after="0"/>
              <w:rPr>
                <w:sz w:val="18"/>
                <w:szCs w:val="18"/>
                <w:color w:val="auto"/>
              </w:rPr>
            </w:pPr>
          </w:p>
        </w:tc>
      </w:tr>
      <w:tr>
        <w:trPr>
          <w:trHeight w:val="385"/>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Borders>
              <w:bottom w:val="single" w:sz="8" w:color="0000FF"/>
            </w:tcBorders>
            <w:gridSpan w:val="9"/>
          </w:tcPr>
          <w:p>
            <w:pPr>
              <w:spacing w:after="0"/>
              <w:rPr>
                <w:rFonts w:ascii="Times New Roman" w:cs="Times New Roman" w:eastAsia="Times New Roman" w:hAnsi="Times New Roman"/>
                <w:sz w:val="20"/>
                <w:szCs w:val="20"/>
                <w:color w:val="0000FF"/>
              </w:rPr>
            </w:pPr>
            <w:hyperlink w:anchor="page105">
              <w:r>
                <w:rPr>
                  <w:rFonts w:ascii="Times New Roman" w:cs="Times New Roman" w:eastAsia="Times New Roman" w:hAnsi="Times New Roman"/>
                  <w:sz w:val="20"/>
                  <w:szCs w:val="20"/>
                  <w:color w:val="0000FF"/>
                </w:rPr>
                <w:t>Certification of Chief Executive Officer pursuant to 18 U.S.C. Section 1350,</w:t>
              </w:r>
            </w:hyperlink>
          </w:p>
        </w:tc>
        <w:tc>
          <w:tcPr>
            <w:tcW w:w="120" w:type="dxa"/>
            <w:vAlign w:val="bottom"/>
            <w:gridSpan w:val="3"/>
          </w:tcPr>
          <w:p>
            <w:pPr>
              <w:spacing w:after="0"/>
              <w:rPr>
                <w:sz w:val="24"/>
                <w:szCs w:val="2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80" w:type="dxa"/>
            <w:vAlign w:val="bottom"/>
            <w:tcBorders>
              <w:bottom w:val="single" w:sz="8" w:color="0000FF"/>
            </w:tcBorders>
            <w:gridSpan w:val="7"/>
          </w:tcPr>
          <w:p>
            <w:pPr>
              <w:spacing w:after="0" w:line="209" w:lineRule="exact"/>
              <w:rPr>
                <w:rFonts w:ascii="Times New Roman" w:cs="Times New Roman" w:eastAsia="Times New Roman" w:hAnsi="Times New Roman"/>
                <w:sz w:val="20"/>
                <w:szCs w:val="20"/>
                <w:color w:val="0000FF"/>
                <w:w w:val="98"/>
              </w:rPr>
            </w:pPr>
            <w:hyperlink w:anchor="page105">
              <w:r>
                <w:rPr>
                  <w:rFonts w:ascii="Times New Roman" w:cs="Times New Roman" w:eastAsia="Times New Roman" w:hAnsi="Times New Roman"/>
                  <w:sz w:val="20"/>
                  <w:szCs w:val="20"/>
                  <w:color w:val="0000FF"/>
                  <w:w w:val="98"/>
                </w:rPr>
                <w:t>as adopted pursuant to Section 906 of the Sarbanes-Oxley Act of 2002 (1)</w:t>
              </w:r>
            </w:hyperlink>
          </w:p>
        </w:tc>
        <w:tc>
          <w:tcPr>
            <w:tcW w:w="460" w:type="dxa"/>
            <w:vAlign w:val="bottom"/>
            <w:gridSpan w:val="5"/>
          </w:tcPr>
          <w:p>
            <w:pPr>
              <w:spacing w:after="0"/>
              <w:rPr>
                <w:sz w:val="18"/>
                <w:szCs w:val="18"/>
                <w:color w:val="auto"/>
              </w:rPr>
            </w:pPr>
          </w:p>
        </w:tc>
        <w:tc>
          <w:tcPr>
            <w:tcW w:w="3760" w:type="dxa"/>
            <w:vAlign w:val="bottom"/>
          </w:tcPr>
          <w:p>
            <w:pPr>
              <w:spacing w:after="0"/>
              <w:rPr>
                <w:sz w:val="18"/>
                <w:szCs w:val="18"/>
                <w:color w:val="auto"/>
              </w:rPr>
            </w:pPr>
          </w:p>
        </w:tc>
      </w:tr>
      <w:tr>
        <w:trPr>
          <w:trHeight w:val="385"/>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0" w:type="dxa"/>
            <w:vAlign w:val="bottom"/>
            <w:tcBorders>
              <w:bottom w:val="single" w:sz="8" w:color="0000FF"/>
            </w:tcBorders>
            <w:gridSpan w:val="8"/>
          </w:tcPr>
          <w:p>
            <w:pPr>
              <w:spacing w:after="0"/>
              <w:rPr>
                <w:rFonts w:ascii="Times New Roman" w:cs="Times New Roman" w:eastAsia="Times New Roman" w:hAnsi="Times New Roman"/>
                <w:sz w:val="20"/>
                <w:szCs w:val="20"/>
                <w:color w:val="0000FF"/>
              </w:rPr>
            </w:pPr>
            <w:hyperlink w:anchor="page106">
              <w:r>
                <w:rPr>
                  <w:rFonts w:ascii="Times New Roman" w:cs="Times New Roman" w:eastAsia="Times New Roman" w:hAnsi="Times New Roman"/>
                  <w:sz w:val="20"/>
                  <w:szCs w:val="20"/>
                  <w:color w:val="0000FF"/>
                </w:rPr>
                <w:t>Certification of Chief Financial Officer pursuant to 18 U.S.C. Section 1350,</w:t>
              </w:r>
            </w:hyperlink>
          </w:p>
        </w:tc>
        <w:tc>
          <w:tcPr>
            <w:tcW w:w="140" w:type="dxa"/>
            <w:vAlign w:val="bottom"/>
            <w:gridSpan w:val="4"/>
          </w:tcPr>
          <w:p>
            <w:pPr>
              <w:spacing w:after="0"/>
              <w:rPr>
                <w:sz w:val="24"/>
                <w:szCs w:val="2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40" w:type="dxa"/>
            <w:vAlign w:val="bottom"/>
            <w:gridSpan w:val="12"/>
          </w:tcPr>
          <w:p>
            <w:pPr>
              <w:spacing w:after="0" w:line="209" w:lineRule="exact"/>
              <w:rPr>
                <w:rFonts w:ascii="Times New Roman" w:cs="Times New Roman" w:eastAsia="Times New Roman" w:hAnsi="Times New Roman"/>
                <w:sz w:val="20"/>
                <w:szCs w:val="20"/>
                <w:color w:val="0000FF"/>
              </w:rPr>
            </w:pPr>
            <w:hyperlink w:anchor="page106">
              <w:r>
                <w:rPr>
                  <w:rFonts w:ascii="Times New Roman" w:cs="Times New Roman" w:eastAsia="Times New Roman" w:hAnsi="Times New Roman"/>
                  <w:sz w:val="20"/>
                  <w:szCs w:val="20"/>
                  <w:color w:val="0000FF"/>
                </w:rPr>
                <w:t>as adopted pursuant to Section 906 of the Sarbanes-Oxley Act of 2002 (1)</w:t>
              </w:r>
            </w:hyperlink>
          </w:p>
        </w:tc>
        <w:tc>
          <w:tcPr>
            <w:tcW w:w="3760" w:type="dxa"/>
            <w:vAlign w:val="bottom"/>
          </w:tcPr>
          <w:p>
            <w:pPr>
              <w:spacing w:after="0"/>
              <w:rPr>
                <w:sz w:val="18"/>
                <w:szCs w:val="18"/>
                <w:color w:val="auto"/>
              </w:rPr>
            </w:pPr>
          </w:p>
        </w:tc>
      </w:tr>
      <w:tr>
        <w:trPr>
          <w:trHeight w:val="432"/>
        </w:trPr>
        <w:tc>
          <w:tcPr>
            <w:tcW w:w="12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101.INS</w:t>
            </w:r>
          </w:p>
        </w:tc>
        <w:tc>
          <w:tcPr>
            <w:tcW w:w="20" w:type="dxa"/>
            <w:vAlign w:val="bottom"/>
          </w:tcPr>
          <w:p>
            <w:pPr>
              <w:spacing w:after="0"/>
              <w:rPr>
                <w:sz w:val="24"/>
                <w:szCs w:val="24"/>
                <w:color w:val="auto"/>
              </w:rPr>
            </w:pPr>
          </w:p>
        </w:tc>
        <w:tc>
          <w:tcPr>
            <w:tcW w:w="58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auto"/>
              </w:rPr>
              <w:t>XBRL Instance Document</w:t>
            </w:r>
          </w:p>
        </w:tc>
        <w:tc>
          <w:tcPr>
            <w:tcW w:w="480" w:type="dxa"/>
            <w:vAlign w:val="bottom"/>
            <w:gridSpan w:val="6"/>
          </w:tcPr>
          <w:p>
            <w:pPr>
              <w:spacing w:after="0"/>
              <w:rPr>
                <w:sz w:val="24"/>
                <w:szCs w:val="2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405"/>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101.SCH</w:t>
            </w:r>
          </w:p>
        </w:tc>
        <w:tc>
          <w:tcPr>
            <w:tcW w:w="20" w:type="dxa"/>
            <w:vAlign w:val="bottom"/>
          </w:tcPr>
          <w:p>
            <w:pPr>
              <w:spacing w:after="0"/>
              <w:rPr>
                <w:sz w:val="24"/>
                <w:szCs w:val="24"/>
                <w:color w:val="auto"/>
              </w:rPr>
            </w:pPr>
          </w:p>
        </w:tc>
        <w:tc>
          <w:tcPr>
            <w:tcW w:w="634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XBRL Taxonomy Extension Schema Document</w:t>
            </w: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405"/>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101.CAL</w:t>
            </w:r>
          </w:p>
        </w:tc>
        <w:tc>
          <w:tcPr>
            <w:tcW w:w="20" w:type="dxa"/>
            <w:vAlign w:val="bottom"/>
          </w:tcPr>
          <w:p>
            <w:pPr>
              <w:spacing w:after="0"/>
              <w:rPr>
                <w:sz w:val="24"/>
                <w:szCs w:val="24"/>
                <w:color w:val="auto"/>
              </w:rPr>
            </w:pPr>
          </w:p>
        </w:tc>
        <w:tc>
          <w:tcPr>
            <w:tcW w:w="634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XBRL Taxonomy Extension Calculation Linkbase Document</w:t>
            </w: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405"/>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101.DEF</w:t>
            </w:r>
          </w:p>
        </w:tc>
        <w:tc>
          <w:tcPr>
            <w:tcW w:w="20" w:type="dxa"/>
            <w:vAlign w:val="bottom"/>
          </w:tcPr>
          <w:p>
            <w:pPr>
              <w:spacing w:after="0"/>
              <w:rPr>
                <w:sz w:val="24"/>
                <w:szCs w:val="24"/>
                <w:color w:val="auto"/>
              </w:rPr>
            </w:pPr>
          </w:p>
        </w:tc>
        <w:tc>
          <w:tcPr>
            <w:tcW w:w="634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XBRL Taxonomy Extension Definition Linkbase Document</w:t>
            </w: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405"/>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101.LAB</w:t>
            </w:r>
          </w:p>
        </w:tc>
        <w:tc>
          <w:tcPr>
            <w:tcW w:w="20" w:type="dxa"/>
            <w:vAlign w:val="bottom"/>
          </w:tcPr>
          <w:p>
            <w:pPr>
              <w:spacing w:after="0"/>
              <w:rPr>
                <w:sz w:val="24"/>
                <w:szCs w:val="24"/>
                <w:color w:val="auto"/>
              </w:rPr>
            </w:pPr>
          </w:p>
        </w:tc>
        <w:tc>
          <w:tcPr>
            <w:tcW w:w="634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XBRL Taxonomy Extension Label Linkbase Document</w:t>
            </w: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405"/>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101.PRE</w:t>
            </w:r>
          </w:p>
        </w:tc>
        <w:tc>
          <w:tcPr>
            <w:tcW w:w="20" w:type="dxa"/>
            <w:vAlign w:val="bottom"/>
          </w:tcPr>
          <w:p>
            <w:pPr>
              <w:spacing w:after="0"/>
              <w:rPr>
                <w:sz w:val="24"/>
                <w:szCs w:val="24"/>
                <w:color w:val="auto"/>
              </w:rPr>
            </w:pPr>
          </w:p>
        </w:tc>
        <w:tc>
          <w:tcPr>
            <w:tcW w:w="634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XBRL Taxonomy Extension Presentation Linkbase Document</w:t>
            </w: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Management contract or compensatory plan or arrangement required to be filed as an exhibit</w:t>
      </w:r>
    </w:p>
    <w:p>
      <w:pPr>
        <w:spacing w:after="0" w:line="229" w:lineRule="exact"/>
        <w:rPr>
          <w:sz w:val="20"/>
          <w:szCs w:val="20"/>
          <w:color w:val="auto"/>
        </w:rPr>
      </w:pPr>
    </w:p>
    <w:p>
      <w:pPr>
        <w:jc w:val="both"/>
        <w:ind w:firstLine="8"/>
        <w:spacing w:after="0" w:line="254" w:lineRule="auto"/>
        <w:tabs>
          <w:tab w:leader="none" w:pos="28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8" w:lineRule="exact"/>
        <w:rPr>
          <w:sz w:val="20"/>
          <w:szCs w:val="20"/>
          <w:color w:val="auto"/>
        </w:rPr>
      </w:pPr>
    </w:p>
    <w:p>
      <w:pPr>
        <w:ind w:left="40"/>
        <w:spacing w:after="0"/>
        <w:tabs>
          <w:tab w:leader="none" w:pos="600" w:val="left"/>
          <w:tab w:leader="none" w:pos="4680" w:val="left"/>
        </w:tabs>
        <w:rPr>
          <w:sz w:val="20"/>
          <w:szCs w:val="20"/>
          <w:color w:val="auto"/>
        </w:rPr>
      </w:pPr>
      <w:r>
        <w:rPr>
          <w:rFonts w:ascii="Times New Roman" w:cs="Times New Roman" w:eastAsia="Times New Roman" w:hAnsi="Times New Roman"/>
          <w:sz w:val="20"/>
          <w:szCs w:val="20"/>
          <w:color w:val="auto"/>
        </w:rPr>
        <w:t>Date:</w:t>
        <w:tab/>
        <w:t>May 3, 2019</w:t>
      </w:r>
      <w:r>
        <w:rPr>
          <w:sz w:val="20"/>
          <w:szCs w:val="20"/>
          <w:color w:val="auto"/>
        </w:rPr>
        <w:tab/>
      </w:r>
      <w:r>
        <w:rPr>
          <w:rFonts w:ascii="Times New Roman" w:cs="Times New Roman" w:eastAsia="Times New Roman" w:hAnsi="Times New Roman"/>
          <w:sz w:val="19"/>
          <w:szCs w:val="19"/>
          <w:color w:val="auto"/>
        </w:rPr>
        <w:t>BLOOMIN’ BRANDS, INC.</w:t>
      </w:r>
    </w:p>
    <w:p>
      <w:pPr>
        <w:spacing w:after="0" w:line="5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(Registrant)</w:t>
      </w:r>
    </w:p>
    <w:p>
      <w:pPr>
        <w:spacing w:after="0" w:line="2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By: /s/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31115</wp:posOffset>
            </wp:positionV>
            <wp:extent cx="42621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62120" cy="17145"/>
                    </a:xfrm>
                    <a:prstGeom prst="rect">
                      <a:avLst/>
                    </a:prstGeom>
                    <a:noFill/>
                  </pic:spPr>
                </pic:pic>
              </a:graphicData>
            </a:graphic>
          </wp:anchor>
        </w:drawing>
      </w:r>
    </w:p>
    <w:p>
      <w:pPr>
        <w:spacing w:after="0" w:line="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Christopher Meyer</w:t>
      </w:r>
    </w:p>
    <w:p>
      <w:pPr>
        <w:spacing w:after="0" w:line="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ind w:left="5200"/>
        <w:spacing w:after="0"/>
        <w:rPr>
          <w:sz w:val="20"/>
          <w:szCs w:val="20"/>
          <w:color w:val="auto"/>
        </w:rPr>
      </w:pPr>
      <w:r>
        <w:rPr>
          <w:rFonts w:ascii="Times New Roman" w:cs="Times New Roman" w:eastAsia="Times New Roman" w:hAnsi="Times New Roman"/>
          <w:sz w:val="20"/>
          <w:szCs w:val="20"/>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8" w:right="239" w:bottom="1440" w:gutter="0" w:footer="0" w:header="0"/>
        </w:sectPr>
      </w:pPr>
    </w:p>
    <w:bookmarkStart w:id="46" w:name="page47"/>
    <w:bookmarkEnd w:id="46"/>
    <w:p>
      <w:pPr>
        <w:ind w:left="996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-116840</wp:posOffset>
            </wp:positionV>
            <wp:extent cx="437515" cy="702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751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January 15, 2019</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Revised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Jeff Carcara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Jeff,</w:t>
      </w:r>
    </w:p>
    <w:p>
      <w:pPr>
        <w:spacing w:after="0" w:line="22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This letter agreement confirms the verbal offer extended to you to be Bloomin’ Brands, Inc. (the “Company”) EVP, President Bonefish Grill reporting to Liz Smith, Chief Executive Officer. Your start date is February 11, 2019. The terms of your employment will be:</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You will be employed by a subsidiary of the Company (the “Employer”), based in Tampa, Florida and will be paid an annual base salary of $435,000 payable in equal bi-weekly installments.</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You will be eligible to participate in the Company’s annual bonus program at a target bonus of 85% of your base salary based on both Company performance against objectives as set forth in the Company bonus program and individual performance. Your bonus payout for the 2019 fiscal year will be based on your time in your job at the applicable targets, through the end of the fiscal year, provided that you remain employed by the Employer through the payout date.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Company will issue you a one-time grant of 35,000 stock options and a one-time grant of 40,000 restricted stock units. Both grants will have standard vesting of four years contingent on continued employment with the Company or the Employer. All grants are subject to the terms of our 2016 Equity Plan (the “Plan”) and our standard award agreement. Our standard equity agreement includes a “double trigger” provision to protect you in the event of a change-in-control. The details of the Plan and the form of grant agreement will be provided to you separately.</w:t>
      </w:r>
    </w:p>
    <w:p>
      <w:pPr>
        <w:spacing w:after="0" w:line="179"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20"/>
          <w:szCs w:val="20"/>
          <w:color w:val="auto"/>
        </w:rPr>
        <w:t>In addition, beginning in 2020 you will be eligible for the annual long-term incentive grant. Per the current plan, you may be eligible for a target up to 100% of your base salary, which will be subject to company and individual performance.</w:t>
      </w:r>
    </w:p>
    <w:p>
      <w:pPr>
        <w:spacing w:after="0" w:line="17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You will be eligible for Home Office Paid Time Off (PTO). At the start of the new calendar year, you will be awarded the annual amount of 20 days plus an additional floating holiday.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are eligible to participate in the following benefits as applicable and in accordance with the terms of Company policy:</w:t>
      </w:r>
    </w:p>
    <w:p>
      <w:pPr>
        <w:spacing w:after="0" w:line="229" w:lineRule="exact"/>
        <w:rPr>
          <w:sz w:val="20"/>
          <w:szCs w:val="20"/>
          <w:color w:val="auto"/>
        </w:rPr>
      </w:pPr>
    </w:p>
    <w:p>
      <w:pPr>
        <w:ind w:left="1300" w:hanging="320"/>
        <w:spacing w:after="0"/>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Medical Benefits Plan</w:t>
      </w:r>
    </w:p>
    <w:p>
      <w:pPr>
        <w:spacing w:after="0" w:line="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Executive Medical Check-Up</w:t>
      </w:r>
    </w:p>
    <w:p>
      <w:pPr>
        <w:ind w:left="1300" w:hanging="320"/>
        <w:spacing w:after="0"/>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Salaried Short-Term Disability Insurance</w:t>
      </w:r>
    </w:p>
    <w:p>
      <w:pPr>
        <w:ind w:left="1300" w:hanging="320"/>
        <w:spacing w:after="0"/>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Salaried Long-Term Disability Insurance</w:t>
      </w:r>
    </w:p>
    <w:p>
      <w:pPr>
        <w:ind w:left="1300" w:hanging="320"/>
        <w:spacing w:after="0"/>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Paid Group Term Life Insurance</w:t>
      </w:r>
    </w:p>
    <w:p>
      <w:pPr>
        <w:ind w:left="1300" w:hanging="320"/>
        <w:spacing w:after="0"/>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Paid Accidental Death and Dismemberment</w:t>
      </w:r>
    </w:p>
    <w:p>
      <w:pPr>
        <w:ind w:left="1300" w:hanging="320"/>
        <w:spacing w:after="0"/>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Dental Benefits Plan</w:t>
      </w:r>
    </w:p>
    <w:p>
      <w:pPr>
        <w:ind w:left="1300" w:hanging="320"/>
        <w:spacing w:after="0"/>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Vision Benefits Plan</w:t>
      </w:r>
    </w:p>
    <w:p>
      <w:pPr>
        <w:ind w:left="1300" w:hanging="320"/>
        <w:spacing w:after="0"/>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Non-Qualified Deferred Compensation Plan</w:t>
      </w:r>
    </w:p>
    <w:p>
      <w:pPr>
        <w:ind w:left="1300" w:hanging="320"/>
        <w:spacing w:after="0"/>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 Meal Benefit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300355</wp:posOffset>
            </wp:positionV>
            <wp:extent cx="2684145"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84145" cy="325755"/>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3622040</wp:posOffset>
            </wp:positionH>
            <wp:positionV relativeFrom="page">
              <wp:posOffset>303530</wp:posOffset>
            </wp:positionV>
            <wp:extent cx="411480" cy="660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411480" cy="660400"/>
                    </a:xfrm>
                    <a:prstGeom prst="rect">
                      <a:avLst/>
                    </a:prstGeom>
                    <a:noFill/>
                  </pic:spPr>
                </pic:pic>
              </a:graphicData>
            </a:graphic>
          </wp:anchor>
        </w:drawing>
      </w:r>
    </w:p>
    <w:p>
      <w:pPr>
        <w:spacing w:after="0" w:line="3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the ordinary course of business, pay and benefit plans continue to evolve as business needs and laws change. To the extent the Company or the Employer determines it to be necessary or desirable to change or eliminate any of the plans or programs in which you participate, such changes will apply to you as they do to other similarly situated employees.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condition of your employment, please note the following:</w:t>
      </w:r>
    </w:p>
    <w:p>
      <w:pPr>
        <w:spacing w:after="0" w:line="229"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While it is our sincere hope and belief that our relationship will be mutually beneficial, the Company and the Employer do not offer employment for a specified term. Any statements made to you in this letter and in meetings should not be construed in any manner as a proposed contract for any such term. Both you and the Employer may terminate employment at any time, with or without prior notice, for any or no reason, and with or without cause.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further condition of your employment you agree to the following: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Restrictive Covenant - Non-competition</w:t>
      </w:r>
    </w:p>
    <w:p>
      <w:pPr>
        <w:spacing w:after="0" w:line="233" w:lineRule="exact"/>
        <w:rPr>
          <w:sz w:val="20"/>
          <w:szCs w:val="20"/>
          <w:color w:val="auto"/>
        </w:rPr>
      </w:pPr>
    </w:p>
    <w:p>
      <w:pPr>
        <w:jc w:val="both"/>
        <w:ind w:firstLine="8"/>
        <w:spacing w:after="0" w:line="259" w:lineRule="auto"/>
        <w:tabs>
          <w:tab w:leader="none" w:pos="346"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During Employment</w:t>
      </w:r>
      <w:r>
        <w:rPr>
          <w:rFonts w:ascii="Times New Roman" w:cs="Times New Roman" w:eastAsia="Times New Roman" w:hAnsi="Times New Roman"/>
          <w:sz w:val="19"/>
          <w:szCs w:val="19"/>
          <w:color w:val="auto"/>
        </w:rPr>
        <w:t>. You will devote one hundred percent (100%) of your full business time, attention, energies, and effort to the business affairs of the Employer and the Company. Except with the prior written consent of the Employer, during your employment with the Company or the Employer, you shall not, individually or jointly with others, directly or indirectly, whether for your own account or for that of any other person or entity, engage in or own or hold any ownership interest in any person or entity engaged in a full service restaurant business, and you shall not act as an officer, director, employee, partner, independent contractor, consultant, principal, agent, proprietor or in any other capacity for, nor lend any assistance (financial or otherwise) or cooperation to, any such person or entity. You shall not serve on the board of directors or advisory committee of any other company without the prior consent of the Employer, which consent shall not be unreasonably withheld.</w:t>
      </w:r>
    </w:p>
    <w:p>
      <w:pPr>
        <w:spacing w:after="0" w:line="186" w:lineRule="exact"/>
        <w:rPr>
          <w:rFonts w:ascii="Times New Roman" w:cs="Times New Roman" w:eastAsia="Times New Roman" w:hAnsi="Times New Roman"/>
          <w:sz w:val="19"/>
          <w:szCs w:val="19"/>
          <w:color w:val="auto"/>
        </w:rPr>
      </w:pPr>
    </w:p>
    <w:p>
      <w:pPr>
        <w:jc w:val="both"/>
        <w:ind w:firstLine="8"/>
        <w:spacing w:after="0" w:line="241" w:lineRule="auto"/>
        <w:tabs>
          <w:tab w:leader="none" w:pos="41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Post Term.</w:t>
      </w:r>
      <w:r>
        <w:rPr>
          <w:rFonts w:ascii="Times New Roman" w:cs="Times New Roman" w:eastAsia="Times New Roman" w:hAnsi="Times New Roman"/>
          <w:sz w:val="20"/>
          <w:szCs w:val="20"/>
          <w:color w:val="auto"/>
        </w:rPr>
        <w:t xml:space="preserve"> Commencing on termination your employment with the Employer, individually or jointly with others, directly or indirectly, whether for your own account or for that of any other person or entity, engage in or own or hold any ownership interest in, have any interest in or lend any assistance to, any seafood restaurant or any person or entity engaged in a business owning, operating, franchising or controlling any seafood restaurant business, and that is located or intended to be located anywhere within a radius of thirty (30) miles of any Bonefish Grill restaurant owned or operated by the Employer, the Company or their affiliates or any proposed Bonefish Grill restaurant to be owned or operated by any of the foregoing, and you shall not act as an officer, director, employee, partner, independent contractor, consultant, principal, agent, proprietor, chef, or in any other capacity for, nor lend any assistance (financial or otherwise) or cooperation to, any such person, or entity. For purposes of this </w:t>
      </w:r>
      <w:r>
        <w:rPr>
          <w:rFonts w:ascii="Times New Roman" w:cs="Times New Roman" w:eastAsia="Times New Roman" w:hAnsi="Times New Roman"/>
          <w:sz w:val="20"/>
          <w:szCs w:val="20"/>
          <w:b w:val="1"/>
          <w:bCs w:val="1"/>
          <w:color w:val="auto"/>
        </w:rPr>
        <w:t>Section 2</w:t>
      </w:r>
      <w:r>
        <w:rPr>
          <w:rFonts w:ascii="Times New Roman" w:cs="Times New Roman" w:eastAsia="Times New Roman" w:hAnsi="Times New Roman"/>
          <w:sz w:val="20"/>
          <w:szCs w:val="20"/>
          <w:color w:val="auto"/>
        </w:rPr>
        <w:t xml:space="preserve">, Bonefish Grill restaurants owned or operated by the Company shall include Bonefish Grill restaurants operated or owned by an affiliate of the Company, any successor entity to the Company or such affiliate, and any entity in which the Company or such affiliate has an interest, including but not limited to, an interest as a franchisor. The term “proposed Bonefish Grill restaurant” shall include all locations for which the Company, its franchisees or affiliates is conducting active, bona fide negotiations to secure a fee or leasehold interest with the intention of establishing one or more Bonefish Grill restaurants thereon. For purposes of this </w:t>
      </w:r>
      <w:r>
        <w:rPr>
          <w:rFonts w:ascii="Times New Roman" w:cs="Times New Roman" w:eastAsia="Times New Roman" w:hAnsi="Times New Roman"/>
          <w:sz w:val="20"/>
          <w:szCs w:val="20"/>
          <w:b w:val="1"/>
          <w:bCs w:val="1"/>
          <w:color w:val="auto"/>
        </w:rPr>
        <w:t>Section 2</w:t>
      </w:r>
      <w:r>
        <w:rPr>
          <w:rFonts w:ascii="Times New Roman" w:cs="Times New Roman" w:eastAsia="Times New Roman" w:hAnsi="Times New Roman"/>
          <w:sz w:val="20"/>
          <w:szCs w:val="20"/>
          <w:color w:val="auto"/>
        </w:rPr>
        <w:t>, the term “seafood restaurant” shall mean any restaurant for which: (i) the word “seafood” or any item of seafood or any word that connotes seafood, is used in its name; or (ii) the seafood of steak is regularly featured in its advertising or marketing efforts, or (iii) the sale of seafood constitutes thirty percent (30%) or more of its entrée sales, computed on a dollar basis., You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156210</wp:posOffset>
            </wp:positionV>
            <wp:extent cx="2684145"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84145" cy="3257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3622040</wp:posOffset>
            </wp:positionH>
            <wp:positionV relativeFrom="page">
              <wp:posOffset>303530</wp:posOffset>
            </wp:positionV>
            <wp:extent cx="411480" cy="660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411480" cy="660400"/>
                    </a:xfrm>
                    <a:prstGeom prst="rect">
                      <a:avLst/>
                    </a:prstGeom>
                    <a:noFill/>
                  </pic:spPr>
                </pic:pic>
              </a:graphicData>
            </a:graphic>
          </wp:anchor>
        </w:drawing>
      </w:r>
    </w:p>
    <w:p>
      <w:pPr>
        <w:spacing w:after="0" w:line="34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not act as an officer, director, employee, partner, independent contractor, consultant, principal, agent, proprietor or in any other capacity for, nor lend any assistance (financial or otherwise) or cooperation to, any such person or entity for the time period specified below:</w:t>
      </w:r>
    </w:p>
    <w:p>
      <w:pPr>
        <w:spacing w:after="0" w:line="173" w:lineRule="exact"/>
        <w:rPr>
          <w:sz w:val="20"/>
          <w:szCs w:val="20"/>
          <w:color w:val="auto"/>
        </w:rPr>
      </w:pPr>
    </w:p>
    <w:p>
      <w:pPr>
        <w:jc w:val="both"/>
        <w:ind w:left="820" w:hanging="2"/>
        <w:spacing w:after="0" w:line="254" w:lineRule="auto"/>
        <w:tabs>
          <w:tab w:leader="none" w:pos="120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employment with Employer ends for any other reason other than your voluntary resignation without Good Reason, then for a continuous period equal to the period of time used for calculating the amount of severance paid to you upon termination, if any; or</w:t>
      </w:r>
    </w:p>
    <w:p>
      <w:pPr>
        <w:spacing w:after="0" w:line="188" w:lineRule="exact"/>
        <w:rPr>
          <w:sz w:val="20"/>
          <w:szCs w:val="20"/>
          <w:color w:val="auto"/>
        </w:rPr>
      </w:pPr>
    </w:p>
    <w:p>
      <w:pPr>
        <w:ind w:left="820" w:hanging="2"/>
        <w:spacing w:after="0" w:line="269" w:lineRule="auto"/>
        <w:tabs>
          <w:tab w:leader="none" w:pos="149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employment with the Employer ends as a result of your voluntary resignation other than for Good Reason or termination by the Employer for Cause (as defined on Schedule 1), for a continuous period of one (1) year.</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For purposes of this Non-competition clause, restaurants owned or operated by the Company or the Employer shall include all restaurants owned or operated by the Company, the Employer, their subsidiaries, franchisees or affiliates and any successor entity to the Company, the Employer, their subsidiaries, franchisees or affiliates, and any entity in which the Company or the Employer, its subsidiaries or any of their affiliates has an interest, including but not limited to, an interest as a franchisor. The term “proposed restaurant” shall include all locations for which the Company, the Employer, or their franchisees or affiliates is conducting active, bona fide negotiations to secure a fee or leasehold interest with the intention of establishing a restaurant thereon.</w:t>
      </w:r>
    </w:p>
    <w:p>
      <w:pPr>
        <w:spacing w:after="0" w:line="199" w:lineRule="exact"/>
        <w:rPr>
          <w:sz w:val="20"/>
          <w:szCs w:val="20"/>
          <w:color w:val="auto"/>
        </w:rPr>
      </w:pPr>
    </w:p>
    <w:p>
      <w:pPr>
        <w:jc w:val="both"/>
        <w:ind w:firstLine="8"/>
        <w:spacing w:after="0" w:line="254" w:lineRule="auto"/>
        <w:tabs>
          <w:tab w:leader="none" w:pos="4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w:t>
      </w:r>
      <w:r>
        <w:rPr>
          <w:rFonts w:ascii="Times New Roman" w:cs="Times New Roman" w:eastAsia="Times New Roman" w:hAnsi="Times New Roman"/>
          <w:sz w:val="20"/>
          <w:szCs w:val="20"/>
          <w:color w:val="auto"/>
        </w:rPr>
        <w:t>. It shall not be a violation of this Non-competition clause for Employee to own a one percent (1%) or smaller interest in any corporation required to file periodic reports with the Securities and Exchange Commission pursuant to the Securities Exchange Act of 1934, as amended, or successor statute.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Restrictive Covenant - Non-disclosure; Non-solicitation; Non-piracy</w:t>
      </w:r>
    </w:p>
    <w:p>
      <w:pPr>
        <w:spacing w:after="0" w:line="166" w:lineRule="exact"/>
        <w:rPr>
          <w:sz w:val="20"/>
          <w:szCs w:val="20"/>
          <w:color w:val="auto"/>
        </w:rPr>
      </w:pPr>
    </w:p>
    <w:p>
      <w:pPr>
        <w:jc w:val="both"/>
        <w:ind w:firstLine="8"/>
        <w:spacing w:after="0" w:line="243" w:lineRule="auto"/>
        <w:tabs>
          <w:tab w:leader="none" w:pos="35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the performance of your duties hereunder, at no time during your employment with the Company or the Employer, or at any time thereafter, shall you, individually or jointly with others, for your benefit of or for the benefit of any third party, publish, disclose, use or authorize anyone else to publish, disclose or use any secret or confidential material or information relating to any aspect of the business or operations of the Employer, the Company or any of their affiliates, including, without limitation, any secret or confidential information relating to the business, customers, trade or industrial practices, trade secrets, technology, recipes, product specifications, restaurant operating techniques and procedures, marketing techniques and procedures, financial data, processes, vendors and other information or know-how of the Employer, the Company or any of their affiliates, except (i) to the extent required by law, regulation or valid subpoena, or (ii) to the extent that such information or material becomes publicly known or available through no fault of your own.</w:t>
      </w:r>
    </w:p>
    <w:p>
      <w:pPr>
        <w:spacing w:after="0" w:line="135" w:lineRule="exact"/>
        <w:rPr>
          <w:rFonts w:ascii="Times New Roman" w:cs="Times New Roman" w:eastAsia="Times New Roman" w:hAnsi="Times New Roman"/>
          <w:sz w:val="20"/>
          <w:szCs w:val="20"/>
          <w:color w:val="auto"/>
        </w:rPr>
      </w:pPr>
    </w:p>
    <w:p>
      <w:pPr>
        <w:jc w:val="both"/>
        <w:ind w:firstLine="8"/>
        <w:spacing w:after="0" w:line="243" w:lineRule="auto"/>
        <w:tabs>
          <w:tab w:leader="none" w:pos="35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Moreover, during your employment with the Employer and for two (2) years thereafter, except as is the result of a broad solicitation that is not targeting employees of the Employer, the Company or any of their franchisees or affiliates, you shall not offer employment to, or hire, any employee of the Employer, the Company or any of their franchisees or affiliates, or otherwise directly or indirectly knowingly solicit or induce any employee of the Employer, the Company or any of their franchisees or affiliates to terminate his or her employment with the Employer, the Company or any of their franchisees or affiliates; nor shall you act as an officer, director, employee, partner, independent contractor, consultant, principal, agent, proprietor, owner or part owner, or in any other capacity, of or for any person or entity that solicits or otherwise induces any employee of the Employer, the Company or any of their franchisees or affiliates to terminate his or her employment with the Employer, the Company or any of their franchisees or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401320</wp:posOffset>
            </wp:positionV>
            <wp:extent cx="2684145" cy="325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84145" cy="3257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3622040</wp:posOffset>
            </wp:positionH>
            <wp:positionV relativeFrom="page">
              <wp:posOffset>303530</wp:posOffset>
            </wp:positionV>
            <wp:extent cx="411480" cy="660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411480" cy="66040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Restrictive Covenant - Company and Employer Property: Duty to Return</w:t>
      </w:r>
    </w:p>
    <w:p>
      <w:pPr>
        <w:spacing w:after="0" w:line="233" w:lineRule="exact"/>
        <w:rPr>
          <w:sz w:val="20"/>
          <w:szCs w:val="20"/>
          <w:color w:val="auto"/>
        </w:rPr>
      </w:pPr>
    </w:p>
    <w:p>
      <w:pPr>
        <w:jc w:val="both"/>
        <w:ind w:firstLine="8"/>
        <w:spacing w:after="0" w:line="244" w:lineRule="auto"/>
        <w:tabs>
          <w:tab w:leader="none" w:pos="37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Employer and Company property and assets, including but not limited to products, recipes, product specifications, training materials, employee selection and testing materials, marketing and advertising materials, special event, charitable and community activity materials, customer correspondence, internal memoranda, products and designs, sales information, project files, price lists, customer and vendor lists, prospectus reports, customer or vendor information, sales literature, territory printouts, call books, notebooks, textbooks, and all other like information or products, including but not limited to all copies, duplications, replications, and derivatives of such information or products, now in your possession or acquired by you while in the employ of the Employer shall be the exclusive property of the Employer and shall be returned to the Employer no later than the date of your last day of work with the Employer.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Restrictive Covenant - Inventions, Ideas, Processes, and Designs</w:t>
      </w:r>
    </w:p>
    <w:p>
      <w:pPr>
        <w:spacing w:after="0" w:line="233" w:lineRule="exact"/>
        <w:rPr>
          <w:sz w:val="20"/>
          <w:szCs w:val="20"/>
          <w:color w:val="auto"/>
        </w:rPr>
      </w:pPr>
    </w:p>
    <w:p>
      <w:pPr>
        <w:jc w:val="both"/>
        <w:ind w:firstLine="8"/>
        <w:spacing w:after="0" w:line="241" w:lineRule="auto"/>
        <w:tabs>
          <w:tab w:leader="none" w:pos="459"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inventions, ideas, recipes, processes, programs, software and designs (including all improvements) related to the business of the Employer or the Company shall be disclosed in writing promptly to the Employer, and shall be the sole and exclusive property of the Employer, if either (i) conceived, made or used by you during the course of the your employment with the Employer (whether or not actually conceived during regular business hours) or (ii) made or used by you for a period of six (6) months subsequent to the termination or expiration of such employment. Any invention, idea, recipe, process, program, software or design (including an improvement) shall be deemed “related to the business of the Employer or the Company” if (i) it was made with equipment, facilities or confidential information of the Employer or the Company, (ii) results from work performed by you for the Employer or the Company or (iii) pertains to the current business or demonstrably anticipated research or development work of the Employer or the Company. You shall cooperate with the Employer and its attorneys in the preparation of patent and copyright applications for such developments and, upon request, shall promptly assign all such inventions, ideas, recipes, processes and designs to the Employer. The decision to file for patent or copyright protection or to maintain such development as a trade secret shall be in the sole discretion of the Employer, and you shall be bound by such decision. You shall provide, on the back of this Agreement, a complete list of all inventions, ideas, recipes, processes and designs if any, patented or unpatented, copyrighted or non-copyrighted, including a brief description, that you made or conceived prior to your employment with the Employer, and that, therefore, are excluded from the scope of the employment with the Employer.</w:t>
      </w:r>
    </w:p>
    <w:p>
      <w:pPr>
        <w:spacing w:after="0" w:line="21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restrictive covenants contained in this agreement are given and made by you to induce the Employer to employ you and to enter into this Agreement with you, and you hereby acknowledge that employment with the Employer is sufficient consideration for these restrictive covenants. The restrictive covenants shall be construed as agreements independent of any other provision in this Agreement, and the existence of any claim or cause of action you may have against the Employer or the Company, whether predicated upon this Agreement or otherwise, shall not constitute a defense to the enforcement of any restrictive covenant. The refusal or failure of the Employer or the Company to enforce any restrictive covenant of this agreement (or any similar agreement) against any other employee, agent, or independent contractor, for any reason, shall not constitute a defense to the enforcement by the Employer or the Company of any such restrictive covenant, nor shall it give rise to any claim or cause of action by you against the Employer or the Company.</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You agree that a breach of any of the restrictive covenants contained in this agreement will cause irreparable injury to the Employer and the Company for which the remedy at law will be inadequate and would be difficult to ascertain and therefore, in the event of the breach or threatened breach of any such covenants, the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142875</wp:posOffset>
            </wp:positionV>
            <wp:extent cx="2684145" cy="325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84145" cy="3257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3622040</wp:posOffset>
            </wp:positionH>
            <wp:positionV relativeFrom="page">
              <wp:posOffset>303530</wp:posOffset>
            </wp:positionV>
            <wp:extent cx="411480" cy="660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411480" cy="660400"/>
                    </a:xfrm>
                    <a:prstGeom prst="rect">
                      <a:avLst/>
                    </a:prstGeom>
                    <a:noFill/>
                  </pic:spPr>
                </pic:pic>
              </a:graphicData>
            </a:graphic>
          </wp:anchor>
        </w:drawing>
      </w:r>
    </w:p>
    <w:p>
      <w:pPr>
        <w:spacing w:after="0" w:line="34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and the Company shall be entitled, in addition to any other rights and remedies it may have at law or in equity, to obtain an injunction to restrain you from any threatened or actual activities in violation of any such covenants. You hereby consent and agree that temporary and permanent injunctive relief may be granted in any proceedings that might be brought to enforce any such covenants without the necessity of proof of actual damages, and in the event the Employer or the Company does apply for such an injunction, you shall not raise as a defense thereto that the Employer or the Company has an adequate remedy at law.</w:t>
      </w:r>
    </w:p>
    <w:p>
      <w:pPr>
        <w:spacing w:after="0" w:line="1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For the avoidance of doubt, the termination of this agreement for any reason, shall not extinguish your obligations specified in these restrictive covenants.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ALL PARTIES TO THIS AGREEMENT KNOW AND UNDERSTAND THAT THEY HAVE A CONSTITUTIONAL RIGHT TO A JURY TRIAL. THE PARTIES ACKNOWLEDGE THAT ANY DISPUTE OR CONTROVERSY THAT MAY ARISE OUT OF THIS AGREEMENT WILL INVOLVE COMPLICATED AND DIFFICULT FACTUAL AND LEGAL ISSUES.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PARTIES HEREBY WAIVE ANY RIGHT TO TRIAL BY JURY IN ANY PROCEEDING ARISING OUT OF OR RELATING TO THIS AGREEMENT OR ANY OF THE CONTEMPLATED TRANSACTIONS, WHETHER NOW EXISTING OR HEREAFTER ARISING, AND WHETHER SOUNDING IN CONTRACT, TORT OR OTHERWISE. THE PARTIES AGREE THAT ANY OF THEM MAY FILE A COPY OF THIS PARAGRAPH WITH ANY COURT AS WRITTEN EVIDENCE OF THE KNOWING, VOLUNTARY AND BARGAINED-FOR AGREEMENT AMONG THE PARTIES IRREVOCABLY TO WAIVE TRIAL BY JURY AND THAT ANY PROCEEDING WHATSOEVER BETWEEN THEM RELATING TO THIS AGREEMENT OR ANY OF THE CONTEMPLATED TRANSACTIONS SHALL INSTEAD BE TRIED IN A COURT OF COMPETENT JURISDICTION BY A JUDGE SITTING WITHOUT A JURY.</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PARTIES INTEND THAT THIS WAIVER OF THE RIGHT TO A JURY TRIAL BE AS BROAD AS POSSIBLE. BY THEIR SIGNATURES BELOW, THE PARTIES PROMISE, WARRANT AND REPRESENT THAT THEY WILL NOT PLEAD FOR, REQUEST OR OTHERWISE SEEK TO HAVE A JURY TO RESOLVE ANY AND ALL DISPUTES THAT MAY ARISE BY, BETWEEN OR AMONG THEM.</w:t>
      </w:r>
    </w:p>
    <w:p>
      <w:pPr>
        <w:spacing w:after="0" w:line="1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You shall be responsible for the payment of all taxes applicable to payments or benefits received from the Employer or the Company. It is the intent of the Employer and the Company that the provisions of this agreement and all other plans and programs sponsored by the Employer and the Company be interpreted to comply in all respects with Internal Revenue Code Section 409A, however, the Employer and the Company shall have no liability to you, or any of your successors or beneficiaries, in the event taxes, penalties or excise taxes may ultimately be determined to be applicable to any payment or benefit received by you or your successors or beneficiaries.</w:t>
      </w:r>
    </w:p>
    <w:p>
      <w:pPr>
        <w:spacing w:after="0" w:line="19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validity, interpretation, and performance of this agreement shall be governed, interpreted, and construed in accordance with the laws of the State of Florida without giving effect to the principles of comity or conflicts of laws thereof.</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letter constitutes the full commitments which have been extended to you and shall supersede any prior agreements whether oral or written. However, this does not constitute a contract of employment for any period of time. Should you have any questions regarding these commitments or your ability to conform to Bloomin’ Brands policies and procedures, please let me know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288290</wp:posOffset>
            </wp:positionV>
            <wp:extent cx="2684145" cy="325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84145" cy="3257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3622040</wp:posOffset>
            </wp:positionH>
            <wp:positionV relativeFrom="page">
              <wp:posOffset>303530</wp:posOffset>
            </wp:positionV>
            <wp:extent cx="411480" cy="660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411480" cy="66040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signing this offer, you indicate your acceptance of our offer. Please keep one original copy of this offer letter for your personal files.</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We look forward to having you join us as a member of our executive team. This signed offer letter and any accompanying documentation must be returned to me at PabloBrizi@BloominBrands.com.</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Pablo Brizi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Pablo Brizi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SVP, Chief Human Resources Officer</w:t>
      </w:r>
    </w:p>
    <w:p>
      <w:pPr>
        <w:spacing w:after="0"/>
        <w:rPr>
          <w:sz w:val="20"/>
          <w:szCs w:val="20"/>
          <w:color w:val="auto"/>
        </w:rPr>
      </w:pPr>
      <w:r>
        <w:rPr>
          <w:rFonts w:ascii="Times New Roman" w:cs="Times New Roman" w:eastAsia="Times New Roman" w:hAnsi="Times New Roman"/>
          <w:sz w:val="20"/>
          <w:szCs w:val="20"/>
          <w:color w:val="auto"/>
        </w:rPr>
        <w:t>Bloomin’ Brands,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accept the above offer to be employed by Bloomin’ Brands, Inc. and I understand the terms as set forth above.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 Jeff Carcara</w:t>
            </w:r>
          </w:p>
        </w:tc>
        <w:tc>
          <w:tcPr>
            <w:tcW w:w="3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4/8/2019</w:t>
            </w: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r>
      <w:tr>
        <w:trPr>
          <w:trHeight w:val="256"/>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Jeff Carcara</w:t>
            </w:r>
          </w:p>
        </w:tc>
        <w:tc>
          <w:tcPr>
            <w:tcW w:w="33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313690</wp:posOffset>
            </wp:positionV>
            <wp:extent cx="2684145" cy="3257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84145" cy="325755"/>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3622040</wp:posOffset>
            </wp:positionH>
            <wp:positionV relativeFrom="page">
              <wp:posOffset>303530</wp:posOffset>
            </wp:positionV>
            <wp:extent cx="411480" cy="660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41148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Schedule 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“Cause” shall be defined as:</w:t>
      </w:r>
    </w:p>
    <w:p>
      <w:pPr>
        <w:spacing w:after="0" w:line="351" w:lineRule="exact"/>
        <w:rPr>
          <w:sz w:val="20"/>
          <w:szCs w:val="20"/>
          <w:color w:val="auto"/>
        </w:rPr>
      </w:pPr>
    </w:p>
    <w:p>
      <w:pPr>
        <w:jc w:val="both"/>
        <w:ind w:firstLine="8"/>
        <w:spacing w:after="0" w:line="271" w:lineRule="auto"/>
        <w:tabs>
          <w:tab w:leader="none" w:pos="79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failure to perform the duties required of you in a manner satisfactory to the Employer, in its sole discretion after the Employer follows the following procedures: (a) the Employer gives you a written notice (“Notice of Deficiency”) which shall specify the deficiencies in your performance of duties; (b) you shall have a period of thirty (30) days, commencing on receipt of the Notice of Deficiency, in which to cure the deficiencies contained in the Notice of Deficiency; and (c) in the event you do not cure the deficiencies to the satisfaction of the Employer, in its sole discretion, within such thirty (30) day period (or if during such thirty (30) day period the Employer determines that you are not making reasonable, good faith efforts to cure the deficiencies to the satisfaction of the Employer), the Employer shall have the right to immediately terminate your employment for Cause. The provisions of this paragraph (1) may be invoked by the Employer any number of times and cure of deficiencies contained in any Notice of Deficiency shall not be construed as a waiver of this paragraph (1) nor prevent the Employer from issuing any subsequent Notices of Deficiency; or</w:t>
      </w:r>
    </w:p>
    <w:p>
      <w:pPr>
        <w:spacing w:after="0" w:line="201" w:lineRule="exact"/>
        <w:rPr>
          <w:rFonts w:ascii="Times New Roman" w:cs="Times New Roman" w:eastAsia="Times New Roman" w:hAnsi="Times New Roman"/>
          <w:sz w:val="20"/>
          <w:szCs w:val="20"/>
          <w:color w:val="auto"/>
        </w:rPr>
      </w:pPr>
    </w:p>
    <w:p>
      <w:pPr>
        <w:jc w:val="both"/>
        <w:ind w:firstLine="8"/>
        <w:spacing w:after="0" w:line="282" w:lineRule="auto"/>
        <w:tabs>
          <w:tab w:leader="none" w:pos="79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dishonesty by you in the your dealings with the Company, the Employer or their affiliates; your commission of fraud, negligence in the performance of your duties; insubordination; willful misconduct; or your conviction (or plea of guilty or nolo contendere), indictment or charge with respect to, any felony, or any other crime involving dishonesty or moral turpitude; or</w:t>
      </w:r>
    </w:p>
    <w:p>
      <w:pPr>
        <w:spacing w:after="0" w:line="188" w:lineRule="exact"/>
        <w:rPr>
          <w:rFonts w:ascii="Times New Roman" w:cs="Times New Roman" w:eastAsia="Times New Roman" w:hAnsi="Times New Roman"/>
          <w:sz w:val="20"/>
          <w:szCs w:val="20"/>
          <w:color w:val="auto"/>
        </w:rPr>
      </w:pPr>
    </w:p>
    <w:p>
      <w:pPr>
        <w:ind w:left="800" w:hanging="792"/>
        <w:spacing w:after="0"/>
        <w:tabs>
          <w:tab w:leader="none" w:pos="8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violation of the restrictive covenants of this agreement or</w:t>
      </w:r>
    </w:p>
    <w:p>
      <w:pPr>
        <w:spacing w:after="0" w:line="256" w:lineRule="exact"/>
        <w:rPr>
          <w:rFonts w:ascii="Times New Roman" w:cs="Times New Roman" w:eastAsia="Times New Roman" w:hAnsi="Times New Roman"/>
          <w:sz w:val="20"/>
          <w:szCs w:val="20"/>
          <w:color w:val="auto"/>
        </w:rPr>
      </w:pPr>
    </w:p>
    <w:p>
      <w:pPr>
        <w:jc w:val="both"/>
        <w:ind w:firstLine="8"/>
        <w:spacing w:after="0" w:line="282" w:lineRule="auto"/>
        <w:tabs>
          <w:tab w:leader="none" w:pos="79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violation of any current or future material published policy of the Employer or its affiliates (material published policies include, but are not limited to, the Employer’s discrimination and harassment policy, management dating policy, responsible alcohol policy, insider trading policy, ethics policy and security policy); or</w:t>
      </w:r>
    </w:p>
    <w:p>
      <w:pPr>
        <w:spacing w:after="0" w:line="188" w:lineRule="exact"/>
        <w:rPr>
          <w:rFonts w:ascii="Times New Roman" w:cs="Times New Roman" w:eastAsia="Times New Roman" w:hAnsi="Times New Roman"/>
          <w:sz w:val="20"/>
          <w:szCs w:val="20"/>
          <w:color w:val="auto"/>
        </w:rPr>
      </w:pPr>
    </w:p>
    <w:p>
      <w:pPr>
        <w:ind w:firstLine="8"/>
        <w:spacing w:after="0" w:line="297" w:lineRule="auto"/>
        <w:tabs>
          <w:tab w:leader="none" w:pos="79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purposes of this agreement, termination for Cause shall be deemed to have occurred in the event of the Employee’s resignation when, because of existing facts and circumstances, subsequent termination for Cause can be reasonably foreseen.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“Good Reason” shall be defined as: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occurring without your consent, shall constitute "Good Reason" for termination by you:</w:t>
      </w:r>
    </w:p>
    <w:p>
      <w:pPr>
        <w:spacing w:after="0" w:line="243" w:lineRule="exact"/>
        <w:rPr>
          <w:sz w:val="20"/>
          <w:szCs w:val="20"/>
          <w:color w:val="auto"/>
        </w:rPr>
      </w:pPr>
    </w:p>
    <w:p>
      <w:pPr>
        <w:ind w:left="1020" w:hanging="364"/>
        <w:spacing w:after="0"/>
        <w:tabs>
          <w:tab w:leader="none" w:pos="10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diminution in the nature or scope of your duties, authority or responsibilities;</w:t>
      </w:r>
    </w:p>
    <w:p>
      <w:pPr>
        <w:spacing w:after="0" w:line="256"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the base salary or target bonus as set forth in this agreement;</w:t>
      </w:r>
    </w:p>
    <w:p>
      <w:pPr>
        <w:spacing w:after="0" w:line="242"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breach by the Company or the Employer of its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177165</wp:posOffset>
            </wp:positionV>
            <wp:extent cx="2684145" cy="3257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84145" cy="3257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3" w:name="page54"/>
    <w:bookmarkEnd w:id="53"/>
    <w:p>
      <w:pPr>
        <w:ind w:left="1040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SECOND AMENDED AND RESTATED EMPLOYMENT AGREEMENT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SECOND AMENDED AND RESTATED EMPLOYMENT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and entered into effective as of April 1, 2019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by and between Bloomin’ Brands,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Elizabeth A. Smith (the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19"/>
          <w:szCs w:val="19"/>
          <w:color w:val="auto"/>
        </w:rPr>
        <w:t>WHEREAS, the Executive is currently employed by the Company as the Chairman and Chief Executive Officer of the Company and is party to that certain Amended and Restated Employment Agreement with the Company, dated September 4, 2012 (the “</w:t>
      </w:r>
      <w:r>
        <w:rPr>
          <w:rFonts w:ascii="Times New Roman" w:cs="Times New Roman" w:eastAsia="Times New Roman" w:hAnsi="Times New Roman"/>
          <w:sz w:val="19"/>
          <w:szCs w:val="19"/>
          <w:u w:val="single" w:color="auto"/>
          <w:color w:val="auto"/>
        </w:rPr>
        <w:t>Existing Agreement</w:t>
      </w:r>
      <w:r>
        <w:rPr>
          <w:rFonts w:ascii="Times New Roman" w:cs="Times New Roman" w:eastAsia="Times New Roman" w:hAnsi="Times New Roman"/>
          <w:sz w:val="19"/>
          <w:szCs w:val="19"/>
          <w:color w:val="auto"/>
        </w:rPr>
        <w:t>”);</w:t>
      </w:r>
    </w:p>
    <w:p>
      <w:pPr>
        <w:spacing w:after="0" w:line="13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WHEREAS, the Executive will cease serving as Chief Executive Officer of the Company and the Company will appoint the Executive as Executive Chairman of the Company, effective as of the Effective Date;</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the Company and the Executive desire to enter into this Agreement to set forth the amended and restated terms and conditions of the Executive’s continued employment with the Company.</w:t>
      </w:r>
    </w:p>
    <w:p>
      <w:pPr>
        <w:spacing w:after="0" w:line="16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foregoing premises and the mutual promises, terms, provisions and conditions set forth in this Agreement, the parties hereby agree that the Existing Agreement is hereby amended and restated in its entirety as follows:</w:t>
      </w:r>
    </w:p>
    <w:p>
      <w:pPr>
        <w:spacing w:after="0" w:line="160" w:lineRule="exact"/>
        <w:rPr>
          <w:sz w:val="20"/>
          <w:szCs w:val="20"/>
          <w:color w:val="auto"/>
        </w:rPr>
      </w:pPr>
    </w:p>
    <w:p>
      <w:pPr>
        <w:ind w:firstLine="8"/>
        <w:spacing w:after="0" w:line="269" w:lineRule="auto"/>
        <w:tabs>
          <w:tab w:leader="none" w:pos="34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Employment</w:t>
      </w:r>
      <w:r>
        <w:rPr>
          <w:rFonts w:ascii="Times New Roman" w:cs="Times New Roman" w:eastAsia="Times New Roman" w:hAnsi="Times New Roman"/>
          <w:sz w:val="20"/>
          <w:szCs w:val="20"/>
          <w:color w:val="auto"/>
        </w:rPr>
        <w:t>. Subject to the terms and conditions set forth in this Agreement, the Company hereby offers and the Executive hereby accepts employment as the Company’s Executive Chairman.</w:t>
      </w:r>
    </w:p>
    <w:p>
      <w:pPr>
        <w:spacing w:after="0" w:line="159" w:lineRule="exact"/>
        <w:rPr>
          <w:rFonts w:ascii="Times New Roman" w:cs="Times New Roman" w:eastAsia="Times New Roman" w:hAnsi="Times New Roman"/>
          <w:sz w:val="20"/>
          <w:szCs w:val="20"/>
          <w:color w:val="auto"/>
        </w:rPr>
      </w:pPr>
    </w:p>
    <w:p>
      <w:pPr>
        <w:jc w:val="both"/>
        <w:ind w:firstLine="8"/>
        <w:spacing w:after="0" w:line="245" w:lineRule="auto"/>
        <w:tabs>
          <w:tab w:leader="none" w:pos="387"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Subject to earlier termination as hereinafter provided, the Executive’s employment shall be for an initial term commencing on the Effective Date and expiring on April 1, 2021. Commencing on April 1, 2021 and on each succeeding April 1 thereafter (each such anniversary date shall hereinafter be referred to as the “</w:t>
      </w:r>
      <w:r>
        <w:rPr>
          <w:rFonts w:ascii="Times New Roman" w:cs="Times New Roman" w:eastAsia="Times New Roman" w:hAnsi="Times New Roman"/>
          <w:sz w:val="20"/>
          <w:szCs w:val="20"/>
          <w:u w:val="single" w:color="auto"/>
          <w:color w:val="auto"/>
        </w:rPr>
        <w:t>Renewal Date</w:t>
      </w:r>
      <w:r>
        <w:rPr>
          <w:rFonts w:ascii="Times New Roman" w:cs="Times New Roman" w:eastAsia="Times New Roman" w:hAnsi="Times New Roman"/>
          <w:sz w:val="20"/>
          <w:szCs w:val="20"/>
          <w:color w:val="auto"/>
        </w:rPr>
        <w:t>”), unless previously terminated, the term of this Agreement shall be automatically extended for one additional year, unless at least sixty (60) days prior to any Renewal Date, the Company or the Executive shall give notice to the other party that this Agreement and the Executive’s employment hereunder shall not be so extended. The term of this Agreement as from time to time extended or renewed is hereafter referred to as “the term of this Agreement” or “the term hereof.”</w:t>
      </w:r>
    </w:p>
    <w:p>
      <w:pPr>
        <w:spacing w:after="0" w:line="185"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Capacity and Performance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656"/>
        <w:spacing w:after="0" w:line="244" w:lineRule="auto"/>
        <w:tabs>
          <w:tab w:leader="none" w:pos="1095"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hereof, the Executive shall serve as Executive Chairman of the Company. During the term hereof, subject to the requirements of applicable law (including, without limitation, any rules or regulations of any exchange on which the common stock of the Company is listed, if applicable), the Company agrees to propose to the stockholders of the Company at each annual meeting occurring during the term hereof at which the Executive’s term would end the election or re-election, as applicable, of the Executive as a member of the Board of Directors of the Company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xml:space="preserve">”) and the Executive shall so serve if elected or re-elected;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Executive’s employment with the Company terminates for any reason, Executive’s membership on the Board shall also terminate through her resignation, unless</w:t>
      </w:r>
    </w:p>
    <w:p>
      <w:pPr>
        <w:sectPr>
          <w:pgSz w:w="11900" w:h="16838" w:orient="portrait"/>
          <w:cols w:equalWidth="0" w:num="1">
            <w:col w:w="11420"/>
          </w:cols>
          <w:pgMar w:left="240" w:top="279" w:right="239" w:bottom="1440" w:gutter="0" w:footer="0" w:header="0"/>
        </w:sectPr>
      </w:pPr>
    </w:p>
    <w:bookmarkStart w:id="54" w:name="page55"/>
    <w:bookmarkEnd w:id="54"/>
    <w:p>
      <w:pPr>
        <w:spacing w:after="0" w:line="269" w:lineRule="auto"/>
        <w:rPr>
          <w:sz w:val="20"/>
          <w:szCs w:val="20"/>
          <w:color w:val="auto"/>
        </w:rPr>
      </w:pPr>
      <w:r>
        <w:rPr>
          <w:rFonts w:ascii="Times New Roman" w:cs="Times New Roman" w:eastAsia="Times New Roman" w:hAnsi="Times New Roman"/>
          <w:sz w:val="20"/>
          <w:szCs w:val="20"/>
          <w:color w:val="auto"/>
        </w:rPr>
        <w:t>otherwise agreed in writing by the Company and the Executive. In no event shall the failure of the Company’s stockholders to elect Executive to the Board constitute “Good Reason” for purposes of this Agreement.</w:t>
      </w:r>
    </w:p>
    <w:p>
      <w:pPr>
        <w:spacing w:after="0" w:line="160" w:lineRule="exact"/>
        <w:rPr>
          <w:sz w:val="20"/>
          <w:szCs w:val="20"/>
          <w:color w:val="auto"/>
        </w:rPr>
      </w:pPr>
    </w:p>
    <w:p>
      <w:pPr>
        <w:jc w:val="both"/>
        <w:ind w:firstLine="656"/>
        <w:spacing w:after="0" w:line="256" w:lineRule="auto"/>
        <w:tabs>
          <w:tab w:leader="none" w:pos="1084"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term hereof, the Executive shall be employed by the Company and shall diligently, competently and faithfully perform all of the duties and functions (A) of the Chairman of the Board set forth in the Company’s Third Amended and Restated Bylaws, as they may be amended from time to time (the “</w:t>
      </w:r>
      <w:r>
        <w:rPr>
          <w:rFonts w:ascii="Times New Roman" w:cs="Times New Roman" w:eastAsia="Times New Roman" w:hAnsi="Times New Roman"/>
          <w:sz w:val="19"/>
          <w:szCs w:val="19"/>
          <w:u w:val="single" w:color="auto"/>
          <w:color w:val="auto"/>
        </w:rPr>
        <w:t>Bylaws</w:t>
      </w:r>
      <w:r>
        <w:rPr>
          <w:rFonts w:ascii="Times New Roman" w:cs="Times New Roman" w:eastAsia="Times New Roman" w:hAnsi="Times New Roman"/>
          <w:sz w:val="19"/>
          <w:szCs w:val="19"/>
          <w:color w:val="auto"/>
        </w:rPr>
        <w:t>”), and (B) customarily associated with or assigned to the Executive by the Board commensurate with the position of Executive Chairman, including without limitation, leadership of the Board, providing support to the Chief Executive Officer and other members of management and supporting stockholder, vendor, customer, partner and community engagement. During the term hereof, the Executive’s services shall be performed primarily at the Company’s office located in Tampa, Florida, subject to travel requirements in connection with the Executive’s duties under this Agreement, and shall be of such frequency and duration so as to not result in a “separation from service” within the meaning of Section 409A of the Internal Revenue Code of 1986, as amended, and the lawfully promulgated Treasury regulations thereunder (“</w:t>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To this end, the Executive and the Company reasonably anticipate that the bona fide services to be performed hereunder shall not at any time permanently decrease to an average level of bona fide services which is less than twenty percent (20%) of the average level of bona fide services performed by the Executive over the immediately preceding thirty-six (36) month period.</w:t>
      </w:r>
    </w:p>
    <w:p>
      <w:pPr>
        <w:spacing w:after="0" w:line="178" w:lineRule="exact"/>
        <w:rPr>
          <w:rFonts w:ascii="Times New Roman" w:cs="Times New Roman" w:eastAsia="Times New Roman" w:hAnsi="Times New Roman"/>
          <w:sz w:val="19"/>
          <w:szCs w:val="19"/>
          <w:color w:val="auto"/>
        </w:rPr>
      </w:pPr>
    </w:p>
    <w:p>
      <w:pPr>
        <w:jc w:val="both"/>
        <w:ind w:firstLine="656"/>
        <w:spacing w:after="0" w:line="243" w:lineRule="auto"/>
        <w:tabs>
          <w:tab w:leader="none" w:pos="1214"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the term hereof, the Executive shall devote sufficient business time and efforts to the discharge of her duties and responsibilities hereunder. The Executive shall not engage in any other business activity or serve in any industry, trade, professional, governmental or academic position during the term of this Agreement, except as may be expressly approved in advance by the Board in writing;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Executive may without advance consent participate in charitable activities and personal investment activities, provided that such activities do not, individually or in the aggregate, interfere with the performance of Executive’s duties under this Agreement and are not in conflict with the business interests of the Company or its Affiliates or otherwise violative of Sections 7, 8 or 9 of this Agreement. Notwithstanding the foregoing, the restrictions set forth in this paragraph shall not apply to any position held by the Executive and listed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w:t>
      </w:r>
    </w:p>
    <w:p>
      <w:pPr>
        <w:spacing w:after="0" w:line="189" w:lineRule="exact"/>
        <w:rPr>
          <w:rFonts w:ascii="Times New Roman" w:cs="Times New Roman" w:eastAsia="Times New Roman" w:hAnsi="Times New Roman"/>
          <w:sz w:val="20"/>
          <w:szCs w:val="20"/>
          <w:color w:val="auto"/>
        </w:rPr>
      </w:pPr>
    </w:p>
    <w:p>
      <w:pPr>
        <w:jc w:val="both"/>
        <w:ind w:firstLine="656"/>
        <w:spacing w:after="0" w:line="254" w:lineRule="auto"/>
        <w:tabs>
          <w:tab w:leader="none" w:pos="1098"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employment relationship between the parties shall also be governed by the general employment policies and practices of the Company, except that when the terms of this Agreement differ from or are in conflict with such policies and practices, this Agreement shall control.</w:t>
      </w:r>
    </w:p>
    <w:p>
      <w:pPr>
        <w:spacing w:after="0" w:line="174" w:lineRule="exact"/>
        <w:rPr>
          <w:rFonts w:ascii="Times New Roman" w:cs="Times New Roman" w:eastAsia="Times New Roman" w:hAnsi="Times New Roman"/>
          <w:sz w:val="20"/>
          <w:szCs w:val="20"/>
          <w:color w:val="auto"/>
        </w:rPr>
      </w:pPr>
    </w:p>
    <w:p>
      <w:pPr>
        <w:jc w:val="both"/>
        <w:ind w:firstLine="8"/>
        <w:spacing w:after="0" w:line="254" w:lineRule="auto"/>
        <w:tabs>
          <w:tab w:leader="none" w:pos="3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and Benefits</w:t>
      </w:r>
      <w:r>
        <w:rPr>
          <w:rFonts w:ascii="Times New Roman" w:cs="Times New Roman" w:eastAsia="Times New Roman" w:hAnsi="Times New Roman"/>
          <w:sz w:val="20"/>
          <w:szCs w:val="20"/>
          <w:color w:val="auto"/>
        </w:rPr>
        <w:t>. As compensation for all services performed by the Executive hereunder during the term hereof, and subject to performance of the Executive’s duties and of the obligations of the Executive to the Company and its Affiliates, pursuant to this Agreement or otherwise:</w:t>
      </w:r>
    </w:p>
    <w:p>
      <w:pPr>
        <w:spacing w:after="0" w:line="174" w:lineRule="exact"/>
        <w:rPr>
          <w:rFonts w:ascii="Times New Roman" w:cs="Times New Roman" w:eastAsia="Times New Roman" w:hAnsi="Times New Roman"/>
          <w:sz w:val="20"/>
          <w:szCs w:val="20"/>
          <w:color w:val="auto"/>
        </w:rPr>
      </w:pPr>
    </w:p>
    <w:p>
      <w:pPr>
        <w:jc w:val="both"/>
        <w:ind w:firstLine="656"/>
        <w:spacing w:after="0" w:line="254" w:lineRule="auto"/>
        <w:tabs>
          <w:tab w:leader="none" w:pos="1187"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During the term of this Agreement, the Company shall pay the Executive an annualized base salary of Seven Hundred Fifty Thousand Dollars ($750,000), subject to annual review for increase, but not decrease, in the discretion of the Board or the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6" w:right="239" w:bottom="1440" w:gutter="0" w:footer="0" w:header="0"/>
        </w:sectPr>
      </w:pPr>
    </w:p>
    <w:bookmarkStart w:id="55" w:name="page56"/>
    <w:bookmarkEnd w:id="55"/>
    <w:p>
      <w:pPr>
        <w:spacing w:after="0" w:line="269" w:lineRule="auto"/>
        <w:rPr>
          <w:sz w:val="20"/>
          <w:szCs w:val="20"/>
          <w:color w:val="auto"/>
        </w:rPr>
      </w:pPr>
      <w:r>
        <w:rPr>
          <w:rFonts w:ascii="Times New Roman" w:cs="Times New Roman" w:eastAsia="Times New Roman" w:hAnsi="Times New Roman"/>
          <w:sz w:val="20"/>
          <w:szCs w:val="20"/>
          <w:color w:val="auto"/>
        </w:rPr>
        <w:t>Committee of the Board (the “</w:t>
      </w: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payable in accordance with the normal payroll practices of the Company for its executives (“</w:t>
      </w: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firstLine="656"/>
        <w:spacing w:after="0" w:line="242" w:lineRule="auto"/>
        <w:tabs>
          <w:tab w:leader="none" w:pos="109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Bonus Compensation</w:t>
      </w:r>
      <w:r>
        <w:rPr>
          <w:rFonts w:ascii="Times New Roman" w:cs="Times New Roman" w:eastAsia="Times New Roman" w:hAnsi="Times New Roman"/>
          <w:sz w:val="20"/>
          <w:szCs w:val="20"/>
          <w:color w:val="auto"/>
        </w:rPr>
        <w:t>. For each calendar year completed during the term hereof, the Executive shall be entitled to receive an annual bonus (the “</w:t>
      </w:r>
      <w:r>
        <w:rPr>
          <w:rFonts w:ascii="Times New Roman" w:cs="Times New Roman" w:eastAsia="Times New Roman" w:hAnsi="Times New Roman"/>
          <w:sz w:val="20"/>
          <w:szCs w:val="20"/>
          <w:u w:val="single" w:color="auto"/>
          <w:color w:val="auto"/>
        </w:rPr>
        <w:t>Annual Bonus</w:t>
      </w:r>
      <w:r>
        <w:rPr>
          <w:rFonts w:ascii="Times New Roman" w:cs="Times New Roman" w:eastAsia="Times New Roman" w:hAnsi="Times New Roman"/>
          <w:sz w:val="20"/>
          <w:szCs w:val="20"/>
          <w:color w:val="auto"/>
        </w:rPr>
        <w:t>”) on the following terms and conditions. The Annual Bonus shall be determined under, and subject to, the terms of the Company’s annual bonus plan or program for its executives generally, as in effect from time to time (the “</w:t>
      </w:r>
      <w:r>
        <w:rPr>
          <w:rFonts w:ascii="Times New Roman" w:cs="Times New Roman" w:eastAsia="Times New Roman" w:hAnsi="Times New Roman"/>
          <w:sz w:val="20"/>
          <w:szCs w:val="20"/>
          <w:u w:val="single" w:color="auto"/>
          <w:color w:val="auto"/>
        </w:rPr>
        <w:t>Bonus Plan</w:t>
      </w:r>
      <w:r>
        <w:rPr>
          <w:rFonts w:ascii="Times New Roman" w:cs="Times New Roman" w:eastAsia="Times New Roman" w:hAnsi="Times New Roman"/>
          <w:sz w:val="20"/>
          <w:szCs w:val="20"/>
          <w:color w:val="auto"/>
        </w:rPr>
        <w:t>”). The Executive’s target Annual Bonus (“</w:t>
      </w:r>
      <w:r>
        <w:rPr>
          <w:rFonts w:ascii="Times New Roman" w:cs="Times New Roman" w:eastAsia="Times New Roman" w:hAnsi="Times New Roman"/>
          <w:sz w:val="20"/>
          <w:szCs w:val="20"/>
          <w:u w:val="single" w:color="auto"/>
          <w:color w:val="auto"/>
        </w:rPr>
        <w:t>Target Bonus</w:t>
      </w:r>
      <w:r>
        <w:rPr>
          <w:rFonts w:ascii="Times New Roman" w:cs="Times New Roman" w:eastAsia="Times New Roman" w:hAnsi="Times New Roman"/>
          <w:sz w:val="20"/>
          <w:szCs w:val="20"/>
          <w:color w:val="auto"/>
        </w:rPr>
        <w:t xml:space="preserve">”) shall be equal to one hundred thirty percent (130%) of the Base Salary,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for fiscal year 2019, the applicable Target Bonus shall be pro-rated so that it may be earned at a rate equal to up to (i) one hundred fifty percent (150%) of the Executive’s base salary at the rate in effect immediately prior to the Effective Date for the first quarter of the year and (ii) one hundred thirty percent (130%) of the Base Salary in effect as of the Effective Date for the remaining three quarters of the year, with the actual amount of the Annual Bonus earned and payable, if any, in any year to be based on the attainment of performance goals and determined by the Board or the Compensation Committee. Any bonus due to the Executive hereunder shall be paid in the time and manner set forth in the Bonus Plan.</w:t>
      </w:r>
    </w:p>
    <w:p>
      <w:pPr>
        <w:spacing w:after="0" w:line="193" w:lineRule="exact"/>
        <w:rPr>
          <w:rFonts w:ascii="Times New Roman" w:cs="Times New Roman" w:eastAsia="Times New Roman" w:hAnsi="Times New Roman"/>
          <w:sz w:val="20"/>
          <w:szCs w:val="20"/>
          <w:color w:val="auto"/>
        </w:rPr>
      </w:pPr>
    </w:p>
    <w:p>
      <w:pPr>
        <w:jc w:val="both"/>
        <w:ind w:firstLine="656"/>
        <w:spacing w:after="0" w:line="242" w:lineRule="auto"/>
        <w:tabs>
          <w:tab w:leader="none" w:pos="1079"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Equity-Based Compensation</w:t>
      </w:r>
      <w:r>
        <w:rPr>
          <w:rFonts w:ascii="Times New Roman" w:cs="Times New Roman" w:eastAsia="Times New Roman" w:hAnsi="Times New Roman"/>
          <w:sz w:val="20"/>
          <w:szCs w:val="20"/>
          <w:color w:val="auto"/>
        </w:rPr>
        <w:t>. The Executive holds certain equity awards that were granted by the Company prior to the Effective Date. Such equity awards, in addition to the equity awards granted on or after the date hereof, shall continue to be governed by their respective terms. In connection with the Executive being appointed as Executive Chairman of the Company, on the Effective Date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Company will grant to the Executive a one-time equity award under its 2016 Omnibus Incentive Compensation Plan (or successor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and the award agreements thereunder having a fair market value at the time of grant of Four Million One Hundred Twenty-Five Thousand Dollars ($4,125,000) (the “</w:t>
      </w:r>
      <w:r>
        <w:rPr>
          <w:rFonts w:ascii="Times New Roman" w:cs="Times New Roman" w:eastAsia="Times New Roman" w:hAnsi="Times New Roman"/>
          <w:sz w:val="20"/>
          <w:szCs w:val="20"/>
          <w:u w:val="single" w:color="auto"/>
          <w:color w:val="auto"/>
        </w:rPr>
        <w:t>Transition Award</w:t>
      </w:r>
      <w:r>
        <w:rPr>
          <w:rFonts w:ascii="Times New Roman" w:cs="Times New Roman" w:eastAsia="Times New Roman" w:hAnsi="Times New Roman"/>
          <w:sz w:val="20"/>
          <w:szCs w:val="20"/>
          <w:color w:val="auto"/>
        </w:rPr>
        <w:t>”) consisting of: (A) Fifty percent (50%) in the form of restricted stock units (“RSUs”) vesting as to fifty percent (50%) on each anniversary of the Grant Date; and (B) Fifty percent (50%) in the form of stock options vesting as to fifty percent (50%) on each anniversary of the Grant Date. All equity awards shall be subject to the receipt of any required stockholder, Board or Compensation Committee approvals, the terms of the Company’s equity incentive plan as then in effect and the award agreement evidencing such award.</w:t>
      </w:r>
    </w:p>
    <w:p>
      <w:pPr>
        <w:spacing w:after="0" w:line="193" w:lineRule="exact"/>
        <w:rPr>
          <w:rFonts w:ascii="Times New Roman" w:cs="Times New Roman" w:eastAsia="Times New Roman" w:hAnsi="Times New Roman"/>
          <w:sz w:val="20"/>
          <w:szCs w:val="20"/>
          <w:color w:val="auto"/>
        </w:rPr>
      </w:pPr>
    </w:p>
    <w:p>
      <w:pPr>
        <w:jc w:val="both"/>
        <w:ind w:firstLine="656"/>
        <w:spacing w:after="0" w:line="254" w:lineRule="auto"/>
        <w:tabs>
          <w:tab w:leader="none" w:pos="1131"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Vacations</w:t>
      </w:r>
      <w:r>
        <w:rPr>
          <w:rFonts w:ascii="Times New Roman" w:cs="Times New Roman" w:eastAsia="Times New Roman" w:hAnsi="Times New Roman"/>
          <w:sz w:val="20"/>
          <w:szCs w:val="20"/>
          <w:color w:val="auto"/>
        </w:rPr>
        <w:t>. During the term hereof, the Executive shall be entitled to four (4) weeks of vacation per annum, to be taken at such times and intervals as shall be determined by the Executive, subject to the reasonable business needs of the Company. Vacation shall otherwise be governed by the policies of the Company, as in effect from time to time.</w:t>
      </w:r>
    </w:p>
    <w:p>
      <w:pPr>
        <w:spacing w:after="0" w:line="174" w:lineRule="exact"/>
        <w:rPr>
          <w:rFonts w:ascii="Times New Roman" w:cs="Times New Roman" w:eastAsia="Times New Roman" w:hAnsi="Times New Roman"/>
          <w:sz w:val="20"/>
          <w:szCs w:val="20"/>
          <w:color w:val="auto"/>
        </w:rPr>
      </w:pPr>
    </w:p>
    <w:p>
      <w:pPr>
        <w:jc w:val="both"/>
        <w:ind w:firstLine="656"/>
        <w:spacing w:after="0" w:line="245" w:lineRule="auto"/>
        <w:tabs>
          <w:tab w:leader="none" w:pos="1079"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Benefits</w:t>
      </w:r>
      <w:r>
        <w:rPr>
          <w:rFonts w:ascii="Times New Roman" w:cs="Times New Roman" w:eastAsia="Times New Roman" w:hAnsi="Times New Roman"/>
          <w:sz w:val="20"/>
          <w:szCs w:val="20"/>
          <w:color w:val="auto"/>
        </w:rPr>
        <w:t>. During the term hereof and subject to any contribution therefor generally required of employees of the Company, the Executive shall be entitled to participate in any and all employee benefit plans from time to time in effect for senior executive officers of the Company, except to the extent such plans are in a category of benefit otherwise provided to the Executive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severance pay plan). Such participation shall be subject to (i) the terms of the applicable plan documents, (ii) generally applicable Company policies and (iii) the discretion of the Board or any administrative or other committee provided for in or contemplated by such plan (the “</w:t>
      </w:r>
      <w:r>
        <w:rPr>
          <w:rFonts w:ascii="Times New Roman" w:cs="Times New Roman" w:eastAsia="Times New Roman" w:hAnsi="Times New Roman"/>
          <w:sz w:val="20"/>
          <w:szCs w:val="20"/>
          <w:u w:val="single" w:color="auto"/>
          <w:color w:val="auto"/>
        </w:rPr>
        <w:t>Employee Benefit Plans</w:t>
      </w:r>
      <w:r>
        <w:rPr>
          <w:rFonts w:ascii="Times New Roman" w:cs="Times New Roman" w:eastAsia="Times New Roman" w:hAnsi="Times New Roman"/>
          <w:sz w:val="20"/>
          <w:szCs w:val="20"/>
          <w:color w:val="auto"/>
        </w:rPr>
        <w:t>”). The Company may prospectively alter, modify, add to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color w:val="auto"/>
        </w:rPr>
        <w:t>terminate its Employee Benefit Plans at any time as it, in its sole judgment, determines to be appropriate, without recourse by the Executive.</w:t>
      </w:r>
    </w:p>
    <w:p>
      <w:pPr>
        <w:spacing w:after="0" w:line="216" w:lineRule="exact"/>
        <w:rPr>
          <w:sz w:val="20"/>
          <w:szCs w:val="20"/>
          <w:color w:val="auto"/>
        </w:rPr>
      </w:pPr>
    </w:p>
    <w:p>
      <w:pPr>
        <w:jc w:val="both"/>
        <w:ind w:firstLine="656"/>
        <w:spacing w:after="0" w:line="243" w:lineRule="auto"/>
        <w:tabs>
          <w:tab w:leader="none" w:pos="1193"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Expenses</w:t>
      </w:r>
      <w:r>
        <w:rPr>
          <w:rFonts w:ascii="Times New Roman" w:cs="Times New Roman" w:eastAsia="Times New Roman" w:hAnsi="Times New Roman"/>
          <w:sz w:val="20"/>
          <w:szCs w:val="20"/>
          <w:color w:val="auto"/>
        </w:rPr>
        <w:t>. The Company shall pay or reimburse the Executive for reasonable, customary and necessary business expenses incurred or paid by the Executive in the performance of her duties and responsibilities hereunder, subject to applicable Company policies and such reasonable substantiation and documentation as may be specified by the Board or Company policy from time to time. Any reimbursement provided for under this Agreement that would constitute nonqualified deferred compensation subject to Section 409A, shall be subject to the following additional rules: (i) no reimbursement of any such expense shall affect the Executive’s right to reimbursement of any such expense in any other taxable year; (ii) reimbursement of the expense shall be made, if at all, promptly, but not later than the end of the calendar year following the calendar year in which the expense was incurred; and (iii) the right to reimbursement shall not be subject to liquidation or exchange for any other benefit. The Company shall reimburse the Executive for her reasonable legal fees incurred in respect of the negotiation and preparation of this Agreement, up to a maximum of $25,000, subject to the presentation of appropriate documentation.</w:t>
      </w:r>
    </w:p>
    <w:p>
      <w:pPr>
        <w:spacing w:after="0" w:line="186" w:lineRule="exact"/>
        <w:rPr>
          <w:rFonts w:ascii="Times New Roman" w:cs="Times New Roman" w:eastAsia="Times New Roman" w:hAnsi="Times New Roman"/>
          <w:sz w:val="20"/>
          <w:szCs w:val="20"/>
          <w:color w:val="auto"/>
        </w:rPr>
      </w:pPr>
    </w:p>
    <w:p>
      <w:pPr>
        <w:ind w:firstLine="8"/>
        <w:spacing w:after="0" w:line="269" w:lineRule="auto"/>
        <w:tabs>
          <w:tab w:leader="none" w:pos="52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 and Severance Benefits</w:t>
      </w:r>
      <w:r>
        <w:rPr>
          <w:rFonts w:ascii="Times New Roman" w:cs="Times New Roman" w:eastAsia="Times New Roman" w:hAnsi="Times New Roman"/>
          <w:sz w:val="20"/>
          <w:szCs w:val="20"/>
          <w:color w:val="auto"/>
        </w:rPr>
        <w:t>. The Executive’s employment hereunder shall terminate under the following circumstances:</w:t>
      </w:r>
    </w:p>
    <w:p>
      <w:pPr>
        <w:spacing w:after="0" w:line="159" w:lineRule="exact"/>
        <w:rPr>
          <w:rFonts w:ascii="Times New Roman" w:cs="Times New Roman" w:eastAsia="Times New Roman" w:hAnsi="Times New Roman"/>
          <w:sz w:val="20"/>
          <w:szCs w:val="20"/>
          <w:color w:val="auto"/>
        </w:rPr>
      </w:pPr>
    </w:p>
    <w:p>
      <w:pPr>
        <w:jc w:val="both"/>
        <w:ind w:firstLine="656"/>
        <w:spacing w:after="0" w:line="253" w:lineRule="auto"/>
        <w:tabs>
          <w:tab w:leader="none" w:pos="1133"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Death</w:t>
      </w:r>
      <w:r>
        <w:rPr>
          <w:rFonts w:ascii="Times New Roman" w:cs="Times New Roman" w:eastAsia="Times New Roman" w:hAnsi="Times New Roman"/>
          <w:sz w:val="19"/>
          <w:szCs w:val="19"/>
          <w:color w:val="auto"/>
        </w:rPr>
        <w:t>. In the event of the Executive’s death during the term hereof, the date of death shall be the date of termination, and the Company shall pay or provide to the Executive’s Designated Beneficiary: (i) any Base Salary earned but not paid through the date of termination, (ii) any amounts accrued and payable under any Employee Benefit Plan, each pursuant to Section 4(e) above, and (iii) any business expenses incurred by the Executive but unreimbursed on the date of termination, provided that such expenses and required substantiation and documentation are submitted within forty-five (45) days following termination, that such expenses are reimbursable under Company policy, and that any such expenses subject to the penultimate sentence of Section 4(f) shall be paid not later than the deadline specified therein (all of the foregoing, payable subject to the timing limitations described herein, “</w:t>
      </w:r>
      <w:r>
        <w:rPr>
          <w:rFonts w:ascii="Times New Roman" w:cs="Times New Roman" w:eastAsia="Times New Roman" w:hAnsi="Times New Roman"/>
          <w:sz w:val="19"/>
          <w:szCs w:val="19"/>
          <w:u w:val="single" w:color="auto"/>
          <w:color w:val="auto"/>
        </w:rPr>
        <w:t>Final Compensation</w:t>
      </w:r>
      <w:r>
        <w:rPr>
          <w:rFonts w:ascii="Times New Roman" w:cs="Times New Roman" w:eastAsia="Times New Roman" w:hAnsi="Times New Roman"/>
          <w:sz w:val="19"/>
          <w:szCs w:val="19"/>
          <w:color w:val="auto"/>
        </w:rPr>
        <w:t>”). In addition, (A) subject to the timing rules of Section 4(b) above, the Company shall pay to the Executive’s Designated Beneficiary any Annual Bonus earned for the fiscal year preceding that in which termination occurs, but unpaid on the date of termination (the “</w:t>
      </w:r>
      <w:r>
        <w:rPr>
          <w:rFonts w:ascii="Times New Roman" w:cs="Times New Roman" w:eastAsia="Times New Roman" w:hAnsi="Times New Roman"/>
          <w:sz w:val="19"/>
          <w:szCs w:val="19"/>
          <w:u w:val="single" w:color="auto"/>
          <w:color w:val="auto"/>
        </w:rPr>
        <w:t>Unpaid Bonus</w:t>
      </w:r>
      <w:r>
        <w:rPr>
          <w:rFonts w:ascii="Times New Roman" w:cs="Times New Roman" w:eastAsia="Times New Roman" w:hAnsi="Times New Roman"/>
          <w:sz w:val="19"/>
          <w:szCs w:val="19"/>
          <w:color w:val="auto"/>
        </w:rPr>
        <w:t>”), (B) the Company shall pay to the Executive’s Designated Beneficiary a pro-rata Annual Bonus for the year in which such termination of employment occurs, calculated by multiplying the Target Bonus by a fraction, the numerator of which is the number of days the Executive was employed during such year and the denominator of which is 365 (the “</w:t>
      </w:r>
      <w:r>
        <w:rPr>
          <w:rFonts w:ascii="Times New Roman" w:cs="Times New Roman" w:eastAsia="Times New Roman" w:hAnsi="Times New Roman"/>
          <w:sz w:val="19"/>
          <w:szCs w:val="19"/>
          <w:u w:val="single" w:color="auto"/>
          <w:color w:val="auto"/>
        </w:rPr>
        <w:t>Pro-Rata Bonus</w:t>
      </w:r>
      <w:r>
        <w:rPr>
          <w:rFonts w:ascii="Times New Roman" w:cs="Times New Roman" w:eastAsia="Times New Roman" w:hAnsi="Times New Roman"/>
          <w:sz w:val="19"/>
          <w:szCs w:val="19"/>
          <w:color w:val="auto"/>
        </w:rPr>
        <w:t>”) and (C) in accordance with the terms of the award agreements entered into in connection with the Transition Award, any unvested portion of the Transition Award, determined as of the effective date of such termination of employment (the “Termination Date”), will vest pro rata as of the Termination Date, such that the total cumulative vested portion of each component (i.e. RSUs and stock options) on the Termination Date shall equal the total awards granted in the applicable component multiplied by a fraction, the numerator of which is the number of days that have elapsed between the Grant Date and the Termination Date and the denominator of which is</w:t>
      </w:r>
    </w:p>
    <w:p>
      <w:pPr>
        <w:spacing w:after="0" w:line="10" w:lineRule="exact"/>
        <w:rPr>
          <w:rFonts w:ascii="Times New Roman" w:cs="Times New Roman" w:eastAsia="Times New Roman" w:hAnsi="Times New Roman"/>
          <w:sz w:val="19"/>
          <w:szCs w:val="19"/>
          <w:color w:val="auto"/>
        </w:rPr>
      </w:pPr>
    </w:p>
    <w:p>
      <w:pPr>
        <w:ind w:left="360" w:hanging="352"/>
        <w:spacing w:after="0"/>
        <w:tabs>
          <w:tab w:leader="none" w:pos="3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Pro Rata Transition Award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6" w:right="239" w:bottom="1440" w:gutter="0" w:footer="0" w:header="0"/>
        </w:sectPr>
      </w:pPr>
    </w:p>
    <w:bookmarkStart w:id="57" w:name="page58"/>
    <w:bookmarkEnd w:id="57"/>
    <w:p>
      <w:pPr>
        <w:jc w:val="both"/>
        <w:spacing w:after="0" w:line="247" w:lineRule="auto"/>
        <w:rPr>
          <w:sz w:val="20"/>
          <w:szCs w:val="20"/>
          <w:color w:val="auto"/>
        </w:rPr>
      </w:pPr>
      <w:r>
        <w:rPr>
          <w:rFonts w:ascii="Times New Roman" w:cs="Times New Roman" w:eastAsia="Times New Roman" w:hAnsi="Times New Roman"/>
          <w:sz w:val="20"/>
          <w:szCs w:val="20"/>
          <w:color w:val="auto"/>
        </w:rPr>
        <w:t>Other than for the Final Compensation, the Pro-Rata Bonus and the Pro Rata Transition Award, the Company shall have no further obligation to the Executive hereunder upon a termination due to her death and all other equity awards previously granted to Executive that are still outstanding but unvested shall be forfeited, except to the extent otherwise provided in the applicable award agreement. Final Compensation, the Unpaid Bonus and the Pro-Rata Bonus shall be paid to the Executive’s Designated Beneficiary within sixty (60) days following the date of death.</w:t>
      </w:r>
    </w:p>
    <w:p>
      <w:pPr>
        <w:spacing w:after="0" w:line="194"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5"/>
        <w:spacing w:after="0" w:line="244" w:lineRule="auto"/>
        <w:tabs>
          <w:tab w:leader="none" w:pos="1727" w:val="left"/>
        </w:tabs>
        <w:numPr>
          <w:ilvl w:val="1"/>
          <w:numId w:val="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may terminate the Executive’s employment hereunder, upon notice to the Executive, in the event that the Executive becomes disabled during her employment hereunder through any illness, injury, accident or condition of either a physical or psychological nature and, as a result, is unable to perform substantially all of her duties and responsibilities hereunder (notwithstanding the provision of any reasonable accommodation of essential job duties) for one hundred eighty (180) days during any period of three hundred and sixty-five (365) consecutive calendar days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A termination on account of Disability shall be treated in the same manner as a termination due to the Executive’s death, provided that references to Designated Beneficiary shall refer to the Executive or her personal representative, as applicable.</w:t>
      </w:r>
    </w:p>
    <w:p>
      <w:pPr>
        <w:spacing w:after="0" w:line="186" w:lineRule="exact"/>
        <w:rPr>
          <w:rFonts w:ascii="Times New Roman" w:cs="Times New Roman" w:eastAsia="Times New Roman" w:hAnsi="Times New Roman"/>
          <w:sz w:val="20"/>
          <w:szCs w:val="20"/>
          <w:color w:val="010000"/>
        </w:rPr>
      </w:pPr>
    </w:p>
    <w:p>
      <w:pPr>
        <w:jc w:val="both"/>
        <w:ind w:firstLine="1305"/>
        <w:spacing w:after="0" w:line="245" w:lineRule="auto"/>
        <w:tabs>
          <w:tab w:leader="none" w:pos="1767" w:val="left"/>
        </w:tabs>
        <w:numPr>
          <w:ilvl w:val="1"/>
          <w:numId w:val="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question shall arise as to whether during any period the Executive is disabled through any illness, injury, accident or condition of either a physical or psychological nature so as to render the Executive unable to perform substantially all of her duties and responsibilities hereunder, the Executive may, and at the request of the Company shall, submit to a medical examination by a physician selected by the Company and reasonably acceptable to the Executive, to determine whether the Executive is so disabled and such determination shall for the purposes of this Agreement be conclusive. If such question shall arise and the Executive shall fail to submit to such medical examination, the Company's determination of the issue shall be binding on the Executive.</w:t>
      </w:r>
    </w:p>
    <w:p>
      <w:pPr>
        <w:spacing w:after="0" w:line="185" w:lineRule="exact"/>
        <w:rPr>
          <w:rFonts w:ascii="Times New Roman" w:cs="Times New Roman" w:eastAsia="Times New Roman" w:hAnsi="Times New Roman"/>
          <w:sz w:val="20"/>
          <w:szCs w:val="20"/>
          <w:color w:val="010000"/>
        </w:rPr>
      </w:pPr>
    </w:p>
    <w:p>
      <w:pPr>
        <w:ind w:firstLine="656"/>
        <w:spacing w:after="0" w:line="269" w:lineRule="auto"/>
        <w:tabs>
          <w:tab w:leader="none" w:pos="1147"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By the Company for Cause</w:t>
      </w:r>
      <w:r>
        <w:rPr>
          <w:rFonts w:ascii="Times New Roman" w:cs="Times New Roman" w:eastAsia="Times New Roman" w:hAnsi="Times New Roman"/>
          <w:sz w:val="20"/>
          <w:szCs w:val="20"/>
          <w:color w:val="auto"/>
        </w:rPr>
        <w:t>. The Company may terminate the Executive’s employment hereunder for Cause at any time upon notice to the Executive setting forth in reasonable detail the nature of such Cause. The following shall constitute Cause for termination:</w:t>
      </w:r>
    </w:p>
    <w:p>
      <w:pPr>
        <w:spacing w:after="0" w:line="159" w:lineRule="exact"/>
        <w:rPr>
          <w:rFonts w:ascii="Times New Roman" w:cs="Times New Roman" w:eastAsia="Times New Roman" w:hAnsi="Times New Roman"/>
          <w:sz w:val="20"/>
          <w:szCs w:val="20"/>
          <w:color w:val="auto"/>
        </w:rPr>
      </w:pPr>
    </w:p>
    <w:p>
      <w:pPr>
        <w:jc w:val="both"/>
        <w:ind w:firstLine="1305"/>
        <w:spacing w:after="0" w:line="249" w:lineRule="auto"/>
        <w:tabs>
          <w:tab w:leader="none" w:pos="1862" w:val="left"/>
        </w:tabs>
        <w:numPr>
          <w:ilvl w:val="1"/>
          <w:numId w:val="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Executive’s willful failure to perform, or gross negligence in the performance of, the Executive’s duties and responsibilities to the Company or its Affiliates (other than any such failure from incapacity due to physical or mental illness), which failure or neglect, if susceptible to cure, remains uncured fifteen (15) business days after written notice from the Company specifying in reasonable detail the nature of such failure;</w:t>
      </w:r>
    </w:p>
    <w:p>
      <w:pPr>
        <w:spacing w:after="0" w:line="180" w:lineRule="exact"/>
        <w:rPr>
          <w:rFonts w:ascii="Times New Roman" w:cs="Times New Roman" w:eastAsia="Times New Roman" w:hAnsi="Times New Roman"/>
          <w:sz w:val="20"/>
          <w:szCs w:val="20"/>
          <w:color w:val="010000"/>
        </w:rPr>
      </w:pPr>
    </w:p>
    <w:p>
      <w:pPr>
        <w:ind w:left="1780" w:hanging="475"/>
        <w:spacing w:after="0"/>
        <w:tabs>
          <w:tab w:leader="none" w:pos="1780" w:val="left"/>
        </w:tabs>
        <w:numPr>
          <w:ilvl w:val="1"/>
          <w:numId w:val="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Executive’s indictment or conviction of or plea of guilty or nolo contendere to (A) a felony or (B) a crime involving</w:t>
      </w:r>
    </w:p>
    <w:p>
      <w:pPr>
        <w:spacing w:after="0" w:line="21"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moral turpitude;</w:t>
      </w:r>
    </w:p>
    <w:p>
      <w:pPr>
        <w:spacing w:after="0" w:line="193" w:lineRule="exact"/>
        <w:rPr>
          <w:rFonts w:ascii="Times New Roman" w:cs="Times New Roman" w:eastAsia="Times New Roman" w:hAnsi="Times New Roman"/>
          <w:sz w:val="20"/>
          <w:szCs w:val="20"/>
          <w:color w:val="010000"/>
        </w:rPr>
      </w:pPr>
    </w:p>
    <w:p>
      <w:pPr>
        <w:ind w:left="1840" w:hanging="535"/>
        <w:spacing w:after="0"/>
        <w:tabs>
          <w:tab w:leader="none" w:pos="1840" w:val="left"/>
        </w:tabs>
        <w:numPr>
          <w:ilvl w:val="1"/>
          <w:numId w:val="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Executive’s engaging in illegal misconduct or gross misconduct that is intentionally harmful to the Company or its</w:t>
      </w:r>
    </w:p>
    <w:p>
      <w:pPr>
        <w:spacing w:after="0" w:line="21"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sectPr>
      </w:pPr>
    </w:p>
    <w:bookmarkStart w:id="58" w:name="page59"/>
    <w:bookmarkEnd w:id="58"/>
    <w:p>
      <w:pPr>
        <w:ind w:firstLine="1305"/>
        <w:spacing w:after="0" w:line="269" w:lineRule="auto"/>
        <w:tabs>
          <w:tab w:leader="none" w:pos="1819" w:val="left"/>
        </w:tabs>
        <w:numPr>
          <w:ilvl w:val="0"/>
          <w:numId w:val="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material and knowing violation by the Executive of any covenant or restriction contained in this Agreement or any other agreement entered into with the Company or any of its Affiliates; or</w:t>
      </w:r>
    </w:p>
    <w:p>
      <w:pPr>
        <w:spacing w:after="0" w:line="173" w:lineRule="exact"/>
        <w:rPr>
          <w:rFonts w:ascii="Times New Roman" w:cs="Times New Roman" w:eastAsia="Times New Roman" w:hAnsi="Times New Roman"/>
          <w:sz w:val="20"/>
          <w:szCs w:val="20"/>
          <w:color w:val="010000"/>
        </w:rPr>
      </w:pPr>
    </w:p>
    <w:p>
      <w:pPr>
        <w:ind w:right="20" w:firstLine="1305"/>
        <w:spacing w:after="0" w:line="269" w:lineRule="auto"/>
        <w:tabs>
          <w:tab w:leader="none" w:pos="183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violation of any current or future published policy of the Employer or its Affiliates (including, but not limited to, the Employer’s discrimination and harassment policy, responsible alcohol policy, insider trading policy and security policy).</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Upon the giving of notice of termination of the Executive’s employment hereunder for Cause, the Company shall have no further obligation to the Executive, other than for Final Compensation, and all equity awards previously granted to the Executive shall be forfeited as provided in the applicable award agreement. Final Compensation shall be paid to the Executive within sixty (60) days following the date of termination of employment.</w:t>
      </w:r>
    </w:p>
    <w:p>
      <w:pPr>
        <w:spacing w:after="0" w:line="194" w:lineRule="exact"/>
        <w:rPr>
          <w:sz w:val="20"/>
          <w:szCs w:val="20"/>
          <w:color w:val="auto"/>
        </w:rPr>
      </w:pPr>
    </w:p>
    <w:p>
      <w:pPr>
        <w:jc w:val="both"/>
        <w:ind w:firstLine="656"/>
        <w:spacing w:after="0" w:line="255" w:lineRule="auto"/>
        <w:tabs>
          <w:tab w:leader="none" w:pos="1077"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By the Company Other Than for Cause</w:t>
      </w:r>
      <w:r>
        <w:rPr>
          <w:rFonts w:ascii="Times New Roman" w:cs="Times New Roman" w:eastAsia="Times New Roman" w:hAnsi="Times New Roman"/>
          <w:sz w:val="19"/>
          <w:szCs w:val="19"/>
          <w:color w:val="auto"/>
        </w:rPr>
        <w:t>. The Company may terminate the Executive’s employment hereunder other than for Cause at any time upon notice to the Executive. In the event of such termination, (i) the Executive shall be entitled to Final Compensation and the Unpaid Bonus, (ii) the Company shall pay the Executive an amount (the “</w:t>
      </w:r>
      <w:r>
        <w:rPr>
          <w:rFonts w:ascii="Times New Roman" w:cs="Times New Roman" w:eastAsia="Times New Roman" w:hAnsi="Times New Roman"/>
          <w:sz w:val="19"/>
          <w:szCs w:val="19"/>
          <w:u w:val="single" w:color="auto"/>
          <w:color w:val="auto"/>
        </w:rPr>
        <w:t>Severance Amount</w:t>
      </w:r>
      <w:r>
        <w:rPr>
          <w:rFonts w:ascii="Times New Roman" w:cs="Times New Roman" w:eastAsia="Times New Roman" w:hAnsi="Times New Roman"/>
          <w:sz w:val="19"/>
          <w:szCs w:val="19"/>
          <w:color w:val="auto"/>
        </w:rPr>
        <w:t>”) equal to the sum of (x) twenty-four (24) months of the Base Salary at the rate in effect on the date of termination plus (y) the Pro Rata Bonus for the year of termination, (iii) in accordance with the terms of the award agreements entered into in connection with the Transition Award, the Executive will receive the Pro Rata Transition Award, and (iv) all other equity awards previously granted to the Executive that are still outstanding but unvested shall be forfeited as provided in the applicable award agreement. The Severance Amount shall be paid to the Executive in a lump sum as further provided for below. Any obligation of the Company to the Executive under this Section 5 (including in the event of a termination of employment due to death or Disability), other than for Final Compensation, is conditioned on (A) the Executive, or the Executive’s Designated Beneficiary, signing and returning to the Company (without revoking) a timely and effective release of claims in the form attached hereto as Exhibit B, by the deadline specified therein, which in all events shall be no later than the forty fifth (45th) calendar day following the date of termination (any such release submitted by such deadline, the “</w:t>
      </w:r>
      <w:r>
        <w:rPr>
          <w:rFonts w:ascii="Times New Roman" w:cs="Times New Roman" w:eastAsia="Times New Roman" w:hAnsi="Times New Roman"/>
          <w:sz w:val="19"/>
          <w:szCs w:val="19"/>
          <w:u w:val="single" w:color="auto"/>
          <w:color w:val="auto"/>
        </w:rPr>
        <w:t>Release of Claims</w:t>
      </w:r>
      <w:r>
        <w:rPr>
          <w:rFonts w:ascii="Times New Roman" w:cs="Times New Roman" w:eastAsia="Times New Roman" w:hAnsi="Times New Roman"/>
          <w:sz w:val="19"/>
          <w:szCs w:val="19"/>
          <w:color w:val="auto"/>
        </w:rPr>
        <w:t>”), (B) the Executive not engaging in an intentional or materially harmful violation of Section 7, 8 or 9(b) of this Agreement, and (C) the Executive’s continued compliance with the covenants contained in Section 9(a) of this Agreement (subsections (B) and (C) collectively, the “</w:t>
      </w:r>
      <w:r>
        <w:rPr>
          <w:rFonts w:ascii="Times New Roman" w:cs="Times New Roman" w:eastAsia="Times New Roman" w:hAnsi="Times New Roman"/>
          <w:sz w:val="19"/>
          <w:szCs w:val="19"/>
          <w:u w:val="single" w:color="auto"/>
          <w:color w:val="auto"/>
        </w:rPr>
        <w:t>Compliance Condition</w:t>
      </w:r>
      <w:r>
        <w:rPr>
          <w:rFonts w:ascii="Times New Roman" w:cs="Times New Roman" w:eastAsia="Times New Roman" w:hAnsi="Times New Roman"/>
          <w:sz w:val="19"/>
          <w:szCs w:val="19"/>
          <w:color w:val="auto"/>
        </w:rPr>
        <w:t>”). The Severance Amount, Final Compensation and the Unpaid Bonus shall be paid to the Executive within sixty (60) days following the date of termination of employment.</w:t>
      </w:r>
    </w:p>
    <w:p>
      <w:pPr>
        <w:spacing w:after="0" w:line="191" w:lineRule="exact"/>
        <w:rPr>
          <w:rFonts w:ascii="Times New Roman" w:cs="Times New Roman" w:eastAsia="Times New Roman" w:hAnsi="Times New Roman"/>
          <w:sz w:val="19"/>
          <w:szCs w:val="19"/>
          <w:color w:val="auto"/>
        </w:rPr>
      </w:pPr>
    </w:p>
    <w:p>
      <w:pPr>
        <w:jc w:val="both"/>
        <w:ind w:firstLine="656"/>
        <w:spacing w:after="0" w:line="244" w:lineRule="auto"/>
        <w:tabs>
          <w:tab w:leader="none" w:pos="109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By the Executive for Good Reason</w:t>
      </w:r>
      <w:r>
        <w:rPr>
          <w:rFonts w:ascii="Times New Roman" w:cs="Times New Roman" w:eastAsia="Times New Roman" w:hAnsi="Times New Roman"/>
          <w:sz w:val="20"/>
          <w:szCs w:val="20"/>
          <w:color w:val="auto"/>
        </w:rPr>
        <w:t xml:space="preserve">. The Executive may terminate her employment hereunder for Good Reason (A) by providing notice to the Company specifying in reasonable detail the condition giving rise to the Good Reason no later than thirty (30) days following the date Executive first becomes aware of the occurrence of that condition, or in the case of a series of events resulting in a material diminution in the nature or scope of the Executive’s duties, authority or responsibilities, thirty (30) days following the date Executive first becomes aware of the last such event;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order to claim that an event, taken together with another event or events, constitutes Good Reason hereunder the Executive must have given notice to a member of the Board of such event at the time she first becomes aware of its occurrence; (B) by providing the Company a period of thirty (30) days to remedy the condition and (C) by terminating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76" w:right="239" w:bottom="1440" w:gutter="0" w:footer="0" w:header="0"/>
        </w:sectPr>
      </w:pPr>
    </w:p>
    <w:bookmarkStart w:id="59" w:name="page60"/>
    <w:bookmarkEnd w:id="59"/>
    <w:p>
      <w:pPr>
        <w:ind w:right="20"/>
        <w:spacing w:after="0" w:line="269" w:lineRule="auto"/>
        <w:rPr>
          <w:sz w:val="20"/>
          <w:szCs w:val="20"/>
          <w:color w:val="auto"/>
        </w:rPr>
      </w:pPr>
      <w:r>
        <w:rPr>
          <w:rFonts w:ascii="Times New Roman" w:cs="Times New Roman" w:eastAsia="Times New Roman" w:hAnsi="Times New Roman"/>
          <w:sz w:val="20"/>
          <w:szCs w:val="20"/>
          <w:color w:val="auto"/>
        </w:rPr>
        <w:t>her employment for Good Reason within thirty (30) days following the expiration of the period to remedy if the Company fails to remedy the condition. The following, occurring without the Executive’s consent, shall constitute “</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for termination by the Executive:</w:t>
      </w:r>
    </w:p>
    <w:p>
      <w:pPr>
        <w:spacing w:after="0" w:line="160" w:lineRule="exact"/>
        <w:rPr>
          <w:sz w:val="20"/>
          <w:szCs w:val="20"/>
          <w:color w:val="auto"/>
        </w:rPr>
      </w:pPr>
    </w:p>
    <w:p>
      <w:pPr>
        <w:jc w:val="both"/>
        <w:ind w:firstLine="1305"/>
        <w:spacing w:after="0" w:line="257" w:lineRule="auto"/>
        <w:tabs>
          <w:tab w:leader="none" w:pos="1812" w:val="left"/>
        </w:tabs>
        <w:numPr>
          <w:ilvl w:val="0"/>
          <w:numId w:val="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material diminution in the nature or scope of the Executive’s duties, authority or responsibilities, including without limitation the failure of the Company to propose to the stockholders of the Company at each annual meeting occurring during the term hereof at which the Executive’s term ends the election or re-election, as applicable, of the Executive as a member of the Board;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following shall not constitute Good Reason: (A) the Executive’s no longer serving as Chairman of the Board; (B) the Executive’s ceasing to be a member of the Board as a result of a merger of the Company into an Affiliate or any other similar transaction, so long as the Executive remains on the board of directors of the surviving entity, or (C) any sale or transfer of equity or assets of the Company or an Affiliate so long as the Executive remains Executive Chairman of the Company (or any successor to the Company) following such transaction, provided that a sale or other transfer, in one or a series of related transactions, of a majority of the assets of the Company other than to an entity controlled by the Company shall constitute Good Reason, but only if the conditions set forth above in this subsection (i) are also satisfied;</w:t>
      </w:r>
    </w:p>
    <w:p>
      <w:pPr>
        <w:spacing w:after="0" w:line="176" w:lineRule="exact"/>
        <w:rPr>
          <w:rFonts w:ascii="Times New Roman" w:cs="Times New Roman" w:eastAsia="Times New Roman" w:hAnsi="Times New Roman"/>
          <w:sz w:val="19"/>
          <w:szCs w:val="19"/>
          <w:color w:val="010000"/>
        </w:rPr>
      </w:pPr>
    </w:p>
    <w:p>
      <w:pPr>
        <w:ind w:left="1740" w:hanging="435"/>
        <w:spacing w:after="0"/>
        <w:tabs>
          <w:tab w:leader="none" w:pos="1740" w:val="left"/>
        </w:tabs>
        <w:numPr>
          <w:ilvl w:val="0"/>
          <w:numId w:val="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reduction in the Base Salary or Target Bonus as set forth in Section 4(b) hereof;</w:t>
      </w:r>
    </w:p>
    <w:p>
      <w:pPr>
        <w:spacing w:after="0" w:line="215" w:lineRule="exact"/>
        <w:rPr>
          <w:rFonts w:ascii="Times New Roman" w:cs="Times New Roman" w:eastAsia="Times New Roman" w:hAnsi="Times New Roman"/>
          <w:sz w:val="20"/>
          <w:szCs w:val="20"/>
          <w:color w:val="010000"/>
        </w:rPr>
      </w:pPr>
    </w:p>
    <w:p>
      <w:pPr>
        <w:ind w:firstLine="1305"/>
        <w:spacing w:after="0" w:line="269" w:lineRule="auto"/>
        <w:tabs>
          <w:tab w:leader="none" w:pos="1878" w:val="left"/>
        </w:tabs>
        <w:numPr>
          <w:ilvl w:val="0"/>
          <w:numId w:val="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requiring the Executive to be based at a location in excess of fifty (50) miles from the location of the Company’s principal executive offices in Tampa, Florida as of the effective date of this Agreement; or</w:t>
      </w:r>
    </w:p>
    <w:p>
      <w:pPr>
        <w:spacing w:after="0" w:line="159" w:lineRule="exact"/>
        <w:rPr>
          <w:rFonts w:ascii="Times New Roman" w:cs="Times New Roman" w:eastAsia="Times New Roman" w:hAnsi="Times New Roman"/>
          <w:sz w:val="20"/>
          <w:szCs w:val="20"/>
          <w:color w:val="010000"/>
        </w:rPr>
      </w:pPr>
    </w:p>
    <w:p>
      <w:pPr>
        <w:ind w:left="1780" w:hanging="475"/>
        <w:spacing w:after="0"/>
        <w:tabs>
          <w:tab w:leader="none" w:pos="1780" w:val="left"/>
        </w:tabs>
        <w:numPr>
          <w:ilvl w:val="0"/>
          <w:numId w:val="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material breach by the Company of its obligations under this Agreement.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A termination of employment by the Executive under this Section 5(e) shall be treated as a termination by the Company other than for Cause under Section 5(d)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Executive satisfies all conditions to such entitlement as set forth in Section 5(d), including, without limitation, the signing of an effective Release of Claims.</w:t>
      </w:r>
    </w:p>
    <w:p>
      <w:pPr>
        <w:spacing w:after="0" w:line="175" w:lineRule="exact"/>
        <w:rPr>
          <w:sz w:val="20"/>
          <w:szCs w:val="20"/>
          <w:color w:val="auto"/>
        </w:rPr>
      </w:pPr>
    </w:p>
    <w:p>
      <w:pPr>
        <w:jc w:val="both"/>
        <w:ind w:firstLine="656"/>
        <w:spacing w:after="0" w:line="243" w:lineRule="auto"/>
        <w:tabs>
          <w:tab w:leader="none" w:pos="111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By the Executive Without Good Reason</w:t>
      </w:r>
      <w:r>
        <w:rPr>
          <w:rFonts w:ascii="Times New Roman" w:cs="Times New Roman" w:eastAsia="Times New Roman" w:hAnsi="Times New Roman"/>
          <w:sz w:val="20"/>
          <w:szCs w:val="20"/>
          <w:color w:val="auto"/>
        </w:rPr>
        <w:t>. The Executive may terminate her employment hereunder at any time upon sixty (60) days’ prior written notice to the Company. In the event of termination of the Executive’s employment pursuant to this Section 5(f), the Board may elect to waive the period of notice, or any portion thereof, and, if the Board so elects, the Company will pay the Executive her Base Salary for the notice period (or for any remaining portion of the period). The Company shall also pay the Executive the Final Compensation in a lump sum within sixty (60) days following the date of the termination of employment. All equity awards previously granted to the Executive that are still outstanding but unvested shall be forfeited as provided in the applicable award agreement. A termination of the Executive’s employment that occurs by reason of the Executive’s notice to the Company of non-renewal of the term of this Agreement under Section 2 hereof will be treated as a termination by the Executive without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76" w:right="239" w:bottom="1440" w:gutter="0" w:footer="0" w:header="0"/>
        </w:sectPr>
      </w:pPr>
    </w:p>
    <w:bookmarkStart w:id="60" w:name="page61"/>
    <w:bookmarkEnd w:id="60"/>
    <w:p>
      <w:pPr>
        <w:jc w:val="both"/>
        <w:ind w:firstLine="656"/>
        <w:spacing w:after="0" w:line="243" w:lineRule="auto"/>
        <w:tabs>
          <w:tab w:leader="none" w:pos="1077"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By the Executive Due to Retirement</w:t>
      </w:r>
      <w:r>
        <w:rPr>
          <w:rFonts w:ascii="Times New Roman" w:cs="Times New Roman" w:eastAsia="Times New Roman" w:hAnsi="Times New Roman"/>
          <w:sz w:val="20"/>
          <w:szCs w:val="20"/>
          <w:color w:val="auto"/>
        </w:rPr>
        <w:t>. The Executive may terminate her employment hereunder on the basis of her retirement upon sixty (60) days’ prior written notice to the Company. In addition, a termination of the Executive’s employment that occurs on the last day of the term of this Agreement following the Company’s notice to the Executive of non-renewal of the term hereof under Section 2 hereof shall be treated as retirement. In the event of termination of the Executive’s employment pursuant to retirement, the Board may elect to waive the period of notice, or any portion thereof, and, if the Board so elects, the Company will pay the Executive her Base Salary for the notice period (or for any remaining portion of the period). The Company shall also pay the Executive the Final Compensation and the Unpaid Bonus in a lump sum within sixty (60) days following the date of retirement. In addition, in accordance with the terms of the award agreements entered into in connection with the Transition Award, the Executive will receive the Pro Rata Transition Award and all other equity awards previously granted to the Executive that are still outstanding but unvested shall be forfeited as provided in the applicable award agreement.</w:t>
      </w:r>
    </w:p>
    <w:p>
      <w:pPr>
        <w:spacing w:after="0" w:line="186"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Timing of Payments and Section 409A</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5"/>
        <w:spacing w:after="0" w:line="243" w:lineRule="auto"/>
        <w:tabs>
          <w:tab w:leader="none" w:pos="1710" w:val="left"/>
        </w:tabs>
        <w:numPr>
          <w:ilvl w:val="1"/>
          <w:numId w:val="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in this Agreement, if at the time of the Executive’s termination of employment, the Executive is a “specified employee,” as defined below, any and all amounts payable under this Agreement on account of such separation from service that would (but for this provision) be payable within six (6) months following the date of termination, shall instead be paid on the next business day following the expiration of such six (6) month period or, if earlier, upon the Executive’s death; except (A) to the extent of amounts that do not constitute a deferral of compensation within the meaning of Treasury regulation Section 1.409A-1(b) (including without limitation by reason of the safe harbor set forth in Section 1.409A-1(b)(9)(iii), as determined by the Company in its reasonable good faith discretion); (B) benefits which qualify as excepted welfare benefits pursuant to Treasury regulation Section 1.409A-1(a)(5); or (C) other amounts or benefits that are not subject to the requirements of Section 409A.</w:t>
      </w:r>
    </w:p>
    <w:p>
      <w:pPr>
        <w:spacing w:after="0" w:line="189" w:lineRule="exact"/>
        <w:rPr>
          <w:rFonts w:ascii="Times New Roman" w:cs="Times New Roman" w:eastAsia="Times New Roman" w:hAnsi="Times New Roman"/>
          <w:sz w:val="20"/>
          <w:szCs w:val="20"/>
          <w:color w:val="010000"/>
        </w:rPr>
      </w:pPr>
    </w:p>
    <w:p>
      <w:pPr>
        <w:jc w:val="both"/>
        <w:ind w:firstLine="1305"/>
        <w:spacing w:after="0" w:line="249" w:lineRule="auto"/>
        <w:tabs>
          <w:tab w:leader="none" w:pos="1747" w:val="left"/>
        </w:tabs>
        <w:numPr>
          <w:ilvl w:val="1"/>
          <w:numId w:val="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For purposes of this Agreement, all references to “termination of employment” and correlative phrases shall be construed to require a “separation from service” (as defined in Section 1.409A-1(h) of the Treasury regulations after giving effect to the presumptions contained therein), and the term “specified employee” means an individual determined by the Company to be a specified employee under Treasury regulation Section 1.409A-1(i).</w:t>
      </w:r>
    </w:p>
    <w:p>
      <w:pPr>
        <w:spacing w:after="0" w:line="180" w:lineRule="exact"/>
        <w:rPr>
          <w:rFonts w:ascii="Times New Roman" w:cs="Times New Roman" w:eastAsia="Times New Roman" w:hAnsi="Times New Roman"/>
          <w:sz w:val="20"/>
          <w:szCs w:val="20"/>
          <w:color w:val="010000"/>
        </w:rPr>
      </w:pPr>
    </w:p>
    <w:p>
      <w:pPr>
        <w:ind w:firstLine="1305"/>
        <w:spacing w:after="0" w:line="269" w:lineRule="auto"/>
        <w:tabs>
          <w:tab w:leader="none" w:pos="1823" w:val="left"/>
        </w:tabs>
        <w:numPr>
          <w:ilvl w:val="1"/>
          <w:numId w:val="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payment made under this Agreement shall be treated as a separate payment and the right to a series of installment payments under this Agreement is to be treated as a right to a series of separate payments.</w:t>
      </w:r>
    </w:p>
    <w:p>
      <w:pPr>
        <w:spacing w:after="0" w:line="159" w:lineRule="exact"/>
        <w:rPr>
          <w:rFonts w:ascii="Times New Roman" w:cs="Times New Roman" w:eastAsia="Times New Roman" w:hAnsi="Times New Roman"/>
          <w:sz w:val="20"/>
          <w:szCs w:val="20"/>
          <w:color w:val="010000"/>
        </w:rPr>
      </w:pPr>
    </w:p>
    <w:p>
      <w:pPr>
        <w:ind w:firstLine="656"/>
        <w:spacing w:after="0" w:line="269" w:lineRule="auto"/>
        <w:tabs>
          <w:tab w:leader="none" w:pos="104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Post-Agreement Employment.</w:t>
      </w:r>
      <w:r>
        <w:rPr>
          <w:rFonts w:ascii="Times New Roman" w:cs="Times New Roman" w:eastAsia="Times New Roman" w:hAnsi="Times New Roman"/>
          <w:sz w:val="20"/>
          <w:szCs w:val="20"/>
          <w:color w:val="auto"/>
        </w:rPr>
        <w:t xml:space="preserve"> In the event the Executive remains in the employ of the Company or any of its Affiliates following the termination of this Agreement, then such employment shall be at will.</w:t>
      </w:r>
    </w:p>
    <w:p>
      <w:pPr>
        <w:spacing w:after="0" w:line="159" w:lineRule="exact"/>
        <w:rPr>
          <w:rFonts w:ascii="Times New Roman" w:cs="Times New Roman" w:eastAsia="Times New Roman" w:hAnsi="Times New Roman"/>
          <w:sz w:val="20"/>
          <w:szCs w:val="20"/>
          <w:color w:val="auto"/>
        </w:rPr>
      </w:pPr>
    </w:p>
    <w:p>
      <w:pPr>
        <w:jc w:val="both"/>
        <w:ind w:firstLine="656"/>
        <w:spacing w:after="0" w:line="249" w:lineRule="auto"/>
        <w:tabs>
          <w:tab w:leader="none" w:pos="1033"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Exclusive Right to Severance.</w:t>
      </w:r>
      <w:r>
        <w:rPr>
          <w:rFonts w:ascii="Times New Roman" w:cs="Times New Roman" w:eastAsia="Times New Roman" w:hAnsi="Times New Roman"/>
          <w:sz w:val="20"/>
          <w:szCs w:val="20"/>
          <w:color w:val="auto"/>
        </w:rPr>
        <w:t xml:space="preserve"> The Executive’s right to severance payments and benefits upon termination of employment shall be as expressly set forth in this Agreement. In no event shall the Executive participate in, or receive benefits under, any other plan, program or policy of the Company providing for severance or termination pay or benefits, except for any right of the Executive to continue medical and dental plan participation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76" w:right="239" w:bottom="1440" w:gutter="0" w:footer="0" w:header="0"/>
        </w:sectPr>
      </w:pPr>
    </w:p>
    <w:bookmarkStart w:id="61" w:name="page62"/>
    <w:bookmarkEnd w:id="61"/>
    <w:p>
      <w:pPr>
        <w:ind w:firstLine="8"/>
        <w:spacing w:after="0" w:line="269" w:lineRule="auto"/>
        <w:tabs>
          <w:tab w:leader="none" w:pos="50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Termination</w:t>
      </w:r>
      <w:r>
        <w:rPr>
          <w:rFonts w:ascii="Times New Roman" w:cs="Times New Roman" w:eastAsia="Times New Roman" w:hAnsi="Times New Roman"/>
          <w:sz w:val="20"/>
          <w:szCs w:val="20"/>
          <w:color w:val="auto"/>
        </w:rPr>
        <w:t>. The provisions of this Section 6 shall apply to any termination of the Executive’s employment under this Agreement.</w:t>
      </w:r>
    </w:p>
    <w:p>
      <w:pPr>
        <w:spacing w:after="0" w:line="159" w:lineRule="exact"/>
        <w:rPr>
          <w:rFonts w:ascii="Times New Roman" w:cs="Times New Roman" w:eastAsia="Times New Roman" w:hAnsi="Times New Roman"/>
          <w:sz w:val="20"/>
          <w:szCs w:val="20"/>
          <w:color w:val="auto"/>
        </w:rPr>
      </w:pPr>
    </w:p>
    <w:p>
      <w:pPr>
        <w:ind w:right="20" w:firstLine="656"/>
        <w:spacing w:after="0" w:line="269" w:lineRule="auto"/>
        <w:tabs>
          <w:tab w:leader="none" w:pos="108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other provisions of this Section 6, payment by the Company of any Final Compensation and the amounts provided for under the applicable termination provision of Section 5 shall constitute the entire obligation of the Company to the Executive hereunder.</w:t>
      </w:r>
    </w:p>
    <w:p>
      <w:pPr>
        <w:spacing w:after="0" w:line="159" w:lineRule="exact"/>
        <w:rPr>
          <w:rFonts w:ascii="Times New Roman" w:cs="Times New Roman" w:eastAsia="Times New Roman" w:hAnsi="Times New Roman"/>
          <w:sz w:val="20"/>
          <w:szCs w:val="20"/>
          <w:color w:val="auto"/>
        </w:rPr>
      </w:pPr>
    </w:p>
    <w:p>
      <w:pPr>
        <w:jc w:val="both"/>
        <w:ind w:firstLine="656"/>
        <w:spacing w:after="0" w:line="247" w:lineRule="auto"/>
        <w:tabs>
          <w:tab w:leader="none" w:pos="1147"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any right of the Executive to continue medical and dental plan participation in accordance with applicable law, the Executive’s participation in all Employee Benefit Plans shall be determined pursuant to the terms of the applicable plan documents based on the date of termination of the Executive’s employment without regard to any continuation of Base Salary or other payment to or on behalf of the Executive following such date of termination. The Executive shall be entitled to retain any then vested benefits under the Employee Benefit Plans in accordance with the terms of such plans.</w:t>
      </w:r>
    </w:p>
    <w:p>
      <w:pPr>
        <w:spacing w:after="0" w:line="180" w:lineRule="exact"/>
        <w:rPr>
          <w:rFonts w:ascii="Times New Roman" w:cs="Times New Roman" w:eastAsia="Times New Roman" w:hAnsi="Times New Roman"/>
          <w:sz w:val="20"/>
          <w:szCs w:val="20"/>
          <w:color w:val="auto"/>
        </w:rPr>
      </w:pPr>
    </w:p>
    <w:p>
      <w:pPr>
        <w:jc w:val="both"/>
        <w:ind w:firstLine="656"/>
        <w:spacing w:after="0" w:line="254" w:lineRule="auto"/>
        <w:tabs>
          <w:tab w:leader="none" w:pos="1066"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provisions of Section 5 of this Agreement, upon any termination of employment, any then outstanding options to purchase Company common stock or other equity-based awards held by the Executive shall otherwise be governed by their respective terms that are not inconsistent with the terms hereof.</w:t>
      </w:r>
    </w:p>
    <w:p>
      <w:pPr>
        <w:spacing w:after="0" w:line="174" w:lineRule="exact"/>
        <w:rPr>
          <w:rFonts w:ascii="Times New Roman" w:cs="Times New Roman" w:eastAsia="Times New Roman" w:hAnsi="Times New Roman"/>
          <w:sz w:val="20"/>
          <w:szCs w:val="20"/>
          <w:color w:val="auto"/>
        </w:rPr>
      </w:pPr>
    </w:p>
    <w:p>
      <w:pPr>
        <w:jc w:val="both"/>
        <w:ind w:firstLine="656"/>
        <w:spacing w:after="0" w:line="249" w:lineRule="auto"/>
        <w:tabs>
          <w:tab w:leader="none" w:pos="1096"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of this Agreement shall survive any termination of employment if so provided herein or if necessary or desirable fully to accomplish the purposes of other surviving provisions, including without limitation, the obligations of the Executive under Sections 7, 8 and 9 hereof. The obligation of the Company to provide severance pay or benefits hereunder is expressly conditioned upon the Executive’s continued compliance with the Compliance Condition.</w:t>
      </w:r>
    </w:p>
    <w:p>
      <w:pPr>
        <w:spacing w:after="0" w:line="180"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656"/>
        <w:spacing w:after="0" w:line="242" w:lineRule="auto"/>
        <w:tabs>
          <w:tab w:leader="none" w:pos="106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acknowledges that the Company and its Affiliates continually develop Confidential Information, that the Executive may develop Confidential Information for the Company or its Affiliates and that the Executive may learn of Confidential Information during the course of her employment or service on the Board. The Executive agrees that all Confidential Information which the Executive creates or to which she has access or learns as a result of her employment or other associations with the Company or its Affiliates is and shall remain the sole and exclusive property of the Company or its Affiliates, as applicable. The Executive will comply with the policies and procedures of the Company and its Affiliates for protecting Confidential Information and shall never disclose to any Person (except as required by applicable law or in connection with the good faith performance of her duties and responsibilities to the Company and its Affiliates), or use for her own benefit or gain or the benefit or gain of any third party, any Confidential Information obtained by the Executive incident to her employment or other association with the Company or any of its Affiliates. The Executive understands that this restriction shall continue to apply after her employment and/or Board service terminates, regardless of the reason for such termination. Further, the Executive agrees to furnish prompt notice, if legally permitted to do so, to the Company of any required disclosure of Confidential Information sought pursuant to subpoena, court order or any other legal process or requirement, and agrees to provide the Company a reasonable opportunity to seek protection of the Confidential Information prior to any such disclosure. The confidentiality obligation under this Section 7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76"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0"/>
          <w:szCs w:val="20"/>
          <w:color w:val="auto"/>
        </w:rPr>
        <w:t>not apply to information which becomes generally known through no breach of this Agreement on the part of the Executive.</w:t>
      </w:r>
    </w:p>
    <w:p>
      <w:pPr>
        <w:spacing w:after="0" w:line="216" w:lineRule="exact"/>
        <w:rPr>
          <w:sz w:val="20"/>
          <w:szCs w:val="20"/>
          <w:color w:val="auto"/>
        </w:rPr>
      </w:pPr>
    </w:p>
    <w:p>
      <w:pPr>
        <w:jc w:val="both"/>
        <w:ind w:firstLine="656"/>
        <w:spacing w:after="0" w:line="242" w:lineRule="auto"/>
        <w:tabs>
          <w:tab w:leader="none" w:pos="1095"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documents, records, tapes and other media of every kind and description relating to the business, present or otherwise, of the Company or its Affiliates, including, without limitation, recipes, product specifications, training materials, employee selection and testing materials, marketing and advertising materials, special event, charitable and community activity materials, customer correspondence, internal memoranda, products and designs, sales information, project files, price lists, customer and vendor lists, prospectus reports, customer or vendor information, sales literature, territory printouts, call books, notebooks, textbooks and all other like information or products, and any copies or derivatives (including without limitation electronic), in whole or in part, thereof (the “</w:t>
      </w:r>
      <w:r>
        <w:rPr>
          <w:rFonts w:ascii="Times New Roman" w:cs="Times New Roman" w:eastAsia="Times New Roman" w:hAnsi="Times New Roman"/>
          <w:sz w:val="20"/>
          <w:szCs w:val="20"/>
          <w:u w:val="single" w:color="auto"/>
          <w:color w:val="auto"/>
        </w:rPr>
        <w:t>Documents</w:t>
      </w:r>
      <w:r>
        <w:rPr>
          <w:rFonts w:ascii="Times New Roman" w:cs="Times New Roman" w:eastAsia="Times New Roman" w:hAnsi="Times New Roman"/>
          <w:sz w:val="20"/>
          <w:szCs w:val="20"/>
          <w:color w:val="auto"/>
        </w:rPr>
        <w:t>”), whether or not prepared by the Executive, shall be the sole and exclusive property of the Company and its Affiliates. Except in connection with the good faith performance of the Executive’s regular duties for the Company or as expressly authorized in writing in advance by the Company, the Executive will not copy any Documents or remove any Documents or copies or derivatives thereof from the premises of the Company. The Executive shall safeguard all Documents in her possession and shall surrender to the Company at the time her employment terminates, or at such earlier time or times as the Board or its designee may specify, all Documents and other property of the Company or any of its Affiliates then in the Executive’s possession or control.</w:t>
      </w:r>
    </w:p>
    <w:p>
      <w:pPr>
        <w:spacing w:after="0" w:line="188" w:lineRule="exact"/>
        <w:rPr>
          <w:rFonts w:ascii="Times New Roman" w:cs="Times New Roman" w:eastAsia="Times New Roman" w:hAnsi="Times New Roman"/>
          <w:sz w:val="20"/>
          <w:szCs w:val="20"/>
          <w:color w:val="auto"/>
        </w:rPr>
      </w:pPr>
    </w:p>
    <w:p>
      <w:pPr>
        <w:jc w:val="both"/>
        <w:ind w:firstLine="8"/>
        <w:spacing w:after="0" w:line="243" w:lineRule="auto"/>
        <w:tabs>
          <w:tab w:leader="none" w:pos="4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of Rights to Intellectual Property</w:t>
      </w:r>
      <w:r>
        <w:rPr>
          <w:rFonts w:ascii="Times New Roman" w:cs="Times New Roman" w:eastAsia="Times New Roman" w:hAnsi="Times New Roman"/>
          <w:sz w:val="20"/>
          <w:szCs w:val="20"/>
          <w:color w:val="auto"/>
        </w:rPr>
        <w:t>. The Executive shall promptly and fully disclose all Intellectual Property to the Company. The Executive hereby assigns and agrees to assign to the Company (or as otherwise directed by the Company) the Executive’s full right, title and interest in and to all Intellectual Property. The Executive agrees to execute any and all applications for domestic and foreign patents, copyrights or other proprietary rights and to do such other acts (including without limitation the execution and delivery of instruments of further assurance or confirmation) requested by the Company to assign the Intellectual Property to the Company and to permit the Company to enforce any patents, copyrights or other proprietary rights to the Intellectual Property. The Executive will not charge the Company for time spent in complying with these obligations. All copyrightable works that the Executive creates in connection with or related to the performance of her services hereunder shall be considered “work made for hire” and shall, upon creation, be owned exclusively by the Company.</w:t>
      </w:r>
    </w:p>
    <w:p>
      <w:pPr>
        <w:spacing w:after="0" w:line="189" w:lineRule="exact"/>
        <w:rPr>
          <w:rFonts w:ascii="Times New Roman" w:cs="Times New Roman" w:eastAsia="Times New Roman" w:hAnsi="Times New Roman"/>
          <w:sz w:val="20"/>
          <w:szCs w:val="20"/>
          <w:color w:val="auto"/>
        </w:rPr>
      </w:pPr>
    </w:p>
    <w:p>
      <w:pPr>
        <w:jc w:val="both"/>
        <w:ind w:firstLine="8"/>
        <w:spacing w:after="0" w:line="245" w:lineRule="auto"/>
        <w:tabs>
          <w:tab w:leader="none" w:pos="4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Activities</w:t>
      </w:r>
      <w:r>
        <w:rPr>
          <w:rFonts w:ascii="Times New Roman" w:cs="Times New Roman" w:eastAsia="Times New Roman" w:hAnsi="Times New Roman"/>
          <w:sz w:val="20"/>
          <w:szCs w:val="20"/>
          <w:color w:val="auto"/>
        </w:rPr>
        <w:t>. The Executive acknowledges that her access to and/or development of trade secrets, Confidential Information and goodwill on behalf of the Company and its Affiliates during the course of employment, as well as the provision of extraordinary or specialized training by the Company and its Affiliates, would give her an unfair competitive advantage were she to leave employment and begin competing with the Company or any of its Affiliates, and that she is being granted access to training, trade secrets, Confidential Information, and goodwill in reliance on her agreements hereunder. Accordingly, the Executive agrees that the restrictions set forth herein are necessary to protect the goodwill, trade secrets, Confidential Information and other legitimate interests of the Company and its Affiliates:</w:t>
      </w:r>
    </w:p>
    <w:p>
      <w:pPr>
        <w:spacing w:after="0" w:line="185" w:lineRule="exact"/>
        <w:rPr>
          <w:rFonts w:ascii="Times New Roman" w:cs="Times New Roman" w:eastAsia="Times New Roman" w:hAnsi="Times New Roman"/>
          <w:sz w:val="20"/>
          <w:szCs w:val="20"/>
          <w:color w:val="auto"/>
        </w:rPr>
      </w:pPr>
    </w:p>
    <w:p>
      <w:pPr>
        <w:ind w:firstLine="656"/>
        <w:spacing w:after="0" w:line="269" w:lineRule="auto"/>
        <w:tabs>
          <w:tab w:leader="none" w:pos="110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the Executive is employed by the Company and for a period of twenty-four (24) months after her employment terminates for any reason hereunder (the “</w:t>
      </w:r>
      <w:r>
        <w:rPr>
          <w:rFonts w:ascii="Times New Roman" w:cs="Times New Roman" w:eastAsia="Times New Roman" w:hAnsi="Times New Roman"/>
          <w:sz w:val="20"/>
          <w:szCs w:val="20"/>
          <w:u w:val="single" w:color="auto"/>
          <w:color w:val="auto"/>
        </w:rPr>
        <w:t>Non-Competition Period</w:t>
      </w:r>
      <w:r>
        <w:rPr>
          <w:rFonts w:ascii="Times New Roman" w:cs="Times New Roman" w:eastAsia="Times New Roman" w:hAnsi="Times New Roman"/>
          <w:sz w:val="20"/>
          <w:szCs w:val="20"/>
          <w:color w:val="auto"/>
        </w:rPr>
        <w:t>”), the Executive shall not, directly or indirectly, whether as owner, partner,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76" w:right="239" w:bottom="1440" w:gutter="0" w:footer="0" w:header="0"/>
        </w:sectPr>
      </w:pPr>
    </w:p>
    <w:bookmarkStart w:id="63" w:name="page64"/>
    <w:bookmarkEnd w:id="63"/>
    <w:p>
      <w:pPr>
        <w:jc w:val="both"/>
        <w:spacing w:after="0" w:line="254" w:lineRule="auto"/>
        <w:rPr>
          <w:sz w:val="20"/>
          <w:szCs w:val="20"/>
          <w:color w:val="auto"/>
        </w:rPr>
      </w:pPr>
      <w:r>
        <w:rPr>
          <w:rFonts w:ascii="Times New Roman" w:cs="Times New Roman" w:eastAsia="Times New Roman" w:hAnsi="Times New Roman"/>
          <w:sz w:val="19"/>
          <w:szCs w:val="19"/>
          <w:color w:val="auto"/>
        </w:rPr>
        <w:t>consultant, agent, co-venturer or otherwise, engage in or own or hold any ownership interest in or assist any person or entity engaged in or work for or provide services to, in any capacity, whether as an employee, independent contractor or otherwise, whether with or without compensation, any full service restaurant business (including, but not limited to, any restaurant business generally considered to be in the casual dining or polished casual dining business) that is located or intended to be located anywhere within a state (if inside the United States of America) or a country (if outside the United States of America) in which is located any restaurant owned or operated by the Company or any of its Affiliates, or any proposed full service restaurant (including, but not limited to, any restaurant generally considered to be in the casual dining or polished casual dining business) to be owned or operated by any of the foregoing or undertake any planning for any such business (collectively, the “</w:t>
      </w:r>
      <w:r>
        <w:rPr>
          <w:rFonts w:ascii="Times New Roman" w:cs="Times New Roman" w:eastAsia="Times New Roman" w:hAnsi="Times New Roman"/>
          <w:sz w:val="19"/>
          <w:szCs w:val="19"/>
          <w:u w:val="single" w:color="auto"/>
          <w:color w:val="auto"/>
        </w:rPr>
        <w:t>Business</w:t>
      </w:r>
      <w:r>
        <w:rPr>
          <w:rFonts w:ascii="Times New Roman" w:cs="Times New Roman" w:eastAsia="Times New Roman" w:hAnsi="Times New Roman"/>
          <w:sz w:val="19"/>
          <w:szCs w:val="19"/>
          <w:color w:val="auto"/>
        </w:rPr>
        <w:t>”). The Executive acknowledges that the foregoing restricted businesses compete with the Company. For the purposes of this Section 9, full service restaurants (including, but not limited to, any restaurant business generally considered to be in the casual dining or polished casual dining business) owned or operated by the Company or any of its Affiliates shall include any entity in which the Company or any of its Affiliates has an interest, including, but not limited to, an interest as a franchisor. The term “proposed full service restaurant” shall include all locations for which the Company or any of its franchisees or Affiliates is conducting active, bona fide negotiations to secure a fee or leasehold interest with the intention of establishing a full service restaurant (including, but not limited to, any restaurant generally considered to be in the casual dining or polished casual dining business) thereon. The foregoing, however, shall not prevent (i) the Executive’s passive ownership of two percent (2%) or less of the equity securities of any publicly traded company, or (ii) the Executive from working for or providing services to any entity if such entity, together with its affiliates, derives less than five percent (5%) of consolidated gross revenues from the Business and the Executive’s responsibilities do not primarily involve the conduct of the Business by such entity.</w:t>
      </w:r>
    </w:p>
    <w:p>
      <w:pPr>
        <w:spacing w:after="0" w:line="188" w:lineRule="exact"/>
        <w:rPr>
          <w:sz w:val="20"/>
          <w:szCs w:val="20"/>
          <w:color w:val="auto"/>
        </w:rPr>
      </w:pPr>
    </w:p>
    <w:p>
      <w:pPr>
        <w:jc w:val="both"/>
        <w:ind w:firstLine="656"/>
        <w:spacing w:after="0" w:line="245" w:lineRule="auto"/>
        <w:tabs>
          <w:tab w:leader="none" w:pos="1125"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agrees that during her employment and during the Non-Competition Period, the Executive will not, and will not assist any other Person to, (i) hire, offer employment to or solicit for hiring any employee of the Company or any of its franchises or Affiliates or seek to persuade any employee of the Company or any of its franchises or Affiliates to discontinue employment or (ii) solicit or encourage any independent contractor providing services to the Company or any of its franchisees or Affiliates to terminate or diminish its relationship with them. For the purposes of this Agreement, an “employee” or “independent contractor” of the Company or any of its Affiliates is any person who was such at any time within the preceding two years.</w:t>
      </w:r>
    </w:p>
    <w:p>
      <w:pPr>
        <w:spacing w:after="0" w:line="185" w:lineRule="exact"/>
        <w:rPr>
          <w:rFonts w:ascii="Times New Roman" w:cs="Times New Roman" w:eastAsia="Times New Roman" w:hAnsi="Times New Roman"/>
          <w:sz w:val="20"/>
          <w:szCs w:val="20"/>
          <w:color w:val="auto"/>
        </w:rPr>
      </w:pPr>
    </w:p>
    <w:p>
      <w:pPr>
        <w:jc w:val="both"/>
        <w:ind w:firstLine="8"/>
        <w:spacing w:after="0" w:line="245" w:lineRule="auto"/>
        <w:tabs>
          <w:tab w:leader="none" w:pos="47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Requirement</w:t>
      </w:r>
      <w:r>
        <w:rPr>
          <w:rFonts w:ascii="Times New Roman" w:cs="Times New Roman" w:eastAsia="Times New Roman" w:hAnsi="Times New Roman"/>
          <w:sz w:val="20"/>
          <w:szCs w:val="20"/>
          <w:color w:val="auto"/>
        </w:rPr>
        <w:t>. Until forty-five (45) days after the conclusion of the Non-Competition Period, the Executive shall give notice to the Company of each new business activity she plans to undertake related to or involving the Business, at least thirty (30) days prior to beginning any such activity. Such notice shall state the name and address of the Person for whom such activity is undertaken and the nature of the Executive's business relationship(s) and position(s) with such Person. The Executive shall provide the Company with such other pertinent information concerning such business activity as the Company may reasonably request in order to determine the Executive's continued compliance with her obligations under Sections 7, 8 and 9 hereof.</w:t>
      </w:r>
    </w:p>
    <w:p>
      <w:pPr>
        <w:spacing w:after="0" w:line="184" w:lineRule="exact"/>
        <w:rPr>
          <w:rFonts w:ascii="Times New Roman" w:cs="Times New Roman" w:eastAsia="Times New Roman" w:hAnsi="Times New Roman"/>
          <w:sz w:val="20"/>
          <w:szCs w:val="20"/>
          <w:color w:val="auto"/>
        </w:rPr>
      </w:pPr>
    </w:p>
    <w:p>
      <w:pPr>
        <w:ind w:firstLine="8"/>
        <w:spacing w:after="0" w:line="269" w:lineRule="auto"/>
        <w:tabs>
          <w:tab w:leader="none" w:pos="47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Enforcement of Covenants</w:t>
      </w:r>
      <w:r>
        <w:rPr>
          <w:rFonts w:ascii="Times New Roman" w:cs="Times New Roman" w:eastAsia="Times New Roman" w:hAnsi="Times New Roman"/>
          <w:sz w:val="20"/>
          <w:szCs w:val="20"/>
          <w:color w:val="auto"/>
        </w:rPr>
        <w:t>. The Executive acknowledges that she has carefully read and considered all the terms and conditions of this Agreement, including the restraints imposed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76" w:right="239" w:bottom="1440" w:gutter="0" w:footer="0" w:header="0"/>
        </w:sectPr>
      </w:pPr>
    </w:p>
    <w:bookmarkStart w:id="64" w:name="page65"/>
    <w:bookmarkEnd w:id="64"/>
    <w:p>
      <w:pPr>
        <w:jc w:val="both"/>
        <w:spacing w:after="0" w:line="241" w:lineRule="auto"/>
        <w:rPr>
          <w:sz w:val="20"/>
          <w:szCs w:val="20"/>
          <w:color w:val="auto"/>
        </w:rPr>
      </w:pPr>
      <w:r>
        <w:rPr>
          <w:rFonts w:ascii="Times New Roman" w:cs="Times New Roman" w:eastAsia="Times New Roman" w:hAnsi="Times New Roman"/>
          <w:sz w:val="20"/>
          <w:szCs w:val="20"/>
          <w:color w:val="auto"/>
        </w:rPr>
        <w:t>her pursuant to Sections 7, 8 and 9 hereof. The Executive agrees that each of the restraints contained herein is necessary for the reasonable and proper protection of the goodwill, Confidential Information and other legitimate interests of the Company and its Affiliates; that each and every one of those restraints is reasonable in respect to subject matter, length of time and geographic area; and that these restraints, individually or in the aggregate, will not prevent her from obtaining other suitable employment during the period in which the Executive is bound by these restraints. The Executive further acknowledges that, were she to breach any of the covenants contained in Sections 7, 8 or 9 hereof, the damage to the Company would be irreparable. The Executive therefore agrees that the Company, in addition to any other remedies available to it, shall be entitled to preliminary and permanent injunctive relief against any breach or threatened breach by the Executive of any of said covenants, without having to post bond. Without limiting the generality of the foregoing, the Executive further agrees that, in the event of her failure to comply with the Compliance Condition, the Company shall have the immediate right to cease making any severance payments under Section 5(d) or (e) of this Agreement, shall have the right to require the Executive to repay any severance payments that had been paid to her prior to the date of such breach (only with respect to a breach of Section 9 or Section 7 hereof), and shall terminate any outstanding equity awards that have been awarded to her by the Company, notwithstanding anything to the contrary in any applicable grant document, stock option plan or any other applicable agreement or plan. The parties further agree that, in the event that any provision of Section 7, 8 or 9 hereof shall be determined by any court of competent jurisdiction to be unenforceable by reason of its being extended over too great a time, too large a geographic area or too great a range of activities, such provision shall be deemed to be modified to permit its enforcement to the maximum extent permitted by law. The Executive agrees that the Non-Competition Period shall be tolled, and shall not run, during any period of time in which she is in violation of the terms thereof, in order that the Company and its Affiliates shall have all of the agreed-upon temporal protection recited herein. No breach of any provision of this Agreement by the Company, or any other claimed breach of contract or violation of law, or change in the nature or scope of the Executive’s employment relationship with the Company, shall operate to extinguish the Executive’s obligation to comply with Sections 7, 8 and 9 hereof.</w:t>
      </w:r>
    </w:p>
    <w:p>
      <w:pPr>
        <w:spacing w:after="0" w:line="189" w:lineRule="exact"/>
        <w:rPr>
          <w:sz w:val="20"/>
          <w:szCs w:val="20"/>
          <w:color w:val="auto"/>
        </w:rPr>
      </w:pPr>
    </w:p>
    <w:p>
      <w:pPr>
        <w:jc w:val="both"/>
        <w:ind w:firstLine="8"/>
        <w:spacing w:after="0" w:line="254" w:lineRule="auto"/>
        <w:tabs>
          <w:tab w:leader="none" w:pos="51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The Company shall indemnify the Executive and provide the Executive with advancement of expenses to the fullest extent permitted by applicable law. The Executive agrees to promptly notify the Company of any actual or threatened claim arising out of or as a result of her employment with the Company.</w:t>
      </w:r>
    </w:p>
    <w:p>
      <w:pPr>
        <w:spacing w:after="0" w:line="174" w:lineRule="exact"/>
        <w:rPr>
          <w:rFonts w:ascii="Times New Roman" w:cs="Times New Roman" w:eastAsia="Times New Roman" w:hAnsi="Times New Roman"/>
          <w:sz w:val="20"/>
          <w:szCs w:val="20"/>
          <w:color w:val="auto"/>
        </w:rPr>
      </w:pPr>
    </w:p>
    <w:p>
      <w:pPr>
        <w:jc w:val="both"/>
        <w:ind w:firstLine="8"/>
        <w:spacing w:after="0" w:line="247" w:lineRule="auto"/>
        <w:tabs>
          <w:tab w:leader="none" w:pos="55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Executive’s Additional Representations</w:t>
      </w:r>
      <w:r>
        <w:rPr>
          <w:rFonts w:ascii="Times New Roman" w:cs="Times New Roman" w:eastAsia="Times New Roman" w:hAnsi="Times New Roman"/>
          <w:sz w:val="20"/>
          <w:szCs w:val="20"/>
          <w:color w:val="auto"/>
        </w:rPr>
        <w:t>. The Executive hereby represents and warrants to the Company that the Executive (i) is not subject to any noncompetition agreement affecting the Executive’s employment with the Company or its Affiliates (other than any prior agreement with the Company), (ii) is not subject to any confidentiality or nonuse/nondisclosure agreement affecting the Executive’s employment with the Company or its Affiliates (other than any prior agreement with the Company) and (iii) will not use for the benefit of the Company or its Affiliates any trade secrets, confidential business information, documents or other personal property of a prior employer.</w:t>
      </w:r>
    </w:p>
    <w:p>
      <w:pPr>
        <w:spacing w:after="0" w:line="180" w:lineRule="exact"/>
        <w:rPr>
          <w:rFonts w:ascii="Times New Roman" w:cs="Times New Roman" w:eastAsia="Times New Roman" w:hAnsi="Times New Roman"/>
          <w:sz w:val="20"/>
          <w:szCs w:val="20"/>
          <w:color w:val="auto"/>
        </w:rPr>
      </w:pPr>
    </w:p>
    <w:p>
      <w:pPr>
        <w:ind w:firstLine="8"/>
        <w:spacing w:after="0" w:line="269" w:lineRule="auto"/>
        <w:tabs>
          <w:tab w:leader="none" w:pos="5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Words or phrases which are initially capitalized or are within quotation marks shall have the meanings provided in this Section 14 and as provided elsewhere herein. For purposes of this Agreement, the following definitions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76" w:right="239" w:bottom="1440" w:gutter="0" w:footer="0" w:header="0"/>
        </w:sectPr>
      </w:pPr>
    </w:p>
    <w:bookmarkStart w:id="65" w:name="page66"/>
    <w:bookmarkEnd w:id="65"/>
    <w:p>
      <w:pPr>
        <w:ind w:left="1080" w:hanging="424"/>
        <w:spacing w:after="0"/>
        <w:tabs>
          <w:tab w:leader="none" w:pos="108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Affiliates</w:t>
      </w:r>
      <w:r>
        <w:rPr>
          <w:rFonts w:ascii="Times New Roman" w:cs="Times New Roman" w:eastAsia="Times New Roman" w:hAnsi="Times New Roman"/>
          <w:sz w:val="20"/>
          <w:szCs w:val="20"/>
          <w:color w:val="auto"/>
        </w:rPr>
        <w:t>” means all persons and entities directly or indirectly controlled by the Company.</w:t>
      </w:r>
    </w:p>
    <w:p>
      <w:pPr>
        <w:spacing w:after="0" w:line="215" w:lineRule="exact"/>
        <w:rPr>
          <w:rFonts w:ascii="Times New Roman" w:cs="Times New Roman" w:eastAsia="Times New Roman" w:hAnsi="Times New Roman"/>
          <w:sz w:val="20"/>
          <w:szCs w:val="20"/>
          <w:color w:val="auto"/>
        </w:rPr>
      </w:pPr>
    </w:p>
    <w:p>
      <w:pPr>
        <w:jc w:val="both"/>
        <w:ind w:firstLine="656"/>
        <w:spacing w:after="0" w:line="255" w:lineRule="auto"/>
        <w:tabs>
          <w:tab w:leader="none" w:pos="1118"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means any and all information of the Company and its Affiliates that is not generally known by the public, including but not limited to others with whom they compete or do business, or with whom they plan to compete or do business and any and all non-public information, which, if disclosed by the Company or its Affiliates would assist in competition against them. Confidential Information includes without limitation such information relating to (i) the development, research, testing, manufacturing, marketing and financial activities of the Company and its Affiliates, (ii) the costs, sources of supply, financial performance and strategic plans of the Company and its Affiliates, (iii) the identity and special needs of the customers of the Company and its Affiliates, (iv) trade and industrial practices, trade secrets, recipes, product specifications, restaurant operating techniques and procedures, marketing techniques and procedures and vendors, and</w:t>
      </w:r>
    </w:p>
    <w:p>
      <w:pPr>
        <w:spacing w:after="0" w:line="4" w:lineRule="exact"/>
        <w:rPr>
          <w:rFonts w:ascii="Times New Roman" w:cs="Times New Roman" w:eastAsia="Times New Roman" w:hAnsi="Times New Roman"/>
          <w:sz w:val="19"/>
          <w:szCs w:val="19"/>
          <w:color w:val="auto"/>
        </w:rPr>
      </w:pPr>
    </w:p>
    <w:p>
      <w:pPr>
        <w:jc w:val="both"/>
        <w:ind w:firstLine="8"/>
        <w:spacing w:after="0" w:line="241" w:lineRule="auto"/>
        <w:tabs>
          <w:tab w:leader="none" w:pos="29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people and organizations with whom the Company and its Affiliates have business relationships and those relationships. Confidential Information also includes information that the Company or any of its Affiliates have received, or may receive hereafter, belonging to others or which was received by the Company or any of its Affiliates, and is being held, with any understanding, express or implied, that it will not be disclosed.</w:t>
      </w:r>
    </w:p>
    <w:p>
      <w:pPr>
        <w:spacing w:after="0" w:line="188" w:lineRule="exact"/>
        <w:rPr>
          <w:rFonts w:ascii="Times New Roman" w:cs="Times New Roman" w:eastAsia="Times New Roman" w:hAnsi="Times New Roman"/>
          <w:sz w:val="20"/>
          <w:szCs w:val="20"/>
          <w:color w:val="auto"/>
        </w:rPr>
      </w:pPr>
    </w:p>
    <w:p>
      <w:pPr>
        <w:ind w:firstLine="656"/>
        <w:spacing w:after="0" w:line="269" w:lineRule="auto"/>
        <w:tabs>
          <w:tab w:leader="none" w:pos="1106"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Beneficiary</w:t>
      </w:r>
      <w:r>
        <w:rPr>
          <w:rFonts w:ascii="Times New Roman" w:cs="Times New Roman" w:eastAsia="Times New Roman" w:hAnsi="Times New Roman"/>
          <w:sz w:val="20"/>
          <w:szCs w:val="20"/>
          <w:color w:val="auto"/>
        </w:rPr>
        <w:t>” shall mean the beneficiary or beneficiaries designated by the Executive to the Company from time to time by written notice hereunder, and if no such designation is made, the Executive’s estate or personal representative.</w:t>
      </w:r>
    </w:p>
    <w:p>
      <w:pPr>
        <w:spacing w:after="0" w:line="159" w:lineRule="exact"/>
        <w:rPr>
          <w:rFonts w:ascii="Times New Roman" w:cs="Times New Roman" w:eastAsia="Times New Roman" w:hAnsi="Times New Roman"/>
          <w:sz w:val="20"/>
          <w:szCs w:val="20"/>
          <w:color w:val="auto"/>
        </w:rPr>
      </w:pPr>
    </w:p>
    <w:p>
      <w:pPr>
        <w:jc w:val="both"/>
        <w:ind w:firstLine="656"/>
        <w:spacing w:after="0" w:line="245" w:lineRule="auto"/>
        <w:tabs>
          <w:tab w:leader="none" w:pos="110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means inventions, discoveries, developments, methods, processes, compositions, works, recipes, concepts and ideas (whether or not patentable or copyrightable or constituting trade secrets) conceived, made, created, developed or reduced to practice by the Executive (whether alone or with others, whether or not during normal business hours or on or off Company premises) during the Executive’s employment and during the period of six (6) months immediately following termination of her employment that relate to either the Business or any prospective activity of the Company or any of its Affiliates or that make use of Confidential Information or any of the equipment or facilities of the Company or any of its Affiliates.</w:t>
      </w:r>
    </w:p>
    <w:p>
      <w:pPr>
        <w:spacing w:after="0" w:line="185" w:lineRule="exact"/>
        <w:rPr>
          <w:rFonts w:ascii="Times New Roman" w:cs="Times New Roman" w:eastAsia="Times New Roman" w:hAnsi="Times New Roman"/>
          <w:sz w:val="20"/>
          <w:szCs w:val="20"/>
          <w:color w:val="auto"/>
        </w:rPr>
      </w:pPr>
    </w:p>
    <w:p>
      <w:pPr>
        <w:ind w:firstLine="656"/>
        <w:spacing w:after="0" w:line="269" w:lineRule="auto"/>
        <w:tabs>
          <w:tab w:leader="none" w:pos="1093"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 individual, a corporation, an association, a partnership, an estate, a trust and any other entity or organization, other than the Company or any of its Affiliates.</w:t>
      </w:r>
    </w:p>
    <w:p>
      <w:pPr>
        <w:spacing w:after="0" w:line="160" w:lineRule="exact"/>
        <w:rPr>
          <w:sz w:val="20"/>
          <w:szCs w:val="20"/>
          <w:color w:val="auto"/>
        </w:rPr>
      </w:pPr>
    </w:p>
    <w:p>
      <w:pPr>
        <w:ind w:firstLine="8"/>
        <w:spacing w:after="0" w:line="269" w:lineRule="auto"/>
        <w:tabs>
          <w:tab w:leader="none" w:pos="51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All payments made by the Company under this Agreement shall be reduced by any tax or other amounts required to be withheld by the Company under applicable law.</w:t>
      </w:r>
    </w:p>
    <w:p>
      <w:pPr>
        <w:spacing w:after="0" w:line="159" w:lineRule="exact"/>
        <w:rPr>
          <w:rFonts w:ascii="Times New Roman" w:cs="Times New Roman" w:eastAsia="Times New Roman" w:hAnsi="Times New Roman"/>
          <w:sz w:val="20"/>
          <w:szCs w:val="20"/>
          <w:color w:val="auto"/>
        </w:rPr>
      </w:pPr>
    </w:p>
    <w:p>
      <w:pPr>
        <w:jc w:val="both"/>
        <w:ind w:firstLine="8"/>
        <w:spacing w:after="0" w:line="247" w:lineRule="auto"/>
        <w:tabs>
          <w:tab w:leader="none" w:pos="459"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xml:space="preserve">. Neither the Company nor the Executive may make any assignment of this Agreement or any interest herein, by operation of law or otherwise, without the prior written consent of the other;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Company may assign its rights and obligations under this Agreement, without the consent of the Executive, to an Affiliate (that will manage the assets and carry on the historic business of the Company following such assignment) or a successor that expressly assumes and agrees in writing to perform this Agreement in the same manner and to the same extent as the Company, including in the event that the Company shall hereafter affect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76" w:right="239" w:bottom="1440" w:gutter="0" w:footer="0" w:header="0"/>
        </w:sectPr>
      </w:pPr>
    </w:p>
    <w:bookmarkStart w:id="66" w:name="page67"/>
    <w:bookmarkEnd w:id="66"/>
    <w:p>
      <w:pPr>
        <w:jc w:val="both"/>
        <w:spacing w:after="0" w:line="254" w:lineRule="auto"/>
        <w:rPr>
          <w:sz w:val="20"/>
          <w:szCs w:val="20"/>
          <w:color w:val="auto"/>
        </w:rPr>
      </w:pPr>
      <w:r>
        <w:rPr>
          <w:rFonts w:ascii="Times New Roman" w:cs="Times New Roman" w:eastAsia="Times New Roman" w:hAnsi="Times New Roman"/>
          <w:sz w:val="20"/>
          <w:szCs w:val="20"/>
          <w:color w:val="auto"/>
        </w:rPr>
        <w:t>a reorganization, consolidate with, or merge into, any other Person, or transfer all or substantially all of its properties, stock, or assets to any other Person. This Agreement shall inure to the benefit of and be binding upon the Company and the Executive, their respective successors, executors, administrators, heirs and permitted assigns.</w:t>
      </w:r>
    </w:p>
    <w:p>
      <w:pPr>
        <w:spacing w:after="0" w:line="175" w:lineRule="exact"/>
        <w:rPr>
          <w:sz w:val="20"/>
          <w:szCs w:val="20"/>
          <w:color w:val="auto"/>
        </w:rPr>
      </w:pPr>
    </w:p>
    <w:p>
      <w:pPr>
        <w:jc w:val="both"/>
        <w:ind w:firstLine="8"/>
        <w:spacing w:after="0" w:line="245" w:lineRule="auto"/>
        <w:tabs>
          <w:tab w:leader="none" w:pos="44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The declaration by a court of competent jurisdiction that Sections 7, 8 or 9 hereof, or any portions thereof, are illegal or unenforceable shall have no effect on the Company’s rights under Section 11 hereof to cease making any severance payments in the event of the Executive’s failure to comply with the Compliance Condition.</w:t>
      </w:r>
    </w:p>
    <w:p>
      <w:pPr>
        <w:spacing w:after="0" w:line="185" w:lineRule="exact"/>
        <w:rPr>
          <w:rFonts w:ascii="Times New Roman" w:cs="Times New Roman" w:eastAsia="Times New Roman" w:hAnsi="Times New Roman"/>
          <w:sz w:val="20"/>
          <w:szCs w:val="20"/>
          <w:color w:val="auto"/>
        </w:rPr>
      </w:pPr>
    </w:p>
    <w:p>
      <w:pPr>
        <w:jc w:val="both"/>
        <w:ind w:firstLine="8"/>
        <w:spacing w:after="0" w:line="254" w:lineRule="auto"/>
        <w:tabs>
          <w:tab w:leader="none" w:pos="44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No waiver of any provision hereof shall be effective unless made in writing and 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w:t>
      </w:r>
    </w:p>
    <w:p>
      <w:pPr>
        <w:spacing w:after="0" w:line="174" w:lineRule="exact"/>
        <w:rPr>
          <w:rFonts w:ascii="Times New Roman" w:cs="Times New Roman" w:eastAsia="Times New Roman" w:hAnsi="Times New Roman"/>
          <w:sz w:val="20"/>
          <w:szCs w:val="20"/>
          <w:color w:val="auto"/>
        </w:rPr>
      </w:pPr>
    </w:p>
    <w:p>
      <w:pPr>
        <w:jc w:val="both"/>
        <w:ind w:firstLine="8"/>
        <w:spacing w:after="0" w:line="244" w:lineRule="auto"/>
        <w:tabs>
          <w:tab w:leader="none" w:pos="44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and all notices, requests, demands and other communications provided for by this Agreement shall be in writing and shall be effective when delivered in person, consigned to a reputable national courier service or deposited in the United States mail, postage prepaid, registered or certified, and addressed to the Executive at her last known address on the books of the Company, with a copy to Stephan G. Bachelder, Preti Flaherty Beliveau &amp; Pachios LLP, One City Center, P.O. Box 9546, Portland, Maine 04112-9546 or, in the case of the Company, at its principal place of business, attention of the Corporate Secretary of the Company, with a copy to Baker &amp; Hostetler LLC, 127 Public Square, Suite 2100, Cleveland, Ohio 44145, Attention: John M. Gherlein and Janet A. Spreen or to such other address as either party may specify by notice to the other actually received.</w:t>
      </w:r>
    </w:p>
    <w:p>
      <w:pPr>
        <w:spacing w:after="0" w:line="186" w:lineRule="exact"/>
        <w:rPr>
          <w:rFonts w:ascii="Times New Roman" w:cs="Times New Roman" w:eastAsia="Times New Roman" w:hAnsi="Times New Roman"/>
          <w:sz w:val="20"/>
          <w:szCs w:val="20"/>
          <w:color w:val="auto"/>
        </w:rPr>
      </w:pPr>
    </w:p>
    <w:p>
      <w:pPr>
        <w:jc w:val="both"/>
        <w:ind w:firstLine="8"/>
        <w:spacing w:after="0" w:line="244" w:lineRule="auto"/>
        <w:tabs>
          <w:tab w:leader="none" w:pos="62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constitutes the entire agreement between the parties and supersedes and terminates all prior communications, agreements and understandings, written or oral, with respect to the terms and conditions of the Executive’s employment with the Company, including, but not limited to the Existing Agreement. However, this Agreement does not supersede or otherwise affect (a) the Kangaroo Holdings, Inc. 2007 Equity Incentive Plan, (b) the Kangaroo Holdings, Inc. Option Agreement, dated November 16, 2009, as amended, (c) the Kangaroo Holdings, Inc. Option Agreement, dated September 9, 2011, (d) the Company’s 2012 Incentive Award Plan and award agreements thereunder, or (e) the Plan and award agreements thereunder. As of the Effective Date, the Existing Agreement shall be of no further force or effect.</w:t>
      </w:r>
    </w:p>
    <w:p>
      <w:pPr>
        <w:spacing w:after="0" w:line="186" w:lineRule="exact"/>
        <w:rPr>
          <w:rFonts w:ascii="Times New Roman" w:cs="Times New Roman" w:eastAsia="Times New Roman" w:hAnsi="Times New Roman"/>
          <w:sz w:val="20"/>
          <w:szCs w:val="20"/>
          <w:color w:val="auto"/>
        </w:rPr>
      </w:pPr>
    </w:p>
    <w:p>
      <w:pPr>
        <w:ind w:firstLine="8"/>
        <w:spacing w:after="0" w:line="269" w:lineRule="auto"/>
        <w:tabs>
          <w:tab w:leader="none" w:pos="499"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This Agreement may be amended or modified only by a written instrument signed by the Executive and by an expressly authorized representative of the Company.</w:t>
      </w:r>
    </w:p>
    <w:p>
      <w:pPr>
        <w:spacing w:after="0" w:line="159" w:lineRule="exact"/>
        <w:rPr>
          <w:rFonts w:ascii="Times New Roman" w:cs="Times New Roman" w:eastAsia="Times New Roman" w:hAnsi="Times New Roman"/>
          <w:sz w:val="20"/>
          <w:szCs w:val="20"/>
          <w:color w:val="auto"/>
        </w:rPr>
      </w:pPr>
    </w:p>
    <w:p>
      <w:pPr>
        <w:ind w:right="20" w:firstLine="8"/>
        <w:spacing w:after="0" w:line="269" w:lineRule="auto"/>
        <w:tabs>
          <w:tab w:leader="none" w:pos="44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and captions in this Agreement are for convenience only and in no way define or describe the scope or content of any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76" w:right="239" w:bottom="1440" w:gutter="0" w:footer="0" w:header="0"/>
        </w:sectPr>
      </w:pPr>
    </w:p>
    <w:bookmarkStart w:id="67" w:name="page68"/>
    <w:bookmarkEnd w:id="67"/>
    <w:p>
      <w:pPr>
        <w:ind w:firstLine="8"/>
        <w:spacing w:after="0" w:line="269" w:lineRule="auto"/>
        <w:tabs>
          <w:tab w:leader="none" w:pos="459"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two or more counterparts, each of which shall be an original and all of which together shall constitute one and the same instrument.</w:t>
      </w:r>
    </w:p>
    <w:p>
      <w:pPr>
        <w:spacing w:after="0" w:line="159" w:lineRule="exact"/>
        <w:rPr>
          <w:rFonts w:ascii="Times New Roman" w:cs="Times New Roman" w:eastAsia="Times New Roman" w:hAnsi="Times New Roman"/>
          <w:sz w:val="20"/>
          <w:szCs w:val="20"/>
          <w:color w:val="auto"/>
        </w:rPr>
      </w:pPr>
    </w:p>
    <w:p>
      <w:pPr>
        <w:jc w:val="both"/>
        <w:ind w:firstLine="8"/>
        <w:spacing w:after="0" w:line="254" w:lineRule="auto"/>
        <w:tabs>
          <w:tab w:leader="none" w:pos="48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is a Florida contract and shall be construed and enforced under and be governed in all respects by the laws of the State of Florida, without regard to the conflict of laws principles thereof. In the event of any alleged breach or threatened breach of this Agreement, the Executive hereby consents and submits to the jurisdiction of the federal and state courts in and of the State of Florida.</w:t>
      </w:r>
    </w:p>
    <w:p>
      <w:pPr>
        <w:spacing w:after="0" w:line="174" w:lineRule="exact"/>
        <w:rPr>
          <w:rFonts w:ascii="Times New Roman" w:cs="Times New Roman" w:eastAsia="Times New Roman" w:hAnsi="Times New Roman"/>
          <w:sz w:val="20"/>
          <w:szCs w:val="20"/>
          <w:color w:val="auto"/>
        </w:rPr>
      </w:pPr>
    </w:p>
    <w:p>
      <w:pPr>
        <w:jc w:val="both"/>
        <w:ind w:firstLine="8"/>
        <w:spacing w:after="0" w:line="254" w:lineRule="auto"/>
        <w:tabs>
          <w:tab w:leader="none" w:pos="5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The Executive shall cooperate fully with all reasonable requests for information and participation by the Company, its agents or its attorneys at the Company’s expense in prosecuting or defending claims, suits and disputes brought on behalf of or against the Company and in which Executive is involved or about which Executive has knowledge.</w:t>
      </w:r>
    </w:p>
    <w:p>
      <w:pPr>
        <w:spacing w:after="0" w:line="170" w:lineRule="exact"/>
        <w:rPr>
          <w:rFonts w:ascii="Times New Roman" w:cs="Times New Roman" w:eastAsia="Times New Roman" w:hAnsi="Times New Roman"/>
          <w:sz w:val="20"/>
          <w:szCs w:val="20"/>
          <w:color w:val="auto"/>
        </w:rPr>
      </w:pPr>
    </w:p>
    <w:p>
      <w:pPr>
        <w:jc w:val="both"/>
        <w:ind w:firstLine="8"/>
        <w:spacing w:after="0" w:line="250" w:lineRule="auto"/>
        <w:tabs>
          <w:tab w:leader="none" w:pos="52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WAIVER OF JURY TRIAL</w:t>
      </w:r>
      <w:r>
        <w:rPr>
          <w:rFonts w:ascii="Times New Roman" w:cs="Times New Roman" w:eastAsia="Times New Roman" w:hAnsi="Times New Roman"/>
          <w:sz w:val="20"/>
          <w:szCs w:val="20"/>
          <w:b w:val="1"/>
          <w:bCs w:val="1"/>
          <w:color w:val="auto"/>
        </w:rPr>
        <w:t>. THE PARTIES TO THIS AGREEMENT KNOW AND UNDERSTAND THAT THEY HAVE A CONSTITUTIONAL RIGHT TO A JURY TRIAL. THE PARTIES ACKNOWLEDGE THAT ANY DISPUTE OR CONTROVERSY THAT MAY ARISE OUT OF THIS AGREEMENT WILL INVOLVE COMPLICATED AND DIFFICULT FACTUAL AND LEGAL ISSUES.</w:t>
      </w:r>
    </w:p>
    <w:p>
      <w:pPr>
        <w:spacing w:after="0" w:line="17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b w:val="1"/>
          <w:bCs w:val="1"/>
          <w:color w:val="auto"/>
        </w:rPr>
        <w:t>THE PARTIES HEREBY WAIVE ANY RIGHT TO TRIAL BY JURY IN ANY PROCEEDING ARISING OUT OF OR RELATING TO THIS AGREEMENT OR ANY OF THE CONTEMPLATED TRANSACTIONS, WHETHER NOW EXISTING OR HEREAFTER ARISING, AND WHETHER SOUNDING IN CONTRACT, TORT OR OTHERWISE. THE PARTIES AGREE THAT EITHER OF THEM MAY FILE A COPY OF THIS PARAGRAPH WITH ANY COURT AS WRITTEN EVIDENCE OF THE KNOWING, VOLUNTARY AND BARGAINED−FOR AGREEMENT AMONG THE PARTIES IRREVOCABLY TO WAIVE TRIAL BY JURY, AND THAT ANY PROCEEDING WHATSOEVER BETWEEN THEM RELATING TO THIS AGREEMENT OR ANY OF THE CONTEMPLATED TRANSACTIONS SHALL INSTEAD BE TRIED IN A COURT OF COMPETENT JURISDICTION BY A JUDGE SITTING WITHOUT A JURY.</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THE PARTIES INTEND THAT THIS WAIVER OF THE RIGHT TO A JURY TRIAL BE AS BROAD AS POSSIBLE. BY THEIR SIGNATURES BELOW, THE PARTIES PROMISE, WARRANT AND REPRESENT THAT THEY WILL NOT PLEAD FOR, REQUEST OR OTHERWISE SEEK TO HAVE A JURY TO RESOLVE ANY AND ALL DISPUTES THAT MAY ARISE BY, BETWEEN OR AMONG THEM.</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76" w:right="239" w:bottom="1440" w:gutter="0" w:footer="0" w:header="0"/>
        </w:sectPr>
      </w:pPr>
    </w:p>
    <w:bookmarkStart w:id="68" w:name="page69"/>
    <w:bookmarkEnd w:id="68"/>
    <w:p>
      <w:pPr>
        <w:ind w:left="620"/>
        <w:spacing w:after="0"/>
        <w:rPr>
          <w:sz w:val="20"/>
          <w:szCs w:val="20"/>
          <w:color w:val="auto"/>
        </w:rPr>
      </w:pPr>
      <w:r>
        <w:rPr>
          <w:rFonts w:ascii="Times New Roman" w:cs="Times New Roman" w:eastAsia="Times New Roman" w:hAnsi="Times New Roman"/>
          <w:sz w:val="20"/>
          <w:szCs w:val="20"/>
          <w:color w:val="auto"/>
        </w:rPr>
        <w:t>IN WITNESS WHEREOF, this parties have executed this Amendment as of the date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0"/>
          <w:szCs w:val="20"/>
          <w:color w:val="auto"/>
        </w:rPr>
        <w:t>THE COMPANY:</w:t>
      </w:r>
    </w:p>
    <w:p>
      <w:pPr>
        <w:spacing w:after="0" w:line="378"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20"/>
          <w:szCs w:val="20"/>
          <w:color w:val="auto"/>
        </w:rPr>
        <w:t>BLOOMIN' BRANDS, INC.</w:t>
      </w:r>
    </w:p>
    <w:p>
      <w:pPr>
        <w:sectPr>
          <w:pgSz w:w="11900" w:h="16838" w:orient="portrait"/>
          <w:cols w:equalWidth="0" w:num="1">
            <w:col w:w="10179"/>
          </w:cols>
          <w:pgMar w:left="280" w:top="360" w:right="1440" w:bottom="1440" w:gutter="0" w:footer="0" w:header="0"/>
        </w:sect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Kelly Lefferts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38735</wp:posOffset>
            </wp:positionV>
            <wp:extent cx="20408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WITNESSES: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Kelly Lefferts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31115</wp:posOffset>
            </wp:positionV>
            <wp:extent cx="23323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Witness</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Kelly Lefferts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31115</wp:posOffset>
            </wp:positionV>
            <wp:extent cx="23323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 Witness Name</w:t>
      </w:r>
    </w:p>
    <w:p>
      <w:pPr>
        <w:spacing w:after="0" w:line="3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Claire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31115</wp:posOffset>
            </wp:positionV>
            <wp:extent cx="23323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Witness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Claire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31115</wp:posOffset>
            </wp:positionV>
            <wp:extent cx="23323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 Witness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Pablo Brizi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31115</wp:posOffset>
            </wp:positionV>
            <wp:extent cx="2667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EXECUTIVE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/s/ Elizabeth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38735</wp:posOffset>
            </wp:positionV>
            <wp:extent cx="22383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Elizabeth A. Smith</w:t>
      </w:r>
    </w:p>
    <w:p>
      <w:pPr>
        <w:spacing w:after="0" w:line="2266" w:lineRule="exact"/>
        <w:rPr>
          <w:sz w:val="20"/>
          <w:szCs w:val="20"/>
          <w:color w:val="auto"/>
        </w:rPr>
      </w:pPr>
    </w:p>
    <w:p>
      <w:pPr>
        <w:sectPr>
          <w:pgSz w:w="11900" w:h="16838" w:orient="portrait"/>
          <w:cols w:equalWidth="0" w:num="2">
            <w:col w:w="5920" w:space="720"/>
            <w:col w:w="3539"/>
          </w:cols>
          <w:pgMar w:left="280" w:top="3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179"/>
          </w:cols>
          <w:pgMar w:left="280" w:top="360" w:right="1440" w:bottom="1440" w:gutter="0" w:footer="0" w:header="0"/>
          <w:type w:val="continuous"/>
        </w:sectPr>
      </w:pPr>
    </w:p>
    <w:bookmarkStart w:id="69" w:name="page70"/>
    <w:bookmarkEnd w:id="69"/>
    <w:p>
      <w:pPr>
        <w:jc w:val="right"/>
        <w:ind w:right="4019"/>
        <w:spacing w:after="0"/>
        <w:rPr>
          <w:sz w:val="20"/>
          <w:szCs w:val="20"/>
          <w:color w:val="auto"/>
        </w:rPr>
      </w:pPr>
      <w:r>
        <w:rPr>
          <w:rFonts w:ascii="Times New Roman" w:cs="Times New Roman" w:eastAsia="Times New Roman" w:hAnsi="Times New Roman"/>
          <w:sz w:val="20"/>
          <w:szCs w:val="20"/>
          <w:color w:val="auto"/>
        </w:rPr>
        <w:t>EXHIBIT A</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Member of the Board of Directors of:</w:t>
      </w:r>
    </w:p>
    <w:p>
      <w:pPr>
        <w:spacing w:after="0" w:line="337"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Hilton Worldwide Holdings, Inc.</w:t>
      </w:r>
    </w:p>
    <w:p>
      <w:pPr>
        <w:spacing w:after="0" w:line="310"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Reserve Bank of Atlanta</w:t>
      </w:r>
    </w:p>
    <w:p>
      <w:pPr>
        <w:spacing w:after="0" w:line="229"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Fund for UNICEF</w:t>
      </w:r>
    </w:p>
    <w:p>
      <w:pPr>
        <w:spacing w:after="0" w:line="229"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 Lee Moffitt Cancer Center &amp; Research Institute</w:t>
      </w:r>
    </w:p>
    <w:p>
      <w:pPr>
        <w:sectPr>
          <w:pgSz w:w="11900" w:h="16838" w:orient="portrait"/>
          <w:cols w:equalWidth="0" w:num="1">
            <w:col w:w="10219"/>
          </w:cols>
          <w:pgMar w:left="240" w:top="387" w:right="1440" w:bottom="1440" w:gutter="0" w:footer="0" w:header="0"/>
        </w:sectPr>
      </w:pPr>
    </w:p>
    <w:bookmarkStart w:id="70" w:name="page71"/>
    <w:bookmarkEnd w:id="70"/>
    <w:p>
      <w:pPr>
        <w:ind w:left="4000"/>
        <w:spacing w:after="0"/>
        <w:rPr>
          <w:sz w:val="20"/>
          <w:szCs w:val="20"/>
          <w:color w:val="auto"/>
        </w:rPr>
      </w:pPr>
      <w:r>
        <w:rPr>
          <w:rFonts w:ascii="Times New Roman" w:cs="Times New Roman" w:eastAsia="Times New Roman" w:hAnsi="Times New Roman"/>
          <w:sz w:val="20"/>
          <w:szCs w:val="20"/>
          <w:color w:val="auto"/>
        </w:rPr>
        <w:t>EXHIBIT B</w:t>
      </w:r>
    </w:p>
    <w:p>
      <w:pPr>
        <w:spacing w:after="0" w:line="17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[Form of Release]</w:t>
      </w:r>
    </w:p>
    <w:p>
      <w:pPr>
        <w:sectPr>
          <w:pgSz w:w="11900" w:h="16838" w:orient="portrait"/>
          <w:cols w:equalWidth="0" w:num="1">
            <w:col w:w="9019"/>
          </w:cols>
          <w:pgMar w:left="1440" w:top="454" w:right="1440"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0"/>
          <w:szCs w:val="20"/>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RELEASE OF CLAIMS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20"/>
          <w:szCs w:val="20"/>
          <w:color w:val="auto"/>
        </w:rPr>
        <w:t>This Release of Claims is provided by me, Elizabeth A. Smith (or by my designated beneficiary, in the event of my death during my employment) pursuant to the Second Amended and Restated Employment Agreement between me and Bloomin' Brands, Inc., made and entered into as of April 1, 2019 (the “Employment Agreement”).</w:t>
      </w:r>
    </w:p>
    <w:p>
      <w:pPr>
        <w:spacing w:after="0" w:line="243"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20"/>
          <w:szCs w:val="20"/>
          <w:color w:val="auto"/>
        </w:rPr>
        <w:t>This Release of Claims is given in consideration of the severance benefits to be provided to me (or, in the event of my death during my employment, to my designated beneficiary) in connection with the termination of my employment under Section 5 of the Employment Agreement (collectively, the “Separation Payments”), which are conditioned on my signing this Release of Claims and to which I am not otherwise entitled, and for other good and valuable consideration, the receipt and sufficiency of which is hereby acknowledged. On my own behalf and that of my heirs, executors, administrators, beneficiaries, representatives and assigns, and all others connected with or claiming through me, I hereby release and forever discharge the Company from any and all causes of action, rights or claims of any type or description, known or unknown, which I have had in the past, now have or might have, through the date of my signing of this Release of Claims. This includes, without limitation, any and all causes of action, rights or claims in any way resulting from, arising out of or connected with my employment by the Company or the termination of that employment or pursuant to any federal, state or local law, regulation or other requirement, including without limitation Title VII of the Civil Rights Act of 1964, the Americans with Disabilities Act, the Age Discrimination in Employment Act, the fair employment practices statutes of the state or states in which I have provided services to the Company or any other federal, state, local or foreign law, all as amended, any contracts of employment; any tort claims; or any agreements, plans or policies.</w:t>
      </w:r>
    </w:p>
    <w:p>
      <w:pPr>
        <w:spacing w:after="0" w:line="258"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20"/>
          <w:szCs w:val="20"/>
          <w:color w:val="auto"/>
        </w:rPr>
        <w:t>Notwithstanding the immediately preceding paragraph, nothing in this Release of Claims shall be construed to prohibit me from filing a charge with, or participating in any investigation or proceeding conducted by, the U.S. Equal Employment Opportunity Commission or a comparable state or federal fair employment practices agency, or from communicating directly with the Securities and Exchange Commission regarding any possible securities law violation; provided, however, that, except as otherwise provided herein, this Release of Claims fully and finally resolves all monetary matters between me and the Company, and, except with respect to any matter involving the Securities and Exchange Commission, I waive any right to monetary damages, attorneys’ fees, costs and equitable remedies related to or arising from any such charge, or ensuing complaint or lawsuit, filed by me or on my behalf.</w:t>
      </w:r>
    </w:p>
    <w:p>
      <w:pPr>
        <w:spacing w:after="0" w:line="257"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color w:val="auto"/>
        </w:rPr>
        <w:t>For purposes of this Release of Claims, the word “Company” always includes the subsidiaries and affiliates of the Company and all of its past, present and future officers, directors, trustees, shareholders, employees, employee benefit plans and any of the trustees or administrators thereof, agents, general and limited partners, members, managers, investors, joint venturers, representatives, predecessors, successors and assigns, and all others connected with any of them, both individually and in their official capacities.</w:t>
      </w:r>
    </w:p>
    <w:p>
      <w:pPr>
        <w:sectPr>
          <w:pgSz w:w="11900" w:h="16838" w:orient="portrait"/>
          <w:cols w:equalWidth="0" w:num="1">
            <w:col w:w="11420"/>
          </w:cols>
          <w:pgMar w:left="240" w:top="387" w:right="239" w:bottom="1440" w:gutter="0" w:footer="0" w:header="0"/>
        </w:sectPr>
      </w:pPr>
    </w:p>
    <w:bookmarkStart w:id="72" w:name="page73"/>
    <w:bookmarkEnd w:id="72"/>
    <w:p>
      <w:pPr>
        <w:jc w:val="both"/>
        <w:ind w:firstLine="648"/>
        <w:spacing w:after="0" w:line="311" w:lineRule="auto"/>
        <w:rPr>
          <w:sz w:val="20"/>
          <w:szCs w:val="20"/>
          <w:color w:val="auto"/>
        </w:rPr>
      </w:pPr>
      <w:r>
        <w:rPr>
          <w:rFonts w:ascii="Times New Roman" w:cs="Times New Roman" w:eastAsia="Times New Roman" w:hAnsi="Times New Roman"/>
          <w:sz w:val="19"/>
          <w:szCs w:val="19"/>
          <w:color w:val="auto"/>
        </w:rPr>
        <w:t>Excluded from the scope of this Release of Claims is (i) any right I have to the Separation Payments payable after the effective date of this Release of Claims, (ii) any rights to benefits that were vested under the Company's employee benefit plans on the date on which my employment with the Company terminated, in accordance with the terms of such plans, (iii) any right of indemnification or contribution or advancement of expenses pursuant to the Articles of Incorporation or By-Laws or other applicable corporate governing documents of the Company, Delaware or other applicable law, or any indemnification agreement between the Company and me, (iv) any right under any applicable liability insurance policy with respect to my liability as a director or officer of the Company or any of its subsidiaries or affiliates, or</w:t>
      </w:r>
    </w:p>
    <w:p>
      <w:pPr>
        <w:spacing w:after="0" w:line="3" w:lineRule="exact"/>
        <w:rPr>
          <w:sz w:val="20"/>
          <w:szCs w:val="20"/>
          <w:color w:val="auto"/>
        </w:rPr>
      </w:pPr>
    </w:p>
    <w:p>
      <w:pPr>
        <w:ind w:right="20" w:firstLine="8"/>
        <w:spacing w:after="0" w:line="325" w:lineRule="auto"/>
        <w:tabs>
          <w:tab w:leader="none" w:pos="289"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right to enforce the terms of this Release of Claims or any other agreements, including any option or other equity agreement, between the Company and me that by their respective terms survive the termination of my employment.</w:t>
      </w:r>
    </w:p>
    <w:p>
      <w:pPr>
        <w:spacing w:after="0" w:line="228"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20"/>
          <w:szCs w:val="20"/>
          <w:color w:val="auto"/>
        </w:rPr>
        <w:t>In signing this Release of Claims, I give the Company assurance that I have returned to the Company any and all documents, materials and information related to the business, whether present or otherwise, of the Company and all keys and other property of the Company that were in my possession or control, all as required by and consistent with Section 7 of the Employment Agreement. I agree that I will not, for any purpose, attempt to access or use any computer or computer network or system of the Company, including without limitation their electronic mail systems. I further acknowledge that I have disclosed to the Company all passwords necessary or desirable to enable the Company to access all information which I have password-protected on its computer network or system.</w:t>
      </w:r>
    </w:p>
    <w:p>
      <w:pPr>
        <w:spacing w:after="0" w:line="255"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20"/>
          <w:szCs w:val="20"/>
          <w:color w:val="auto"/>
        </w:rPr>
        <w:t>In signing this Release of Claims, I agree that I have been paid in full all compensation due to me, whether for services rendered by me to the Company or otherwise, through the date on which my employment with the Company terminated and that, exclusive only of the Separation Payments, no further compensation of any kind shall be due to me by the Company, whether arising under the Employment Agreement or otherwise, in connection with my employment or the termination thereof. I also agree that except for any right I and my eligible dependents may have to continue participation in the Company's health and dental plans under the federal law commonly known as COBRA, my right to participate in any employee benefit plan of the Company will be determined in accordance with the terms of such plan. I acknowledge that some or all of the consideration paid to me hereunder is in addition to anything of value to which I am entitled otherwise under the Company’s normal policies and practices.</w:t>
      </w:r>
    </w:p>
    <w:p>
      <w:pPr>
        <w:spacing w:after="0" w:line="253"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20"/>
          <w:szCs w:val="20"/>
          <w:color w:val="auto"/>
        </w:rPr>
        <w:t>I acknowledge that my eligibility for the Separation Payments is not only contingent on my signing and returning this Release of Claims to the Company in a timely manner and not revoking it thereafter, but also is subject to my compliance with the Compliance Condition (as such term is defined in the Employment Agreement).</w:t>
      </w:r>
    </w:p>
    <w:p>
      <w:pPr>
        <w:spacing w:after="0" w:line="24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color w:val="auto"/>
        </w:rPr>
        <w:t>I further agree that from and after the date hereof I will not make any false, misleading or disparaging statements about the Company or any of its subsidiaries, affiliates, shareholders, officers, employees, directors or products or services. The Company agrees that it shall use its reasonable efforts to cause its shareholders, officers, employees and directors to not make any false, misleading or disparaging statements about me.</w:t>
      </w:r>
    </w:p>
    <w:p>
      <w:pPr>
        <w:spacing w:after="0" w:line="249"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20"/>
          <w:szCs w:val="20"/>
          <w:color w:val="auto"/>
        </w:rPr>
        <w:t>In signing this Release of Claims, I acknowledge my understanding that I may not sign it prior to the termination of my employment, but that I may consider the terms of this Release of Claims for up to twenty-onel days (or, if the Company so instructs me in writing, for up to forty-five days) from the later of</w:t>
      </w:r>
    </w:p>
    <w:p>
      <w:pPr>
        <w:sectPr>
          <w:pgSz w:w="11900" w:h="16838" w:orient="portrait"/>
          <w:cols w:equalWidth="0" w:num="1">
            <w:col w:w="11420"/>
          </w:cols>
          <w:pgMar w:left="240" w:top="387" w:right="239" w:bottom="1440" w:gutter="0" w:footer="0" w:header="0"/>
        </w:sectPr>
      </w:pPr>
    </w:p>
    <w:bookmarkStart w:id="73" w:name="page74"/>
    <w:bookmarkEnd w:id="73"/>
    <w:p>
      <w:pPr>
        <w:jc w:val="both"/>
        <w:spacing w:after="0" w:line="298" w:lineRule="auto"/>
        <w:rPr>
          <w:sz w:val="20"/>
          <w:szCs w:val="20"/>
          <w:color w:val="auto"/>
        </w:rPr>
      </w:pPr>
      <w:r>
        <w:rPr>
          <w:rFonts w:ascii="Times New Roman" w:cs="Times New Roman" w:eastAsia="Times New Roman" w:hAnsi="Times New Roman"/>
          <w:sz w:val="20"/>
          <w:szCs w:val="20"/>
          <w:color w:val="auto"/>
        </w:rPr>
        <w:t>the date my employment with the Company terminates or the date I receive this Release of Claims. I understand that any material or non-material changes to this Release of Claims after it has been given to me will not restart or extend the 21-day (or 45-day) period. I further understand that I may revoke this Release of Claims within seven days after executing it by delivering written notice of such revocation to the Corporate Secretary of the Company, with a copy to Baker &amp; Hostetler LLP, 127 Public Square, Suite 2000, Cleveland, Ohio 44114, Attention: John M. Gherlein and Janet A. Spreen, either by hand, by facsimile transmission, or by certified mail, return receipt requested, such that the written notice is received by said Corporate Secretary and by Baker &amp; Hostetler LLP at or before the expiration of the 7-day period. I also acknowledge that I am advised by the Company to seek the advice of an attorney prior to signing this Release of Claims, that I have had sufficient time to consider this Release of Claims and to consult with an attorney, if I wished to do so, or to consult with any other person of my choosing before signing, and that I am signing this Release of Claims voluntarily and with a full understanding of its terms. I further acknowledge that, in signing this Release of Claims, I have not relied on any promises or representations, express or implied, that are not set forth expressly in this Release of Claims.</w:t>
      </w:r>
    </w:p>
    <w:p>
      <w:pPr>
        <w:spacing w:after="0" w:line="262" w:lineRule="exact"/>
        <w:rPr>
          <w:sz w:val="20"/>
          <w:szCs w:val="20"/>
          <w:color w:val="auto"/>
        </w:rPr>
      </w:pPr>
    </w:p>
    <w:p>
      <w:pPr>
        <w:jc w:val="both"/>
        <w:ind w:firstLine="648"/>
        <w:spacing w:after="0" w:line="325" w:lineRule="auto"/>
        <w:rPr>
          <w:sz w:val="20"/>
          <w:szCs w:val="20"/>
          <w:color w:val="auto"/>
        </w:rPr>
      </w:pPr>
      <w:r>
        <w:rPr>
          <w:rFonts w:ascii="Times New Roman" w:cs="Times New Roman" w:eastAsia="Times New Roman" w:hAnsi="Times New Roman"/>
          <w:sz w:val="20"/>
          <w:szCs w:val="20"/>
          <w:color w:val="auto"/>
        </w:rPr>
        <w:t>This Release of Claims shall be of no force or effect unless and until the expiration of the 7-day revocation period described above, without any revocation being delivered by me during said 7-day period.</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Intending to be legally bound, I have signed this Release of Claims under seal as of the date written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tabs>
          <w:tab w:leader="none" w:pos="6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28575</wp:posOffset>
            </wp:positionV>
            <wp:extent cx="17322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32280" cy="8890"/>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28575</wp:posOffset>
            </wp:positionV>
            <wp:extent cx="19640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Bloomin' Brands,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28473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Title:</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28575</wp:posOffset>
            </wp:positionV>
            <wp:extent cx="23323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4" w:name="page75"/>
    <w:bookmarkEnd w:id="74"/>
    <w:p>
      <w:pPr>
        <w:ind w:left="10400"/>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OFFICER EMPLOYMENT AGREEMENT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AMENDED AND RESTATED OFFICER EMPLOYMENT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and entered into effective April 1, 2019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by and between Bloomin’ Brands,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David J. Deno (hereinafter referred to as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WHEREAS, the Executive is currently employed by the Company as the Executive Vice President, Chief Financial and Administrative Officer of the Company and is party to that certain Officer Employment Agreement with the Company, dated May 7, 2012 and amended on July 16, 2014 (the “</w:t>
      </w:r>
      <w:r>
        <w:rPr>
          <w:rFonts w:ascii="Times New Roman" w:cs="Times New Roman" w:eastAsia="Times New Roman" w:hAnsi="Times New Roman"/>
          <w:sz w:val="20"/>
          <w:szCs w:val="20"/>
          <w:u w:val="single" w:color="auto"/>
          <w:color w:val="auto"/>
        </w:rPr>
        <w:t>Existing Agreement</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WHEREAS, the Executive will cease serving as Executive Vice President, Chief Financial and Administrative Officer of the Company and the Company will appoint the Executive as Chief Executive Officer of the Company, effective as of the Effective Date;</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the Company and the Executive desire to enter into this Agreement to set forth the amended and restated terms and conditions of the Executive’s continued employment with the Company.</w:t>
      </w:r>
    </w:p>
    <w:p>
      <w:pPr>
        <w:spacing w:after="0" w:line="16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foregoing premises and the mutual promises, terms, provisions and conditions set forth in this Agreement, the parties hereby agree that the Existing Agreement is hereby amended and restated in its entirety as follows:</w:t>
      </w:r>
    </w:p>
    <w:p>
      <w:pPr>
        <w:spacing w:after="0" w:line="156" w:lineRule="exact"/>
        <w:rPr>
          <w:sz w:val="20"/>
          <w:szCs w:val="20"/>
          <w:color w:val="auto"/>
        </w:rPr>
      </w:pPr>
    </w:p>
    <w:p>
      <w:pPr>
        <w:jc w:val="both"/>
        <w:ind w:firstLine="656"/>
        <w:spacing w:after="0" w:line="242" w:lineRule="auto"/>
        <w:tabs>
          <w:tab w:leader="none" w:pos="104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Employment, Board Service and Term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earlier termination as provided for in</w:t>
      </w:r>
      <w:r>
        <w:rPr>
          <w:rFonts w:ascii="Times New Roman" w:cs="Times New Roman" w:eastAsia="Times New Roman" w:hAnsi="Times New Roman"/>
          <w:sz w:val="20"/>
          <w:szCs w:val="20"/>
          <w:b w:val="1"/>
          <w:bCs w:val="1"/>
          <w:color w:val="auto"/>
        </w:rPr>
        <w:t xml:space="preserve"> Section 11 </w:t>
      </w:r>
      <w:r>
        <w:rPr>
          <w:rFonts w:ascii="Times New Roman" w:cs="Times New Roman" w:eastAsia="Times New Roman" w:hAnsi="Times New Roman"/>
          <w:sz w:val="20"/>
          <w:szCs w:val="20"/>
          <w:color w:val="auto"/>
        </w:rPr>
        <w:t>hereof, the Company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employs the Executive, and the Executive hereby accepts employment with the Company as Chief Executive Officer of the Company for a term commencing on April 1, 2019 and expiring five (5) years thereafter (“</w:t>
      </w:r>
      <w:r>
        <w:rPr>
          <w:rFonts w:ascii="Times New Roman" w:cs="Times New Roman" w:eastAsia="Times New Roman" w:hAnsi="Times New Roman"/>
          <w:sz w:val="20"/>
          <w:szCs w:val="20"/>
          <w:u w:val="single" w:color="auto"/>
          <w:color w:val="auto"/>
        </w:rPr>
        <w:t>Term of Employment</w:t>
      </w:r>
      <w:r>
        <w:rPr>
          <w:rFonts w:ascii="Times New Roman" w:cs="Times New Roman" w:eastAsia="Times New Roman" w:hAnsi="Times New Roman"/>
          <w:sz w:val="20"/>
          <w:szCs w:val="20"/>
          <w:color w:val="auto"/>
        </w:rPr>
        <w:t>”). Such Term of Employment shall be automatically renewed for successive renewal terms of one (1) year each unless either party elects not to renew by giving written notice to the other party not less than sixty (60) days prior to the start of any renewal term. Also during the term hereof, subject to the requirements of applicable law (including, without limitation, any rules or regulations of any exchange on which the common stock of the Company is listed, if applicable), the Company agrees appoint the Executive to the Board of Directors of the Company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for a term commencing on April 1, 2019 and also to propose to the stockholders of the Company at each annual meeting occurring during the term hereof the election or re-election, as applicable, of the Executive as a member of the Board and the Executive shall so serve if elected or re-elected; provided, however, that if the Executive’s employment with the Company terminates for any reason, Executive’s membership on the Board shall also terminate through his resignation, unless otherwise agreed in writing by the Company and the Executive. In no event shall failure to reappoint or re-elect the Executive to the Board constitute “Good Reason” for purposes of this Agreement.</w:t>
      </w:r>
    </w:p>
    <w:p>
      <w:pPr>
        <w:spacing w:after="0" w:line="188" w:lineRule="exact"/>
        <w:rPr>
          <w:rFonts w:ascii="Times New Roman" w:cs="Times New Roman" w:eastAsia="Times New Roman" w:hAnsi="Times New Roman"/>
          <w:sz w:val="20"/>
          <w:szCs w:val="20"/>
          <w:color w:val="auto"/>
        </w:rPr>
      </w:pPr>
    </w:p>
    <w:p>
      <w:pPr>
        <w:jc w:val="both"/>
        <w:ind w:firstLine="656"/>
        <w:spacing w:after="0" w:line="256" w:lineRule="auto"/>
        <w:tabs>
          <w:tab w:leader="none" w:pos="100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Representations and Warranties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Executive hereby represents and warrants to the Company that (a) the Executive (i) is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any written non-solicitation or noncompetition agreement affecting the Executive’s employment with the Company or its Affiliates (other than any prior agreement with the Company or its Affiliates), (ii) is not subject to</w:t>
      </w:r>
    </w:p>
    <w:p>
      <w:pPr>
        <w:sectPr>
          <w:pgSz w:w="11900" w:h="16838" w:orient="portrait"/>
          <w:cols w:equalWidth="0" w:num="1">
            <w:col w:w="11420"/>
          </w:cols>
          <w:pgMar w:left="240" w:top="279" w:right="239" w:bottom="1440" w:gutter="0" w:footer="0" w:header="0"/>
        </w:sectPr>
      </w:pPr>
    </w:p>
    <w:bookmarkStart w:id="75" w:name="page76"/>
    <w:bookmarkEnd w:id="75"/>
    <w:p>
      <w:pPr>
        <w:jc w:val="both"/>
        <w:spacing w:after="0" w:line="245" w:lineRule="auto"/>
        <w:rPr>
          <w:sz w:val="20"/>
          <w:szCs w:val="20"/>
          <w:color w:val="auto"/>
        </w:rPr>
      </w:pPr>
      <w:r>
        <w:rPr>
          <w:rFonts w:ascii="Times New Roman" w:cs="Times New Roman" w:eastAsia="Times New Roman" w:hAnsi="Times New Roman"/>
          <w:sz w:val="20"/>
          <w:szCs w:val="20"/>
          <w:color w:val="auto"/>
        </w:rPr>
        <w:t>any written confidentiality or nonuse/nondisclosure agreement affecting the Executive’s employment with the Company or its Affiliates (other than any prior agreement with the Company or its Affiliates), and (iii) has brought to the Company and its Affiliates no trade secrets, confidential business information, documents, or other personal property of a prior employer, and (b) the execution of this Agreement and the performance of the Executive’s obligations hereunder will not breach or be in conflict with any other agreement to which the Executive is a party or is bound or any order, decree, judgment, ruling, determination or injunction of any federal, state, local or foreign governmental, administrative or regulatory court, agency or body or any arbitrator.</w:t>
      </w:r>
    </w:p>
    <w:p>
      <w:pPr>
        <w:spacing w:after="0" w:line="181" w:lineRule="exact"/>
        <w:rPr>
          <w:sz w:val="20"/>
          <w:szCs w:val="20"/>
          <w:color w:val="auto"/>
        </w:rPr>
      </w:pPr>
    </w:p>
    <w:p>
      <w:pPr>
        <w:ind w:left="1000" w:hanging="344"/>
        <w:spacing w:after="0"/>
        <w:tabs>
          <w:tab w:leader="none" w:pos="10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Duties</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color w:val="auto"/>
        </w:rPr>
      </w:pPr>
    </w:p>
    <w:p>
      <w:pPr>
        <w:ind w:left="1620" w:hanging="315"/>
        <w:spacing w:after="0"/>
        <w:tabs>
          <w:tab w:leader="none" w:pos="162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Chief Executive Officer of the Company, the Executive shall:</w:t>
      </w:r>
    </w:p>
    <w:p>
      <w:pPr>
        <w:spacing w:after="0" w:line="215" w:lineRule="exact"/>
        <w:rPr>
          <w:rFonts w:ascii="Times New Roman" w:cs="Times New Roman" w:eastAsia="Times New Roman" w:hAnsi="Times New Roman"/>
          <w:sz w:val="20"/>
          <w:szCs w:val="20"/>
          <w:color w:val="auto"/>
        </w:rPr>
      </w:pPr>
    </w:p>
    <w:p>
      <w:pPr>
        <w:jc w:val="both"/>
        <w:ind w:left="1300" w:firstLine="653"/>
        <w:spacing w:after="0" w:line="274" w:lineRule="auto"/>
        <w:tabs>
          <w:tab w:leader="none" w:pos="2348" w:val="left"/>
        </w:tabs>
        <w:numPr>
          <w:ilvl w:val="2"/>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diligently, competently and faithfully perform all of the duties and functions (A) set forth in the Company’s Third Amended and Restated Bylaws, as they may be amended from time to time (the “</w:t>
      </w:r>
      <w:r>
        <w:rPr>
          <w:rFonts w:ascii="Times New Roman" w:cs="Times New Roman" w:eastAsia="Times New Roman" w:hAnsi="Times New Roman"/>
          <w:sz w:val="19"/>
          <w:szCs w:val="19"/>
          <w:u w:val="single" w:color="auto"/>
          <w:color w:val="auto"/>
        </w:rPr>
        <w:t>Bylaws</w:t>
      </w:r>
      <w:r>
        <w:rPr>
          <w:rFonts w:ascii="Times New Roman" w:cs="Times New Roman" w:eastAsia="Times New Roman" w:hAnsi="Times New Roman"/>
          <w:sz w:val="19"/>
          <w:szCs w:val="19"/>
          <w:color w:val="auto"/>
        </w:rPr>
        <w:t>”), and (B) customarily associated with or assigned to the Executive by the Board commensurate with the position of Chief Executive Officer of the Company;</w:t>
      </w:r>
    </w:p>
    <w:p>
      <w:pPr>
        <w:spacing w:after="0" w:line="156" w:lineRule="exact"/>
        <w:rPr>
          <w:rFonts w:ascii="Times New Roman" w:cs="Times New Roman" w:eastAsia="Times New Roman" w:hAnsi="Times New Roman"/>
          <w:sz w:val="19"/>
          <w:szCs w:val="19"/>
          <w:color w:val="auto"/>
        </w:rPr>
      </w:pPr>
    </w:p>
    <w:p>
      <w:pPr>
        <w:ind w:left="1300" w:firstLine="653"/>
        <w:spacing w:after="0" w:line="269" w:lineRule="auto"/>
        <w:tabs>
          <w:tab w:leader="none" w:pos="2407"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devote substantially all of the Executive’s full business time, attention, energies, and effort to the business affairs of the Company;</w:t>
      </w:r>
    </w:p>
    <w:p>
      <w:pPr>
        <w:spacing w:after="0" w:line="159" w:lineRule="exact"/>
        <w:rPr>
          <w:rFonts w:ascii="Times New Roman" w:cs="Times New Roman" w:eastAsia="Times New Roman" w:hAnsi="Times New Roman"/>
          <w:sz w:val="20"/>
          <w:szCs w:val="20"/>
          <w:color w:val="auto"/>
        </w:rPr>
      </w:pPr>
    </w:p>
    <w:p>
      <w:pPr>
        <w:ind w:left="2440" w:hanging="487"/>
        <w:spacing w:after="0"/>
        <w:tabs>
          <w:tab w:leader="none" w:pos="2440"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achieve the results and other goals required by the Company;</w:t>
      </w:r>
    </w:p>
    <w:p>
      <w:pPr>
        <w:spacing w:after="0" w:line="215" w:lineRule="exact"/>
        <w:rPr>
          <w:rFonts w:ascii="Times New Roman" w:cs="Times New Roman" w:eastAsia="Times New Roman" w:hAnsi="Times New Roman"/>
          <w:sz w:val="20"/>
          <w:szCs w:val="20"/>
          <w:color w:val="auto"/>
        </w:rPr>
      </w:pPr>
    </w:p>
    <w:p>
      <w:pPr>
        <w:ind w:left="2440" w:hanging="487"/>
        <w:spacing w:after="0"/>
        <w:tabs>
          <w:tab w:leader="none" w:pos="2440" w:val="left"/>
        </w:tabs>
        <w:numPr>
          <w:ilvl w:val="2"/>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conduct all of Executive’s activities in a manner so as to maintain and promote the business and reputation of the</w:t>
      </w:r>
    </w:p>
    <w:p>
      <w:pPr>
        <w:spacing w:after="0" w:line="33" w:lineRule="exact"/>
        <w:rPr>
          <w:rFonts w:ascii="Times New Roman" w:cs="Times New Roman" w:eastAsia="Times New Roman" w:hAnsi="Times New Roman"/>
          <w:sz w:val="19"/>
          <w:szCs w:val="19"/>
          <w:color w:val="auto"/>
        </w:rPr>
      </w:pPr>
    </w:p>
    <w:p>
      <w:pPr>
        <w:ind w:left="1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Company;</w:t>
      </w:r>
    </w:p>
    <w:p>
      <w:pPr>
        <w:spacing w:after="0" w:line="189" w:lineRule="exact"/>
        <w:rPr>
          <w:rFonts w:ascii="Times New Roman" w:cs="Times New Roman" w:eastAsia="Times New Roman" w:hAnsi="Times New Roman"/>
          <w:sz w:val="19"/>
          <w:szCs w:val="19"/>
          <w:color w:val="auto"/>
        </w:rPr>
      </w:pPr>
    </w:p>
    <w:p>
      <w:pPr>
        <w:ind w:left="2380" w:hanging="427"/>
        <w:spacing w:after="0"/>
        <w:tabs>
          <w:tab w:leader="none" w:pos="2380"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 create a situation that results in termination for Cause (as that term is defined in </w:t>
      </w:r>
      <w:r>
        <w:rPr>
          <w:rFonts w:ascii="Times New Roman" w:cs="Times New Roman" w:eastAsia="Times New Roman" w:hAnsi="Times New Roman"/>
          <w:sz w:val="20"/>
          <w:szCs w:val="20"/>
          <w:b w:val="1"/>
          <w:bCs w:val="1"/>
          <w:color w:val="auto"/>
        </w:rPr>
        <w:t>Section 11</w:t>
      </w:r>
      <w:r>
        <w:rPr>
          <w:rFonts w:ascii="Times New Roman" w:cs="Times New Roman" w:eastAsia="Times New Roman" w:hAnsi="Times New Roman"/>
          <w:sz w:val="20"/>
          <w:szCs w:val="20"/>
          <w:color w:val="auto"/>
        </w:rPr>
        <w:t xml:space="preserve"> hereof); and</w:t>
      </w:r>
    </w:p>
    <w:p>
      <w:pPr>
        <w:spacing w:after="0" w:line="219" w:lineRule="exact"/>
        <w:rPr>
          <w:rFonts w:ascii="Times New Roman" w:cs="Times New Roman" w:eastAsia="Times New Roman" w:hAnsi="Times New Roman"/>
          <w:sz w:val="20"/>
          <w:szCs w:val="20"/>
          <w:color w:val="auto"/>
        </w:rPr>
      </w:pPr>
    </w:p>
    <w:p>
      <w:pPr>
        <w:ind w:left="2440" w:hanging="487"/>
        <w:spacing w:after="0"/>
        <w:tabs>
          <w:tab w:leader="none" w:pos="2440"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 to the Board.</w:t>
      </w:r>
    </w:p>
    <w:p>
      <w:pPr>
        <w:spacing w:after="0" w:line="215" w:lineRule="exact"/>
        <w:rPr>
          <w:rFonts w:ascii="Times New Roman" w:cs="Times New Roman" w:eastAsia="Times New Roman" w:hAnsi="Times New Roman"/>
          <w:sz w:val="20"/>
          <w:szCs w:val="20"/>
          <w:color w:val="auto"/>
        </w:rPr>
      </w:pPr>
    </w:p>
    <w:p>
      <w:pPr>
        <w:ind w:left="660" w:firstLine="645"/>
        <w:spacing w:after="0" w:line="269" w:lineRule="auto"/>
        <w:tabs>
          <w:tab w:leader="none" w:pos="1669"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services shall be performed primarily at the Company’s office located in Tampa, Florida, subject to travel requirements in connection with Executive’s duties under this Agreement.</w:t>
      </w:r>
    </w:p>
    <w:p>
      <w:pPr>
        <w:spacing w:after="0" w:line="159" w:lineRule="exact"/>
        <w:rPr>
          <w:rFonts w:ascii="Times New Roman" w:cs="Times New Roman" w:eastAsia="Times New Roman" w:hAnsi="Times New Roman"/>
          <w:sz w:val="20"/>
          <w:szCs w:val="20"/>
          <w:color w:val="auto"/>
        </w:rPr>
      </w:pPr>
    </w:p>
    <w:p>
      <w:pPr>
        <w:jc w:val="both"/>
        <w:ind w:left="660" w:firstLine="645"/>
        <w:spacing w:after="0" w:line="245" w:lineRule="auto"/>
        <w:tabs>
          <w:tab w:leader="none" w:pos="1696"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acknowledge and agree that the Executive shall, during the term of this Agreement and at the request of the Company, also serve as an officer of any Affiliate of the Company as the Company shall reasonably request. In such capacity, the Executive shall be responsible generally for all aspects of such office. All terms, conditions, rights and obligations of this Agreement shall be applicable to the Executive while serving in such office as though the Executive and such Affiliate of the Company had separately entered into this Agreement, except that the Executive shall not be entitled to any compensation, vacation, fringe benefits, automobile allowance or other remuneration of any kind whatsoever from such Affiliate of the Company.</w:t>
      </w:r>
    </w:p>
    <w:p>
      <w:pPr>
        <w:spacing w:after="0" w:line="185" w:lineRule="exact"/>
        <w:rPr>
          <w:rFonts w:ascii="Times New Roman" w:cs="Times New Roman" w:eastAsia="Times New Roman" w:hAnsi="Times New Roman"/>
          <w:sz w:val="20"/>
          <w:szCs w:val="20"/>
          <w:color w:val="auto"/>
        </w:rPr>
      </w:pPr>
    </w:p>
    <w:p>
      <w:pPr>
        <w:ind w:left="660" w:firstLine="645"/>
        <w:spacing w:after="0" w:line="269" w:lineRule="auto"/>
        <w:tabs>
          <w:tab w:leader="none" w:pos="1667"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employment relationship between the parties shall also be governed by the general employment policies and practices of the Company, except that when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6" w:right="239" w:bottom="1440" w:gutter="0" w:footer="0" w:header="0"/>
        </w:sectPr>
      </w:pPr>
    </w:p>
    <w:bookmarkStart w:id="76" w:name="page77"/>
    <w:bookmarkEnd w:id="76"/>
    <w:p>
      <w:pPr>
        <w:ind w:left="4"/>
        <w:spacing w:after="0"/>
        <w:rPr>
          <w:sz w:val="20"/>
          <w:szCs w:val="20"/>
          <w:color w:val="auto"/>
        </w:rPr>
      </w:pPr>
      <w:r>
        <w:rPr>
          <w:rFonts w:ascii="Times New Roman" w:cs="Times New Roman" w:eastAsia="Times New Roman" w:hAnsi="Times New Roman"/>
          <w:sz w:val="20"/>
          <w:szCs w:val="20"/>
          <w:color w:val="auto"/>
        </w:rPr>
        <w:t>of this Agreement differ from or are in conflict with such policies and practices, this Agreement shall control.</w:t>
      </w:r>
    </w:p>
    <w:p>
      <w:pPr>
        <w:spacing w:after="0" w:line="212" w:lineRule="exact"/>
        <w:rPr>
          <w:sz w:val="20"/>
          <w:szCs w:val="20"/>
          <w:color w:val="auto"/>
        </w:rPr>
      </w:pPr>
    </w:p>
    <w:p>
      <w:pPr>
        <w:ind w:left="344" w:hanging="344"/>
        <w:spacing w:after="0"/>
        <w:tabs>
          <w:tab w:leader="none" w:pos="34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Outside Activities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the foregoing:</w:t>
      </w:r>
    </w:p>
    <w:p>
      <w:pPr>
        <w:spacing w:after="0" w:line="219" w:lineRule="exact"/>
        <w:rPr>
          <w:rFonts w:ascii="Times New Roman" w:cs="Times New Roman" w:eastAsia="Times New Roman" w:hAnsi="Times New Roman"/>
          <w:sz w:val="20"/>
          <w:szCs w:val="20"/>
          <w:color w:val="auto"/>
        </w:rPr>
      </w:pPr>
    </w:p>
    <w:p>
      <w:pPr>
        <w:jc w:val="both"/>
        <w:ind w:left="4" w:firstLine="645"/>
        <w:spacing w:after="0" w:line="247" w:lineRule="auto"/>
        <w:tabs>
          <w:tab w:leader="none" w:pos="992"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Executive shall be permitted to invest the Executive’s personal assets and manage the Executive’s personal investment portfolio in such a form and manner as will not require any business services on the Executive’s part to any third party, and provided it does not conflict with the Executive’s duties and responsibilities to the Company or the provisions of </w:t>
      </w:r>
      <w:r>
        <w:rPr>
          <w:rFonts w:ascii="Times New Roman" w:cs="Times New Roman" w:eastAsia="Times New Roman" w:hAnsi="Times New Roman"/>
          <w:sz w:val="20"/>
          <w:szCs w:val="20"/>
          <w:b w:val="1"/>
          <w:bCs w:val="1"/>
          <w:color w:val="auto"/>
        </w:rPr>
        <w:t>Section 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Section 14</w:t>
      </w:r>
      <w:r>
        <w:rPr>
          <w:rFonts w:ascii="Times New Roman" w:cs="Times New Roman" w:eastAsia="Times New Roman" w:hAnsi="Times New Roman"/>
          <w:sz w:val="20"/>
          <w:szCs w:val="20"/>
          <w:color w:val="auto"/>
        </w:rPr>
        <w:t xml:space="preserve"> hereof, or conflict with any material published policy of the Company or its Affiliates, including, but not limited to, the insider trading policy of the Company.</w:t>
      </w:r>
    </w:p>
    <w:p>
      <w:pPr>
        <w:spacing w:after="0" w:line="180" w:lineRule="exact"/>
        <w:rPr>
          <w:rFonts w:ascii="Times New Roman" w:cs="Times New Roman" w:eastAsia="Times New Roman" w:hAnsi="Times New Roman"/>
          <w:sz w:val="20"/>
          <w:szCs w:val="20"/>
          <w:color w:val="auto"/>
        </w:rPr>
      </w:pPr>
    </w:p>
    <w:p>
      <w:pPr>
        <w:jc w:val="both"/>
        <w:ind w:left="4" w:firstLine="645"/>
        <w:spacing w:after="0" w:line="245" w:lineRule="auto"/>
        <w:tabs>
          <w:tab w:leader="none" w:pos="120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shall also be permitted to participate in customary civic, nonprofit, religious, welfare, social and professional activities that will not materially affect the Executive’s performance of duties hereunder. The Executive may continue to serve on any board of directors and advisory committees of companies on which the Executive currently serves, so long as the business of such companies is not competitive with that of the Company or any of its Affiliates. The Executive shall not serve on the board of directors or advisory committee of any other company without the prior consent of the Company, which consent shall not be unreasonably withheld.</w:t>
      </w:r>
    </w:p>
    <w:p>
      <w:pPr>
        <w:spacing w:after="0" w:line="181" w:lineRule="exact"/>
        <w:rPr>
          <w:rFonts w:ascii="Times New Roman" w:cs="Times New Roman" w:eastAsia="Times New Roman" w:hAnsi="Times New Roman"/>
          <w:sz w:val="20"/>
          <w:szCs w:val="20"/>
          <w:color w:val="auto"/>
        </w:rPr>
      </w:pPr>
    </w:p>
    <w:p>
      <w:pPr>
        <w:ind w:left="4" w:hanging="4"/>
        <w:spacing w:after="0" w:line="273" w:lineRule="auto"/>
        <w:tabs>
          <w:tab w:leader="none" w:pos="377"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Compensation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the Term of Employment, subject to the Executive’s performance in accordance with this Agreement,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shall be entitled to the following:</w:t>
      </w:r>
    </w:p>
    <w:p>
      <w:pPr>
        <w:spacing w:after="0" w:line="169" w:lineRule="exact"/>
        <w:rPr>
          <w:rFonts w:ascii="Times New Roman" w:cs="Times New Roman" w:eastAsia="Times New Roman" w:hAnsi="Times New Roman"/>
          <w:sz w:val="20"/>
          <w:szCs w:val="20"/>
          <w:color w:val="auto"/>
        </w:rPr>
      </w:pPr>
    </w:p>
    <w:p>
      <w:pPr>
        <w:jc w:val="both"/>
        <w:ind w:left="4" w:right="20" w:firstLine="645"/>
        <w:spacing w:after="0" w:line="303" w:lineRule="auto"/>
        <w:tabs>
          <w:tab w:leader="none" w:pos="1438"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Base Salary</w:t>
      </w:r>
      <w:r>
        <w:rPr>
          <w:rFonts w:ascii="Times New Roman" w:cs="Times New Roman" w:eastAsia="Times New Roman" w:hAnsi="Times New Roman"/>
          <w:sz w:val="19"/>
          <w:szCs w:val="19"/>
          <w:color w:val="auto"/>
        </w:rPr>
        <w:t>. During the Term of Employment, the Executive shall be entitled to an annual base salary equal to Nine Hundred Thousand Dollars ($900,000), payable in equal biweekly installments by the Company, subject to annual review for increase, but not decrease, in the discretion of the Board or the Compensation Committee of the Board (the “</w:t>
      </w:r>
      <w:r>
        <w:rPr>
          <w:rFonts w:ascii="Times New Roman" w:cs="Times New Roman" w:eastAsia="Times New Roman" w:hAnsi="Times New Roman"/>
          <w:sz w:val="19"/>
          <w:szCs w:val="19"/>
          <w:u w:val="single" w:color="auto"/>
          <w:color w:val="auto"/>
        </w:rPr>
        <w:t>Compensation Committee</w:t>
      </w:r>
      <w:r>
        <w:rPr>
          <w:rFonts w:ascii="Times New Roman" w:cs="Times New Roman" w:eastAsia="Times New Roman" w:hAnsi="Times New Roman"/>
          <w:sz w:val="19"/>
          <w:szCs w:val="19"/>
          <w:color w:val="auto"/>
        </w:rPr>
        <w:t>”).</w:t>
      </w:r>
    </w:p>
    <w:p>
      <w:pPr>
        <w:spacing w:after="0" w:line="144" w:lineRule="exact"/>
        <w:rPr>
          <w:rFonts w:ascii="Times New Roman" w:cs="Times New Roman" w:eastAsia="Times New Roman" w:hAnsi="Times New Roman"/>
          <w:sz w:val="19"/>
          <w:szCs w:val="19"/>
          <w:color w:val="auto"/>
        </w:rPr>
      </w:pPr>
    </w:p>
    <w:p>
      <w:pPr>
        <w:jc w:val="both"/>
        <w:ind w:left="4" w:firstLine="645"/>
        <w:spacing w:after="0" w:line="242" w:lineRule="auto"/>
        <w:tabs>
          <w:tab w:leader="none" w:pos="1025"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Bonus Compensation</w:t>
      </w:r>
      <w:r>
        <w:rPr>
          <w:rFonts w:ascii="Times New Roman" w:cs="Times New Roman" w:eastAsia="Times New Roman" w:hAnsi="Times New Roman"/>
          <w:sz w:val="20"/>
          <w:szCs w:val="20"/>
          <w:color w:val="auto"/>
        </w:rPr>
        <w:t>. For each calendar year completed during the term hereof, the Executive shall be entitled to receive an annual bonus (the “</w:t>
      </w:r>
      <w:r>
        <w:rPr>
          <w:rFonts w:ascii="Times New Roman" w:cs="Times New Roman" w:eastAsia="Times New Roman" w:hAnsi="Times New Roman"/>
          <w:sz w:val="20"/>
          <w:szCs w:val="20"/>
          <w:u w:val="single" w:color="auto"/>
          <w:color w:val="auto"/>
        </w:rPr>
        <w:t>Annual Bonus</w:t>
      </w:r>
      <w:r>
        <w:rPr>
          <w:rFonts w:ascii="Times New Roman" w:cs="Times New Roman" w:eastAsia="Times New Roman" w:hAnsi="Times New Roman"/>
          <w:sz w:val="20"/>
          <w:szCs w:val="20"/>
          <w:color w:val="auto"/>
        </w:rPr>
        <w:t>”) on the following terms and conditions. The Annual Bonus shall be determined under, and subject to, the terms of the Company’s annual bonus plan or program for its executives generally, as in effect from time to time (the “</w:t>
      </w:r>
      <w:r>
        <w:rPr>
          <w:rFonts w:ascii="Times New Roman" w:cs="Times New Roman" w:eastAsia="Times New Roman" w:hAnsi="Times New Roman"/>
          <w:sz w:val="20"/>
          <w:szCs w:val="20"/>
          <w:u w:val="single" w:color="auto"/>
          <w:color w:val="auto"/>
        </w:rPr>
        <w:t>Bonus Plan</w:t>
      </w:r>
      <w:r>
        <w:rPr>
          <w:rFonts w:ascii="Times New Roman" w:cs="Times New Roman" w:eastAsia="Times New Roman" w:hAnsi="Times New Roman"/>
          <w:sz w:val="20"/>
          <w:szCs w:val="20"/>
          <w:color w:val="auto"/>
        </w:rPr>
        <w:t>”). The Executive’s target Annual Bonus (“</w:t>
      </w:r>
      <w:r>
        <w:rPr>
          <w:rFonts w:ascii="Times New Roman" w:cs="Times New Roman" w:eastAsia="Times New Roman" w:hAnsi="Times New Roman"/>
          <w:sz w:val="20"/>
          <w:szCs w:val="20"/>
          <w:u w:val="single" w:color="auto"/>
          <w:color w:val="auto"/>
        </w:rPr>
        <w:t>Target Bonus</w:t>
      </w:r>
      <w:r>
        <w:rPr>
          <w:rFonts w:ascii="Times New Roman" w:cs="Times New Roman" w:eastAsia="Times New Roman" w:hAnsi="Times New Roman"/>
          <w:sz w:val="20"/>
          <w:szCs w:val="20"/>
          <w:color w:val="auto"/>
        </w:rPr>
        <w:t>”) shall be equal to one hundred fifty percent (150%) of the Base Salary, provided, however, that for fiscal year 2019, the applicable Target Bonus shall be pro-rated so that it may be earned at a rate equal to up to (i) eighty-five percent (85%) of the Executive’s base salary at the rate in effect immediately prior to the Effective Date for the first quarter of the year and (ii) one hundred fifty percent (150%) of the Base Salary in effect as of the Effective Date for the remaining three quarters of the year, with the actual amount of the Annual Bonus earned and payable, if any, in any year to be based on the attainment of performance goals and determined by the Board or the Compensation Committee. Any bonus due to the Executive hereunder shall be paid in the time and manner set forth in the Bonus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64"/>
          </w:cols>
          <w:pgMar w:left="896" w:top="576" w:right="239" w:bottom="1440" w:gutter="0" w:footer="0" w:header="0"/>
        </w:sectPr>
      </w:pPr>
    </w:p>
    <w:bookmarkStart w:id="77" w:name="page78"/>
    <w:bookmarkEnd w:id="77"/>
    <w:p>
      <w:pPr>
        <w:jc w:val="both"/>
        <w:ind w:left="660" w:firstLine="645"/>
        <w:spacing w:after="0" w:line="243" w:lineRule="auto"/>
        <w:tabs>
          <w:tab w:leader="none" w:pos="1711"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Equity-Based Compensation</w:t>
      </w:r>
      <w:r>
        <w:rPr>
          <w:rFonts w:ascii="Times New Roman" w:cs="Times New Roman" w:eastAsia="Times New Roman" w:hAnsi="Times New Roman"/>
          <w:sz w:val="20"/>
          <w:szCs w:val="20"/>
          <w:color w:val="auto"/>
        </w:rPr>
        <w:t>. With respect to each calendar year during the term of this Agreement beginning in 2020, subject to Employee’s continuous employment through the date of grant, at or about the time that the Company makes annual grants generally to its senior officers, the Company shall award the Executive a long-term incentive award under its 2016 Omnibus Incentive Compensation Plan (or successor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and the award agreements thereunder having a target fair market value at the time of grant of four (4) times base salary in accordance with applicable guidelines established by the Board or the Compensation Committee from time to time, in the sole discretion of, and in a form and amount determined by, the Board or the Compensation Committee. All equity awards shall be subject to the receipt of any required stockholder, Board or Compensation Committee approvals, the terms of the Company’s equity incentive plan as then in effect and the award agreement evidencing such award, and the attainment of any applicable performance goals.</w:t>
      </w:r>
    </w:p>
    <w:p>
      <w:pPr>
        <w:spacing w:after="0" w:line="182" w:lineRule="exact"/>
        <w:rPr>
          <w:rFonts w:ascii="Times New Roman" w:cs="Times New Roman" w:eastAsia="Times New Roman" w:hAnsi="Times New Roman"/>
          <w:sz w:val="20"/>
          <w:szCs w:val="20"/>
          <w:color w:val="auto"/>
        </w:rPr>
      </w:pPr>
    </w:p>
    <w:p>
      <w:pPr>
        <w:jc w:val="both"/>
        <w:ind w:left="660" w:firstLine="645"/>
        <w:spacing w:after="0" w:line="250" w:lineRule="auto"/>
        <w:tabs>
          <w:tab w:leader="none" w:pos="179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Transition Award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 connection the Executive being appointed as Chief Executive Officer of the Company, on the Effective Date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Company will grant to the Executive a one-time equity award under the Plan and the award agreements thereunder having an aggregate target fair market value at the time of grant of Five Million Dollars ($5,000,000) (the “</w:t>
      </w:r>
      <w:r>
        <w:rPr>
          <w:rFonts w:ascii="Times New Roman" w:cs="Times New Roman" w:eastAsia="Times New Roman" w:hAnsi="Times New Roman"/>
          <w:sz w:val="20"/>
          <w:szCs w:val="20"/>
          <w:u w:val="single" w:color="auto"/>
          <w:color w:val="auto"/>
        </w:rPr>
        <w:t>Transition Award</w:t>
      </w:r>
      <w:r>
        <w:rPr>
          <w:rFonts w:ascii="Times New Roman" w:cs="Times New Roman" w:eastAsia="Times New Roman" w:hAnsi="Times New Roman"/>
          <w:sz w:val="20"/>
          <w:szCs w:val="20"/>
          <w:color w:val="auto"/>
        </w:rPr>
        <w:t>”) consisting of:</w:t>
      </w:r>
    </w:p>
    <w:p>
      <w:pPr>
        <w:spacing w:after="0" w:line="180" w:lineRule="exact"/>
        <w:rPr>
          <w:rFonts w:ascii="Times New Roman" w:cs="Times New Roman" w:eastAsia="Times New Roman" w:hAnsi="Times New Roman"/>
          <w:sz w:val="20"/>
          <w:szCs w:val="20"/>
          <w:color w:val="auto"/>
        </w:rPr>
      </w:pPr>
    </w:p>
    <w:p>
      <w:pPr>
        <w:jc w:val="both"/>
        <w:ind w:left="1300" w:firstLine="653"/>
        <w:spacing w:after="0" w:line="254" w:lineRule="auto"/>
        <w:tabs>
          <w:tab w:leader="none" w:pos="2426" w:val="left"/>
        </w:tabs>
        <w:numPr>
          <w:ilvl w:val="2"/>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stock units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representing a number of shares of the Company’s common stock, $0.01 par value per share (“</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equal to Two Million Dollars ($2,000,000) divided by the closing market price on the Grant Date and vesting as to one-third (1/3) on each anniversary of the Grant Date;</w:t>
      </w:r>
    </w:p>
    <w:p>
      <w:pPr>
        <w:spacing w:after="0" w:line="174" w:lineRule="exact"/>
        <w:rPr>
          <w:rFonts w:ascii="Times New Roman" w:cs="Times New Roman" w:eastAsia="Times New Roman" w:hAnsi="Times New Roman"/>
          <w:sz w:val="20"/>
          <w:szCs w:val="20"/>
          <w:color w:val="auto"/>
        </w:rPr>
      </w:pPr>
    </w:p>
    <w:p>
      <w:pPr>
        <w:jc w:val="both"/>
        <w:ind w:left="1300" w:firstLine="653"/>
        <w:spacing w:after="0" w:line="254" w:lineRule="auto"/>
        <w:tabs>
          <w:tab w:leader="none" w:pos="2447" w:val="left"/>
        </w:tabs>
        <w:numPr>
          <w:ilvl w:val="2"/>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options to purchase a number of shares of Common Stock having a fair market value on the Grant Date equal to One Million Five Hundred Thousand Dollars ($1,500,000) and vesting as to one-third (1/3) on each anniversary of the Grant Date;</w:t>
      </w:r>
    </w:p>
    <w:p>
      <w:pPr>
        <w:spacing w:after="0" w:line="174" w:lineRule="exact"/>
        <w:rPr>
          <w:rFonts w:ascii="Times New Roman" w:cs="Times New Roman" w:eastAsia="Times New Roman" w:hAnsi="Times New Roman"/>
          <w:sz w:val="20"/>
          <w:szCs w:val="20"/>
          <w:color w:val="auto"/>
        </w:rPr>
      </w:pPr>
    </w:p>
    <w:p>
      <w:pPr>
        <w:jc w:val="both"/>
        <w:ind w:left="1300" w:firstLine="653"/>
        <w:spacing w:after="0" w:line="249" w:lineRule="auto"/>
        <w:tabs>
          <w:tab w:leader="none" w:pos="2458" w:val="left"/>
        </w:tabs>
        <w:numPr>
          <w:ilvl w:val="2"/>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share units (“</w:t>
      </w:r>
      <w:r>
        <w:rPr>
          <w:rFonts w:ascii="Times New Roman" w:cs="Times New Roman" w:eastAsia="Times New Roman" w:hAnsi="Times New Roman"/>
          <w:sz w:val="20"/>
          <w:szCs w:val="20"/>
          <w:u w:val="single" w:color="auto"/>
          <w:color w:val="auto"/>
        </w:rPr>
        <w:t>PSUs</w:t>
      </w:r>
      <w:r>
        <w:rPr>
          <w:rFonts w:ascii="Times New Roman" w:cs="Times New Roman" w:eastAsia="Times New Roman" w:hAnsi="Times New Roman"/>
          <w:sz w:val="20"/>
          <w:szCs w:val="20"/>
          <w:color w:val="auto"/>
        </w:rPr>
        <w:t>”) representing a number of shares of Common Stock equal to One Million Five Hundred Thousand Dollars ($1,500,000) divided by the closing market price on the Grant Date and vesting at the end of a three-year performance period based on the performance metrics established by the Compensation Committee of the Board for vesting of the Company’s annual PSU awards for 2019.</w:t>
      </w:r>
    </w:p>
    <w:p>
      <w:pPr>
        <w:spacing w:after="0" w:line="176" w:lineRule="exact"/>
        <w:rPr>
          <w:rFonts w:ascii="Times New Roman" w:cs="Times New Roman" w:eastAsia="Times New Roman" w:hAnsi="Times New Roman"/>
          <w:sz w:val="20"/>
          <w:szCs w:val="20"/>
          <w:color w:val="auto"/>
        </w:rPr>
      </w:pPr>
    </w:p>
    <w:p>
      <w:pPr>
        <w:jc w:val="both"/>
        <w:ind w:firstLine="656"/>
        <w:spacing w:after="0" w:line="248" w:lineRule="auto"/>
        <w:tabs>
          <w:tab w:leader="none" w:pos="107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Other Bonuses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addition, as part of the Executive’s compensation during the Term of Employment, the Executive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eligible to participate in any bonus program or bonus arrangement which the Company may establish from time to time for executive officers; provided that such program or arrangement applies generally to executive officers of the Company, and that the Company may modify the terms and conditions of any such bonus or arrangement and may discontinue or otherwise terminate any such program or arrangement from time to time in its sole discretion.</w:t>
      </w:r>
    </w:p>
    <w:p>
      <w:pPr>
        <w:spacing w:after="0" w:line="175" w:lineRule="exact"/>
        <w:rPr>
          <w:rFonts w:ascii="Times New Roman" w:cs="Times New Roman" w:eastAsia="Times New Roman" w:hAnsi="Times New Roman"/>
          <w:sz w:val="20"/>
          <w:szCs w:val="20"/>
          <w:color w:val="auto"/>
        </w:rPr>
      </w:pPr>
    </w:p>
    <w:p>
      <w:pPr>
        <w:ind w:firstLine="656"/>
        <w:spacing w:after="0" w:line="273" w:lineRule="auto"/>
        <w:tabs>
          <w:tab w:leader="none" w:pos="995"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Paid Time Off</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the term hereof, the Executive shall be entitled to four (4) weeks of vacation per annum, to be taken at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times and intervals as shall be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6" w:right="239" w:bottom="1440" w:gutter="0" w:footer="0" w:header="0"/>
        </w:sectPr>
      </w:pPr>
    </w:p>
    <w:bookmarkStart w:id="78" w:name="page79"/>
    <w:bookmarkEnd w:id="78"/>
    <w:p>
      <w:pPr>
        <w:jc w:val="both"/>
        <w:spacing w:after="0" w:line="254" w:lineRule="auto"/>
        <w:rPr>
          <w:sz w:val="20"/>
          <w:szCs w:val="20"/>
          <w:color w:val="auto"/>
        </w:rPr>
      </w:pPr>
      <w:r>
        <w:rPr>
          <w:rFonts w:ascii="Times New Roman" w:cs="Times New Roman" w:eastAsia="Times New Roman" w:hAnsi="Times New Roman"/>
          <w:sz w:val="20"/>
          <w:szCs w:val="20"/>
          <w:color w:val="auto"/>
        </w:rPr>
        <w:t>Executive, subject to the reasonable business needs of the Company. Vacation shall otherwise be governed by the policies of the Company, as in effect from time to time. Unless required by applicable law which cannot be waived, vacation time granted but not used in any year shall be forfeited at the end of such one-year period and may not be carried over to any subsequent year.</w:t>
      </w:r>
    </w:p>
    <w:p>
      <w:pPr>
        <w:spacing w:after="0" w:line="171" w:lineRule="exact"/>
        <w:rPr>
          <w:sz w:val="20"/>
          <w:szCs w:val="20"/>
          <w:color w:val="auto"/>
        </w:rPr>
      </w:pPr>
    </w:p>
    <w:p>
      <w:pPr>
        <w:jc w:val="both"/>
        <w:ind w:firstLine="656"/>
        <w:spacing w:after="0" w:line="242" w:lineRule="auto"/>
        <w:tabs>
          <w:tab w:leader="none" w:pos="113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Fringe Benefits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addition to any other rights the Executive may have hereunder, the Executive shall also be entitled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participate in those employee benefit plans, programs and arrangements, including, but not limited to life insurance, medical benefits, etc., if any, as may be provided by the Company to similar employees of the Company, in each case as such plans, programs and arrangements may be in effect from time to time, all subject to the terms of such plans, programs or arrangements and applicable policies of the Company. Any taxable welfare benefits provided to the Executive pursuant to this </w:t>
      </w:r>
      <w:r>
        <w:rPr>
          <w:rFonts w:ascii="Times New Roman" w:cs="Times New Roman" w:eastAsia="Times New Roman" w:hAnsi="Times New Roman"/>
          <w:sz w:val="20"/>
          <w:szCs w:val="20"/>
          <w:b w:val="1"/>
          <w:bCs w:val="1"/>
          <w:color w:val="auto"/>
        </w:rPr>
        <w:t>Section 8</w:t>
      </w:r>
      <w:r>
        <w:rPr>
          <w:rFonts w:ascii="Times New Roman" w:cs="Times New Roman" w:eastAsia="Times New Roman" w:hAnsi="Times New Roman"/>
          <w:sz w:val="20"/>
          <w:szCs w:val="20"/>
          <w:color w:val="auto"/>
        </w:rPr>
        <w:t xml:space="preserve"> that are not “disability pay” or “death benefits” within the meaning of Treasury Regulations Section 1.409A-1(a)(5) (collectively, the “</w:t>
      </w:r>
      <w:r>
        <w:rPr>
          <w:rFonts w:ascii="Times New Roman" w:cs="Times New Roman" w:eastAsia="Times New Roman" w:hAnsi="Times New Roman"/>
          <w:sz w:val="20"/>
          <w:szCs w:val="20"/>
          <w:u w:val="single" w:color="auto"/>
          <w:color w:val="auto"/>
        </w:rPr>
        <w:t>Applicable Benefits</w:t>
      </w:r>
      <w:r>
        <w:rPr>
          <w:rFonts w:ascii="Times New Roman" w:cs="Times New Roman" w:eastAsia="Times New Roman" w:hAnsi="Times New Roman"/>
          <w:sz w:val="20"/>
          <w:szCs w:val="20"/>
          <w:color w:val="auto"/>
        </w:rPr>
        <w:t>”) shall be subject to the following requirements in order to comply with Section 409A of the Internal Revenue Code of 1986, as amended (the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The amount of any Applicable Benefits provided during one taxable year shall not affect the amount of the Applicable Benefits provided in any other taxable year, except that with respect to any Applicable Benefits that consist of the reimbursement of expenses referred to in Code Section 105(b), a limitation may be imposed on the amount of such reimbursements as described in Treasury Regulations Section 1.409A-3(i)(iv)(B). To the extent that any Applicable Benefits consist of the reimbursement of eligible expenses, such reimbursement must be made on or before the last day of the calendar year following the calendar year in which the expense was incurred, and the Company shall not be obligated to reimburse any expense for which the Executive fails to submit an invoice or other documented reimbursement request at least thirty (30) business days before the end of the calendar year next following the calendar year in which the expense for any such reimbursement was incurred. Further, no Applicable Benefits may be liquidated or exchanged for another benefit.</w:t>
      </w:r>
    </w:p>
    <w:p>
      <w:pPr>
        <w:spacing w:after="0" w:line="181" w:lineRule="exact"/>
        <w:rPr>
          <w:rFonts w:ascii="Times New Roman" w:cs="Times New Roman" w:eastAsia="Times New Roman" w:hAnsi="Times New Roman"/>
          <w:sz w:val="20"/>
          <w:szCs w:val="20"/>
          <w:color w:val="auto"/>
        </w:rPr>
      </w:pPr>
    </w:p>
    <w:p>
      <w:pPr>
        <w:jc w:val="both"/>
        <w:ind w:firstLine="656"/>
        <w:spacing w:after="0" w:line="244" w:lineRule="auto"/>
        <w:tabs>
          <w:tab w:leader="none" w:pos="102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Indemnification and Insurance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Executive shall be entitled to coverage under such directors and officers liability insurance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policies maintained from time to time by the Company for the benefit of its directors and officers. To the full extent permitted by the Indemnification Agreement entered into by the Company and the Executive (the “Indemnification Agreement”) and the Bylaws, the Company shall indemnify and hold executive harmless from and against all costs, charges and expenses (including reasonable attorney’s fees) and provide for the advancement of expenses incurred or sustained in connection with any action, suit or proceeding to which Executive or his legal representative may be made a party by reason of Executive’s service as a director, officer or employee of the Company or any of its subsidiaries or affiliates. The provisions of this </w:t>
      </w:r>
      <w:r>
        <w:rPr>
          <w:rFonts w:ascii="Times New Roman" w:cs="Times New Roman" w:eastAsia="Times New Roman" w:hAnsi="Times New Roman"/>
          <w:sz w:val="20"/>
          <w:szCs w:val="20"/>
          <w:b w:val="1"/>
          <w:bCs w:val="1"/>
          <w:color w:val="auto"/>
        </w:rPr>
        <w:t>Section 9</w:t>
      </w:r>
      <w:r>
        <w:rPr>
          <w:rFonts w:ascii="Times New Roman" w:cs="Times New Roman" w:eastAsia="Times New Roman" w:hAnsi="Times New Roman"/>
          <w:sz w:val="20"/>
          <w:szCs w:val="20"/>
          <w:color w:val="auto"/>
        </w:rPr>
        <w:t xml:space="preserve"> shall not be deemed exclusive of any other rights that the Executive may have to seek indemnification.</w:t>
      </w:r>
    </w:p>
    <w:p>
      <w:pPr>
        <w:spacing w:after="0" w:line="182" w:lineRule="exact"/>
        <w:rPr>
          <w:rFonts w:ascii="Times New Roman" w:cs="Times New Roman" w:eastAsia="Times New Roman" w:hAnsi="Times New Roman"/>
          <w:sz w:val="20"/>
          <w:szCs w:val="20"/>
          <w:color w:val="auto"/>
        </w:rPr>
      </w:pPr>
    </w:p>
    <w:p>
      <w:pPr>
        <w:jc w:val="both"/>
        <w:ind w:firstLine="656"/>
        <w:spacing w:after="0" w:line="246" w:lineRule="auto"/>
        <w:tabs>
          <w:tab w:leader="none" w:pos="1161"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Expenses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compliance with the Company’s policies as in effect from time to time, the Executive may incur and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reimbursed by the Company for reasonable expenses on behalf of and in furtherance of the business of the Company. If any reimbursements under this provision are taxable to the Executive, such reimbursements shall be paid on or before the end of the calendar year following the calendar year in which the reimbursable expense was incurred, and the Company shall not be obligated to pay any such reimbursement amount for which Executive fails to submit an invoice or other documented reimbursement request at least thirty (30) business days before the end of the calendar year next following the calendar year in which the expense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sectPr>
      </w:pPr>
    </w:p>
    <w:bookmarkStart w:id="79" w:name="page80"/>
    <w:bookmarkEnd w:id="79"/>
    <w:p>
      <w:pPr>
        <w:jc w:val="both"/>
        <w:spacing w:after="0" w:line="247" w:lineRule="auto"/>
        <w:rPr>
          <w:sz w:val="20"/>
          <w:szCs w:val="20"/>
          <w:color w:val="auto"/>
        </w:rPr>
      </w:pPr>
      <w:r>
        <w:rPr>
          <w:rFonts w:ascii="Times New Roman" w:cs="Times New Roman" w:eastAsia="Times New Roman" w:hAnsi="Times New Roman"/>
          <w:sz w:val="20"/>
          <w:szCs w:val="20"/>
          <w:color w:val="auto"/>
        </w:rPr>
        <w:t>incurred. Such expenses shall be reimbursable only to the extent they were incurred during the term of the Agreement. In addition, the amount of such reimbursements that the Company is obligated to pay in any given calendar year shall not affect the amount the Company is obligated to pay in any other calendar year. Further, Executive may not liquidate or exchange the right to reimbursement of such expenses for any other benefits. The Company shall reimburse the Executive for his reasonable legal fees incurred in respect of the negotiation and preparation of this Agreement, up to a maximum of $25,000, subject to the presentation of appropriate documentation.</w:t>
      </w:r>
    </w:p>
    <w:p>
      <w:pPr>
        <w:spacing w:after="0" w:line="177" w:lineRule="exact"/>
        <w:rPr>
          <w:sz w:val="20"/>
          <w:szCs w:val="20"/>
          <w:color w:val="auto"/>
        </w:rPr>
      </w:pPr>
    </w:p>
    <w:p>
      <w:pPr>
        <w:ind w:firstLine="656"/>
        <w:spacing w:after="0" w:line="273" w:lineRule="auto"/>
        <w:tabs>
          <w:tab w:leader="none" w:pos="108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the provisions of</w:t>
      </w:r>
      <w:r>
        <w:rPr>
          <w:rFonts w:ascii="Times New Roman" w:cs="Times New Roman" w:eastAsia="Times New Roman" w:hAnsi="Times New Roman"/>
          <w:sz w:val="20"/>
          <w:szCs w:val="20"/>
          <w:b w:val="1"/>
          <w:bCs w:val="1"/>
          <w:color w:val="auto"/>
        </w:rPr>
        <w:t xml:space="preserve"> Section 1 </w:t>
      </w:r>
      <w:r>
        <w:rPr>
          <w:rFonts w:ascii="Times New Roman" w:cs="Times New Roman" w:eastAsia="Times New Roman" w:hAnsi="Times New Roman"/>
          <w:sz w:val="20"/>
          <w:szCs w:val="20"/>
          <w:color w:val="auto"/>
        </w:rPr>
        <w:t>hereof, the Term of Employment shall terminate prior to the end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period of time specified in </w:t>
      </w:r>
      <w:r>
        <w:rPr>
          <w:rFonts w:ascii="Times New Roman" w:cs="Times New Roman" w:eastAsia="Times New Roman" w:hAnsi="Times New Roman"/>
          <w:sz w:val="20"/>
          <w:szCs w:val="20"/>
          <w:b w:val="1"/>
          <w:bCs w:val="1"/>
          <w:color w:val="auto"/>
        </w:rPr>
        <w:t>Section 1</w:t>
      </w:r>
      <w:r>
        <w:rPr>
          <w:rFonts w:ascii="Times New Roman" w:cs="Times New Roman" w:eastAsia="Times New Roman" w:hAnsi="Times New Roman"/>
          <w:sz w:val="20"/>
          <w:szCs w:val="20"/>
          <w:color w:val="auto"/>
        </w:rPr>
        <w:t xml:space="preserve"> hereof, immediately upon:</w:t>
      </w:r>
    </w:p>
    <w:p>
      <w:pPr>
        <w:spacing w:after="0" w:line="156" w:lineRule="exact"/>
        <w:rPr>
          <w:rFonts w:ascii="Times New Roman" w:cs="Times New Roman" w:eastAsia="Times New Roman" w:hAnsi="Times New Roman"/>
          <w:sz w:val="20"/>
          <w:szCs w:val="20"/>
          <w:color w:val="auto"/>
        </w:rPr>
      </w:pPr>
    </w:p>
    <w:p>
      <w:pPr>
        <w:ind w:left="1640" w:hanging="335"/>
        <w:spacing w:after="0"/>
        <w:tabs>
          <w:tab w:leader="none" w:pos="164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death of the Executive; or</w:t>
      </w:r>
    </w:p>
    <w:p>
      <w:pPr>
        <w:spacing w:after="0" w:line="215" w:lineRule="exact"/>
        <w:rPr>
          <w:rFonts w:ascii="Times New Roman" w:cs="Times New Roman" w:eastAsia="Times New Roman" w:hAnsi="Times New Roman"/>
          <w:sz w:val="20"/>
          <w:szCs w:val="20"/>
          <w:color w:val="auto"/>
        </w:rPr>
      </w:pPr>
    </w:p>
    <w:p>
      <w:pPr>
        <w:jc w:val="both"/>
        <w:ind w:left="660" w:firstLine="645"/>
        <w:spacing w:after="0" w:line="249" w:lineRule="auto"/>
        <w:tabs>
          <w:tab w:leader="none" w:pos="1653"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election of the Company in the event of the Executive’s Disability during the Term of Employment. For purposes of this Agreement, the term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shall mean the inability of the Executive, arising out of any medically determinable physical or mental impairment, to perform the services required of the Executive hereunder for a period of (i) ninety (90) consecutive days or (ii) one hundred and twenty (120) total days during any period of three hundred and sixty-five (365) consecutive calendar days; or</w:t>
      </w:r>
    </w:p>
    <w:p>
      <w:pPr>
        <w:spacing w:after="0" w:line="180" w:lineRule="exact"/>
        <w:rPr>
          <w:rFonts w:ascii="Times New Roman" w:cs="Times New Roman" w:eastAsia="Times New Roman" w:hAnsi="Times New Roman"/>
          <w:sz w:val="20"/>
          <w:szCs w:val="20"/>
          <w:color w:val="auto"/>
        </w:rPr>
      </w:pPr>
    </w:p>
    <w:p>
      <w:pPr>
        <w:ind w:left="1640" w:hanging="335"/>
        <w:spacing w:after="0"/>
        <w:tabs>
          <w:tab w:leader="none" w:pos="164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Cause. For purposes of this Agreement, the term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shall be defined as:</w:t>
      </w:r>
    </w:p>
    <w:p>
      <w:pPr>
        <w:spacing w:after="0" w:line="215" w:lineRule="exact"/>
        <w:rPr>
          <w:rFonts w:ascii="Times New Roman" w:cs="Times New Roman" w:eastAsia="Times New Roman" w:hAnsi="Times New Roman"/>
          <w:sz w:val="20"/>
          <w:szCs w:val="20"/>
          <w:color w:val="auto"/>
        </w:rPr>
      </w:pPr>
    </w:p>
    <w:p>
      <w:pPr>
        <w:jc w:val="both"/>
        <w:ind w:left="1300" w:firstLine="653"/>
        <w:spacing w:after="0" w:line="249" w:lineRule="auto"/>
        <w:tabs>
          <w:tab w:leader="none" w:pos="2455"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willful failure to perform, or gross negligence or insubordination in the performance of, the Executive’s duties and responsibilities to the Company or its Affiliates (other than any such failure from incapacity due to physical or mental illness), which failure or neglect, if susceptible to cure, remains uncured fifteen (15) business days after written notice from the Company specifying in reasonable detail the nature of such failure;</w:t>
      </w:r>
    </w:p>
    <w:p>
      <w:pPr>
        <w:spacing w:after="0" w:line="180" w:lineRule="exact"/>
        <w:rPr>
          <w:rFonts w:ascii="Times New Roman" w:cs="Times New Roman" w:eastAsia="Times New Roman" w:hAnsi="Times New Roman"/>
          <w:sz w:val="20"/>
          <w:szCs w:val="20"/>
          <w:color w:val="auto"/>
        </w:rPr>
      </w:pPr>
    </w:p>
    <w:p>
      <w:pPr>
        <w:ind w:left="1300" w:firstLine="653"/>
        <w:spacing w:after="0" w:line="269" w:lineRule="auto"/>
        <w:tabs>
          <w:tab w:leader="none" w:pos="2449"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indictment or conviction of or plea of guilty or nolo contendere to (A) a felony or (B) a crime involving moral turpitude;</w:t>
      </w:r>
    </w:p>
    <w:p>
      <w:pPr>
        <w:spacing w:after="0" w:line="159" w:lineRule="exact"/>
        <w:rPr>
          <w:rFonts w:ascii="Times New Roman" w:cs="Times New Roman" w:eastAsia="Times New Roman" w:hAnsi="Times New Roman"/>
          <w:sz w:val="20"/>
          <w:szCs w:val="20"/>
          <w:color w:val="auto"/>
        </w:rPr>
      </w:pPr>
    </w:p>
    <w:p>
      <w:pPr>
        <w:ind w:left="1300" w:firstLine="653"/>
        <w:spacing w:after="0" w:line="269" w:lineRule="auto"/>
        <w:tabs>
          <w:tab w:leader="none" w:pos="2516"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engaging in dishonesty in his dealings with the Company or its Affiliates, the commission of fraud or illegal misconduct or gross misconduct;</w:t>
      </w:r>
    </w:p>
    <w:p>
      <w:pPr>
        <w:spacing w:after="0" w:line="159" w:lineRule="exact"/>
        <w:rPr>
          <w:rFonts w:ascii="Times New Roman" w:cs="Times New Roman" w:eastAsia="Times New Roman" w:hAnsi="Times New Roman"/>
          <w:sz w:val="20"/>
          <w:szCs w:val="20"/>
          <w:color w:val="auto"/>
        </w:rPr>
      </w:pPr>
    </w:p>
    <w:p>
      <w:pPr>
        <w:ind w:left="1300" w:firstLine="653"/>
        <w:spacing w:after="0" w:line="269" w:lineRule="auto"/>
        <w:tabs>
          <w:tab w:leader="none" w:pos="2468"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violation by the Executive of any covenant or restriction contained in this Agreement or any other agreement entered into with the Company or any of its Affiliates; or</w:t>
      </w:r>
    </w:p>
    <w:p>
      <w:pPr>
        <w:spacing w:after="0" w:line="159" w:lineRule="exact"/>
        <w:rPr>
          <w:rFonts w:ascii="Times New Roman" w:cs="Times New Roman" w:eastAsia="Times New Roman" w:hAnsi="Times New Roman"/>
          <w:sz w:val="20"/>
          <w:szCs w:val="20"/>
          <w:color w:val="auto"/>
        </w:rPr>
      </w:pPr>
    </w:p>
    <w:p>
      <w:pPr>
        <w:jc w:val="both"/>
        <w:ind w:left="1300" w:firstLine="653"/>
        <w:spacing w:after="0" w:line="254" w:lineRule="auto"/>
        <w:tabs>
          <w:tab w:leader="none" w:pos="2392"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violation by the Executive of any current or future published policy of the Company or its Affiliates (including, but not limited to, the Company’s discrimination and harassment policy, responsible alcohol policy, insider trading policy and security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76" w:right="239" w:bottom="1440" w:gutter="0" w:footer="0" w:header="0"/>
        </w:sectPr>
      </w:pPr>
    </w:p>
    <w:bookmarkStart w:id="80" w:name="page81"/>
    <w:bookmarkEnd w:id="80"/>
    <w:p>
      <w:pPr>
        <w:jc w:val="both"/>
        <w:ind w:left="-540" w:firstLine="645"/>
        <w:spacing w:after="0" w:line="244" w:lineRule="auto"/>
        <w:tabs>
          <w:tab w:leader="none" w:pos="48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election of the Executive for Good Reason (i) by providing notice to the Company specifying in reasonable detail the condition giving rise to the Good Reason no later than thirty (30) days following the date the Executive first becomes aware of the occurrence of that condition; provided, however, that to claim that an event, taken together with another event or events, constitutes Good Reason hereunder, the Executive must have given notice to a member of the Board of such event at the time he first becomes aware of its occurrence; (ii) by providing the Company a period of thirty (30) days to remedy the condition and (iii) by terminating his employment for Good Reason within thirty (30) days following the expiration of the period to remedy if the Company fails to substantially remedy the condition. For purposes of this Agreement, the term “</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shall be defined as:</w:t>
      </w:r>
    </w:p>
    <w:p>
      <w:pPr>
        <w:spacing w:after="0" w:line="186" w:lineRule="exact"/>
        <w:rPr>
          <w:rFonts w:ascii="Times New Roman" w:cs="Times New Roman" w:eastAsia="Times New Roman" w:hAnsi="Times New Roman"/>
          <w:sz w:val="20"/>
          <w:szCs w:val="20"/>
          <w:color w:val="auto"/>
        </w:rPr>
      </w:pPr>
    </w:p>
    <w:p>
      <w:pPr>
        <w:jc w:val="both"/>
        <w:ind w:left="100" w:firstLine="653"/>
        <w:spacing w:after="0" w:line="242" w:lineRule="auto"/>
        <w:tabs>
          <w:tab w:leader="none" w:pos="1156"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assignment to the Executive of any duties inconsistent in any respect with Executive’s position (including status, offices, titles, and reporting requirements), authority, duties or responsibilities as in effect on the date hereof, any material diminution in such position, authority, duties or responsibilities, excluding for this purpose an isolated, insubstantial and inadvertent action not taken in bad faith and that is remedied by the Company promptly after receipt of notice thereof given by the Executive; provided, however, that the following shall not constitute Good Reason: (A) the Executive’s ceasing to be a member of the Board as a result of a merger of the Company into an Affiliate or any other similar transaction, so long as the Executive remains on the board of directors of the surviving entity, or (B) any sale, or transfer of equity or assets of the Company or an Affiliate so long as the Executive remains Chief Executive Officer of the Company (or any successor to the Company) following such transaction, provided that a sale or other transfer, in one or a series of related transactions, of a majority of the assets of the Company other than to an entity controlled by the Company shall constitute Good Reason, but only if the conditions set forth above in this subsection (i) are also satisfied;</w:t>
      </w:r>
    </w:p>
    <w:p>
      <w:pPr>
        <w:spacing w:after="0" w:line="190" w:lineRule="exact"/>
        <w:rPr>
          <w:rFonts w:ascii="Times New Roman" w:cs="Times New Roman" w:eastAsia="Times New Roman" w:hAnsi="Times New Roman"/>
          <w:sz w:val="20"/>
          <w:szCs w:val="20"/>
          <w:color w:val="auto"/>
        </w:rPr>
      </w:pPr>
    </w:p>
    <w:p>
      <w:pPr>
        <w:ind w:left="100" w:firstLine="653"/>
        <w:spacing w:after="0" w:line="269" w:lineRule="auto"/>
        <w:tabs>
          <w:tab w:leader="none" w:pos="1237"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by the Company in the Executive’s base salary as in effect on the date hereof, unless a similar reduction is made in salary of all similarly situated employees;</w:t>
      </w:r>
    </w:p>
    <w:p>
      <w:pPr>
        <w:spacing w:after="0" w:line="159" w:lineRule="exact"/>
        <w:rPr>
          <w:rFonts w:ascii="Times New Roman" w:cs="Times New Roman" w:eastAsia="Times New Roman" w:hAnsi="Times New Roman"/>
          <w:sz w:val="20"/>
          <w:szCs w:val="20"/>
          <w:color w:val="auto"/>
        </w:rPr>
      </w:pPr>
    </w:p>
    <w:p>
      <w:pPr>
        <w:ind w:left="100" w:firstLine="653"/>
        <w:spacing w:after="0" w:line="269" w:lineRule="auto"/>
        <w:tabs>
          <w:tab w:leader="none" w:pos="1165"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requires the Executive to be based at or generally work from any location more than fifty (50) miles from the location at which the Executive was based or generally worked on the date hereof; or</w:t>
      </w:r>
    </w:p>
    <w:p>
      <w:pPr>
        <w:spacing w:after="0" w:line="159" w:lineRule="exact"/>
        <w:rPr>
          <w:rFonts w:ascii="Times New Roman" w:cs="Times New Roman" w:eastAsia="Times New Roman" w:hAnsi="Times New Roman"/>
          <w:sz w:val="20"/>
          <w:szCs w:val="20"/>
          <w:color w:val="auto"/>
        </w:rPr>
      </w:pPr>
    </w:p>
    <w:p>
      <w:pPr>
        <w:ind w:left="1140" w:hanging="387"/>
        <w:spacing w:after="0"/>
        <w:tabs>
          <w:tab w:leader="none" w:pos="114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breach by the Company of its obligations under this Agreement.</w:t>
      </w:r>
    </w:p>
    <w:p>
      <w:pPr>
        <w:spacing w:after="0" w:line="215" w:lineRule="exact"/>
        <w:rPr>
          <w:rFonts w:ascii="Times New Roman" w:cs="Times New Roman" w:eastAsia="Times New Roman" w:hAnsi="Times New Roman"/>
          <w:sz w:val="20"/>
          <w:szCs w:val="20"/>
          <w:color w:val="auto"/>
        </w:rPr>
      </w:pPr>
    </w:p>
    <w:p>
      <w:pPr>
        <w:jc w:val="both"/>
        <w:ind w:left="-540" w:firstLine="645"/>
        <w:spacing w:after="0" w:line="254" w:lineRule="auto"/>
        <w:tabs>
          <w:tab w:leader="none" w:pos="58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election of the Company in its sole discretion, for any reason (other than for Cause). A termination of the Executive’s employment that occurs on the last day of the term of this Agreement following the Company’s notice to the Executive of non-renewal of the term hereof under Section 1 hereof shall be treated as a termination under this </w:t>
      </w:r>
      <w:r>
        <w:rPr>
          <w:rFonts w:ascii="Times New Roman" w:cs="Times New Roman" w:eastAsia="Times New Roman" w:hAnsi="Times New Roman"/>
          <w:sz w:val="20"/>
          <w:szCs w:val="20"/>
          <w:b w:val="1"/>
          <w:bCs w:val="1"/>
          <w:color w:val="auto"/>
        </w:rPr>
        <w:t>Section 11(e)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220"/>
          </w:cols>
          <w:pgMar w:left="1440" w:top="576" w:right="239" w:bottom="1440" w:gutter="0" w:footer="0" w:header="0"/>
        </w:sectPr>
      </w:pPr>
    </w:p>
    <w:bookmarkStart w:id="81" w:name="page82"/>
    <w:bookmarkEnd w:id="81"/>
    <w:p>
      <w:pPr>
        <w:ind w:left="1600" w:hanging="295"/>
        <w:spacing w:after="0"/>
        <w:tabs>
          <w:tab w:leader="none" w:pos="160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election of the Executive, upon ninety (90) days’ prior written notice to the Company; and</w:t>
      </w:r>
    </w:p>
    <w:p>
      <w:pPr>
        <w:spacing w:after="0" w:line="215" w:lineRule="exact"/>
        <w:rPr>
          <w:rFonts w:ascii="Times New Roman" w:cs="Times New Roman" w:eastAsia="Times New Roman" w:hAnsi="Times New Roman"/>
          <w:sz w:val="20"/>
          <w:szCs w:val="20"/>
          <w:color w:val="auto"/>
        </w:rPr>
      </w:pPr>
    </w:p>
    <w:p>
      <w:pPr>
        <w:ind w:left="660" w:firstLine="645"/>
        <w:spacing w:after="0" w:line="269" w:lineRule="auto"/>
        <w:tabs>
          <w:tab w:leader="none" w:pos="1675"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retirement of the Executive. Notwithstanding the foregoing, a voluntary termination of employment by the Executive after the occurrence of an event which would constitute “Cause” shall not constitute a Retirement.</w:t>
      </w:r>
    </w:p>
    <w:p>
      <w:pPr>
        <w:spacing w:after="0" w:line="16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Termination of employment for all purposes under this Agreement will be determined to have occurred in accordance with the ‘separation from service’ requirements of Code Section 409A and the Treasury Regulations and other guidance issued thereunder, and based on whether the facts and circumstances indicate that Company and Executive reasonably anticipated that no further services would be performed after a certain date or that the level of bona fide services Executive would perform after such date (as an employee or as an independent contractor) would permanently decrease to no more than twenty percent (20%) of the average level of bona fide services performed over the immediately preceding thirty-six (36) month period (or actual period of service, if less).</w:t>
      </w:r>
    </w:p>
    <w:p>
      <w:pPr>
        <w:spacing w:after="0" w:line="18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For all purposes of this Agreement, termination for Cause shall be deemed to have occurred in the event of the Executive’s resignation when, because of existing facts and circumstances, subsequent termination for Cause can be reasonably foreseen.</w:t>
      </w:r>
    </w:p>
    <w:p>
      <w:pPr>
        <w:spacing w:after="0" w:line="156" w:lineRule="exact"/>
        <w:rPr>
          <w:sz w:val="20"/>
          <w:szCs w:val="20"/>
          <w:color w:val="auto"/>
        </w:rPr>
      </w:pPr>
    </w:p>
    <w:p>
      <w:pPr>
        <w:ind w:left="1100" w:hanging="444"/>
        <w:spacing w:after="0"/>
        <w:tabs>
          <w:tab w:leader="none" w:pos="11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Payments Upon Termination; Severance</w:t>
      </w:r>
      <w:r>
        <w:rPr>
          <w:rFonts w:ascii="Times New Roman" w:cs="Times New Roman" w:eastAsia="Times New Roman" w:hAnsi="Times New Roman"/>
          <w:sz w:val="20"/>
          <w:szCs w:val="20"/>
          <w:b w:val="1"/>
          <w:bCs w:val="1"/>
          <w:color w:val="auto"/>
        </w:rPr>
        <w:t>.</w:t>
      </w:r>
    </w:p>
    <w:p>
      <w:pPr>
        <w:spacing w:after="0" w:line="215" w:lineRule="exact"/>
        <w:rPr>
          <w:rFonts w:ascii="Times New Roman" w:cs="Times New Roman" w:eastAsia="Times New Roman" w:hAnsi="Times New Roman"/>
          <w:sz w:val="20"/>
          <w:szCs w:val="20"/>
          <w:color w:val="auto"/>
        </w:rPr>
      </w:pPr>
    </w:p>
    <w:p>
      <w:pPr>
        <w:ind w:left="1640" w:hanging="335"/>
        <w:spacing w:after="0"/>
        <w:tabs>
          <w:tab w:leader="none" w:pos="1640"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xml:space="preserve">. Except as otherwise provided in </w:t>
      </w:r>
      <w:r>
        <w:rPr>
          <w:rFonts w:ascii="Times New Roman" w:cs="Times New Roman" w:eastAsia="Times New Roman" w:hAnsi="Times New Roman"/>
          <w:sz w:val="19"/>
          <w:szCs w:val="19"/>
          <w:b w:val="1"/>
          <w:bCs w:val="1"/>
          <w:color w:val="auto"/>
        </w:rPr>
        <w:t>Section 12(b)</w:t>
      </w:r>
      <w:r>
        <w:rPr>
          <w:rFonts w:ascii="Times New Roman" w:cs="Times New Roman" w:eastAsia="Times New Roman" w:hAnsi="Times New Roman"/>
          <w:sz w:val="19"/>
          <w:szCs w:val="19"/>
          <w:color w:val="auto"/>
        </w:rPr>
        <w:t xml:space="preserve">, in the event of termination of employment pursuant to </w:t>
      </w:r>
      <w:r>
        <w:rPr>
          <w:rFonts w:ascii="Times New Roman" w:cs="Times New Roman" w:eastAsia="Times New Roman" w:hAnsi="Times New Roman"/>
          <w:sz w:val="19"/>
          <w:szCs w:val="19"/>
          <w:b w:val="1"/>
          <w:bCs w:val="1"/>
          <w:color w:val="auto"/>
        </w:rPr>
        <w:t>Section 11:</w:t>
      </w:r>
    </w:p>
    <w:p>
      <w:pPr>
        <w:spacing w:after="0" w:line="231" w:lineRule="exact"/>
        <w:rPr>
          <w:rFonts w:ascii="Times New Roman" w:cs="Times New Roman" w:eastAsia="Times New Roman" w:hAnsi="Times New Roman"/>
          <w:sz w:val="19"/>
          <w:szCs w:val="19"/>
          <w:color w:val="auto"/>
        </w:rPr>
      </w:pPr>
    </w:p>
    <w:p>
      <w:pPr>
        <w:jc w:val="both"/>
        <w:ind w:left="2600" w:hanging="647"/>
        <w:spacing w:after="0" w:line="259" w:lineRule="auto"/>
        <w:tabs>
          <w:tab w:leader="none" w:pos="2600" w:val="left"/>
        </w:tabs>
        <w:numPr>
          <w:ilvl w:val="2"/>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Executive or the Executive’s estate, as appropriate, shall be entitled to receive (A) the base salary provided for herein up to and including the effective date of termination, prorated on a daily basis, (B) any vested benefits in tax-qualified pension plans maintained by the Company or other amounts accrued and payable under any employee benefit plan, each pursuant to </w:t>
      </w:r>
      <w:r>
        <w:rPr>
          <w:rFonts w:ascii="Times New Roman" w:cs="Times New Roman" w:eastAsia="Times New Roman" w:hAnsi="Times New Roman"/>
          <w:sz w:val="19"/>
          <w:szCs w:val="19"/>
          <w:b w:val="1"/>
          <w:bCs w:val="1"/>
          <w:color w:val="auto"/>
        </w:rPr>
        <w:t>Section 8</w:t>
      </w:r>
      <w:r>
        <w:rPr>
          <w:rFonts w:ascii="Times New Roman" w:cs="Times New Roman" w:eastAsia="Times New Roman" w:hAnsi="Times New Roman"/>
          <w:sz w:val="19"/>
          <w:szCs w:val="19"/>
          <w:color w:val="auto"/>
        </w:rPr>
        <w:t xml:space="preserve"> above, and (C) any business expenses incurred by the Executive pursuant to </w:t>
      </w:r>
      <w:r>
        <w:rPr>
          <w:rFonts w:ascii="Times New Roman" w:cs="Times New Roman" w:eastAsia="Times New Roman" w:hAnsi="Times New Roman"/>
          <w:sz w:val="19"/>
          <w:szCs w:val="19"/>
          <w:b w:val="1"/>
          <w:bCs w:val="1"/>
          <w:color w:val="auto"/>
        </w:rPr>
        <w:t>Section 10</w:t>
      </w:r>
      <w:r>
        <w:rPr>
          <w:rFonts w:ascii="Times New Roman" w:cs="Times New Roman" w:eastAsia="Times New Roman" w:hAnsi="Times New Roman"/>
          <w:sz w:val="19"/>
          <w:szCs w:val="19"/>
          <w:color w:val="auto"/>
        </w:rPr>
        <w:t xml:space="preserve"> above but unreimbursed on the date of termination, provided that such expenses and required substantiation and documentation are submitted under Company policy (all of the foregoing, payable subject to the timing limitations described herein, “</w:t>
      </w:r>
      <w:r>
        <w:rPr>
          <w:rFonts w:ascii="Times New Roman" w:cs="Times New Roman" w:eastAsia="Times New Roman" w:hAnsi="Times New Roman"/>
          <w:sz w:val="19"/>
          <w:szCs w:val="19"/>
          <w:u w:val="single" w:color="auto"/>
          <w:color w:val="auto"/>
        </w:rPr>
        <w:t>Final Compensation</w:t>
      </w:r>
      <w:r>
        <w:rPr>
          <w:rFonts w:ascii="Times New Roman" w:cs="Times New Roman" w:eastAsia="Times New Roman" w:hAnsi="Times New Roman"/>
          <w:sz w:val="19"/>
          <w:szCs w:val="19"/>
          <w:color w:val="auto"/>
        </w:rPr>
        <w:t>”).</w:t>
      </w:r>
    </w:p>
    <w:p>
      <w:pPr>
        <w:spacing w:after="0" w:line="172" w:lineRule="exact"/>
        <w:rPr>
          <w:rFonts w:ascii="Times New Roman" w:cs="Times New Roman" w:eastAsia="Times New Roman" w:hAnsi="Times New Roman"/>
          <w:sz w:val="19"/>
          <w:szCs w:val="19"/>
          <w:color w:val="auto"/>
        </w:rPr>
      </w:pPr>
    </w:p>
    <w:p>
      <w:pPr>
        <w:ind w:left="2600" w:hanging="647"/>
        <w:spacing w:after="0" w:line="269" w:lineRule="auto"/>
        <w:tabs>
          <w:tab w:leader="none" w:pos="2600" w:val="left"/>
        </w:tabs>
        <w:numPr>
          <w:ilvl w:val="2"/>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equity awards previously granted to Executive that are still outstanding shall be forfeited, except to the extent otherwise provided in the applicable award agreement.</w:t>
      </w:r>
    </w:p>
    <w:p>
      <w:pPr>
        <w:spacing w:after="0" w:line="159" w:lineRule="exact"/>
        <w:rPr>
          <w:rFonts w:ascii="Times New Roman" w:cs="Times New Roman" w:eastAsia="Times New Roman" w:hAnsi="Times New Roman"/>
          <w:sz w:val="20"/>
          <w:szCs w:val="20"/>
          <w:color w:val="auto"/>
        </w:rPr>
      </w:pPr>
    </w:p>
    <w:p>
      <w:pPr>
        <w:jc w:val="both"/>
        <w:ind w:left="660" w:firstLine="645"/>
        <w:spacing w:after="0" w:line="249" w:lineRule="auto"/>
        <w:tabs>
          <w:tab w:leader="none" w:pos="179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w:t>
      </w:r>
      <w:r>
        <w:rPr>
          <w:rFonts w:ascii="Times New Roman" w:cs="Times New Roman" w:eastAsia="Times New Roman" w:hAnsi="Times New Roman"/>
          <w:sz w:val="20"/>
          <w:szCs w:val="20"/>
          <w:color w:val="auto"/>
        </w:rPr>
        <w:t xml:space="preserve">. The following benefits are conditioned on (i) the Executive, or the Executive’s beneficiary, signing and returning to the Company (without revoking) a timely and effective release of claims in the form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by the deadline specified therein, which in all events shall be no later than the forty fifth (45th) calendar day following the date of termination, (ii) the Executive not engaging in a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76" w:right="239" w:bottom="1440" w:gutter="0" w:footer="0" w:header="0"/>
        </w:sectPr>
      </w:pPr>
    </w:p>
    <w:bookmarkStart w:id="82" w:name="page83"/>
    <w:bookmarkEnd w:id="82"/>
    <w:p>
      <w:pPr>
        <w:ind w:right="20"/>
        <w:spacing w:after="0" w:line="273" w:lineRule="auto"/>
        <w:rPr>
          <w:sz w:val="20"/>
          <w:szCs w:val="20"/>
          <w:color w:val="auto"/>
        </w:rPr>
      </w:pPr>
      <w:r>
        <w:rPr>
          <w:rFonts w:ascii="Times New Roman" w:cs="Times New Roman" w:eastAsia="Times New Roman" w:hAnsi="Times New Roman"/>
          <w:sz w:val="20"/>
          <w:szCs w:val="20"/>
          <w:color w:val="auto"/>
        </w:rPr>
        <w:t xml:space="preserve">violation of </w:t>
      </w:r>
      <w:r>
        <w:rPr>
          <w:rFonts w:ascii="Times New Roman" w:cs="Times New Roman" w:eastAsia="Times New Roman" w:hAnsi="Times New Roman"/>
          <w:sz w:val="20"/>
          <w:szCs w:val="20"/>
          <w:b w:val="1"/>
          <w:bCs w:val="1"/>
          <w:color w:val="auto"/>
        </w:rPr>
        <w:t>Section 13(b), Section 14, Section 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Section 16</w:t>
      </w:r>
      <w:r>
        <w:rPr>
          <w:rFonts w:ascii="Times New Roman" w:cs="Times New Roman" w:eastAsia="Times New Roman" w:hAnsi="Times New Roman"/>
          <w:sz w:val="20"/>
          <w:szCs w:val="20"/>
          <w:color w:val="auto"/>
        </w:rPr>
        <w:t xml:space="preserve"> of this Agreement, and (iii) the Executive’s continued compliance with the covenants contained in </w:t>
      </w:r>
      <w:r>
        <w:rPr>
          <w:rFonts w:ascii="Times New Roman" w:cs="Times New Roman" w:eastAsia="Times New Roman" w:hAnsi="Times New Roman"/>
          <w:sz w:val="20"/>
          <w:szCs w:val="20"/>
          <w:b w:val="1"/>
          <w:bCs w:val="1"/>
          <w:color w:val="auto"/>
        </w:rPr>
        <w:t>Section 13(a)</w:t>
      </w:r>
      <w:r>
        <w:rPr>
          <w:rFonts w:ascii="Times New Roman" w:cs="Times New Roman" w:eastAsia="Times New Roman" w:hAnsi="Times New Roman"/>
          <w:sz w:val="20"/>
          <w:szCs w:val="20"/>
          <w:color w:val="auto"/>
        </w:rPr>
        <w:t xml:space="preserve"> of this Agreement (subsections (ii) and (iii) collectively, the “</w:t>
      </w:r>
      <w:r>
        <w:rPr>
          <w:rFonts w:ascii="Times New Roman" w:cs="Times New Roman" w:eastAsia="Times New Roman" w:hAnsi="Times New Roman"/>
          <w:sz w:val="20"/>
          <w:szCs w:val="20"/>
          <w:u w:val="single" w:color="auto"/>
          <w:color w:val="auto"/>
        </w:rPr>
        <w:t>Compliance Condition</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left="640" w:firstLine="653"/>
        <w:spacing w:after="0" w:line="255" w:lineRule="auto"/>
        <w:tabs>
          <w:tab w:leader="none" w:pos="1719"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of termination of employment pursuant to </w:t>
      </w:r>
      <w:r>
        <w:rPr>
          <w:rFonts w:ascii="Times New Roman" w:cs="Times New Roman" w:eastAsia="Times New Roman" w:hAnsi="Times New Roman"/>
          <w:sz w:val="19"/>
          <w:szCs w:val="19"/>
          <w:b w:val="1"/>
          <w:bCs w:val="1"/>
          <w:color w:val="auto"/>
        </w:rPr>
        <w:t>Section 11(d) or 11(e)</w:t>
      </w:r>
      <w:r>
        <w:rPr>
          <w:rFonts w:ascii="Times New Roman" w:cs="Times New Roman" w:eastAsia="Times New Roman" w:hAnsi="Times New Roman"/>
          <w:sz w:val="19"/>
          <w:szCs w:val="19"/>
          <w:color w:val="auto"/>
        </w:rPr>
        <w:t>, the Executive shall be entitled to receive as full and complete severance compensation (A) any Annual Bonus earned for the fiscal year preceding that in which termination occurs, but unpaid on the date of termination (the “</w:t>
      </w:r>
      <w:r>
        <w:rPr>
          <w:rFonts w:ascii="Times New Roman" w:cs="Times New Roman" w:eastAsia="Times New Roman" w:hAnsi="Times New Roman"/>
          <w:sz w:val="19"/>
          <w:szCs w:val="19"/>
          <w:u w:val="single" w:color="auto"/>
          <w:color w:val="auto"/>
        </w:rPr>
        <w:t>Unpaid Bonus</w:t>
      </w:r>
      <w:r>
        <w:rPr>
          <w:rFonts w:ascii="Times New Roman" w:cs="Times New Roman" w:eastAsia="Times New Roman" w:hAnsi="Times New Roman"/>
          <w:sz w:val="19"/>
          <w:szCs w:val="19"/>
          <w:color w:val="auto"/>
        </w:rPr>
        <w:t>”), (B) an amount (the “</w:t>
      </w:r>
      <w:r>
        <w:rPr>
          <w:rFonts w:ascii="Times New Roman" w:cs="Times New Roman" w:eastAsia="Times New Roman" w:hAnsi="Times New Roman"/>
          <w:sz w:val="19"/>
          <w:szCs w:val="19"/>
          <w:u w:val="single" w:color="auto"/>
          <w:color w:val="auto"/>
        </w:rPr>
        <w:t>Severance Amount</w:t>
      </w:r>
      <w:r>
        <w:rPr>
          <w:rFonts w:ascii="Times New Roman" w:cs="Times New Roman" w:eastAsia="Times New Roman" w:hAnsi="Times New Roman"/>
          <w:sz w:val="19"/>
          <w:szCs w:val="19"/>
          <w:color w:val="auto"/>
        </w:rPr>
        <w:t>”) equal to the sum of (x) twenty-four (24) months of the base salary at the rate in effect on the date of termination plus (y) a pro-rata Annual Bonus for the year in which such termination of employment occurs, calculated by multiplying the Target Bonus by a fraction, the numerator of which is the number of days the Executive was employed during such year and the denominator of which is 365 (the “</w:t>
      </w:r>
      <w:r>
        <w:rPr>
          <w:rFonts w:ascii="Times New Roman" w:cs="Times New Roman" w:eastAsia="Times New Roman" w:hAnsi="Times New Roman"/>
          <w:sz w:val="19"/>
          <w:szCs w:val="19"/>
          <w:u w:val="single" w:color="auto"/>
          <w:color w:val="auto"/>
        </w:rPr>
        <w:t>Pro-Rata Bonus</w:t>
      </w:r>
      <w:r>
        <w:rPr>
          <w:rFonts w:ascii="Times New Roman" w:cs="Times New Roman" w:eastAsia="Times New Roman" w:hAnsi="Times New Roman"/>
          <w:sz w:val="19"/>
          <w:szCs w:val="19"/>
          <w:color w:val="auto"/>
        </w:rPr>
        <w:t>”), and (C) in accordance with the terms of the award agreements entered into in connection with the Transition Award, the Transition Award will vest pro rata as of the effective date of such termination of employment, such amount to be determined by multiplying each component equity award that is outstanding but unvested by a fraction, the numerator of which is the number of days in such equity award that has elapsed between (x) the later of the Grant Date and the most recent vesting date and (y) the effective date of such termination of employment, and the denominator of which is the number of days in the vesting period applicable to such unvested portion of such equity award (the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Transition Award</w:t>
      </w:r>
      <w:r>
        <w:rPr>
          <w:rFonts w:ascii="Times New Roman" w:cs="Times New Roman" w:eastAsia="Times New Roman" w:hAnsi="Times New Roman"/>
          <w:sz w:val="19"/>
          <w:szCs w:val="19"/>
          <w:color w:val="auto"/>
        </w:rPr>
        <w:t xml:space="preserve">”). Severance Payments pursuant to </w:t>
      </w:r>
      <w:r>
        <w:rPr>
          <w:rFonts w:ascii="Times New Roman" w:cs="Times New Roman" w:eastAsia="Times New Roman" w:hAnsi="Times New Roman"/>
          <w:sz w:val="19"/>
          <w:szCs w:val="19"/>
          <w:b w:val="1"/>
          <w:bCs w:val="1"/>
          <w:color w:val="auto"/>
        </w:rPr>
        <w:t>Section 9(b)(i)(A)</w:t>
      </w:r>
      <w:r>
        <w:rPr>
          <w:rFonts w:ascii="Times New Roman" w:cs="Times New Roman" w:eastAsia="Times New Roman" w:hAnsi="Times New Roman"/>
          <w:sz w:val="19"/>
          <w:szCs w:val="19"/>
          <w:color w:val="auto"/>
        </w:rPr>
        <w:t xml:space="preserve"> above shall be payable in a lump sum within sixty days following the effective date of the termination. The Executive acknowledges and agrees that in the event of termination of employment pursuant to </w:t>
      </w:r>
      <w:r>
        <w:rPr>
          <w:rFonts w:ascii="Times New Roman" w:cs="Times New Roman" w:eastAsia="Times New Roman" w:hAnsi="Times New Roman"/>
          <w:sz w:val="19"/>
          <w:szCs w:val="19"/>
          <w:b w:val="1"/>
          <w:bCs w:val="1"/>
          <w:color w:val="auto"/>
        </w:rPr>
        <w:t>Section 11(d) or 11(e),</w:t>
      </w:r>
      <w:r>
        <w:rPr>
          <w:rFonts w:ascii="Times New Roman" w:cs="Times New Roman" w:eastAsia="Times New Roman" w:hAnsi="Times New Roman"/>
          <w:sz w:val="19"/>
          <w:szCs w:val="19"/>
          <w:color w:val="auto"/>
        </w:rPr>
        <w:t xml:space="preserve"> the payments provided in this </w:t>
      </w:r>
      <w:r>
        <w:rPr>
          <w:rFonts w:ascii="Times New Roman" w:cs="Times New Roman" w:eastAsia="Times New Roman" w:hAnsi="Times New Roman"/>
          <w:sz w:val="19"/>
          <w:szCs w:val="19"/>
          <w:b w:val="1"/>
          <w:bCs w:val="1"/>
          <w:color w:val="auto"/>
        </w:rPr>
        <w:t>Section 12(b)</w:t>
      </w:r>
      <w:r>
        <w:rPr>
          <w:rFonts w:ascii="Times New Roman" w:cs="Times New Roman" w:eastAsia="Times New Roman" w:hAnsi="Times New Roman"/>
          <w:sz w:val="19"/>
          <w:szCs w:val="19"/>
          <w:color w:val="auto"/>
        </w:rPr>
        <w:t xml:space="preserve"> and the Final Compensation provided in </w:t>
      </w:r>
      <w:r>
        <w:rPr>
          <w:rFonts w:ascii="Times New Roman" w:cs="Times New Roman" w:eastAsia="Times New Roman" w:hAnsi="Times New Roman"/>
          <w:sz w:val="19"/>
          <w:szCs w:val="19"/>
          <w:b w:val="1"/>
          <w:bCs w:val="1"/>
          <w:color w:val="auto"/>
        </w:rPr>
        <w:t>Section 12(a)</w:t>
      </w:r>
      <w:r>
        <w:rPr>
          <w:rFonts w:ascii="Times New Roman" w:cs="Times New Roman" w:eastAsia="Times New Roman" w:hAnsi="Times New Roman"/>
          <w:sz w:val="19"/>
          <w:szCs w:val="19"/>
          <w:color w:val="auto"/>
        </w:rPr>
        <w:t xml:space="preserve"> shall be the only obligation that the Company or any of its Affiliates shall have to the Executive.</w:t>
      </w:r>
    </w:p>
    <w:p>
      <w:pPr>
        <w:spacing w:after="0" w:line="175" w:lineRule="exact"/>
        <w:rPr>
          <w:rFonts w:ascii="Times New Roman" w:cs="Times New Roman" w:eastAsia="Times New Roman" w:hAnsi="Times New Roman"/>
          <w:sz w:val="19"/>
          <w:szCs w:val="19"/>
          <w:color w:val="auto"/>
        </w:rPr>
      </w:pPr>
    </w:p>
    <w:p>
      <w:pPr>
        <w:jc w:val="both"/>
        <w:ind w:left="640" w:firstLine="653"/>
        <w:spacing w:after="0" w:line="246" w:lineRule="auto"/>
        <w:tabs>
          <w:tab w:leader="none" w:pos="1769"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termination of employment pursuant to </w:t>
      </w:r>
      <w:r>
        <w:rPr>
          <w:rFonts w:ascii="Times New Roman" w:cs="Times New Roman" w:eastAsia="Times New Roman" w:hAnsi="Times New Roman"/>
          <w:sz w:val="20"/>
          <w:szCs w:val="20"/>
          <w:b w:val="1"/>
          <w:bCs w:val="1"/>
          <w:color w:val="auto"/>
        </w:rPr>
        <w:t>Section 11(a) or 11(b)</w:t>
      </w:r>
      <w:r>
        <w:rPr>
          <w:rFonts w:ascii="Times New Roman" w:cs="Times New Roman" w:eastAsia="Times New Roman" w:hAnsi="Times New Roman"/>
          <w:sz w:val="20"/>
          <w:szCs w:val="20"/>
          <w:color w:val="auto"/>
        </w:rPr>
        <w:t xml:space="preserve">, the Executive or the Executive’s estate, as appropriate, shall be entitled to receive (A) the Unpaid Bonus, (B) the Pro-Rata Bonus and (C) the Pro Rata Transition Award. The Executive or the Executive’s estate, as appropriate, acknowledges and agrees that in the event of termination of employment pursuant to </w:t>
      </w:r>
      <w:r>
        <w:rPr>
          <w:rFonts w:ascii="Times New Roman" w:cs="Times New Roman" w:eastAsia="Times New Roman" w:hAnsi="Times New Roman"/>
          <w:sz w:val="20"/>
          <w:szCs w:val="20"/>
          <w:b w:val="1"/>
          <w:bCs w:val="1"/>
          <w:color w:val="auto"/>
        </w:rPr>
        <w:t>Section 11(a) or 11(b),</w:t>
      </w:r>
      <w:r>
        <w:rPr>
          <w:rFonts w:ascii="Times New Roman" w:cs="Times New Roman" w:eastAsia="Times New Roman" w:hAnsi="Times New Roman"/>
          <w:sz w:val="20"/>
          <w:szCs w:val="20"/>
          <w:color w:val="auto"/>
        </w:rPr>
        <w:t xml:space="preserve"> the payments provided in this </w:t>
      </w:r>
      <w:r>
        <w:rPr>
          <w:rFonts w:ascii="Times New Roman" w:cs="Times New Roman" w:eastAsia="Times New Roman" w:hAnsi="Times New Roman"/>
          <w:sz w:val="20"/>
          <w:szCs w:val="20"/>
          <w:b w:val="1"/>
          <w:bCs w:val="1"/>
          <w:color w:val="auto"/>
        </w:rPr>
        <w:t>Section 12(b)</w:t>
      </w:r>
      <w:r>
        <w:rPr>
          <w:rFonts w:ascii="Times New Roman" w:cs="Times New Roman" w:eastAsia="Times New Roman" w:hAnsi="Times New Roman"/>
          <w:sz w:val="20"/>
          <w:szCs w:val="20"/>
          <w:color w:val="auto"/>
        </w:rPr>
        <w:t xml:space="preserve"> and the Final Compensation provided in </w:t>
      </w:r>
      <w:r>
        <w:rPr>
          <w:rFonts w:ascii="Times New Roman" w:cs="Times New Roman" w:eastAsia="Times New Roman" w:hAnsi="Times New Roman"/>
          <w:sz w:val="20"/>
          <w:szCs w:val="20"/>
          <w:b w:val="1"/>
          <w:bCs w:val="1"/>
          <w:color w:val="auto"/>
        </w:rPr>
        <w:t>Section 12(a)</w:t>
      </w:r>
      <w:r>
        <w:rPr>
          <w:rFonts w:ascii="Times New Roman" w:cs="Times New Roman" w:eastAsia="Times New Roman" w:hAnsi="Times New Roman"/>
          <w:sz w:val="20"/>
          <w:szCs w:val="20"/>
          <w:color w:val="auto"/>
        </w:rPr>
        <w:t xml:space="preserve"> shall be the only obligation that the Company or any of its Affiliates shall have to the Executive.</w:t>
      </w:r>
    </w:p>
    <w:p>
      <w:pPr>
        <w:spacing w:after="0" w:line="179" w:lineRule="exact"/>
        <w:rPr>
          <w:rFonts w:ascii="Times New Roman" w:cs="Times New Roman" w:eastAsia="Times New Roman" w:hAnsi="Times New Roman"/>
          <w:sz w:val="20"/>
          <w:szCs w:val="20"/>
          <w:color w:val="auto"/>
        </w:rPr>
      </w:pPr>
    </w:p>
    <w:p>
      <w:pPr>
        <w:ind w:left="640" w:firstLine="653"/>
        <w:spacing w:after="0" w:line="273" w:lineRule="auto"/>
        <w:tabs>
          <w:tab w:leader="none" w:pos="1824"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termination of employment pursuant to </w:t>
      </w:r>
      <w:r>
        <w:rPr>
          <w:rFonts w:ascii="Times New Roman" w:cs="Times New Roman" w:eastAsia="Times New Roman" w:hAnsi="Times New Roman"/>
          <w:sz w:val="20"/>
          <w:szCs w:val="20"/>
          <w:b w:val="1"/>
          <w:bCs w:val="1"/>
          <w:color w:val="auto"/>
        </w:rPr>
        <w:t>Section 11(g)</w:t>
      </w:r>
      <w:r>
        <w:rPr>
          <w:rFonts w:ascii="Times New Roman" w:cs="Times New Roman" w:eastAsia="Times New Roman" w:hAnsi="Times New Roman"/>
          <w:sz w:val="20"/>
          <w:szCs w:val="20"/>
          <w:color w:val="auto"/>
        </w:rPr>
        <w:t>, the Executive shall be entitled to receive the Unpaid Bonus and the Pro Rata Transition Award.</w:t>
      </w:r>
    </w:p>
    <w:p>
      <w:pPr>
        <w:spacing w:after="0" w:line="156" w:lineRule="exact"/>
        <w:rPr>
          <w:rFonts w:ascii="Times New Roman" w:cs="Times New Roman" w:eastAsia="Times New Roman" w:hAnsi="Times New Roman"/>
          <w:sz w:val="20"/>
          <w:szCs w:val="20"/>
          <w:color w:val="auto"/>
        </w:rPr>
      </w:pPr>
    </w:p>
    <w:p>
      <w:pPr>
        <w:jc w:val="both"/>
        <w:ind w:firstLine="645"/>
        <w:spacing w:after="0" w:line="254" w:lineRule="auto"/>
        <w:tabs>
          <w:tab w:leader="none" w:pos="100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may also be entitled to payments and benefits under the Company’s Executive Change in Control Plan (the “CIC Plan”); provided, however, in accordance with the terms of the CIC Plan, such payments and benefits described in the CIC Plan will be reduced by the amount of other severance or similar termination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60"/>
          </w:cols>
          <w:pgMar w:left="900" w:top="572" w:right="239" w:bottom="1440" w:gutter="0" w:footer="0" w:header="0"/>
        </w:sectPr>
      </w:pPr>
    </w:p>
    <w:bookmarkStart w:id="83" w:name="page84"/>
    <w:bookmarkEnd w:id="83"/>
    <w:p>
      <w:pPr>
        <w:ind w:left="4"/>
        <w:spacing w:after="0" w:line="269" w:lineRule="auto"/>
        <w:rPr>
          <w:sz w:val="20"/>
          <w:szCs w:val="20"/>
          <w:color w:val="auto"/>
        </w:rPr>
      </w:pPr>
      <w:r>
        <w:rPr>
          <w:rFonts w:ascii="Times New Roman" w:cs="Times New Roman" w:eastAsia="Times New Roman" w:hAnsi="Times New Roman"/>
          <w:sz w:val="20"/>
          <w:szCs w:val="20"/>
          <w:color w:val="auto"/>
        </w:rPr>
        <w:t>or benefits provided by the Company to the Executive under this Agreement or other arrangement or any payments or benefits required to be provided by the Company to the Executive under any federal or state law.</w:t>
      </w:r>
    </w:p>
    <w:p>
      <w:pPr>
        <w:spacing w:after="0" w:line="156" w:lineRule="exact"/>
        <w:rPr>
          <w:sz w:val="20"/>
          <w:szCs w:val="20"/>
          <w:color w:val="auto"/>
        </w:rPr>
      </w:pPr>
    </w:p>
    <w:p>
      <w:pPr>
        <w:ind w:left="444" w:hanging="444"/>
        <w:spacing w:after="0"/>
        <w:tabs>
          <w:tab w:leader="none" w:pos="44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Noncompetition</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color w:val="auto"/>
        </w:rPr>
      </w:pPr>
    </w:p>
    <w:p>
      <w:pPr>
        <w:jc w:val="both"/>
        <w:ind w:left="4" w:firstLine="645"/>
        <w:spacing w:after="0" w:line="242" w:lineRule="auto"/>
        <w:tabs>
          <w:tab w:leader="none" w:pos="1136"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During Term</w:t>
      </w:r>
      <w:r>
        <w:rPr>
          <w:rFonts w:ascii="Times New Roman" w:cs="Times New Roman" w:eastAsia="Times New Roman" w:hAnsi="Times New Roman"/>
          <w:sz w:val="20"/>
          <w:szCs w:val="20"/>
          <w:color w:val="auto"/>
        </w:rPr>
        <w:t>. Except with the prior written consent of the Company, during the Executive’s employment with the Company, the Executive shall not, individually or jointly with others, directly or indirectly, whether for the Executive’s own account or for that of any other person or entity, engage in or own or hold any ownership interest in any person or entity engaged in a “full service restaurant” business, or any “proposed full service restaurant” to be owned or operated by the Executive or any other person or entity or undertake any planning for any such business, and the Executive shall not act as an officer, director, employee, partner, independent contractor, consultant, principal, agent, proprietor or in any other capacity for, nor lend any assistance (financial or otherwise) or cooperation to, any such person or entity. “</w:t>
      </w:r>
      <w:r>
        <w:rPr>
          <w:rFonts w:ascii="Times New Roman" w:cs="Times New Roman" w:eastAsia="Times New Roman" w:hAnsi="Times New Roman"/>
          <w:sz w:val="20"/>
          <w:szCs w:val="20"/>
          <w:u w:val="single" w:color="auto"/>
          <w:color w:val="auto"/>
        </w:rPr>
        <w:t>Full service restaurant</w:t>
      </w:r>
      <w:r>
        <w:rPr>
          <w:rFonts w:ascii="Times New Roman" w:cs="Times New Roman" w:eastAsia="Times New Roman" w:hAnsi="Times New Roman"/>
          <w:sz w:val="20"/>
          <w:szCs w:val="20"/>
          <w:color w:val="auto"/>
        </w:rPr>
        <w:t>” shall include, but is not limited to, any restaurant business generally considered to be in the casual dining, polished casual dining or high end casual dining business and “full service restaurants owned or operated by the Company or any of its Affiliates” shall include any entity in which the Company, or any of its Affiliates has an interest, including, but not limited to, an interest as a franchisor, but shall not include any entities to whose exclusion the Company consents. The term “</w:t>
      </w:r>
      <w:r>
        <w:rPr>
          <w:rFonts w:ascii="Times New Roman" w:cs="Times New Roman" w:eastAsia="Times New Roman" w:hAnsi="Times New Roman"/>
          <w:sz w:val="20"/>
          <w:szCs w:val="20"/>
          <w:u w:val="single" w:color="auto"/>
          <w:color w:val="auto"/>
        </w:rPr>
        <w:t>proposed full service restaurant</w:t>
      </w:r>
      <w:r>
        <w:rPr>
          <w:rFonts w:ascii="Times New Roman" w:cs="Times New Roman" w:eastAsia="Times New Roman" w:hAnsi="Times New Roman"/>
          <w:sz w:val="20"/>
          <w:szCs w:val="20"/>
          <w:color w:val="auto"/>
        </w:rPr>
        <w:t>” shall include all locations for which the Company or any of its franchisees or Affiliates is conducting active, bona fide negotiations to secure a fee or leasehold interest with the intention of establishing a full-service restaurant thereon.</w:t>
      </w:r>
    </w:p>
    <w:p>
      <w:pPr>
        <w:spacing w:after="0" w:line="186" w:lineRule="exact"/>
        <w:rPr>
          <w:rFonts w:ascii="Times New Roman" w:cs="Times New Roman" w:eastAsia="Times New Roman" w:hAnsi="Times New Roman"/>
          <w:sz w:val="20"/>
          <w:szCs w:val="20"/>
          <w:color w:val="auto"/>
        </w:rPr>
      </w:pPr>
    </w:p>
    <w:p>
      <w:pPr>
        <w:jc w:val="both"/>
        <w:ind w:left="4" w:firstLine="645"/>
        <w:spacing w:after="0" w:line="243" w:lineRule="auto"/>
        <w:tabs>
          <w:tab w:leader="none" w:pos="1025"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Post Term.</w:t>
      </w:r>
      <w:r>
        <w:rPr>
          <w:rFonts w:ascii="Times New Roman" w:cs="Times New Roman" w:eastAsia="Times New Roman" w:hAnsi="Times New Roman"/>
          <w:sz w:val="20"/>
          <w:szCs w:val="20"/>
          <w:color w:val="auto"/>
        </w:rPr>
        <w:t xml:space="preserve"> For a continuous period of two (2) years commencing on termination of the Executive’s employment with the Company, regardless of any termination pursuant to </w:t>
      </w:r>
      <w:r>
        <w:rPr>
          <w:rFonts w:ascii="Times New Roman" w:cs="Times New Roman" w:eastAsia="Times New Roman" w:hAnsi="Times New Roman"/>
          <w:sz w:val="20"/>
          <w:szCs w:val="20"/>
          <w:b w:val="1"/>
          <w:bCs w:val="1"/>
          <w:color w:val="auto"/>
        </w:rPr>
        <w:t>Section 11</w:t>
      </w:r>
      <w:r>
        <w:rPr>
          <w:rFonts w:ascii="Times New Roman" w:cs="Times New Roman" w:eastAsia="Times New Roman" w:hAnsi="Times New Roman"/>
          <w:sz w:val="20"/>
          <w:szCs w:val="20"/>
          <w:color w:val="auto"/>
        </w:rPr>
        <w:t xml:space="preserve"> hereof or any voluntary termination or resignation by the Executive, the Executive shall not, individually or jointly with others, directly or indirectly, whether for the Executive’s own account or for that of any other person or entity, engage in or own or hold any ownership interest in any person or entity engaged in a full service restaurant business that is located or intended to be located within a state (if inside the United States of America) or a country (if outside the United States of America) in which any restaurant owned or operated by the Company or any of its Affiliates is located, or any such proposed full service restaurant to be owned or operated by the Executive or any other person or entity, and the Executive shall not act as an officer, director, employee, partner, independent contractor, consultant, principal, agent, proprietor or in any other capacity for, nor lend any assistance (financial or otherwise) or cooperation to, any such person or entity.</w:t>
      </w:r>
    </w:p>
    <w:p>
      <w:pPr>
        <w:spacing w:after="0" w:line="182" w:lineRule="exact"/>
        <w:rPr>
          <w:rFonts w:ascii="Times New Roman" w:cs="Times New Roman" w:eastAsia="Times New Roman" w:hAnsi="Times New Roman"/>
          <w:sz w:val="20"/>
          <w:szCs w:val="20"/>
          <w:color w:val="auto"/>
        </w:rPr>
      </w:pPr>
    </w:p>
    <w:p>
      <w:pPr>
        <w:jc w:val="both"/>
        <w:ind w:left="4" w:firstLine="645"/>
        <w:spacing w:after="0" w:line="250" w:lineRule="auto"/>
        <w:tabs>
          <w:tab w:leader="none" w:pos="987"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w:t>
      </w:r>
      <w:r>
        <w:rPr>
          <w:rFonts w:ascii="Times New Roman" w:cs="Times New Roman" w:eastAsia="Times New Roman" w:hAnsi="Times New Roman"/>
          <w:sz w:val="20"/>
          <w:szCs w:val="20"/>
          <w:color w:val="auto"/>
        </w:rPr>
        <w:t xml:space="preserve">. Notwithstanding </w:t>
      </w:r>
      <w:r>
        <w:rPr>
          <w:rFonts w:ascii="Times New Roman" w:cs="Times New Roman" w:eastAsia="Times New Roman" w:hAnsi="Times New Roman"/>
          <w:sz w:val="20"/>
          <w:szCs w:val="20"/>
          <w:b w:val="1"/>
          <w:bCs w:val="1"/>
          <w:color w:val="auto"/>
        </w:rPr>
        <w:t>subsections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immediately above, it shall not be a violation of this </w:t>
      </w:r>
      <w:r>
        <w:rPr>
          <w:rFonts w:ascii="Times New Roman" w:cs="Times New Roman" w:eastAsia="Times New Roman" w:hAnsi="Times New Roman"/>
          <w:sz w:val="20"/>
          <w:szCs w:val="20"/>
          <w:b w:val="1"/>
          <w:bCs w:val="1"/>
          <w:color w:val="auto"/>
        </w:rPr>
        <w:t>Section 13</w:t>
      </w:r>
      <w:r>
        <w:rPr>
          <w:rFonts w:ascii="Times New Roman" w:cs="Times New Roman" w:eastAsia="Times New Roman" w:hAnsi="Times New Roman"/>
          <w:sz w:val="20"/>
          <w:szCs w:val="20"/>
          <w:color w:val="auto"/>
        </w:rPr>
        <w:t xml:space="preserve"> for (i) the Executive to own a one percent (1%) or smaller interest in any corporation required to file periodic reports with the Securities and Exchange Commission pursuant to the Securities Exchange Act of 1934, as amended, or successor statute, or (ii) the Executive from working for or providing services to any entity if such entity, together with its affiliates, derives less than five percent (5%)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64"/>
          </w:cols>
          <w:pgMar w:left="896" w:top="576" w:right="239" w:bottom="1440" w:gutter="0" w:footer="0" w:header="0"/>
        </w:sectPr>
      </w:pPr>
    </w:p>
    <w:bookmarkStart w:id="84" w:name="page85"/>
    <w:bookmarkEnd w:id="84"/>
    <w:p>
      <w:pPr>
        <w:ind w:left="4"/>
        <w:spacing w:after="0" w:line="269" w:lineRule="auto"/>
        <w:rPr>
          <w:sz w:val="20"/>
          <w:szCs w:val="20"/>
          <w:color w:val="auto"/>
        </w:rPr>
      </w:pPr>
      <w:r>
        <w:rPr>
          <w:rFonts w:ascii="Times New Roman" w:cs="Times New Roman" w:eastAsia="Times New Roman" w:hAnsi="Times New Roman"/>
          <w:sz w:val="20"/>
          <w:szCs w:val="20"/>
          <w:color w:val="auto"/>
        </w:rPr>
        <w:t>consolidated gross revenues from the full service restaurant business and the Executive’s responsibilities do not primarily involve conduct of the full service restaurant business by such entity.</w:t>
      </w:r>
    </w:p>
    <w:p>
      <w:pPr>
        <w:spacing w:after="0" w:line="156" w:lineRule="exact"/>
        <w:rPr>
          <w:sz w:val="20"/>
          <w:szCs w:val="20"/>
          <w:color w:val="auto"/>
        </w:rPr>
      </w:pPr>
    </w:p>
    <w:p>
      <w:pPr>
        <w:ind w:left="444" w:hanging="444"/>
        <w:spacing w:after="0"/>
        <w:tabs>
          <w:tab w:leader="none" w:pos="44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Nondisclosure; Nonsolicitation; Nonpiracy</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color w:val="auto"/>
        </w:rPr>
      </w:pPr>
    </w:p>
    <w:p>
      <w:pPr>
        <w:jc w:val="both"/>
        <w:ind w:left="4" w:firstLine="645"/>
        <w:spacing w:after="0" w:line="253" w:lineRule="auto"/>
        <w:tabs>
          <w:tab w:leader="none" w:pos="1096"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in the good faith performance of the Executive’s duties hereunder, at no time during the Term of Employment, or at any time thereafter, shall the Executive, individually or jointly with others, for the benefit of the Executive or any third party, publish, disclose, use or authorize anyone else to publish, disclose or use any Confidential Information, except (i) to the extent required by law, regulation or valid subpoena, provided that the Executive agrees to furnish prompt notice, if legally permitted to do so, to the Company of any required disclosure of Confidential Information sought pursuant to subpoena, court order or any other legal process or requirement, and agrees to provide the Company a reasonable opportunity to seek protection of the Confidential Information prior to any such disclosure, or (ii) to the extent that such information becomes publicly known or available through no fault of the Executive or known violation by another party of its obligation of confidentiality to the Company. The Executive will comply with the policies and procedures of the Company and its Affiliates for protecting Confidential Information. “</w:t>
      </w: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means any and all information of the Company and its Affiliates that is not generally known by the public, including by not limited to others with whom they compete or do business, or with whom they plan to compete or do business and any and all non-public information, which, if disclosed by the Company or its Affiliates would assist in competition against them. Confidential Information includes, without limitation, such information relating to (A) the development, research, testing, manufacturing, marketing and financial activities of the Company and its Affiliates, (B) the costs, sources of supply, financial performance and strategic plans of the Company its Affiliates,</w:t>
      </w:r>
    </w:p>
    <w:p>
      <w:pPr>
        <w:spacing w:after="0" w:line="11" w:lineRule="exact"/>
        <w:rPr>
          <w:rFonts w:ascii="Times New Roman" w:cs="Times New Roman" w:eastAsia="Times New Roman" w:hAnsi="Times New Roman"/>
          <w:sz w:val="19"/>
          <w:szCs w:val="19"/>
          <w:color w:val="auto"/>
        </w:rPr>
      </w:pPr>
    </w:p>
    <w:p>
      <w:pPr>
        <w:jc w:val="both"/>
        <w:ind w:left="4"/>
        <w:spacing w:after="0" w:line="25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 the identity and special needs of the customers of the Company and its Affiliates, (D) trade and industrial practices, trade secrets, recipes, product specifications, restaurant operating techniques and procedures, marketing techniques and procedures and vendors, and</w:t>
      </w:r>
    </w:p>
    <w:p>
      <w:pPr>
        <w:jc w:val="both"/>
        <w:ind w:left="4"/>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(E) the people and organizations with whom the Company and its Affiliates have business relationships and those relationships. Confidential Information also includes information that the Company or any of its Affiliates have received, or may receive hereafter, belonging to others or which was received by the Company or any of its Affiliates, and is being held, with any understanding, express or implied, that it will not be disclosed.</w:t>
      </w:r>
    </w:p>
    <w:p>
      <w:pPr>
        <w:spacing w:after="0" w:line="188" w:lineRule="exact"/>
        <w:rPr>
          <w:rFonts w:ascii="Times New Roman" w:cs="Times New Roman" w:eastAsia="Times New Roman" w:hAnsi="Times New Roman"/>
          <w:sz w:val="19"/>
          <w:szCs w:val="19"/>
          <w:color w:val="auto"/>
        </w:rPr>
      </w:pPr>
    </w:p>
    <w:p>
      <w:pPr>
        <w:jc w:val="both"/>
        <w:ind w:left="4" w:firstLine="645"/>
        <w:spacing w:after="0" w:line="244" w:lineRule="auto"/>
        <w:tabs>
          <w:tab w:leader="none" w:pos="1106"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Executive’s employment with the Company and for two (2) years thereafter, except as is the result of a broad solicitation that is not targeting employees or independent contractors of the Company or any of its franchisees or Affiliates, the Executive shall not, directly or indirectly as an officer, director, employee, partner, independent contractor, consultant, principal, agent, proprietor, owner or part owner, or in any other capacity, of or for any person or entity, (i) offer employment to, or hire, any employee of the Company or any of its franchisees or Affiliates, or otherwise directly or indirectly solicit or induce any employee of the v or any of its franchisees or Affiliates to terminate his or her employment with the Company or any of its franchisees or Affiliates, or (ii) solicit or encourage any independent contractor providing services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64"/>
          </w:cols>
          <w:pgMar w:left="896" w:top="576" w:right="239" w:bottom="1440" w:gutter="0" w:footer="0" w:header="0"/>
        </w:sectPr>
      </w:pPr>
    </w:p>
    <w:bookmarkStart w:id="85" w:name="page86"/>
    <w:bookmarkEnd w:id="85"/>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or any of its franchisees or Affiliates to terminate or diminish its relationship with them. For the purposes of this Agreement, an “employee” or “independent contractor” of the Company or any of its Affiliates is any person who was such at any time within the preceding two years.</w:t>
      </w:r>
    </w:p>
    <w:p>
      <w:pPr>
        <w:spacing w:after="0" w:line="171" w:lineRule="exact"/>
        <w:rPr>
          <w:sz w:val="20"/>
          <w:szCs w:val="20"/>
          <w:color w:val="auto"/>
        </w:rPr>
      </w:pPr>
    </w:p>
    <w:p>
      <w:pPr>
        <w:jc w:val="both"/>
        <w:ind w:firstLine="656"/>
        <w:spacing w:after="0" w:line="243" w:lineRule="auto"/>
        <w:tabs>
          <w:tab w:leader="none" w:pos="1215"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Company Property: Executive Duty to Return</w:t>
      </w:r>
      <w:r>
        <w:rPr>
          <w:rFonts w:ascii="Times New Roman" w:cs="Times New Roman" w:eastAsia="Times New Roman" w:hAnsi="Times New Roman"/>
          <w:sz w:val="20"/>
          <w:szCs w:val="20"/>
          <w:color w:val="auto"/>
        </w:rPr>
        <w:t>. All Company property and assets, including but not limited to products,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recipes, product specifications, training materials, employee selection and testing materials, marketing and advertising materials, special event, charitable and community activity materials, customer correspondence, internal memoranda, products and designs, sales information, project files, price lists, customer and vendor lists, prospectus reports, customer or vendor information, sales literature, territory printouts, call books, notebooks, textbooks, all other like information or products and all other Confidential Information, including but not limited to all copies, duplications, replications, and derivatives of such information or products, now in the possession of Executive or acquired by v while in the employ of the Company, shall be the exclusive property of the Company and shall be returned to the Company no later than the date of Executive’s last day of work with the Company. Except in connection with the good faith performance of the Executive’s regular duties for the Company or as expressly authorized in writing in advance by the Company, the Executive will not copy any Company property and assets or remove any Company property and assets or copies or derivatives thereof from the premises of the Company.</w:t>
      </w:r>
    </w:p>
    <w:p>
      <w:pPr>
        <w:spacing w:after="0" w:line="183" w:lineRule="exact"/>
        <w:rPr>
          <w:rFonts w:ascii="Times New Roman" w:cs="Times New Roman" w:eastAsia="Times New Roman" w:hAnsi="Times New Roman"/>
          <w:sz w:val="20"/>
          <w:szCs w:val="20"/>
          <w:color w:val="auto"/>
        </w:rPr>
      </w:pPr>
    </w:p>
    <w:p>
      <w:pPr>
        <w:jc w:val="both"/>
        <w:ind w:firstLine="656"/>
        <w:spacing w:after="0" w:line="255" w:lineRule="auto"/>
        <w:tabs>
          <w:tab w:leader="none" w:pos="1121"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Inventions, Ideas, Processes, and Designs</w:t>
      </w:r>
      <w:r>
        <w:rPr>
          <w:rFonts w:ascii="Times New Roman" w:cs="Times New Roman" w:eastAsia="Times New Roman" w:hAnsi="Times New Roman"/>
          <w:sz w:val="19"/>
          <w:szCs w:val="19"/>
          <w:color w:val="auto"/>
        </w:rPr>
        <w:t>. All inventions, ideas, recipes, processes, programs, software and designs (including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all improvements) related to the business or any prospective activity of the Company shall be disclosed in writing promptly to the Company, and shall be the sole and exclusive property of the Company, if either (a) conceived, made or used by the Executive during the course of the Executive’s employment with the Company (whether or not actually conceived during regular business hours) or (b) made or used by the Executive for a period of six (6) months subsequent to the termination or expiration of such employment. Any invention, idea, recipe, process, program, software or design (including an improvement) shall be deemed “related to the business of the Company” if (a) it was made with equipment, facilities or Confidential Information of the Company, (b) results from work performed by the Executive for the Company or (c) pertains to the current business or demonstrably anticipated research or development work of the Company. The Executive shall cooperate with the Company and its attorneys in the preparation of patent and copyright applications for such developments and, upon request, shall promptly assign, and does hereby assign, all such inventions, ideas, recipes, processes and designs to the Company. The decision to file for patent or copyright protection or to maintain such development as a trade secret shall be in the sole discretion of the Company, and the Executive shall be bound by such decision. The Executive shall provide, on </w:t>
      </w:r>
      <w:r>
        <w:rPr>
          <w:rFonts w:ascii="Times New Roman" w:cs="Times New Roman" w:eastAsia="Times New Roman" w:hAnsi="Times New Roman"/>
          <w:sz w:val="19"/>
          <w:szCs w:val="19"/>
          <w:b w:val="1"/>
          <w:bCs w:val="1"/>
          <w:color w:val="auto"/>
        </w:rPr>
        <w:t>Exhibit B</w:t>
      </w:r>
      <w:r>
        <w:rPr>
          <w:rFonts w:ascii="Times New Roman" w:cs="Times New Roman" w:eastAsia="Times New Roman" w:hAnsi="Times New Roman"/>
          <w:sz w:val="19"/>
          <w:szCs w:val="19"/>
          <w:color w:val="auto"/>
        </w:rPr>
        <w:t xml:space="preserve"> to this Agreement, a complete list of all inventions, ideas, recipes, processes and designs if any, patented or unpatented, copyrighted or non-copyrighted, including a brief description, that the Executive made or conceived prior to the Executive’s employment with the Company, and that, therefore, are excluded from the scope of this Agreement.</w:t>
      </w:r>
    </w:p>
    <w:p>
      <w:pPr>
        <w:spacing w:after="0" w:line="180" w:lineRule="exact"/>
        <w:rPr>
          <w:rFonts w:ascii="Times New Roman" w:cs="Times New Roman" w:eastAsia="Times New Roman" w:hAnsi="Times New Roman"/>
          <w:sz w:val="19"/>
          <w:szCs w:val="19"/>
          <w:color w:val="auto"/>
        </w:rPr>
      </w:pPr>
    </w:p>
    <w:p>
      <w:pPr>
        <w:jc w:val="both"/>
        <w:ind w:firstLine="656"/>
        <w:spacing w:after="0" w:line="256" w:lineRule="auto"/>
        <w:tabs>
          <w:tab w:leader="none" w:pos="1215"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Restrictive Covenants: Consideration; Non-Estoppel; Independent Agreements; and Non-Executory Agreements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restrictive covenants of </w:t>
      </w:r>
      <w:r>
        <w:rPr>
          <w:rFonts w:ascii="Times New Roman" w:cs="Times New Roman" w:eastAsia="Times New Roman" w:hAnsi="Times New Roman"/>
          <w:sz w:val="20"/>
          <w:szCs w:val="20"/>
          <w:b w:val="1"/>
          <w:bCs w:val="1"/>
          <w:color w:val="auto"/>
        </w:rPr>
        <w:t>Section 13, Section 14 and Section 16</w:t>
      </w:r>
      <w:r>
        <w:rPr>
          <w:rFonts w:ascii="Times New Roman" w:cs="Times New Roman" w:eastAsia="Times New Roman" w:hAnsi="Times New Roman"/>
          <w:sz w:val="20"/>
          <w:szCs w:val="20"/>
          <w:color w:val="auto"/>
        </w:rPr>
        <w:t xml:space="preserve"> of this Agreement are given and made by Executive to induce the Company to employ the Executive and to enter into this Agreement with the Executive, and Executive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76"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0"/>
          <w:szCs w:val="20"/>
          <w:color w:val="auto"/>
        </w:rPr>
        <w:t>acknowledges that employment with the Company is sufficient consideration for these restrictive covenants.</w:t>
      </w:r>
    </w:p>
    <w:p>
      <w:pPr>
        <w:spacing w:after="0" w:line="2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The restrictive covenants of </w:t>
      </w:r>
      <w:r>
        <w:rPr>
          <w:rFonts w:ascii="Times New Roman" w:cs="Times New Roman" w:eastAsia="Times New Roman" w:hAnsi="Times New Roman"/>
          <w:sz w:val="20"/>
          <w:szCs w:val="20"/>
          <w:b w:val="1"/>
          <w:bCs w:val="1"/>
          <w:color w:val="auto"/>
        </w:rPr>
        <w:t>Section 13, Section 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Section 16</w:t>
      </w:r>
      <w:r>
        <w:rPr>
          <w:rFonts w:ascii="Times New Roman" w:cs="Times New Roman" w:eastAsia="Times New Roman" w:hAnsi="Times New Roman"/>
          <w:sz w:val="20"/>
          <w:szCs w:val="20"/>
          <w:color w:val="auto"/>
        </w:rPr>
        <w:t xml:space="preserve"> of this Agreement shall be construed as agreements independent of any other provision in this Agreement, and the existence of any claim or cause of action of Executive against the Company, whether predicated upon this Agreement or otherwise, shall not constitute a defense to the enforcement of any restrictive covenant.</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The refusal or failure of the Company to enforce any restrictive covenant of </w:t>
      </w:r>
      <w:r>
        <w:rPr>
          <w:rFonts w:ascii="Times New Roman" w:cs="Times New Roman" w:eastAsia="Times New Roman" w:hAnsi="Times New Roman"/>
          <w:sz w:val="20"/>
          <w:szCs w:val="20"/>
          <w:b w:val="1"/>
          <w:bCs w:val="1"/>
          <w:color w:val="auto"/>
        </w:rPr>
        <w:t>Section 13, Section 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Section 16</w:t>
      </w:r>
      <w:r>
        <w:rPr>
          <w:rFonts w:ascii="Times New Roman" w:cs="Times New Roman" w:eastAsia="Times New Roman" w:hAnsi="Times New Roman"/>
          <w:sz w:val="20"/>
          <w:szCs w:val="20"/>
          <w:color w:val="auto"/>
        </w:rPr>
        <w:t xml:space="preserve"> of this Agreement (or any similar agreement) against any other employee, agent, or independent contractor, for any reason, shall not constitute a defense to the enforcement by the Company of any such restrictive covenant, nor shall it give rise to any claim or cause of action by Executive against the Company.</w:t>
      </w:r>
    </w:p>
    <w:p>
      <w:pPr>
        <w:spacing w:after="0" w:line="176" w:lineRule="exact"/>
        <w:rPr>
          <w:sz w:val="20"/>
          <w:szCs w:val="20"/>
          <w:color w:val="auto"/>
        </w:rPr>
      </w:pPr>
    </w:p>
    <w:p>
      <w:pPr>
        <w:jc w:val="both"/>
        <w:ind w:firstLine="656"/>
        <w:spacing w:after="0" w:line="241" w:lineRule="auto"/>
        <w:tabs>
          <w:tab w:leader="none" w:pos="131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Reasonableness of Restrictions; Reformation; Enforcement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hereto recognize and acknowledge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geographical and time and scope of activity limitations contained in </w:t>
      </w:r>
      <w:r>
        <w:rPr>
          <w:rFonts w:ascii="Times New Roman" w:cs="Times New Roman" w:eastAsia="Times New Roman" w:hAnsi="Times New Roman"/>
          <w:sz w:val="20"/>
          <w:szCs w:val="20"/>
          <w:b w:val="1"/>
          <w:bCs w:val="1"/>
          <w:color w:val="auto"/>
        </w:rPr>
        <w:t>Section 13, Section 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Section 16</w:t>
      </w:r>
      <w:r>
        <w:rPr>
          <w:rFonts w:ascii="Times New Roman" w:cs="Times New Roman" w:eastAsia="Times New Roman" w:hAnsi="Times New Roman"/>
          <w:sz w:val="20"/>
          <w:szCs w:val="20"/>
          <w:color w:val="auto"/>
        </w:rPr>
        <w:t xml:space="preserve"> hereof are reasonable and properly required for the adequate protection of the Company’s interests. Executive acknowledges that the Company or its Affiliate is the owner or the licensee of the trademarks used by it, and the owner or the licensee of the restaurant operating systems. It is agreed by the parties hereto that if any portion of the restrictions contained in </w:t>
      </w:r>
      <w:r>
        <w:rPr>
          <w:rFonts w:ascii="Times New Roman" w:cs="Times New Roman" w:eastAsia="Times New Roman" w:hAnsi="Times New Roman"/>
          <w:sz w:val="20"/>
          <w:szCs w:val="20"/>
          <w:b w:val="1"/>
          <w:bCs w:val="1"/>
          <w:color w:val="auto"/>
        </w:rPr>
        <w:t>Section 13, Section 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Section 16</w:t>
      </w:r>
      <w:r>
        <w:rPr>
          <w:rFonts w:ascii="Times New Roman" w:cs="Times New Roman" w:eastAsia="Times New Roman" w:hAnsi="Times New Roman"/>
          <w:sz w:val="20"/>
          <w:szCs w:val="20"/>
          <w:color w:val="auto"/>
        </w:rPr>
        <w:t xml:space="preserve"> are held to be unreasonable, arbitrary, or against public policy, then the restrictions shall be considered divisible, whether as to the time and/or to the geographical area and/or scope of activity, with each month of the specified period being deemed a separate period of time and each radius mile of the restricted territory being deemed a separate geographical area, so that the lesser period of time or geographical area shall remain effective so long as the same is not unreasonable, arbitrary, or against public policy. The parties hereto agree that in the event any court of competent jurisdiction determines the specified period or the specified geographical area of the restricted territory or the scope of the restricted activity to be unreasonable, arbitrary, or against public policy, a lesser time period or geographical area or scope of activity that is determined to be reasonable, nonarbitrary, and not against public policy may be enforced against Executive. If Executive shall violate any of the covenants contained herein and if any court action is instituted by the Company to prevent or enjoin such violation, then the period of time during which the Executive’s business activities shall be restricted, as provided in this Agreement, shall be lengthened by a period of time equal to the period between the date of the Executive’s breach of the terms or covenants contained in this Agreement and the date on which the decree of the court disposing of the issues upon the merits shall become final and not subject to further appeal.</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If either party initiates legal proceedings to enforce, interpret or construe any of the covenants contained in this Agreement, each party shall pay its own legal fees, and the prevailing party in such proceedings shall be entitled to receive from the non-prevailing party, in addition to all other remedies, all costs of such proceedings including appellate proceedings.</w:t>
      </w:r>
    </w:p>
    <w:p>
      <w:pPr>
        <w:spacing w:after="0" w:line="171" w:lineRule="exact"/>
        <w:rPr>
          <w:sz w:val="20"/>
          <w:szCs w:val="20"/>
          <w:color w:val="auto"/>
        </w:rPr>
      </w:pPr>
    </w:p>
    <w:p>
      <w:pPr>
        <w:jc w:val="both"/>
        <w:ind w:firstLine="656"/>
        <w:spacing w:after="0" w:line="256" w:lineRule="auto"/>
        <w:tabs>
          <w:tab w:leader="none" w:pos="109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Specific Performance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agrees that a breach of any of the covenants contained in</w:t>
      </w:r>
      <w:r>
        <w:rPr>
          <w:rFonts w:ascii="Times New Roman" w:cs="Times New Roman" w:eastAsia="Times New Roman" w:hAnsi="Times New Roman"/>
          <w:sz w:val="20"/>
          <w:szCs w:val="20"/>
          <w:b w:val="1"/>
          <w:bCs w:val="1"/>
          <w:color w:val="auto"/>
        </w:rPr>
        <w:t xml:space="preserve"> Section 13, Section 14, Section 15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Section 16 </w:t>
      </w:r>
      <w:r>
        <w:rPr>
          <w:rFonts w:ascii="Times New Roman" w:cs="Times New Roman" w:eastAsia="Times New Roman" w:hAnsi="Times New Roman"/>
          <w:sz w:val="20"/>
          <w:szCs w:val="20"/>
          <w:color w:val="auto"/>
        </w:rPr>
        <w:t>hereof will cause irreparable injury to the Company for which the remedy at law will be inadequate and would be difficult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76" w:right="239" w:bottom="1440" w:gutter="0" w:footer="0" w:header="0"/>
        </w:sectPr>
      </w:pPr>
    </w:p>
    <w:bookmarkStart w:id="87" w:name="page88"/>
    <w:bookmarkEnd w:id="87"/>
    <w:p>
      <w:pPr>
        <w:jc w:val="both"/>
        <w:spacing w:after="0" w:line="247" w:lineRule="auto"/>
        <w:rPr>
          <w:sz w:val="20"/>
          <w:szCs w:val="20"/>
          <w:color w:val="auto"/>
        </w:rPr>
      </w:pPr>
      <w:r>
        <w:rPr>
          <w:rFonts w:ascii="Times New Roman" w:cs="Times New Roman" w:eastAsia="Times New Roman" w:hAnsi="Times New Roman"/>
          <w:sz w:val="20"/>
          <w:szCs w:val="20"/>
          <w:color w:val="auto"/>
        </w:rPr>
        <w:t>and therefore, in the event of the breach or threatened breach of any such covenants, the Company shall be entitled, in addition to any other rights and remedies it may have at law or in equity, to obtain an injunction to restrain Executive from any threatened or actual activities in violation of any such covenants. Executive hereby consents and agrees that temporary and permanent injunctive relief may be granted in any proceedings that might be brought to enforce any such covenants without the necessity of proof of actual damages, and in the event the Company does apply for such an injunction, Executive shall not raise as a defense thereto that the Company has an adequate remedy at law.</w:t>
      </w:r>
    </w:p>
    <w:p>
      <w:pPr>
        <w:spacing w:after="0" w:line="177" w:lineRule="exact"/>
        <w:rPr>
          <w:sz w:val="20"/>
          <w:szCs w:val="20"/>
          <w:color w:val="auto"/>
        </w:rPr>
      </w:pPr>
    </w:p>
    <w:p>
      <w:pPr>
        <w:jc w:val="both"/>
        <w:ind w:firstLine="656"/>
        <w:spacing w:after="0" w:line="248" w:lineRule="auto"/>
        <w:tabs>
          <w:tab w:leader="none" w:pos="1161"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Assignability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and the rights and duties created hereunder, shall not be assignable or delegable by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Company shall have the right, without Executive’s knowledge or consent, to assign this Agreement, in whole or in part and any or all of the rights and duties hereunder, including but not limited to the restrictive covenants of </w:t>
      </w:r>
      <w:r>
        <w:rPr>
          <w:rFonts w:ascii="Times New Roman" w:cs="Times New Roman" w:eastAsia="Times New Roman" w:hAnsi="Times New Roman"/>
          <w:sz w:val="20"/>
          <w:szCs w:val="20"/>
          <w:b w:val="1"/>
          <w:bCs w:val="1"/>
          <w:color w:val="auto"/>
        </w:rPr>
        <w:t>Section 13, Section 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Section 16</w:t>
      </w:r>
      <w:r>
        <w:rPr>
          <w:rFonts w:ascii="Times New Roman" w:cs="Times New Roman" w:eastAsia="Times New Roman" w:hAnsi="Times New Roman"/>
          <w:sz w:val="20"/>
          <w:szCs w:val="20"/>
          <w:color w:val="auto"/>
        </w:rPr>
        <w:t xml:space="preserve"> hereof to any person, including but not limited to any Affiliate of the Company, or any successor to the Company’s interest in the restaurants, and Executive shall be bound by such assignment. Any assignee or successor may enforce any restrictive covenant of this Agreement.</w:t>
      </w:r>
    </w:p>
    <w:p>
      <w:pPr>
        <w:spacing w:after="0" w:line="175" w:lineRule="exact"/>
        <w:rPr>
          <w:rFonts w:ascii="Times New Roman" w:cs="Times New Roman" w:eastAsia="Times New Roman" w:hAnsi="Times New Roman"/>
          <w:sz w:val="20"/>
          <w:szCs w:val="20"/>
          <w:color w:val="auto"/>
        </w:rPr>
      </w:pPr>
    </w:p>
    <w:p>
      <w:pPr>
        <w:ind w:firstLine="656"/>
        <w:spacing w:after="0" w:line="300" w:lineRule="auto"/>
        <w:tabs>
          <w:tab w:leader="none" w:pos="1107"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Effect of Termination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 the avoidance of doubt, the termination of this Agreement or expiration of the Term of Employment,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for any reason, shall not extinguish those obligations of the Executive specified in </w:t>
      </w:r>
      <w:r>
        <w:rPr>
          <w:rFonts w:ascii="Times New Roman" w:cs="Times New Roman" w:eastAsia="Times New Roman" w:hAnsi="Times New Roman"/>
          <w:sz w:val="19"/>
          <w:szCs w:val="19"/>
          <w:b w:val="1"/>
          <w:bCs w:val="1"/>
          <w:color w:val="auto"/>
        </w:rPr>
        <w:t>Section 13, Section 14, Section 16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color w:val="auto"/>
        </w:rPr>
        <w:t>Section 31</w:t>
      </w:r>
      <w:r>
        <w:rPr>
          <w:rFonts w:ascii="Times New Roman" w:cs="Times New Roman" w:eastAsia="Times New Roman" w:hAnsi="Times New Roman"/>
          <w:sz w:val="19"/>
          <w:szCs w:val="19"/>
          <w:color w:val="auto"/>
        </w:rPr>
        <w:t xml:space="preserve"> hereof.</w:t>
      </w:r>
    </w:p>
    <w:p>
      <w:pPr>
        <w:spacing w:after="0" w:line="129" w:lineRule="exact"/>
        <w:rPr>
          <w:rFonts w:ascii="Times New Roman" w:cs="Times New Roman" w:eastAsia="Times New Roman" w:hAnsi="Times New Roman"/>
          <w:sz w:val="19"/>
          <w:szCs w:val="19"/>
          <w:color w:val="auto"/>
        </w:rPr>
      </w:pPr>
    </w:p>
    <w:p>
      <w:pPr>
        <w:ind w:firstLine="656"/>
        <w:spacing w:after="0" w:line="273" w:lineRule="auto"/>
        <w:tabs>
          <w:tab w:leader="none" w:pos="109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Captions; 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captions of this Agreement are for convenience only, and shall not be construed to limit, define, or modify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substantive terms hereof.</w:t>
      </w:r>
    </w:p>
    <w:p>
      <w:pPr>
        <w:spacing w:after="0" w:line="152" w:lineRule="exact"/>
        <w:rPr>
          <w:rFonts w:ascii="Times New Roman" w:cs="Times New Roman" w:eastAsia="Times New Roman" w:hAnsi="Times New Roman"/>
          <w:sz w:val="20"/>
          <w:szCs w:val="20"/>
          <w:color w:val="auto"/>
        </w:rPr>
      </w:pPr>
    </w:p>
    <w:p>
      <w:pPr>
        <w:jc w:val="both"/>
        <w:ind w:firstLine="656"/>
        <w:spacing w:after="0" w:line="246" w:lineRule="auto"/>
        <w:tabs>
          <w:tab w:leader="none" w:pos="1161"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Acknowledgments</w:t>
      </w:r>
      <w:r>
        <w:rPr>
          <w:rFonts w:ascii="Times New Roman" w:cs="Times New Roman" w:eastAsia="Times New Roman" w:hAnsi="Times New Roman"/>
          <w:sz w:val="20"/>
          <w:szCs w:val="20"/>
          <w:color w:val="auto"/>
        </w:rPr>
        <w:t>. Executive hereby acknowledges, that the Executive has been provided with a copy of this Agreement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review prior to signing it, that the Executive has been given a full and sufficient opportunity to consider this Agreement and has been given the opportunity to have this Agreement reviewed by Executive’s attorney prior to signing it, that the Executive understands the purposes and effects of this Agreement; and that in agreeing to be bound by this Agreement the Executive has not relied on any promises or representations, express or implied, that are not set forth expressly in this Agreement; and that the Executive has been given a signed copy of this Agreement for Executive’s own records.</w:t>
      </w:r>
    </w:p>
    <w:p>
      <w:pPr>
        <w:spacing w:after="0" w:line="179" w:lineRule="exact"/>
        <w:rPr>
          <w:rFonts w:ascii="Times New Roman" w:cs="Times New Roman" w:eastAsia="Times New Roman" w:hAnsi="Times New Roman"/>
          <w:sz w:val="20"/>
          <w:szCs w:val="20"/>
          <w:color w:val="auto"/>
        </w:rPr>
      </w:pPr>
    </w:p>
    <w:p>
      <w:pPr>
        <w:jc w:val="both"/>
        <w:ind w:firstLine="656"/>
        <w:spacing w:after="0" w:line="248" w:lineRule="auto"/>
        <w:tabs>
          <w:tab w:leader="none" w:pos="1107"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notices or other communications provided for herein to be given or sent to a party by another party shall be deemed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validly given or sent if in writing mailed, postage prepaid, by certified United States mail, return receipt requested, or delivered by hand or consigned to a nationally recognized overnight courier, and addressed to the parties at their addresses hereinabove set forth or at their last known address. Any party may give notice to the other party at any time, by the method specified above, of a change in the address at which, or the person to whom, notice is to be addressed, which change of address shall be effective if notice thereof is actually received.</w:t>
      </w:r>
    </w:p>
    <w:p>
      <w:pPr>
        <w:spacing w:after="0" w:line="175" w:lineRule="exact"/>
        <w:rPr>
          <w:rFonts w:ascii="Times New Roman" w:cs="Times New Roman" w:eastAsia="Times New Roman" w:hAnsi="Times New Roman"/>
          <w:sz w:val="20"/>
          <w:szCs w:val="20"/>
          <w:color w:val="auto"/>
        </w:rPr>
      </w:pPr>
    </w:p>
    <w:p>
      <w:pPr>
        <w:jc w:val="both"/>
        <w:ind w:right="20" w:firstLine="656"/>
        <w:spacing w:after="0" w:line="256" w:lineRule="auto"/>
        <w:tabs>
          <w:tab w:leader="none" w:pos="120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section, subsection, and lesser section of this Agreement constitutes a separate and distinct undertaking,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covenant, or provision hereof. In the event that any provision of this Agreement shall be determined to be invalid or unenforceable, such provision shall be deemed limited by construction in scope and effect to the minimum extent necessary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76" w:right="239" w:bottom="1440" w:gutter="0" w:footer="0" w:header="0"/>
        </w:sectPr>
      </w:pPr>
    </w:p>
    <w:bookmarkStart w:id="88" w:name="page89"/>
    <w:bookmarkEnd w:id="88"/>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render the same valid and enforceable, and, in the event such a limiting construction is impossible, such invalid or unenforceable provision shall be deemed severed from this Agreement, but every other provision of this Agreement shall remain in full force and effect. Notwithstanding the foregoing, the invalidity or unenforceability of </w:t>
      </w:r>
      <w:r>
        <w:rPr>
          <w:rFonts w:ascii="Times New Roman" w:cs="Times New Roman" w:eastAsia="Times New Roman" w:hAnsi="Times New Roman"/>
          <w:sz w:val="20"/>
          <w:szCs w:val="20"/>
          <w:b w:val="1"/>
          <w:bCs w:val="1"/>
          <w:color w:val="auto"/>
        </w:rPr>
        <w:t>Sections 13, 14 or 16</w:t>
      </w:r>
      <w:r>
        <w:rPr>
          <w:rFonts w:ascii="Times New Roman" w:cs="Times New Roman" w:eastAsia="Times New Roman" w:hAnsi="Times New Roman"/>
          <w:sz w:val="20"/>
          <w:szCs w:val="20"/>
          <w:color w:val="auto"/>
        </w:rPr>
        <w:t xml:space="preserve">, or any portions thereof, shall have no effect on the Company’s rights under </w:t>
      </w:r>
      <w:r>
        <w:rPr>
          <w:rFonts w:ascii="Times New Roman" w:cs="Times New Roman" w:eastAsia="Times New Roman" w:hAnsi="Times New Roman"/>
          <w:sz w:val="20"/>
          <w:szCs w:val="20"/>
          <w:b w:val="1"/>
          <w:bCs w:val="1"/>
          <w:color w:val="auto"/>
        </w:rPr>
        <w:t>Section 12</w:t>
      </w:r>
      <w:r>
        <w:rPr>
          <w:rFonts w:ascii="Times New Roman" w:cs="Times New Roman" w:eastAsia="Times New Roman" w:hAnsi="Times New Roman"/>
          <w:sz w:val="20"/>
          <w:szCs w:val="20"/>
          <w:color w:val="auto"/>
        </w:rPr>
        <w:t xml:space="preserve"> to cease making any severance payments in the event of the Executive’s failure to comply with the Compliance Condition.</w:t>
      </w:r>
    </w:p>
    <w:p>
      <w:pPr>
        <w:spacing w:after="0" w:line="177" w:lineRule="exact"/>
        <w:rPr>
          <w:sz w:val="20"/>
          <w:szCs w:val="20"/>
          <w:color w:val="auto"/>
        </w:rPr>
      </w:pPr>
    </w:p>
    <w:p>
      <w:pPr>
        <w:jc w:val="both"/>
        <w:ind w:firstLine="656"/>
        <w:spacing w:after="0" w:line="250" w:lineRule="auto"/>
        <w:tabs>
          <w:tab w:leader="none" w:pos="121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Waiver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failure of a party to enforce any term, provision, or condition of this Agreement or failure to insist on strict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of a covenant hereunder or any obligation hereunder, at any time or times shall not be deemed a waiver of that term, provision, or condition for the future, nor shall any specific waiver of a term, provision, or condition at one time be deemed a deemed a waiver of such term, provision, or condition for any future time or times.</w:t>
      </w:r>
    </w:p>
    <w:p>
      <w:pPr>
        <w:spacing w:after="0" w:line="176" w:lineRule="exact"/>
        <w:rPr>
          <w:rFonts w:ascii="Times New Roman" w:cs="Times New Roman" w:eastAsia="Times New Roman" w:hAnsi="Times New Roman"/>
          <w:sz w:val="20"/>
          <w:szCs w:val="20"/>
          <w:color w:val="auto"/>
        </w:rPr>
      </w:pPr>
    </w:p>
    <w:p>
      <w:pPr>
        <w:ind w:firstLine="656"/>
        <w:spacing w:after="0" w:line="273" w:lineRule="auto"/>
        <w:tabs>
          <w:tab w:leader="none" w:pos="1148"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shall be binding upon, and shall inure to the benefit of, the parties hereto, their legal representatives,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executors, administrators, heirs, and proper successors or permitted assigns, as the case may be.</w:t>
      </w:r>
    </w:p>
    <w:p>
      <w:pPr>
        <w:spacing w:after="0" w:line="152" w:lineRule="exact"/>
        <w:rPr>
          <w:rFonts w:ascii="Times New Roman" w:cs="Times New Roman" w:eastAsia="Times New Roman" w:hAnsi="Times New Roman"/>
          <w:sz w:val="20"/>
          <w:szCs w:val="20"/>
          <w:color w:val="auto"/>
        </w:rPr>
      </w:pPr>
    </w:p>
    <w:p>
      <w:pPr>
        <w:jc w:val="both"/>
        <w:ind w:firstLine="656"/>
        <w:spacing w:after="0" w:line="256" w:lineRule="auto"/>
        <w:tabs>
          <w:tab w:leader="none" w:pos="1148"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takes effect upon its acceptance and execution by the Company. The validity, interpretation,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performance of this Agreement shall be governed, interpreted, and construed in accordance with the laws of the State of Florida without giving effect to the principles of comity or conflicts of laws thereof.</w:t>
      </w:r>
    </w:p>
    <w:p>
      <w:pPr>
        <w:spacing w:after="0" w:line="168" w:lineRule="exact"/>
        <w:rPr>
          <w:rFonts w:ascii="Times New Roman" w:cs="Times New Roman" w:eastAsia="Times New Roman" w:hAnsi="Times New Roman"/>
          <w:sz w:val="20"/>
          <w:szCs w:val="20"/>
          <w:color w:val="auto"/>
        </w:rPr>
      </w:pPr>
    </w:p>
    <w:p>
      <w:pPr>
        <w:jc w:val="both"/>
        <w:ind w:firstLine="656"/>
        <w:spacing w:after="0" w:line="245" w:lineRule="auto"/>
        <w:tabs>
          <w:tab w:leader="none" w:pos="1188"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Consent to Personal Jurisdiction and Venue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hereby consents to personal jurisdiction and venue, for any action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brought by the Company arising out of a breach or threatened breach of this Agreement or out of the relationship established by this Agreement, exclusively in the United States District Court for the Middle District of Florida, Tampa Division, or in the Circuit Court in and for Hillsborough County, Florida; and, if applicable, the federal and state courts in any jurisdiction where the Executive is employed or resides; the Executive hereby agrees that any action brought by Executive, alone or in combination with others, against the Company, whether arising out of this Agreement or otherwise, shall be brought exclusively in the United States District Court for the Middle District of Florida, Tampa Division, or in the Circuit Court in and for Hillsborough County, Florida.</w:t>
      </w:r>
    </w:p>
    <w:p>
      <w:pPr>
        <w:spacing w:after="0" w:line="179" w:lineRule="exact"/>
        <w:rPr>
          <w:rFonts w:ascii="Times New Roman" w:cs="Times New Roman" w:eastAsia="Times New Roman" w:hAnsi="Times New Roman"/>
          <w:sz w:val="20"/>
          <w:szCs w:val="20"/>
          <w:color w:val="auto"/>
        </w:rPr>
      </w:pPr>
    </w:p>
    <w:p>
      <w:pPr>
        <w:ind w:firstLine="656"/>
        <w:spacing w:after="0" w:line="273" w:lineRule="auto"/>
        <w:tabs>
          <w:tab w:leader="none" w:pos="1161"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Affiliate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Whenever used in this Agreement, the term “</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shall mean, with respect to any entity, all persons or entities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directly or indirectly controlled by Bloomin’ Brands, Inc., where control may be by management authority, contract or equity interest.</w:t>
      </w:r>
    </w:p>
    <w:p>
      <w:pPr>
        <w:spacing w:after="0" w:line="152" w:lineRule="exact"/>
        <w:rPr>
          <w:rFonts w:ascii="Times New Roman" w:cs="Times New Roman" w:eastAsia="Times New Roman" w:hAnsi="Times New Roman"/>
          <w:sz w:val="20"/>
          <w:szCs w:val="20"/>
          <w:color w:val="auto"/>
        </w:rPr>
      </w:pPr>
    </w:p>
    <w:p>
      <w:pPr>
        <w:jc w:val="both"/>
        <w:ind w:firstLine="656"/>
        <w:spacing w:after="0" w:line="256" w:lineRule="auto"/>
        <w:tabs>
          <w:tab w:leader="none" w:pos="1121"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Cooperation</w:t>
      </w:r>
      <w:r>
        <w:rPr>
          <w:rFonts w:ascii="Times New Roman" w:cs="Times New Roman" w:eastAsia="Times New Roman" w:hAnsi="Times New Roman"/>
          <w:sz w:val="20"/>
          <w:szCs w:val="20"/>
          <w:color w:val="auto"/>
        </w:rPr>
        <w:t>. Executive shall cooperate fully with all reasonable requests for information and participation by the Company,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agents, or its attorneys, in prosecuting or defending claims, suits, and disputes brought on behalf of or against the Company and in which v is involved or about which Executive has knowledge.</w:t>
      </w:r>
    </w:p>
    <w:p>
      <w:pPr>
        <w:spacing w:after="0" w:line="168"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Internal Revenue Code Section 409A Compliance; Taxes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660" w:firstLine="648"/>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Unless otherwise expressly provided, any payment of compensation by the Company to the Executive, whether pursuant to this Agreement or otherwise, shall be made within two and one-half months (2 ½ months) after the end of the later of the calendar year or the Company’s fiscal year in which the Executive’s right to such payment vests (i.e., is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76" w:right="239" w:bottom="1440" w:gutter="0" w:footer="0" w:header="0"/>
        </w:sectPr>
      </w:pPr>
    </w:p>
    <w:bookmarkStart w:id="89" w:name="page90"/>
    <w:bookmarkEnd w:id="89"/>
    <w:p>
      <w:pPr>
        <w:ind w:left="660"/>
        <w:spacing w:after="0" w:line="269" w:lineRule="auto"/>
        <w:rPr>
          <w:sz w:val="20"/>
          <w:szCs w:val="20"/>
          <w:color w:val="auto"/>
        </w:rPr>
      </w:pPr>
      <w:r>
        <w:rPr>
          <w:rFonts w:ascii="Times New Roman" w:cs="Times New Roman" w:eastAsia="Times New Roman" w:hAnsi="Times New Roman"/>
          <w:sz w:val="20"/>
          <w:szCs w:val="20"/>
          <w:color w:val="auto"/>
        </w:rPr>
        <w:t>not subject to a substantial risk of forfeiture for purposes of Internal Revenue Code Section 409A (“</w:t>
      </w:r>
      <w:r>
        <w:rPr>
          <w:rFonts w:ascii="Times New Roman" w:cs="Times New Roman" w:eastAsia="Times New Roman" w:hAnsi="Times New Roman"/>
          <w:sz w:val="20"/>
          <w:szCs w:val="20"/>
          <w:u w:val="single" w:color="auto"/>
          <w:color w:val="auto"/>
        </w:rPr>
        <w:t>Code Section 409A</w:t>
      </w:r>
      <w:r>
        <w:rPr>
          <w:rFonts w:ascii="Times New Roman" w:cs="Times New Roman" w:eastAsia="Times New Roman" w:hAnsi="Times New Roman"/>
          <w:sz w:val="20"/>
          <w:szCs w:val="20"/>
          <w:color w:val="auto"/>
        </w:rPr>
        <w:t>”)). Such amounts shall not be subject to the requirements of subsection (b) below applicable to “nonqualified deferred compensation.”</w:t>
      </w:r>
    </w:p>
    <w:p>
      <w:pPr>
        <w:spacing w:after="0" w:line="160" w:lineRule="exact"/>
        <w:rPr>
          <w:sz w:val="20"/>
          <w:szCs w:val="20"/>
          <w:color w:val="auto"/>
        </w:rPr>
      </w:pPr>
    </w:p>
    <w:p>
      <w:pPr>
        <w:jc w:val="both"/>
        <w:ind w:left="660" w:firstLine="645"/>
        <w:spacing w:after="0" w:line="242" w:lineRule="auto"/>
        <w:tabs>
          <w:tab w:leader="none" w:pos="1659"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of “</w:t>
      </w:r>
      <w:r>
        <w:rPr>
          <w:rFonts w:ascii="Times New Roman" w:cs="Times New Roman" w:eastAsia="Times New Roman" w:hAnsi="Times New Roman"/>
          <w:sz w:val="20"/>
          <w:szCs w:val="20"/>
          <w:u w:val="single" w:color="auto"/>
          <w:color w:val="auto"/>
        </w:rPr>
        <w:t>nonqualified deferred compensation</w:t>
      </w:r>
      <w:r>
        <w:rPr>
          <w:rFonts w:ascii="Times New Roman" w:cs="Times New Roman" w:eastAsia="Times New Roman" w:hAnsi="Times New Roman"/>
          <w:sz w:val="20"/>
          <w:szCs w:val="20"/>
          <w:color w:val="auto"/>
        </w:rPr>
        <w:t>” (within the meaning of Code Section 409A are intended to comply with the requirements of Code Section 409A, and shall be interpreted in accordance therewith. No party individually or in combination may accelerate, offset or assign any such deferred payment, except in compliance with Code Section 409A. No amount shall be paid prior to the earliest date on which it is permitted to be paid under Code Section 409A and Executive shall have no discretion with respect to the timing of payments except as permitted under Section 409A. In the event that the Executive is determined to be a “</w:t>
      </w:r>
      <w:r>
        <w:rPr>
          <w:rFonts w:ascii="Times New Roman" w:cs="Times New Roman" w:eastAsia="Times New Roman" w:hAnsi="Times New Roman"/>
          <w:sz w:val="20"/>
          <w:szCs w:val="20"/>
          <w:u w:val="single" w:color="auto"/>
          <w:color w:val="auto"/>
        </w:rPr>
        <w:t>specified employee</w:t>
      </w:r>
      <w:r>
        <w:rPr>
          <w:rFonts w:ascii="Times New Roman" w:cs="Times New Roman" w:eastAsia="Times New Roman" w:hAnsi="Times New Roman"/>
          <w:sz w:val="20"/>
          <w:szCs w:val="20"/>
          <w:color w:val="auto"/>
        </w:rPr>
        <w:t>” (as defined and determined under Code Section 409A) of the Company or any of its affiliates at a time when its stock is deemed to be publicly traded on an established securities market, payments determined to be “</w:t>
      </w:r>
      <w:r>
        <w:rPr>
          <w:rFonts w:ascii="Times New Roman" w:cs="Times New Roman" w:eastAsia="Times New Roman" w:hAnsi="Times New Roman"/>
          <w:sz w:val="20"/>
          <w:szCs w:val="20"/>
          <w:u w:val="single" w:color="auto"/>
          <w:color w:val="auto"/>
        </w:rPr>
        <w:t>nonqualified deferred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payable by reason of separation from service shall be paid no earlier than (i) the first day of the seventh (7th) calendar month commencing after such termination of employment, or (ii) the Executive’s death, consistent with and to the extent necessary to meet the requirements Code Section 409A without the imposition of excise taxes. Any payment delayed by reason of the prior sentence shall be paid out in a single lump sum on the earliest date permitted under Code Section 409A in order to catch up to the original payment schedule. Notwithstanding anything herein to the contrary, no amendment may be made to this Agreement if it would cause the Agreement or any payment hereunder not to be in compliance with Code Section 409A.</w:t>
      </w:r>
    </w:p>
    <w:p>
      <w:pPr>
        <w:spacing w:after="0" w:line="186" w:lineRule="exact"/>
        <w:rPr>
          <w:rFonts w:ascii="Times New Roman" w:cs="Times New Roman" w:eastAsia="Times New Roman" w:hAnsi="Times New Roman"/>
          <w:sz w:val="20"/>
          <w:szCs w:val="20"/>
          <w:color w:val="auto"/>
        </w:rPr>
      </w:pPr>
    </w:p>
    <w:p>
      <w:pPr>
        <w:jc w:val="both"/>
        <w:ind w:left="660" w:firstLine="645"/>
        <w:spacing w:after="0" w:line="247" w:lineRule="auto"/>
        <w:tabs>
          <w:tab w:leader="none" w:pos="1746"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shall be responsible for the payment of all taxes applicable to payments or benefits received from the Company. It is the intent of the Company that the provisions of this Agreement and all other plans and programs sponsored by the Company be interpreted to comply in all respects with Code Section 409A, however, the Company shall have no liability to the Executive, or any successor or beneficiary thereof, in the event taxes, penalties or excise taxes may ultimately be determined to be applicable to any payment or benefit received by the Executive or any successor or beneficiary thereof.</w:t>
      </w:r>
    </w:p>
    <w:p>
      <w:pPr>
        <w:spacing w:after="0" w:line="176" w:lineRule="exact"/>
        <w:rPr>
          <w:rFonts w:ascii="Times New Roman" w:cs="Times New Roman" w:eastAsia="Times New Roman" w:hAnsi="Times New Roman"/>
          <w:sz w:val="20"/>
          <w:szCs w:val="20"/>
          <w:color w:val="auto"/>
        </w:rPr>
      </w:pPr>
    </w:p>
    <w:p>
      <w:pPr>
        <w:ind w:firstLine="656"/>
        <w:spacing w:after="0" w:line="273" w:lineRule="auto"/>
        <w:tabs>
          <w:tab w:leader="none" w:pos="1121"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Amendments</w:t>
      </w:r>
      <w:r>
        <w:rPr>
          <w:rFonts w:ascii="Times New Roman" w:cs="Times New Roman" w:eastAsia="Times New Roman" w:hAnsi="Times New Roman"/>
          <w:sz w:val="20"/>
          <w:szCs w:val="20"/>
          <w:color w:val="auto"/>
        </w:rPr>
        <w:t>. No change, modification, or termination of any of the terms, provisions, or conditions of this Agreement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unless made in writing and signed or initialed by all signatories to this Agreement.</w:t>
      </w:r>
    </w:p>
    <w:p>
      <w:pPr>
        <w:spacing w:after="0" w:line="152" w:lineRule="exact"/>
        <w:rPr>
          <w:rFonts w:ascii="Times New Roman" w:cs="Times New Roman" w:eastAsia="Times New Roman" w:hAnsi="Times New Roman"/>
          <w:sz w:val="20"/>
          <w:szCs w:val="20"/>
          <w:color w:val="auto"/>
        </w:rPr>
      </w:pPr>
    </w:p>
    <w:p>
      <w:pPr>
        <w:jc w:val="both"/>
        <w:ind w:firstLine="656"/>
        <w:spacing w:after="0" w:line="250" w:lineRule="auto"/>
        <w:tabs>
          <w:tab w:leader="none" w:pos="1215"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WAIVER OF JURY TRIAL</w:t>
      </w:r>
      <w:r>
        <w:rPr>
          <w:rFonts w:ascii="Times New Roman" w:cs="Times New Roman" w:eastAsia="Times New Roman" w:hAnsi="Times New Roman"/>
          <w:sz w:val="20"/>
          <w:szCs w:val="20"/>
          <w:b w:val="1"/>
          <w:bCs w:val="1"/>
          <w:color w:val="auto"/>
        </w:rPr>
        <w:t>. ALL PARTIES TO THIS AGREEMENT KNOW AND UNDERSTAND THAT THEY HAVE A CONSTITUTIONAL RIGHT TO A JURY TRIAL. THE PARTIES ACKNOWLEDGE THAT ANY DISPUTE OR CONTROVERSY THAT MAY ARISE OUT OF THIS AGREEMENT WILL INVOLVE COMPLICATED AND DIFFICULT FACTUAL AND LEGAL ISSUES.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THE PARTIES HEREBY WAIVE ANY RIGHT TO TRIAL BY JURY IN ANY PROCEEDING ARISING OUT OF OR RELATING TO THIS AGREEMENT OR ANY OF THE CONTEMPLATED TRANSACTIONS, WHETHER NOW EXISTING OR HEREAFTER ARISING, AND WHETHER SOUNDING IN CONTRACT, TORT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76" w:right="239" w:bottom="1440" w:gutter="0" w:footer="0" w:header="0"/>
        </w:sectPr>
      </w:pPr>
    </w:p>
    <w:bookmarkStart w:id="90" w:name="page91"/>
    <w:bookmarkEnd w:id="90"/>
    <w:p>
      <w:pPr>
        <w:jc w:val="both"/>
        <w:spacing w:after="0" w:line="248" w:lineRule="auto"/>
        <w:rPr>
          <w:sz w:val="20"/>
          <w:szCs w:val="20"/>
          <w:color w:val="auto"/>
        </w:rPr>
      </w:pPr>
      <w:r>
        <w:rPr>
          <w:rFonts w:ascii="Times New Roman" w:cs="Times New Roman" w:eastAsia="Times New Roman" w:hAnsi="Times New Roman"/>
          <w:sz w:val="20"/>
          <w:szCs w:val="20"/>
          <w:b w:val="1"/>
          <w:bCs w:val="1"/>
          <w:color w:val="auto"/>
        </w:rPr>
        <w:t>OTHERWISE. THE PARTIES AGREE THAT ANY OF THEM MAY FILE A COPY OF THIS PARAGRAPH WITH ANY COURT AS WRITTEN EVIDENCE OF THE KNOWING, VOLUNTARY AND BARGAINED-FOR AGREEMENT AMONG THE PARTIES IRREVOCABLY TO WAIVE TRIAL BY JURY AND THAT ANY PROCEEDING WHATSOEVER BETWEEN THEM RELATING TO THIS AGREEMENT OR ANY OF THE CONTEMPLATED TRANSACTIONS SHALL INSTEAD BE TRIED IN A COURT OF COMPETENT JURISDICTION BY A JUDGE SITTING WITHOUT A JURY.</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THE PARTIES INTEND THAT THIS WAIVER OF THE RIGHT TO A JURY TRIAL BE AS BROAD AS POSSIBLE. BY THEIR SIGNATURES BELOW, THE PARTIES PROMISE, WARRANT AND REPRESENT THAT THEY WILL NOT PLEAD FOR, REQUEST OR OTHERWISE SEEK TO HAVE A JURY TO RESOLVE ANY AND ALL DISPUTES THAT MAY ARISE BY, BETWEEN OR AMONG THEM.</w:t>
      </w:r>
    </w:p>
    <w:p>
      <w:pPr>
        <w:spacing w:after="0" w:line="176" w:lineRule="exact"/>
        <w:rPr>
          <w:sz w:val="20"/>
          <w:szCs w:val="20"/>
          <w:color w:val="auto"/>
        </w:rPr>
      </w:pPr>
    </w:p>
    <w:p>
      <w:pPr>
        <w:jc w:val="both"/>
        <w:ind w:firstLine="656"/>
        <w:spacing w:after="0" w:line="246" w:lineRule="auto"/>
        <w:tabs>
          <w:tab w:leader="none" w:pos="114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 Counterparts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constitutes the entire agreement between the parties hereto concerning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matter hereof, and supersedes all prior memoranda, correspondence, conversations, negotiations and agreements, including, but not limited to the Existing Agreement. However, this Agreement does not supersede or otherwise affect (a) the Indemnification Agreement, (b) the Company’s 2012 Incentive Award Plan and award agreements thereunder, or (c) the Plan and award agreements thereunder. As of the Effective Date, the Existing Agreement shall be of no further force or effect. This Agreement may be executed in several identical counterparts that together shall constitute but one and the same Agreement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72" w:right="239" w:bottom="1440" w:gutter="0" w:footer="0" w:header="0"/>
        </w:sectPr>
      </w:pPr>
    </w:p>
    <w:bookmarkStart w:id="91" w:name="page92"/>
    <w:bookmarkEnd w:id="91"/>
    <w:p>
      <w:pPr>
        <w:ind w:left="660"/>
        <w:spacing w:after="0"/>
        <w:rPr>
          <w:sz w:val="20"/>
          <w:szCs w:val="20"/>
          <w:color w:val="auto"/>
        </w:rPr>
      </w:pPr>
      <w:r>
        <w:rPr>
          <w:rFonts w:ascii="Times New Roman" w:cs="Times New Roman" w:eastAsia="Times New Roman" w:hAnsi="Times New Roman"/>
          <w:sz w:val="20"/>
          <w:szCs w:val="20"/>
          <w:color w:val="auto"/>
        </w:rPr>
        <w:t>IN WITNESS WHEREOF, the undersigned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EXECUTIVE</w:t>
            </w:r>
          </w:p>
        </w:tc>
        <w:tc>
          <w:tcPr>
            <w:tcW w:w="2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554"/>
        </w:trPr>
        <w:tc>
          <w:tcPr>
            <w:tcW w:w="47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/s/ Kelly Lefferts</w:t>
            </w:r>
          </w:p>
        </w:tc>
        <w:tc>
          <w:tcPr>
            <w:tcW w:w="68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 David J. Deno</w:t>
            </w: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
        </w:trPr>
        <w:tc>
          <w:tcPr>
            <w:tcW w:w="462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56"/>
        </w:trPr>
        <w:tc>
          <w:tcPr>
            <w:tcW w:w="47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Witness</w:t>
            </w:r>
          </w:p>
        </w:tc>
        <w:tc>
          <w:tcPr>
            <w:tcW w:w="680" w:type="dxa"/>
            <w:vAlign w:val="bottom"/>
          </w:tcPr>
          <w:p>
            <w:pPr>
              <w:spacing w:after="0"/>
              <w:rPr>
                <w:sz w:val="22"/>
                <w:szCs w:val="22"/>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David J. Deno</w:t>
            </w:r>
          </w:p>
        </w:tc>
        <w:tc>
          <w:tcPr>
            <w:tcW w:w="2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4"/>
        </w:trPr>
        <w:tc>
          <w:tcPr>
            <w:tcW w:w="47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Kelly Lefferts</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
        </w:trPr>
        <w:tc>
          <w:tcPr>
            <w:tcW w:w="462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56"/>
        </w:trPr>
        <w:tc>
          <w:tcPr>
            <w:tcW w:w="47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Printed Name of Witness</w:t>
            </w: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554"/>
        </w:trPr>
        <w:tc>
          <w:tcPr>
            <w:tcW w:w="47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/s/ Claire Whitehurst</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
        </w:trPr>
        <w:tc>
          <w:tcPr>
            <w:tcW w:w="462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56"/>
        </w:trPr>
        <w:tc>
          <w:tcPr>
            <w:tcW w:w="47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Witness</w:t>
            </w: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4"/>
        </w:trPr>
        <w:tc>
          <w:tcPr>
            <w:tcW w:w="47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Claire Whitehurst</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
        </w:trPr>
        <w:tc>
          <w:tcPr>
            <w:tcW w:w="462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56"/>
        </w:trPr>
        <w:tc>
          <w:tcPr>
            <w:tcW w:w="47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Printed Name of Witness</w:t>
            </w: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4"/>
        </w:trPr>
        <w:tc>
          <w:tcPr>
            <w:tcW w:w="5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COMPANY</w:t>
            </w: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54"/>
        </w:trPr>
        <w:tc>
          <w:tcPr>
            <w:tcW w:w="47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Attest:</w:t>
            </w:r>
          </w:p>
        </w:tc>
        <w:tc>
          <w:tcPr>
            <w:tcW w:w="680" w:type="dxa"/>
            <w:vAlign w:val="bottom"/>
          </w:tcPr>
          <w:p>
            <w:pPr>
              <w:spacing w:after="0"/>
              <w:rPr>
                <w:sz w:val="24"/>
                <w:szCs w:val="24"/>
                <w:color w:val="auto"/>
              </w:rPr>
            </w:pPr>
          </w:p>
        </w:tc>
        <w:tc>
          <w:tcPr>
            <w:tcW w:w="432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w w:val="98"/>
              </w:rPr>
              <w:t>BLOOMIN’ BRANDS, INC., a Delaware corporation</w:t>
            </w:r>
          </w:p>
        </w:tc>
      </w:tr>
      <w:tr>
        <w:trPr>
          <w:trHeight w:val="810"/>
        </w:trPr>
        <w:tc>
          <w:tcPr>
            <w:tcW w:w="47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By:  /s/ Kelly Lefferts</w:t>
            </w:r>
          </w:p>
        </w:tc>
        <w:tc>
          <w:tcPr>
            <w:tcW w:w="680" w:type="dxa"/>
            <w:vAlign w:val="bottom"/>
          </w:tcPr>
          <w:p>
            <w:pPr>
              <w:spacing w:after="0"/>
              <w:rPr>
                <w:sz w:val="24"/>
                <w:szCs w:val="24"/>
                <w:color w:val="auto"/>
              </w:rPr>
            </w:pPr>
          </w:p>
        </w:tc>
        <w:tc>
          <w:tcPr>
            <w:tcW w:w="900" w:type="dxa"/>
            <w:vAlign w:val="bottom"/>
          </w:tcPr>
          <w:p>
            <w:pPr>
              <w:jc w:val="center"/>
              <w:ind w:right="241"/>
              <w:spacing w:after="0"/>
              <w:rPr>
                <w:sz w:val="20"/>
                <w:szCs w:val="20"/>
                <w:color w:val="auto"/>
              </w:rPr>
            </w:pPr>
            <w:r>
              <w:rPr>
                <w:rFonts w:ascii="Times New Roman" w:cs="Times New Roman" w:eastAsia="Times New Roman" w:hAnsi="Times New Roman"/>
                <w:sz w:val="20"/>
                <w:szCs w:val="20"/>
                <w:color w:val="auto"/>
                <w:w w:val="96"/>
              </w:rPr>
              <w:t>By:</w:t>
            </w:r>
          </w:p>
        </w:tc>
        <w:tc>
          <w:tcPr>
            <w:tcW w:w="342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/s/ Pablo Brizi</w:t>
            </w:r>
          </w:p>
        </w:tc>
      </w:tr>
      <w:tr>
        <w:trPr>
          <w:trHeight w:val="21"/>
        </w:trPr>
        <w:tc>
          <w:tcPr>
            <w:tcW w:w="50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500" w:type="dxa"/>
            <w:vAlign w:val="bottom"/>
          </w:tcPr>
          <w:p>
            <w:pPr>
              <w:spacing w:after="0"/>
              <w:rPr>
                <w:sz w:val="19"/>
                <w:szCs w:val="19"/>
                <w:color w:val="auto"/>
              </w:rPr>
            </w:pPr>
          </w:p>
        </w:tc>
        <w:tc>
          <w:tcPr>
            <w:tcW w:w="424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Kelly Lefferts, Secretary</w:t>
            </w: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ind w:left="20"/>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2680" w:type="dxa"/>
            <w:vAlign w:val="bottom"/>
            <w:gridSpan w:val="3"/>
          </w:tcPr>
          <w:p>
            <w:pPr>
              <w:ind w:left="180"/>
              <w:spacing w:after="0" w:line="228" w:lineRule="exact"/>
              <w:rPr>
                <w:sz w:val="20"/>
                <w:szCs w:val="20"/>
                <w:color w:val="auto"/>
              </w:rPr>
            </w:pPr>
            <w:r>
              <w:rPr>
                <w:rFonts w:ascii="Times New Roman" w:cs="Times New Roman" w:eastAsia="Times New Roman" w:hAnsi="Times New Roman"/>
                <w:sz w:val="20"/>
                <w:szCs w:val="20"/>
                <w:color w:val="auto"/>
              </w:rPr>
              <w:t>Pablo Brizi</w:t>
            </w:r>
          </w:p>
        </w:tc>
      </w:tr>
      <w:tr>
        <w:trPr>
          <w:trHeight w:val="230"/>
        </w:trPr>
        <w:tc>
          <w:tcPr>
            <w:tcW w:w="5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26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SVP, Chief Human</w:t>
            </w:r>
          </w:p>
        </w:tc>
      </w:tr>
      <w:tr>
        <w:trPr>
          <w:trHeight w:val="258"/>
        </w:trPr>
        <w:tc>
          <w:tcPr>
            <w:tcW w:w="5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Resources Officer</w:t>
            </w:r>
          </w:p>
        </w:tc>
      </w:tr>
      <w:tr>
        <w:trPr>
          <w:trHeight w:val="710"/>
        </w:trPr>
        <w:tc>
          <w:tcPr>
            <w:tcW w:w="5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18</w:t>
            </w:r>
          </w:p>
        </w:tc>
        <w:tc>
          <w:tcPr>
            <w:tcW w:w="7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219"/>
          </w:cols>
          <w:pgMar w:left="240" w:top="805" w:right="1440"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color w:val="auto"/>
        </w:rPr>
        <w:t>EXHIBIT A – Release of Claims</w:t>
      </w:r>
    </w:p>
    <w:p>
      <w:pPr>
        <w:spacing w:after="0" w:line="243"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20"/>
          <w:szCs w:val="20"/>
          <w:color w:val="auto"/>
        </w:rPr>
        <w:t>This Release of Claims is provided by me, David J. Deno (or by my designated beneficiary, in the event of my death during my employment) pursuant to the Amended and Restated Officer Employment Agreement between me and Bloomin’ Brands, Inc., made and entered into effective April 1, 2019 (the “</w:t>
      </w:r>
      <w:r>
        <w:rPr>
          <w:rFonts w:ascii="Times New Roman" w:cs="Times New Roman" w:eastAsia="Times New Roman" w:hAnsi="Times New Roman"/>
          <w:sz w:val="20"/>
          <w:szCs w:val="20"/>
          <w:u w:val="single" w:color="auto"/>
          <w:color w:val="auto"/>
        </w:rPr>
        <w:t>Employment Agreement</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20"/>
          <w:szCs w:val="20"/>
          <w:color w:val="auto"/>
        </w:rPr>
        <w:t>This Release of Claims is given in consideration of the severance benefits to be provided to me (or, in the event of my death during my employment, to my designated beneficiary) in connection with the termination of my employment under Section 12 of the Employment Agreement (collectively, the “</w:t>
      </w:r>
      <w:r>
        <w:rPr>
          <w:rFonts w:ascii="Times New Roman" w:cs="Times New Roman" w:eastAsia="Times New Roman" w:hAnsi="Times New Roman"/>
          <w:sz w:val="20"/>
          <w:szCs w:val="20"/>
          <w:u w:val="single" w:color="auto"/>
          <w:color w:val="auto"/>
        </w:rPr>
        <w:t>Separation Payments</w:t>
      </w:r>
      <w:r>
        <w:rPr>
          <w:rFonts w:ascii="Times New Roman" w:cs="Times New Roman" w:eastAsia="Times New Roman" w:hAnsi="Times New Roman"/>
          <w:sz w:val="20"/>
          <w:szCs w:val="20"/>
          <w:color w:val="auto"/>
        </w:rPr>
        <w:t>”), which are conditioned on my signing this Release of Claims and to which I am not otherwise entitled, and for other good and valuable consideration, the receipt and sufficiency of which is hereby acknowledged. On my own behalf and that of my heirs, executors, administrators, beneficiaries, representatives and assigns, and all others connected with or claiming through me, I hereby release and forever discharge the Company from any and all causes of action, rights or claims of any type or description, known or unknown, which I have had in the past, now have or might have, through the date of my signing of this Release of Claims. This includes, without limitation, any and all causes of action, rights or claims in any way resulting from, arising out of or connected with my employment by the Company or the termination of that employment or pursuant to any federal, state or local law, regulation or other requirement, including without limitation Title VII of the Civil Rights Act of 1964, the Americans with Disabilities Act, the Age Discrimination in Employment Act, the fair employment practices statutes of the state or states in which I have provided services to the Company or any other federal, state, local or foreign law, all as amended, any contracts of employment; any tort claims; or any agreements, plans or policies.</w:t>
      </w:r>
    </w:p>
    <w:p>
      <w:pPr>
        <w:spacing w:after="0" w:line="258"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20"/>
          <w:szCs w:val="20"/>
          <w:color w:val="auto"/>
        </w:rPr>
        <w:t>Notwithstanding the immediately preceding paragraph, nothing in this Release of Claims shall be construed to prohibit me from filing a charge with, or participating in any investigation or proceeding conducted by, the U.S. Equal Employment Opportunity Commission or a comparable state or federal fair employment practices agency, or from communicating directly with the Securities and Exchange Commission regarding any possible securities law violation; provided, however, that, except as otherwise provided herein, this Release of Claims fully and finally resolves all monetary matters between me and the Company, and, except with respect to any matter involving the Securities and Exchange Commission, I waive any right to monetary damages, attorneys’ fees, costs and equitable remedies related to or arising from any such charge, or ensuing complaint or lawsuit, filed by me or on my behalf.</w:t>
      </w:r>
    </w:p>
    <w:p>
      <w:pPr>
        <w:spacing w:after="0" w:line="257"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color w:val="auto"/>
        </w:rPr>
        <w:t>For purposes of this Release of Claims, the word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always includes the subsidiaries and affiliates of the Company and all of its past, present and future officers, directors, trustees, shareholders, employees, employee benefit plans and any of the trustees or administrators thereof, agents, general and limited partners, members, managers, investors, joint venturers, representatives, predecessors, successors and assigns, and all others connected with any of them, both individually and in their official capacities.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805" w:right="239" w:bottom="1440" w:gutter="0" w:footer="0" w:header="0"/>
        </w:sectPr>
      </w:pPr>
    </w:p>
    <w:bookmarkStart w:id="93" w:name="page94"/>
    <w:bookmarkEnd w:id="93"/>
    <w:p>
      <w:pPr>
        <w:jc w:val="both"/>
        <w:ind w:firstLine="648"/>
        <w:spacing w:after="0" w:line="311" w:lineRule="auto"/>
        <w:rPr>
          <w:sz w:val="20"/>
          <w:szCs w:val="20"/>
          <w:color w:val="auto"/>
        </w:rPr>
      </w:pPr>
      <w:r>
        <w:rPr>
          <w:rFonts w:ascii="Times New Roman" w:cs="Times New Roman" w:eastAsia="Times New Roman" w:hAnsi="Times New Roman"/>
          <w:sz w:val="19"/>
          <w:szCs w:val="19"/>
          <w:color w:val="auto"/>
        </w:rPr>
        <w:t>Excluded from the scope of this Release of Claims is (i) any right I have to the Separation Payments payable after the effective date of this Release of Claims, (ii) any rights to benefits that were vested under the Company's employee benefit plans on the date on which my employment with the Company terminated, in accordance with the terms of such plans, (iii) any right of indemnification or contribution or advancement of expenses pursuant to the Articles of Incorporation or By-Laws or other applicable corporate governing documents of the Company, Delaware or other applicable law, or any indemnification agreement between the Company and me, (iv) any right under any applicable liability insurance policy with respect to my liability as a director or officer of the Company or any of its subsidiaries or affiliates, or</w:t>
      </w:r>
    </w:p>
    <w:p>
      <w:pPr>
        <w:spacing w:after="0" w:line="3" w:lineRule="exact"/>
        <w:rPr>
          <w:sz w:val="20"/>
          <w:szCs w:val="20"/>
          <w:color w:val="auto"/>
        </w:rPr>
      </w:pPr>
    </w:p>
    <w:p>
      <w:pPr>
        <w:ind w:right="20" w:firstLine="8"/>
        <w:spacing w:after="0" w:line="325" w:lineRule="auto"/>
        <w:tabs>
          <w:tab w:leader="none" w:pos="289"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right to enforce the terms of this Release of Claims or any other agreements, including any option or other equity agreement, between the Company and me that by their respective terms survive the termination of my employment.</w:t>
      </w:r>
    </w:p>
    <w:p>
      <w:pPr>
        <w:spacing w:after="0" w:line="228"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20"/>
          <w:szCs w:val="20"/>
          <w:color w:val="auto"/>
        </w:rPr>
        <w:t>In signing this Release of Claims, I give the Company assurance that I have returned to the Company any and all documents, materials and information related to the business, whether present or otherwise, of the Company and all keys and other property of the Company that were in my possession or control, all as required by and consistent with Section 15 of the Employment Agreement. I agree that I will not, for any purpose, attempt to access or use any computer or computer network or system of the Company, including without limitation their electronic mail systems. I further acknowledge that I have disclosed to the Company all passwords necessary or desirable to enable the Company to access all information which I have password-protected on its computer network or system.</w:t>
      </w:r>
    </w:p>
    <w:p>
      <w:pPr>
        <w:spacing w:after="0" w:line="255"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20"/>
          <w:szCs w:val="20"/>
          <w:color w:val="auto"/>
        </w:rPr>
        <w:t>In signing this Release of Claims, I agree that I have been paid in full all compensation due to me, whether for services rendered by me to the Company or otherwise, through the date on which my employment with the Company terminated and that, exclusive only of the Separation Payments, no further compensation of any kind shall be due to me by the Company, whether arising under the Employment Agreement or otherwise, in connection with my employment or the termination thereof. I also agree that except for any right I and my eligible dependents may have to continue participation in the Company's health and dental plans under the federal law commonly known as COBRA, my right to participate in any employee benefit plan of the Company will be determined in accordance with the terms of such plan. I acknowledge that some or all of the consideration paid to me hereunder is in addition to anything of value to which I am entitled otherwise under the Company’s normal policies and practices.</w:t>
      </w:r>
    </w:p>
    <w:p>
      <w:pPr>
        <w:spacing w:after="0" w:line="253"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20"/>
          <w:szCs w:val="20"/>
          <w:color w:val="auto"/>
        </w:rPr>
        <w:t>I acknowledge that my eligibility for the Separation Payments is not only contingent on my signing and returning this Release of Claims to the Company in a timely manner and not revoking it thereafter, but also is subject to my compliance with the Compliance Condition (as such term is defined in the Employment Agreement).</w:t>
      </w:r>
    </w:p>
    <w:p>
      <w:pPr>
        <w:spacing w:after="0" w:line="24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color w:val="auto"/>
        </w:rPr>
        <w:t>I further agree that from and after the date hereof I will not make any false, misleading or disparaging statements about the Company or any of its subsidiaries, affiliates, shareholders, officers, employees, directors or products or services. The Company agrees that it shall use its reasonable efforts to cause its shareholders, officers, employees and directors to not make any false, misleading or disparaging statements about me.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603" w:right="239" w:bottom="1440" w:gutter="0" w:footer="0" w:header="0"/>
        </w:sectPr>
      </w:pPr>
    </w:p>
    <w:bookmarkStart w:id="94" w:name="page95"/>
    <w:bookmarkEnd w:id="94"/>
    <w:p>
      <w:pPr>
        <w:jc w:val="both"/>
        <w:ind w:firstLine="648"/>
        <w:spacing w:after="0" w:line="298" w:lineRule="auto"/>
        <w:rPr>
          <w:sz w:val="20"/>
          <w:szCs w:val="20"/>
          <w:color w:val="auto"/>
        </w:rPr>
      </w:pPr>
      <w:r>
        <w:rPr>
          <w:rFonts w:ascii="Times New Roman" w:cs="Times New Roman" w:eastAsia="Times New Roman" w:hAnsi="Times New Roman"/>
          <w:sz w:val="20"/>
          <w:szCs w:val="20"/>
          <w:color w:val="auto"/>
        </w:rPr>
        <w:t>In signing this Release of Claims, I acknowledge my understanding that I may not sign it prior to the termination of my employment, but that I may consider the terms of this Release of Claims for up to twenty-one days (or, if the Company so instructs me in writing, for up to forty-five days) from the later of the date my employment with the Company terminates or the date I receive this Release of Claims. I understand that any material or non-material changes to this Release of Claims after it has been given to me will not restart or extend the twenty-one day (or forty-five day) period. I further understand that I may revoke this Release of Claims within seven days after executing it by delivering written notice of such revocation to the Corporate Secretary of the Company, with a copy to Baker &amp; Hostetler LLP, 127 Public Square, Suite 2000, Cleveland, Ohio 44114, Attention: John M. Gherlein and Janet A. Spreen, either by hand, by facsimile transmission, or by certified mail, return receipt requested, such that the written notice is received by said Corporate Secretary and by Baker &amp; Hostetler LLP at or before the expiration of the seven-day period. I also acknowledge that I am advised by the Company to seek the advice of an attorney prior to signing this Release of Claims, that I have had sufficient time to consider this Release of Claims and to consult with an attorney, if I wished to do so, or to consult with any other person of my choosing before signing, and that I am signing this Release of Claims voluntarily and with a full understanding of its terms. I further acknowledge that, in signing this Release of Claims, I have not relied on any promises or representations, express or implied, that are not set forth expressly in this Release of Claims.</w:t>
      </w:r>
    </w:p>
    <w:p>
      <w:pPr>
        <w:spacing w:after="0" w:line="258" w:lineRule="exact"/>
        <w:rPr>
          <w:sz w:val="20"/>
          <w:szCs w:val="20"/>
          <w:color w:val="auto"/>
        </w:rPr>
      </w:pPr>
    </w:p>
    <w:p>
      <w:pPr>
        <w:jc w:val="both"/>
        <w:ind w:firstLine="648"/>
        <w:spacing w:after="0" w:line="325" w:lineRule="auto"/>
        <w:rPr>
          <w:sz w:val="20"/>
          <w:szCs w:val="20"/>
          <w:color w:val="auto"/>
        </w:rPr>
      </w:pPr>
      <w:r>
        <w:rPr>
          <w:rFonts w:ascii="Times New Roman" w:cs="Times New Roman" w:eastAsia="Times New Roman" w:hAnsi="Times New Roman"/>
          <w:sz w:val="20"/>
          <w:szCs w:val="20"/>
          <w:color w:val="auto"/>
        </w:rPr>
        <w:t>This Release of Claims shall be of no force or effect unless and until the expiration of the seven-day revocation period described above, without any revocation being delivered by me during said seven-day period.</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Intending to be legally bound, I have signed this Release of Claims under seal as of the date written below.</w:t>
      </w: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291"/>
        </w:trPr>
        <w:tc>
          <w:tcPr>
            <w:tcW w:w="9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Signature:</w:t>
            </w:r>
          </w:p>
        </w:tc>
        <w:tc>
          <w:tcPr>
            <w:tcW w:w="460" w:type="dxa"/>
            <w:vAlign w:val="bottom"/>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1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5"/>
              </w:rPr>
              <w:t>Date signed:</w:t>
            </w:r>
          </w:p>
        </w:tc>
      </w:tr>
      <w:tr>
        <w:trPr>
          <w:trHeight w:val="283"/>
        </w:trPr>
        <w:tc>
          <w:tcPr>
            <w:tcW w:w="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w:t>
            </w:r>
          </w:p>
        </w:tc>
        <w:tc>
          <w:tcPr>
            <w:tcW w:w="4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78"/>
              </w:rPr>
              <w:t>David</w:t>
            </w:r>
          </w:p>
        </w:tc>
        <w:tc>
          <w:tcPr>
            <w:tcW w:w="32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 Deno</w:t>
            </w:r>
          </w:p>
        </w:tc>
        <w:tc>
          <w:tcPr>
            <w:tcW w:w="2120" w:type="dxa"/>
            <w:vAlign w:val="bottom"/>
          </w:tcPr>
          <w:p>
            <w:pPr>
              <w:spacing w:after="0"/>
              <w:rPr>
                <w:sz w:val="24"/>
                <w:szCs w:val="24"/>
                <w:color w:val="auto"/>
              </w:rPr>
            </w:pPr>
          </w:p>
        </w:tc>
      </w:tr>
      <w:tr>
        <w:trPr>
          <w:trHeight w:val="580"/>
        </w:trPr>
        <w:tc>
          <w:tcPr>
            <w:tcW w:w="45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Bloomin</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Brands, Inc.</w:t>
            </w:r>
          </w:p>
        </w:tc>
        <w:tc>
          <w:tcPr>
            <w:tcW w:w="21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5"/>
              </w:rPr>
              <w:t>Date signed:</w:t>
            </w:r>
          </w:p>
        </w:tc>
      </w:tr>
      <w:tr>
        <w:trPr>
          <w:trHeight w:val="616"/>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-393700</wp:posOffset>
            </wp:positionV>
            <wp:extent cx="18783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-960120</wp:posOffset>
            </wp:positionV>
            <wp:extent cx="18783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887" w:right="239" w:bottom="1440" w:gutter="0" w:footer="0" w:header="0"/>
        </w:sectPr>
      </w:pPr>
    </w:p>
    <w:bookmarkStart w:id="95" w:name="page96"/>
    <w:bookmarkEnd w:id="95"/>
    <w:p>
      <w:pPr>
        <w:ind w:left="9960"/>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-116840</wp:posOffset>
            </wp:positionV>
            <wp:extent cx="411480" cy="668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148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7,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Chris Meyer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Chris,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letter agreement confirms the verbal promotion extended to you to be Bloomin’ Brands, Inc. (the “Company”) Executive Vice President, Chief Financial Officer reporting to the Company’s Chief Executive Officer. Your start date is April 1, 2019. The terms of your employment will be:</w:t>
      </w:r>
    </w:p>
    <w:p>
      <w:pPr>
        <w:spacing w:after="0" w:line="1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You will be employed by a subsidiary of the Company (the “Employer”) and will be paid an annual base salary of $425,000 payable in equal bi-weekly installments.</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You will be eligible to participate in the Company’s annual bonus program at a target bonus of 85% of your base salary based on both Company performance against objectives as set forth in the Company bonus program and individual performance. Your bonus payout for the 2019 fiscal year will be prorated based on your time in each job at the respective targets, through the end of the fiscal year, provided that you remain employed by the Employer through the payout date.</w:t>
      </w:r>
    </w:p>
    <w:p>
      <w:pPr>
        <w:spacing w:after="0" w:line="194"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Commencing with your 2020 annual long-term incentive (“LTI”) grant, you will be eligible for a LTI target up to 100% of your base salary, which will be subject to Company and individual performance.</w:t>
      </w:r>
    </w:p>
    <w:p>
      <w:pPr>
        <w:spacing w:after="0" w:line="1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addition, the Company will issue you a one-time promotional LTI award valued at $1,275,000 on April 1, 2019. Forty percent of the award will be delivered in the form of restricted stock units, thirty percent of the award will be delivered in stock options, and thirty percent of the award will be delivered in performance share units of BLMN stock based on the Company’s performance of the Adjusted EPS metric over the performance period December 31, 2018 through December 26, 2021. The restricted stock units and stock options will both have a vesting period ratable over three years with one-third of each award vesting on each anniversary of the grant date contingent on continued employment with the Company or the Employer. The performance share units will cliff vest on the third anniversary of the grant date, subject to achievement of the performance measure and contingent on continued employment with the Company or the Employer. All grants are subject to the terms of our 2016 Omnibus Incentive Plan (the “Plan”) and our standard award agreement. Our standard equity agreement includes a “double trigger” provision to protect you in the event of a change-in-control. The details of the Plan and the form of grant agreement will be provided to you separately.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will be eligible to participate in the following benefits as applicable and in accordance with the terms of Company policy:</w:t>
      </w:r>
    </w:p>
    <w:p>
      <w:pPr>
        <w:spacing w:after="0" w:line="229" w:lineRule="exact"/>
        <w:rPr>
          <w:sz w:val="20"/>
          <w:szCs w:val="20"/>
          <w:color w:val="auto"/>
        </w:rPr>
      </w:pPr>
    </w:p>
    <w:p>
      <w:pPr>
        <w:ind w:left="1300" w:hanging="320"/>
        <w:spacing w:after="0"/>
        <w:tabs>
          <w:tab w:leader="none" w:pos="13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Medical Benefits Plan</w:t>
      </w:r>
    </w:p>
    <w:p>
      <w:pPr>
        <w:spacing w:after="0" w:line="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Executive Medical Check-Up</w:t>
      </w:r>
    </w:p>
    <w:p>
      <w:pPr>
        <w:ind w:left="1300" w:hanging="320"/>
        <w:spacing w:after="0"/>
        <w:tabs>
          <w:tab w:leader="none" w:pos="13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Salaried Short-Term Disability Insurance</w:t>
      </w:r>
    </w:p>
    <w:p>
      <w:pPr>
        <w:ind w:left="1300" w:hanging="320"/>
        <w:spacing w:after="0"/>
        <w:tabs>
          <w:tab w:leader="none" w:pos="13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Salaried Long-Term Disability Insurance</w:t>
      </w:r>
    </w:p>
    <w:p>
      <w:pPr>
        <w:ind w:left="1300" w:hanging="320"/>
        <w:spacing w:after="0"/>
        <w:tabs>
          <w:tab w:leader="none" w:pos="13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Paid Group Term Life Insurance</w:t>
      </w:r>
    </w:p>
    <w:p>
      <w:pPr>
        <w:ind w:left="1300" w:hanging="320"/>
        <w:spacing w:after="0"/>
        <w:tabs>
          <w:tab w:leader="none" w:pos="13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Paid Accidental Death and Dismemberment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300355</wp:posOffset>
            </wp:positionV>
            <wp:extent cx="3567430" cy="660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7430" cy="660400"/>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sectPr>
      </w:pPr>
    </w:p>
    <w:bookmarkStart w:id="96" w:name="page97"/>
    <w:bookmarkEnd w:id="96"/>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3613785</wp:posOffset>
            </wp:positionH>
            <wp:positionV relativeFrom="page">
              <wp:posOffset>303530</wp:posOffset>
            </wp:positionV>
            <wp:extent cx="411480" cy="660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411480" cy="660400"/>
                    </a:xfrm>
                    <a:prstGeom prst="rect">
                      <a:avLst/>
                    </a:prstGeom>
                    <a:noFill/>
                  </pic:spPr>
                </pic:pic>
              </a:graphicData>
            </a:graphic>
          </wp:anchor>
        </w:drawing>
      </w:r>
    </w:p>
    <w:p>
      <w:pPr>
        <w:ind w:left="1300" w:hanging="320"/>
        <w:spacing w:after="0"/>
        <w:tabs>
          <w:tab w:leader="none" w:pos="13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Dental Benefits Plan</w:t>
      </w:r>
    </w:p>
    <w:p>
      <w:pPr>
        <w:spacing w:after="0" w:line="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Vision Benefits Plan</w:t>
      </w:r>
    </w:p>
    <w:p>
      <w:pPr>
        <w:ind w:left="1300" w:hanging="320"/>
        <w:spacing w:after="0"/>
        <w:tabs>
          <w:tab w:leader="none" w:pos="13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Non-Qualified Deferred Compensation Plan</w:t>
      </w:r>
    </w:p>
    <w:p>
      <w:pPr>
        <w:ind w:left="1300" w:hanging="320"/>
        <w:spacing w:after="0"/>
        <w:tabs>
          <w:tab w:leader="none" w:pos="13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 Meal Benefit Program</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the ordinary course of business, pay and benefit plans continue to evolve as business needs and laws change. To the extent the Company or the Employer determines it to be necessary or desirable to change or eliminate any of the plans or programs in which you participate, such changes will apply to you as they do to other similarly situated employees.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condition of your employment, please note the following:</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While it is our sincere hope and belief that our relationship will be mutually beneficial, the Company and the Employer do not offer employment for a specified term. Any statements made to you in this letter and in meetings should not be construed in any manner as a proposed contract for any such term. Both you and the Employer may terminate employment at any time, with or without prior notice, for any or no reason, and with or without cause.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further condition of your employment you agree to the following: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Restrictive Covenant - Non-competition</w:t>
      </w:r>
    </w:p>
    <w:p>
      <w:pPr>
        <w:spacing w:after="0" w:line="233" w:lineRule="exact"/>
        <w:rPr>
          <w:sz w:val="20"/>
          <w:szCs w:val="20"/>
          <w:color w:val="auto"/>
        </w:rPr>
      </w:pPr>
    </w:p>
    <w:p>
      <w:pPr>
        <w:jc w:val="both"/>
        <w:ind w:firstLine="8"/>
        <w:spacing w:after="0" w:line="259" w:lineRule="auto"/>
        <w:tabs>
          <w:tab w:leader="none" w:pos="346"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During Employment</w:t>
      </w:r>
      <w:r>
        <w:rPr>
          <w:rFonts w:ascii="Times New Roman" w:cs="Times New Roman" w:eastAsia="Times New Roman" w:hAnsi="Times New Roman"/>
          <w:sz w:val="19"/>
          <w:szCs w:val="19"/>
          <w:color w:val="auto"/>
        </w:rPr>
        <w:t>. You will devote one hundred percent (100%) of your full business time, attention, energies, and effort to the business affairs of the Employer and the Company. Except with the prior written consent of the Employer, during your employment with the Company or the Employer, you shall not, individually or jointly with others, directly or indirectly, whether for your own account or for that of any other person or entity, engage in or own or hold any ownership interest in any person or entity engaged in a full service restaurant business, and you shall not act as an officer, director, employee, partner, independent contractor, consultant, principal, agent, proprietor or in any other capacity for, nor lend any assistance (financial or otherwise) or cooperation to, any such person or entity. You shall not serve on the board of directors or advisory committee of any other company without the prior consent of the Employer, which consent shall not be unreasonably withheld.</w:t>
      </w:r>
    </w:p>
    <w:p>
      <w:pPr>
        <w:spacing w:after="0" w:line="186" w:lineRule="exact"/>
        <w:rPr>
          <w:rFonts w:ascii="Times New Roman" w:cs="Times New Roman" w:eastAsia="Times New Roman" w:hAnsi="Times New Roman"/>
          <w:sz w:val="19"/>
          <w:szCs w:val="19"/>
          <w:color w:val="auto"/>
        </w:rPr>
      </w:pPr>
    </w:p>
    <w:p>
      <w:pPr>
        <w:jc w:val="both"/>
        <w:ind w:firstLine="8"/>
        <w:spacing w:after="0" w:line="259" w:lineRule="auto"/>
        <w:tabs>
          <w:tab w:leader="none" w:pos="360"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Post Term.</w:t>
      </w:r>
      <w:r>
        <w:rPr>
          <w:rFonts w:ascii="Times New Roman" w:cs="Times New Roman" w:eastAsia="Times New Roman" w:hAnsi="Times New Roman"/>
          <w:sz w:val="19"/>
          <w:szCs w:val="19"/>
          <w:color w:val="auto"/>
        </w:rPr>
        <w:t xml:space="preserve"> Commencing on termination your employment with the Employer, you shall not, individually or jointly with others, directly or indirectly, whether for your own account or for that of any other person or entity, engage in or own or hold any ownership interest in any person or entity engaged in a full table service restaurant business and that is located or intended to be located anywhere within a radius of thirty (30) miles of any full table service restaurant owned or operated by the Company, the Employer, their subsidiaries, franchisees or affiliates, or any affiliates of any of the foregoing, or any proposed full table service restaurant to be owned or operated by any of the foregoing, and you shall not act as an officer, director, employee, partner, independent contractor, consultant, principal, agent, proprietor or in any other capacity for, nor lend any assistance (financial or otherwise) or cooperation to, any such person or entity for the time period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287020</wp:posOffset>
            </wp:positionV>
            <wp:extent cx="3567430" cy="660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7430" cy="66040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7" w:name="page98"/>
    <w:bookmarkEnd w:id="97"/>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3613785</wp:posOffset>
            </wp:positionH>
            <wp:positionV relativeFrom="page">
              <wp:posOffset>303530</wp:posOffset>
            </wp:positionV>
            <wp:extent cx="411480" cy="660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411480" cy="660400"/>
                    </a:xfrm>
                    <a:prstGeom prst="rect">
                      <a:avLst/>
                    </a:prstGeom>
                    <a:noFill/>
                  </pic:spPr>
                </pic:pic>
              </a:graphicData>
            </a:graphic>
          </wp:anchor>
        </w:drawing>
      </w:r>
    </w:p>
    <w:p>
      <w:pPr>
        <w:jc w:val="both"/>
        <w:ind w:left="820" w:right="20" w:hanging="2"/>
        <w:spacing w:after="0" w:line="254" w:lineRule="auto"/>
        <w:tabs>
          <w:tab w:leader="none" w:pos="1292"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employment with Employer ends for any other reason other than your voluntary resignation or termination by the Employer for Cause (as defined on Schedule 1), then for a continuous period equal to the period of time used for calculating the amount of severance paid to you upon termination, if any; or</w:t>
      </w:r>
    </w:p>
    <w:p>
      <w:pPr>
        <w:spacing w:after="0" w:line="188" w:lineRule="exact"/>
        <w:rPr>
          <w:sz w:val="20"/>
          <w:szCs w:val="20"/>
          <w:color w:val="auto"/>
        </w:rPr>
      </w:pPr>
    </w:p>
    <w:p>
      <w:pPr>
        <w:ind w:left="820" w:hanging="2"/>
        <w:spacing w:after="0" w:line="269" w:lineRule="auto"/>
        <w:tabs>
          <w:tab w:leader="none" w:pos="130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employment with the Employer ends as a result of your voluntary resignation or termination by the Employer for Cause (as defined on Schedule 1), for a continuous period of one (1) year.</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For purposes of this Non-competition clause, restaurants owned or operated by the Company or the Employer shall include all restaurants owned or operated by the Company, the Employer, their subsidiaries, franchisees or affiliates and any successor entity to the Company, the Employer, their subsidiaries, franchisees or affiliates, and any entity in which the Company or the Employer, its subsidiaries or any of their affiliates has an interest, including but not limited to, an interest as a franchisor. The term “proposed restaurant” shall include all locations for which the Company, the Employer, or their franchisees or affiliates is conducting active, bona fide negotiations to secure a fee or leasehold interest with the intention of establishing a restaurant thereon.</w:t>
      </w:r>
    </w:p>
    <w:p>
      <w:pPr>
        <w:spacing w:after="0" w:line="199" w:lineRule="exact"/>
        <w:rPr>
          <w:sz w:val="20"/>
          <w:szCs w:val="20"/>
          <w:color w:val="auto"/>
        </w:rPr>
      </w:pPr>
    </w:p>
    <w:p>
      <w:pPr>
        <w:jc w:val="both"/>
        <w:ind w:firstLine="8"/>
        <w:spacing w:after="0" w:line="254" w:lineRule="auto"/>
        <w:tabs>
          <w:tab w:leader="none" w:pos="40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w:t>
      </w:r>
      <w:r>
        <w:rPr>
          <w:rFonts w:ascii="Times New Roman" w:cs="Times New Roman" w:eastAsia="Times New Roman" w:hAnsi="Times New Roman"/>
          <w:sz w:val="20"/>
          <w:szCs w:val="20"/>
          <w:color w:val="auto"/>
        </w:rPr>
        <w:t>. It shall not be a violation of this Non-competition clause for Employee to own a one percent (1%) or smaller interest in any corporation required to file periodic reports with the Securities and Exchange Commission pursuant to the Securities Exchange Act of 1934, as amended, or successor statute.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Restrictive Covenant - Non-disclosure; Non-solicitation; Non-piracy</w:t>
      </w:r>
    </w:p>
    <w:p>
      <w:pPr>
        <w:spacing w:after="0" w:line="166" w:lineRule="exact"/>
        <w:rPr>
          <w:sz w:val="20"/>
          <w:szCs w:val="20"/>
          <w:color w:val="auto"/>
        </w:rPr>
      </w:pPr>
    </w:p>
    <w:p>
      <w:pPr>
        <w:jc w:val="both"/>
        <w:ind w:firstLine="8"/>
        <w:spacing w:after="0" w:line="243" w:lineRule="auto"/>
        <w:tabs>
          <w:tab w:leader="none" w:pos="35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the performance of your duties hereunder, at no time during your employment with the Company or the Employer, or at any time thereafter, shall you, individually or jointly with others, for your benefit of or for the benefit of any third party, publish, disclose, use or authorize anyone else to publish, disclose or use any secret or confidential material or information relating to any aspect of the business or operations of the Employer, the Company or any of their affiliates, including, without limitation, any secret or confidential information relating to the business, customers, trade or industrial practices, trade secrets, technology, recipes, product specifications, restaurant operating techniques and procedures, marketing techniques and procedures, financial data, processes, vendors and other information or know-how of the Employer, the Company or any of their affiliates, except (i) to the extent required by law, regulation or valid subpoena, or (ii) to the extent that such information or material becomes publicly known or available through no fault of your own.</w:t>
      </w:r>
    </w:p>
    <w:p>
      <w:pPr>
        <w:spacing w:after="0" w:line="135" w:lineRule="exact"/>
        <w:rPr>
          <w:rFonts w:ascii="Times New Roman" w:cs="Times New Roman" w:eastAsia="Times New Roman" w:hAnsi="Times New Roman"/>
          <w:sz w:val="20"/>
          <w:szCs w:val="20"/>
          <w:color w:val="auto"/>
        </w:rPr>
      </w:pPr>
    </w:p>
    <w:p>
      <w:pPr>
        <w:jc w:val="both"/>
        <w:ind w:firstLine="8"/>
        <w:spacing w:after="0" w:line="244" w:lineRule="auto"/>
        <w:tabs>
          <w:tab w:leader="none" w:pos="358"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Moreover, during your employment with the Employer and for two (2) years thereafter, except as is the result of a broad solicitation that is not targeting employees of the Employer, the Company or any of their franchisees or affiliates, you shall not offer employment to, or hire, any employee of the Employer, the Company or any of their franchisees or affiliates, or otherwise directly or indirectly solicit or induce any employee of the Employer, the Company or any of their franchisees or affiliates to terminate his or her employment with the Employer, the Company or any of their franchisees or affiliates; nor shall you act as an officer, director, employee, partner, independent contractor, consultant, principal, agent, proprietor, owner or part owner, or in any other capacity, of or for any person or entity that solicits or otherwise induces any employee of the Employer,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398780</wp:posOffset>
            </wp:positionV>
            <wp:extent cx="3567430" cy="660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7430" cy="66040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3613785</wp:posOffset>
            </wp:positionH>
            <wp:positionV relativeFrom="page">
              <wp:posOffset>303530</wp:posOffset>
            </wp:positionV>
            <wp:extent cx="411480" cy="660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411480" cy="660400"/>
                    </a:xfrm>
                    <a:prstGeom prst="rect">
                      <a:avLst/>
                    </a:prstGeom>
                    <a:noFill/>
                  </pic:spPr>
                </pic:pic>
              </a:graphicData>
            </a:graphic>
          </wp:anchor>
        </w:drawing>
      </w:r>
    </w:p>
    <w:p>
      <w:pPr>
        <w:spacing w:after="0" w:line="28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Company or any of their franchisees or affiliates to terminate his or her employment with the Employer, the Company or any of their franchisees or affiliates.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Restrictive Covenant - Company and Employer Property: Duty to Return</w:t>
      </w:r>
    </w:p>
    <w:p>
      <w:pPr>
        <w:spacing w:after="0" w:line="233" w:lineRule="exact"/>
        <w:rPr>
          <w:sz w:val="20"/>
          <w:szCs w:val="20"/>
          <w:color w:val="auto"/>
        </w:rPr>
      </w:pPr>
    </w:p>
    <w:p>
      <w:pPr>
        <w:jc w:val="both"/>
        <w:ind w:firstLine="8"/>
        <w:spacing w:after="0" w:line="244" w:lineRule="auto"/>
        <w:tabs>
          <w:tab w:leader="none" w:pos="379"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Employer and Company property and assets, including but not limited to products, recipes, product specifications, training materials, employee selection and testing materials, marketing and advertising materials, special event, charitable and community activity materials, customer correspondence, internal memoranda, products and designs, sales information, project files, price lists, customer and vendor lists, prospectus reports, customer or vendor information, sales literature, territory printouts, call books, notebooks, textbooks, and all other like information or products, including but not limited to all copies, duplications, replications, and derivatives of such information or products, now in your possession or acquired by you while in the employ of the Employer shall be the exclusive property of the Employer and shall be returned to the Employer no later than the date of your last day of work with the Employer.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Restrictive Covenant - Inventions, Ideas, Processes, and Designs</w:t>
      </w:r>
    </w:p>
    <w:p>
      <w:pPr>
        <w:spacing w:after="0" w:line="233" w:lineRule="exact"/>
        <w:rPr>
          <w:sz w:val="20"/>
          <w:szCs w:val="20"/>
          <w:color w:val="auto"/>
        </w:rPr>
      </w:pPr>
    </w:p>
    <w:p>
      <w:pPr>
        <w:jc w:val="both"/>
        <w:ind w:firstLine="8"/>
        <w:spacing w:after="0" w:line="241" w:lineRule="auto"/>
        <w:tabs>
          <w:tab w:leader="none" w:pos="459"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inventions, ideas, recipes, processes, programs, software and designs (including all improvements) related to the business of the Employer or the Company shall be disclosed in writing promptly to the Employer, and shall be the sole and exclusive property of the Employer, if either (i) conceived, made or used by you during the course of the your employment with the Employer (whether or not actually conceived during regular business hours) or (ii) made or used by you for a period of six (6) months subsequent to the termination or expiration of such employment. Any invention, idea, recipe, process, program, software or design (including an improvement) shall be deemed “related to the business of the Employer or the Company” if (i) it was made with equipment, facilities or confidential information of the Employer or the Company, (ii) results from work performed by you for the Employer or the Company or (iii) pertains to the current business or demonstrably anticipated research or development work of the Employer or the Company. You shall cooperate with the Employer and its attorneys in the preparation of patent and copyright applications for such developments and, upon request, shall promptly assign all such inventions, ideas, recipes, processes and designs to the Employer. The decision to file for patent or copyright protection or to maintain such development as a trade secret shall be in the sole discretion of the Employer, and you shall be bound by such decision. You shall provide, on the back of this Agreement, a complete list of all inventions, ideas, recipes, processes and designs if any, patented or unpatented, copyrighted or non-copyrighted, including a brief description, that you made or conceived prior to your employment with the Employer, and that, therefore, are excluded from the scope of the employment with the Employer.</w:t>
      </w:r>
    </w:p>
    <w:p>
      <w:pPr>
        <w:spacing w:after="0" w:line="21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restrictive covenants contained in this agreement are given and made by you to induce the Employer to employ you and to enter into this Agreement with you, and you hereby acknowledge that employment with the Employer is sufficient consideration for these restrictive covenants. The restrictive covenants shall be construed as agreements independent of any other provision in this Agreement, and the existence of any claim or cause of action you may have against the Employer or the Company, whether predicated upon this Agreement or otherwise, shall not constitute a defense to the enforcement of any restrictive covenant. The refusal or failure of the Employer 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292100</wp:posOffset>
            </wp:positionV>
            <wp:extent cx="3567430" cy="660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7430" cy="66040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9" w:name="page100"/>
    <w:bookmarkEnd w:id="99"/>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3613785</wp:posOffset>
            </wp:positionH>
            <wp:positionV relativeFrom="page">
              <wp:posOffset>303530</wp:posOffset>
            </wp:positionV>
            <wp:extent cx="411480" cy="660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411480" cy="660400"/>
                    </a:xfrm>
                    <a:prstGeom prst="rect">
                      <a:avLst/>
                    </a:prstGeom>
                    <a:noFill/>
                  </pic:spPr>
                </pic:pic>
              </a:graphicData>
            </a:graphic>
          </wp:anchor>
        </w:drawing>
      </w:r>
    </w:p>
    <w:p>
      <w:pPr>
        <w:jc w:val="both"/>
        <w:spacing w:after="0" w:line="254" w:lineRule="auto"/>
        <w:rPr>
          <w:sz w:val="20"/>
          <w:szCs w:val="20"/>
          <w:color w:val="auto"/>
        </w:rPr>
      </w:pPr>
      <w:r>
        <w:rPr>
          <w:rFonts w:ascii="Times New Roman" w:cs="Times New Roman" w:eastAsia="Times New Roman" w:hAnsi="Times New Roman"/>
          <w:sz w:val="20"/>
          <w:szCs w:val="20"/>
          <w:color w:val="auto"/>
        </w:rPr>
        <w:t>to enforce any restrictive covenant of this agreement (or any similar agreement) against any other employee, agent, or independent contractor, for any reason, shall not constitute a defense to the enforcement by the Employer or the Company of any such restrictive covenant, nor shall it give rise to any claim or cause of action by you against the Employer or the Company.</w:t>
      </w:r>
    </w:p>
    <w:p>
      <w:pPr>
        <w:spacing w:after="0" w:line="18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You agree that a breach of any of the restrictive covenants contained in this agreement will cause irreparable injury to the Employer and the Company for which the remedy at law will be inadequate and would be difficult to ascertain and therefore, in the event of the breach or threatened breach of any such covenants, the Employer and the Company shall be entitled, in addition to any other rights and remedies it may have at law or in equity, to obtain an injunction to restrain you from any threatened or actual activities in violation of any such covenants. You hereby consent and agree that temporary and permanent injunctive relief may be granted in any proceedings that might be brought to enforce any such covenants without the necessity of proof of actual damages, and in the event the Employer or the Company does apply for such an injunction, you shall not raise as a defense thereto that the Employer or the Company has an adequate remedy at law.</w:t>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For the avoidance of doubt, the termination of this agreement for any reason, shall not extinguish your obligations specified in these restrictive covenants.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ALL PARTIES TO THIS AGREEMENT KNOW AND UNDERSTAND THAT THEY HAVE A CONSTITUTIONAL RIGHT TO A JURY TRIAL. THE PARTIES ACKNOWLEDGE THAT ANY DISPUTE OR CONTROVERSY THAT MAY ARISE OUT OF THIS AGREEMENT WILL INVOLVE COMPLICATED AND DIFFICULT FACTUAL AND LEGAL ISSUES.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PARTIES HEREBY WAIVE ANY RIGHT TO TRIAL BY JURY IN ANY PROCEEDING ARISING OUT OF OR RELATING TO THIS AGREEMENT OR ANY OF THE CONTEMPLATED TRANSACTIONS, WHETHER NOW EXISTING OR HEREAFTER ARISING, AND WHETHER SOUNDING IN CONTRACT, TORT OR OTHERWISE. THE PARTIES AGREE THAT ANY OF THEM MAY FILE A COPY OF THIS PARAGRAPH WITH ANY COURT AS WRITTEN EVIDENCE OF THE KNOWING, VOLUNTARY AND BARGAINED-FOR AGREEMENT AMONG THE PARTIES IRREVOCABLY TO WAIVE TRIAL BY JURY AND THAT ANY PROCEEDING WHATSOEVER BETWEEN THEM RELATING TO THIS AGREEMENT OR ANY OF THE CONTEMPLATED TRANSACTIONS SHALL INSTEAD BE TRIED IN A COURT OF COMPETENT JURISDICTION BY A JUDGE SITTING WITHOUT A JURY.</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PARTIES INTEND THAT THIS WAIVER OF THE RIGHT TO A JURY TRIAL BE AS BROAD AS POSSIBLE. BY THEIR SIGNATURES BELOW, THE PARTIES PROMISE, WARRANT AND REPRESENT THAT THEY WILL NOT PLEAD FOR, REQUEST OR OTHERWISE SEEK TO HAVE A JURY TO RESOLVE ANY AND ALL DISPUTES THAT MAY ARISE BY, BETWEEN OR AMONG THEM.</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You shall be responsible for the payment of all taxes applicable to payments or benefits received from the Employer or the Company. It is the intent of the Employer and the Company that the provisions of this agreement and all other plans and programs sponsored by the Employer and the Company be interpreted to comply in all respects with Internal Revenue Code Section 409A, however, the Employer and the Company shall have no liability to you, or any of your successors or beneficiaries, in the event taxes, penalties or excise taxes may ultimately be determined to be applicable to any payment or benefit received by you or your successors or beneficiaries.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146050</wp:posOffset>
            </wp:positionV>
            <wp:extent cx="3567430" cy="660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7430" cy="66040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3613785</wp:posOffset>
            </wp:positionH>
            <wp:positionV relativeFrom="page">
              <wp:posOffset>303530</wp:posOffset>
            </wp:positionV>
            <wp:extent cx="411480" cy="660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411480" cy="660400"/>
                    </a:xfrm>
                    <a:prstGeom prst="rect">
                      <a:avLst/>
                    </a:prstGeom>
                    <a:noFill/>
                  </pic:spPr>
                </pic:pic>
              </a:graphicData>
            </a:graphic>
          </wp:anchor>
        </w:drawing>
      </w:r>
    </w:p>
    <w:p>
      <w:pPr>
        <w:spacing w:after="0" w:line="35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validity, interpretation, and performance of this agreement shall be governed, interpreted, and construed in accordance with the laws of the State of Florida without giving effect to the principles of comity or conflicts of laws thereof.</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letter constitutes the full commitments which have been extended to you and shall supersede any prior agreements whether oral or written. However, this does not constitute a contract of employment for any period of time. Should you have any questions regarding these commitments or your ability to conform to Bloomin’ Brands policies and procedures, please let me know immediately.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signing this offer, you indicate your acceptance of our offer. Please keep one original copy of this offer letter for your personal files.</w:t>
      </w:r>
    </w:p>
    <w:p>
      <w:pPr>
        <w:spacing w:after="0" w:line="229"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We look forward to having you join us as a member of our executive team. This signed offer letter and any accompanying documentation must be returned to Patrick McNamara, Senior Director – Global Compensation.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Pablo Brizi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Pablo Brizi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SVP, Chief Human Resources Officer</w:t>
      </w:r>
    </w:p>
    <w:p>
      <w:pPr>
        <w:spacing w:after="0"/>
        <w:rPr>
          <w:sz w:val="20"/>
          <w:szCs w:val="20"/>
          <w:color w:val="auto"/>
        </w:rPr>
      </w:pPr>
      <w:r>
        <w:rPr>
          <w:rFonts w:ascii="Times New Roman" w:cs="Times New Roman" w:eastAsia="Times New Roman" w:hAnsi="Times New Roman"/>
          <w:sz w:val="20"/>
          <w:szCs w:val="20"/>
          <w:color w:val="auto"/>
        </w:rPr>
        <w:t>Bloomin’ Brands,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accept the above offer to be employed by Bloomin’ Brands, Inc. and I understand the terms as set forth above.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 Chris Meyer</w:t>
            </w:r>
          </w:p>
        </w:tc>
        <w:tc>
          <w:tcPr>
            <w:tcW w:w="3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03/07/19</w:t>
            </w: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r>
      <w:tr>
        <w:trPr>
          <w:trHeight w:val="256"/>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Chris Meyer</w:t>
            </w:r>
          </w:p>
        </w:tc>
        <w:tc>
          <w:tcPr>
            <w:tcW w:w="33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313690</wp:posOffset>
            </wp:positionV>
            <wp:extent cx="3567430" cy="660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7430" cy="66040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3613785</wp:posOffset>
            </wp:positionH>
            <wp:positionV relativeFrom="page">
              <wp:posOffset>303530</wp:posOffset>
            </wp:positionV>
            <wp:extent cx="411480" cy="660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411480" cy="66040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Schedule 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“Cause” shall be defined as:</w:t>
      </w:r>
    </w:p>
    <w:p>
      <w:pPr>
        <w:spacing w:after="0" w:line="351" w:lineRule="exact"/>
        <w:rPr>
          <w:sz w:val="20"/>
          <w:szCs w:val="20"/>
          <w:color w:val="auto"/>
        </w:rPr>
      </w:pPr>
    </w:p>
    <w:p>
      <w:pPr>
        <w:jc w:val="both"/>
        <w:ind w:firstLine="8"/>
        <w:spacing w:after="0" w:line="271" w:lineRule="auto"/>
        <w:tabs>
          <w:tab w:leader="none" w:pos="797"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failure to perform the duties required of you in a manner satisfactory to the Employer, in its sole discretion after the Employer follows the following procedures: (a) the Employer gives you a written notice (“Notice of Deficiency”) which shall specify the deficiencies in your performance of duties; (b) you shall have a period of thirty (30) days, commencing on receipt of the Notice of Deficiency, in which to cure the deficiencies contained in the Notice of Deficiency; and (c) in the event you do not cure the deficiencies to the satisfaction of the Employer, in its sole discretion, within such thirty (30) day period (or if during such thirty (30) day period the Employer determines that you are not making reasonable, good faith efforts to cure the deficiencies to the satisfaction of the Employer), the Employer shall have the right to immediately terminate your employment for Cause. The provisions of this paragraph (1) may be invoked by the Employer any number of times and cure of deficiencies contained in any Notice of Deficiency shall not be construed as a waiver of this paragraph (1) nor prevent the Employer from issuing any subsequent Notices of Deficiency; or</w:t>
      </w:r>
    </w:p>
    <w:p>
      <w:pPr>
        <w:spacing w:after="0" w:line="201" w:lineRule="exact"/>
        <w:rPr>
          <w:rFonts w:ascii="Times New Roman" w:cs="Times New Roman" w:eastAsia="Times New Roman" w:hAnsi="Times New Roman"/>
          <w:sz w:val="20"/>
          <w:szCs w:val="20"/>
          <w:color w:val="auto"/>
        </w:rPr>
      </w:pPr>
    </w:p>
    <w:p>
      <w:pPr>
        <w:jc w:val="both"/>
        <w:ind w:firstLine="8"/>
        <w:spacing w:after="0" w:line="282" w:lineRule="auto"/>
        <w:tabs>
          <w:tab w:leader="none" w:pos="797"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dishonesty by you in the your dealings with the Company, the Employer or their affiliates; your commission of fraud, negligence in the performance of your duties; insubordination; willful misconduct; or your conviction (or plea of guilty or nolo contendere), indictment or charge with respect to, any felony, or any other crime involving dishonesty or moral turpitude; or</w:t>
      </w:r>
    </w:p>
    <w:p>
      <w:pPr>
        <w:spacing w:after="0" w:line="188" w:lineRule="exact"/>
        <w:rPr>
          <w:rFonts w:ascii="Times New Roman" w:cs="Times New Roman" w:eastAsia="Times New Roman" w:hAnsi="Times New Roman"/>
          <w:sz w:val="20"/>
          <w:szCs w:val="20"/>
          <w:color w:val="auto"/>
        </w:rPr>
      </w:pPr>
    </w:p>
    <w:p>
      <w:pPr>
        <w:ind w:left="800" w:hanging="792"/>
        <w:spacing w:after="0"/>
        <w:tabs>
          <w:tab w:leader="none" w:pos="80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violation of the restrictive covenants of this agreement or</w:t>
      </w:r>
    </w:p>
    <w:p>
      <w:pPr>
        <w:spacing w:after="0" w:line="256" w:lineRule="exact"/>
        <w:rPr>
          <w:rFonts w:ascii="Times New Roman" w:cs="Times New Roman" w:eastAsia="Times New Roman" w:hAnsi="Times New Roman"/>
          <w:sz w:val="20"/>
          <w:szCs w:val="20"/>
          <w:color w:val="auto"/>
        </w:rPr>
      </w:pPr>
    </w:p>
    <w:p>
      <w:pPr>
        <w:jc w:val="both"/>
        <w:ind w:firstLine="8"/>
        <w:spacing w:after="0" w:line="282" w:lineRule="auto"/>
        <w:tabs>
          <w:tab w:leader="none" w:pos="797"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violation of any current or future material published policy of the Employer or its Affiliates (material published policies include, but are not limited to, the Employer’s discrimination and harassment policy, management dating policy, responsible alcohol policy, insider trading policy, ethics policy and security policy); or</w:t>
      </w:r>
    </w:p>
    <w:p>
      <w:pPr>
        <w:spacing w:after="0" w:line="188" w:lineRule="exact"/>
        <w:rPr>
          <w:rFonts w:ascii="Times New Roman" w:cs="Times New Roman" w:eastAsia="Times New Roman" w:hAnsi="Times New Roman"/>
          <w:sz w:val="20"/>
          <w:szCs w:val="20"/>
          <w:color w:val="auto"/>
        </w:rPr>
      </w:pPr>
    </w:p>
    <w:p>
      <w:pPr>
        <w:ind w:firstLine="8"/>
        <w:spacing w:after="0" w:line="297" w:lineRule="auto"/>
        <w:tabs>
          <w:tab w:leader="none" w:pos="797"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purposes of this Agreement, termination for Cause shall be deemed to have occurred in the event of the Employee’s resignation when, because of existing facts and circumstances, subsequent termination for Cause can be reasonably foreseen.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270510</wp:posOffset>
            </wp:positionV>
            <wp:extent cx="3567430" cy="660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67430" cy="66040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J. Deno, certify that:</w:t>
      </w:r>
    </w:p>
    <w:p>
      <w:pPr>
        <w:spacing w:after="0" w:line="229" w:lineRule="exact"/>
        <w:rPr>
          <w:sz w:val="20"/>
          <w:szCs w:val="20"/>
          <w:color w:val="auto"/>
        </w:rPr>
      </w:pPr>
    </w:p>
    <w:p>
      <w:pPr>
        <w:ind w:left="580" w:hanging="572"/>
        <w:spacing w:after="0"/>
        <w:tabs>
          <w:tab w:leader="none" w:pos="58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Bloomin’ Brands, Inc.;</w:t>
      </w:r>
    </w:p>
    <w:p>
      <w:pPr>
        <w:spacing w:after="0" w:line="229" w:lineRule="exact"/>
        <w:rPr>
          <w:rFonts w:ascii="Times New Roman" w:cs="Times New Roman" w:eastAsia="Times New Roman" w:hAnsi="Times New Roman"/>
          <w:sz w:val="20"/>
          <w:szCs w:val="20"/>
          <w:color w:val="auto"/>
        </w:rPr>
      </w:pPr>
    </w:p>
    <w:p>
      <w:pPr>
        <w:jc w:val="both"/>
        <w:ind w:left="580" w:hanging="572"/>
        <w:spacing w:after="0" w:line="254" w:lineRule="auto"/>
        <w:tabs>
          <w:tab w:leader="none" w:pos="58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20"/>
          <w:szCs w:val="20"/>
          <w:color w:val="auto"/>
        </w:rPr>
      </w:pPr>
    </w:p>
    <w:p>
      <w:pPr>
        <w:ind w:left="580" w:right="20" w:hanging="572"/>
        <w:spacing w:after="0" w:line="269" w:lineRule="auto"/>
        <w:tabs>
          <w:tab w:leader="none" w:pos="58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20"/>
          <w:szCs w:val="20"/>
          <w:color w:val="auto"/>
        </w:rPr>
      </w:pPr>
    </w:p>
    <w:p>
      <w:pPr>
        <w:jc w:val="both"/>
        <w:ind w:left="580" w:hanging="572"/>
        <w:spacing w:after="0" w:line="264" w:lineRule="auto"/>
        <w:tabs>
          <w:tab w:leader="none" w:pos="58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1300" w:hanging="482"/>
        <w:spacing w:after="0" w:line="254" w:lineRule="auto"/>
        <w:tabs>
          <w:tab w:leader="none" w:pos="130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20"/>
          <w:szCs w:val="20"/>
          <w:color w:val="auto"/>
        </w:rPr>
      </w:pPr>
    </w:p>
    <w:p>
      <w:pPr>
        <w:jc w:val="both"/>
        <w:ind w:left="1300" w:hanging="482"/>
        <w:spacing w:after="0" w:line="254" w:lineRule="auto"/>
        <w:tabs>
          <w:tab w:leader="none" w:pos="130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20"/>
          <w:szCs w:val="20"/>
          <w:color w:val="auto"/>
        </w:rPr>
      </w:pPr>
    </w:p>
    <w:p>
      <w:pPr>
        <w:jc w:val="both"/>
        <w:ind w:left="1300" w:hanging="482"/>
        <w:spacing w:after="0" w:line="254" w:lineRule="auto"/>
        <w:tabs>
          <w:tab w:leader="none" w:pos="130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20"/>
          <w:szCs w:val="20"/>
          <w:color w:val="auto"/>
        </w:rPr>
      </w:pPr>
    </w:p>
    <w:p>
      <w:pPr>
        <w:jc w:val="both"/>
        <w:ind w:left="1300" w:hanging="482"/>
        <w:spacing w:after="0" w:line="254" w:lineRule="auto"/>
        <w:tabs>
          <w:tab w:leader="none" w:pos="130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20"/>
          <w:szCs w:val="20"/>
          <w:color w:val="auto"/>
        </w:rPr>
      </w:pPr>
    </w:p>
    <w:p>
      <w:pPr>
        <w:jc w:val="both"/>
        <w:ind w:left="580" w:hanging="572"/>
        <w:spacing w:after="0" w:line="254" w:lineRule="auto"/>
        <w:tabs>
          <w:tab w:leader="none" w:pos="58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20"/>
          <w:szCs w:val="20"/>
          <w:color w:val="auto"/>
        </w:rPr>
      </w:pPr>
    </w:p>
    <w:p>
      <w:pPr>
        <w:jc w:val="both"/>
        <w:ind w:left="1300" w:hanging="482"/>
        <w:spacing w:after="0" w:line="254" w:lineRule="auto"/>
        <w:tabs>
          <w:tab w:leader="none" w:pos="130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20"/>
          <w:szCs w:val="20"/>
          <w:color w:val="auto"/>
        </w:rPr>
      </w:pPr>
    </w:p>
    <w:p>
      <w:pPr>
        <w:ind w:left="2520" w:hanging="1702"/>
        <w:spacing w:after="0" w:line="269" w:lineRule="auto"/>
        <w:tabs>
          <w:tab w:leader="none" w:pos="1305"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40"/>
        <w:spacing w:after="0"/>
        <w:tabs>
          <w:tab w:leader="none" w:pos="700" w:val="left"/>
          <w:tab w:leader="none" w:pos="5040" w:val="left"/>
        </w:tabs>
        <w:rPr>
          <w:sz w:val="20"/>
          <w:szCs w:val="20"/>
          <w:color w:val="auto"/>
        </w:rPr>
      </w:pPr>
      <w:r>
        <w:rPr>
          <w:rFonts w:ascii="Times New Roman" w:cs="Times New Roman" w:eastAsia="Times New Roman" w:hAnsi="Times New Roman"/>
          <w:sz w:val="20"/>
          <w:szCs w:val="20"/>
          <w:color w:val="auto"/>
        </w:rPr>
        <w:t>Date:</w:t>
        <w:tab/>
        <w:t>May 3, 2019</w:t>
      </w:r>
      <w:r>
        <w:rPr>
          <w:sz w:val="20"/>
          <w:szCs w:val="20"/>
          <w:color w:val="auto"/>
        </w:rPr>
        <w:tab/>
      </w:r>
      <w:r>
        <w:rPr>
          <w:rFonts w:ascii="Times New Roman" w:cs="Times New Roman" w:eastAsia="Times New Roman" w:hAnsi="Times New Roman"/>
          <w:sz w:val="19"/>
          <w:szCs w:val="19"/>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31115</wp:posOffset>
            </wp:positionV>
            <wp:extent cx="405638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056380" cy="17145"/>
                    </a:xfrm>
                    <a:prstGeom prst="rect">
                      <a:avLst/>
                    </a:prstGeom>
                    <a:noFill/>
                  </pic:spPr>
                </pic:pic>
              </a:graphicData>
            </a:graphic>
          </wp:anchor>
        </w:drawing>
      </w:r>
    </w:p>
    <w:p>
      <w:pPr>
        <w:spacing w:after="0" w:line="6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David J. Deno</w:t>
      </w:r>
    </w:p>
    <w:p>
      <w:pPr>
        <w:spacing w:after="0" w:line="5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(Principal Executive Officer)</w:t>
      </w:r>
    </w:p>
    <w:p>
      <w:pPr>
        <w:sectPr>
          <w:pgSz w:w="11900" w:h="16838" w:orient="portrait"/>
          <w:cols w:equalWidth="0" w:num="1">
            <w:col w:w="11420"/>
          </w:cols>
          <w:pgMar w:left="240" w:top="342" w:right="2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Christopher Meyer, certify that:</w:t>
      </w:r>
    </w:p>
    <w:p>
      <w:pPr>
        <w:spacing w:after="0" w:line="216" w:lineRule="exact"/>
        <w:rPr>
          <w:sz w:val="20"/>
          <w:szCs w:val="20"/>
          <w:color w:val="auto"/>
        </w:rPr>
      </w:pPr>
    </w:p>
    <w:p>
      <w:pPr>
        <w:ind w:left="580" w:hanging="572"/>
        <w:spacing w:after="0"/>
        <w:tabs>
          <w:tab w:leader="none" w:pos="58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Bloomin’ Brands, Inc.;</w:t>
      </w:r>
    </w:p>
    <w:p>
      <w:pPr>
        <w:spacing w:after="0" w:line="229" w:lineRule="exact"/>
        <w:rPr>
          <w:rFonts w:ascii="Times New Roman" w:cs="Times New Roman" w:eastAsia="Times New Roman" w:hAnsi="Times New Roman"/>
          <w:sz w:val="20"/>
          <w:szCs w:val="20"/>
          <w:color w:val="auto"/>
        </w:rPr>
      </w:pPr>
    </w:p>
    <w:p>
      <w:pPr>
        <w:jc w:val="both"/>
        <w:ind w:left="580" w:hanging="572"/>
        <w:spacing w:after="0" w:line="254" w:lineRule="auto"/>
        <w:tabs>
          <w:tab w:leader="none" w:pos="58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20"/>
          <w:szCs w:val="20"/>
          <w:color w:val="auto"/>
        </w:rPr>
      </w:pPr>
    </w:p>
    <w:p>
      <w:pPr>
        <w:ind w:left="580" w:right="20" w:hanging="572"/>
        <w:spacing w:after="0" w:line="269" w:lineRule="auto"/>
        <w:tabs>
          <w:tab w:leader="none" w:pos="58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20"/>
          <w:szCs w:val="20"/>
          <w:color w:val="auto"/>
        </w:rPr>
      </w:pPr>
    </w:p>
    <w:p>
      <w:pPr>
        <w:jc w:val="both"/>
        <w:ind w:left="580" w:hanging="572"/>
        <w:spacing w:after="0" w:line="264" w:lineRule="auto"/>
        <w:tabs>
          <w:tab w:leader="none" w:pos="580"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1300" w:hanging="482"/>
        <w:spacing w:after="0" w:line="254" w:lineRule="auto"/>
        <w:tabs>
          <w:tab w:leader="none" w:pos="130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20"/>
          <w:szCs w:val="20"/>
          <w:color w:val="auto"/>
        </w:rPr>
      </w:pPr>
    </w:p>
    <w:p>
      <w:pPr>
        <w:jc w:val="both"/>
        <w:ind w:left="1300" w:hanging="482"/>
        <w:spacing w:after="0" w:line="254" w:lineRule="auto"/>
        <w:tabs>
          <w:tab w:leader="none" w:pos="130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20"/>
          <w:szCs w:val="20"/>
          <w:color w:val="auto"/>
        </w:rPr>
      </w:pPr>
    </w:p>
    <w:p>
      <w:pPr>
        <w:jc w:val="both"/>
        <w:ind w:left="1300" w:hanging="482"/>
        <w:spacing w:after="0" w:line="254" w:lineRule="auto"/>
        <w:tabs>
          <w:tab w:leader="none" w:pos="130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20"/>
          <w:szCs w:val="20"/>
          <w:color w:val="auto"/>
        </w:rPr>
      </w:pPr>
    </w:p>
    <w:p>
      <w:pPr>
        <w:jc w:val="both"/>
        <w:ind w:left="1300" w:hanging="482"/>
        <w:spacing w:after="0" w:line="254" w:lineRule="auto"/>
        <w:tabs>
          <w:tab w:leader="none" w:pos="130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20"/>
          <w:szCs w:val="20"/>
          <w:color w:val="auto"/>
        </w:rPr>
      </w:pPr>
    </w:p>
    <w:p>
      <w:pPr>
        <w:jc w:val="both"/>
        <w:ind w:left="580" w:hanging="572"/>
        <w:spacing w:after="0" w:line="254" w:lineRule="auto"/>
        <w:tabs>
          <w:tab w:leader="none" w:pos="58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20"/>
          <w:szCs w:val="20"/>
          <w:color w:val="auto"/>
        </w:rPr>
      </w:pPr>
    </w:p>
    <w:p>
      <w:pPr>
        <w:jc w:val="both"/>
        <w:ind w:left="1300" w:hanging="482"/>
        <w:spacing w:after="0" w:line="254" w:lineRule="auto"/>
        <w:tabs>
          <w:tab w:leader="none" w:pos="130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20"/>
          <w:szCs w:val="20"/>
          <w:color w:val="auto"/>
        </w:rPr>
      </w:pPr>
    </w:p>
    <w:p>
      <w:pPr>
        <w:ind w:left="2520" w:hanging="1702"/>
        <w:spacing w:after="0" w:line="269" w:lineRule="auto"/>
        <w:tabs>
          <w:tab w:leader="none" w:pos="1305"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40"/>
        <w:spacing w:after="0"/>
        <w:tabs>
          <w:tab w:leader="none" w:pos="700" w:val="left"/>
          <w:tab w:leader="none" w:pos="5040" w:val="left"/>
        </w:tabs>
        <w:rPr>
          <w:sz w:val="20"/>
          <w:szCs w:val="20"/>
          <w:color w:val="auto"/>
        </w:rPr>
      </w:pPr>
      <w:r>
        <w:rPr>
          <w:rFonts w:ascii="Times New Roman" w:cs="Times New Roman" w:eastAsia="Times New Roman" w:hAnsi="Times New Roman"/>
          <w:sz w:val="20"/>
          <w:szCs w:val="20"/>
          <w:color w:val="auto"/>
        </w:rPr>
        <w:t>Date:</w:t>
        <w:tab/>
        <w:t>May 3, 2019</w:t>
      </w:r>
      <w:r>
        <w:rPr>
          <w:sz w:val="20"/>
          <w:szCs w:val="20"/>
          <w:color w:val="auto"/>
        </w:rPr>
        <w:tab/>
      </w:r>
      <w:r>
        <w:rPr>
          <w:rFonts w:ascii="Times New Roman" w:cs="Times New Roman" w:eastAsia="Times New Roman" w:hAnsi="Times New Roman"/>
          <w:sz w:val="19"/>
          <w:szCs w:val="19"/>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31115</wp:posOffset>
            </wp:positionV>
            <wp:extent cx="405638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056380" cy="17145"/>
                    </a:xfrm>
                    <a:prstGeom prst="rect">
                      <a:avLst/>
                    </a:prstGeom>
                    <a:noFill/>
                  </pic:spPr>
                </pic:pic>
              </a:graphicData>
            </a:graphic>
          </wp:anchor>
        </w:drawing>
      </w:r>
    </w:p>
    <w:p>
      <w:pPr>
        <w:spacing w:after="0" w:line="6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Christopher Meyer</w:t>
      </w:r>
    </w:p>
    <w:p>
      <w:pPr>
        <w:spacing w:after="0" w:line="5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2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(Principal Financial and Accounting Officer)</w:t>
      </w:r>
    </w:p>
    <w:p>
      <w:pPr>
        <w:sectPr>
          <w:pgSz w:w="11900" w:h="16838" w:orient="portrait"/>
          <w:cols w:equalWidth="0" w:num="1">
            <w:col w:w="11420"/>
          </w:cols>
          <w:pgMar w:left="240" w:top="342" w:right="2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260" w:right="2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Quarterly Report of Bloomin’ Brands, Inc. (the “Company”) on Form 10-Q for the quarter ended March 31, 2019 as filed with the Securities and Exchange Commission on the date hereof (the “Report”), I, David J. Deno, Chief Executive Officer of the Company, hereby certify, pursuant to 18 U.S.C. Section 1350, as adopted pursuant to Section 906 of the Sarbanes-Oxley Act of 2002, to the best of my knowledge, that:</w:t>
      </w:r>
    </w:p>
    <w:p>
      <w:pPr>
        <w:spacing w:after="0" w:line="180" w:lineRule="exact"/>
        <w:rPr>
          <w:sz w:val="20"/>
          <w:szCs w:val="20"/>
          <w:color w:val="auto"/>
        </w:rPr>
      </w:pPr>
    </w:p>
    <w:p>
      <w:pPr>
        <w:ind w:left="660" w:hanging="328"/>
        <w:spacing w:after="0"/>
        <w:tabs>
          <w:tab w:leader="none" w:pos="66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9"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6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335" w:lineRule="exact"/>
        <w:rPr>
          <w:sz w:val="20"/>
          <w:szCs w:val="20"/>
          <w:color w:val="auto"/>
        </w:rPr>
      </w:pPr>
    </w:p>
    <w:p>
      <w:pPr>
        <w:ind w:left="80"/>
        <w:spacing w:after="0"/>
        <w:tabs>
          <w:tab w:leader="none" w:pos="760" w:val="left"/>
          <w:tab w:leader="none" w:pos="5080" w:val="left"/>
        </w:tabs>
        <w:rPr>
          <w:sz w:val="20"/>
          <w:szCs w:val="20"/>
          <w:color w:val="auto"/>
        </w:rPr>
      </w:pPr>
      <w:r>
        <w:rPr>
          <w:rFonts w:ascii="Times New Roman" w:cs="Times New Roman" w:eastAsia="Times New Roman" w:hAnsi="Times New Roman"/>
          <w:sz w:val="20"/>
          <w:szCs w:val="20"/>
          <w:color w:val="auto"/>
        </w:rPr>
        <w:t>Date:</w:t>
        <w:tab/>
        <w:t>May 3, 2019</w:t>
      </w:r>
      <w:r>
        <w:rPr>
          <w:sz w:val="20"/>
          <w:szCs w:val="20"/>
          <w:color w:val="auto"/>
        </w:rPr>
        <w:tab/>
      </w:r>
      <w:r>
        <w:rPr>
          <w:rFonts w:ascii="Times New Roman" w:cs="Times New Roman" w:eastAsia="Times New Roman" w:hAnsi="Times New Roman"/>
          <w:sz w:val="19"/>
          <w:szCs w:val="19"/>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31115</wp:posOffset>
            </wp:positionV>
            <wp:extent cx="40303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030345" cy="17145"/>
                    </a:xfrm>
                    <a:prstGeom prst="rect">
                      <a:avLst/>
                    </a:prstGeom>
                    <a:noFill/>
                  </pic:spPr>
                </pic:pic>
              </a:graphicData>
            </a:graphic>
          </wp:anchor>
        </w:drawing>
      </w:r>
    </w:p>
    <w:p>
      <w:pPr>
        <w:spacing w:after="0" w:line="6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David J. Deno</w:t>
      </w:r>
    </w:p>
    <w:p>
      <w:pPr>
        <w:spacing w:after="0" w:line="5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420"/>
          </w:cols>
          <w:pgMar w:left="240" w:top="572" w:right="2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260" w:right="2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Quarterly Report of Bloomin’ Brands, Inc. (the “Company”) on Form 10-Q for the quarter ended March 31, 2019 as filed with the Securities and Exchange Commission on the date hereof (the “Report”), I, Christopher Meyer, Executive Vice President and Chief Financial Officer of the Company, hereby certify, pursuant to 18 U.S.C. Section 1350, as adopted pursuant to Section 906 of the Sarbanes-Oxley Act of 2002, to the best of my knowledge, that:</w:t>
      </w:r>
    </w:p>
    <w:p>
      <w:pPr>
        <w:spacing w:after="0" w:line="180" w:lineRule="exact"/>
        <w:rPr>
          <w:sz w:val="20"/>
          <w:szCs w:val="20"/>
          <w:color w:val="auto"/>
        </w:rPr>
      </w:pPr>
    </w:p>
    <w:p>
      <w:pPr>
        <w:ind w:left="660" w:hanging="328"/>
        <w:spacing w:after="0"/>
        <w:tabs>
          <w:tab w:leader="none" w:pos="66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9"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6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335" w:lineRule="exact"/>
        <w:rPr>
          <w:sz w:val="20"/>
          <w:szCs w:val="20"/>
          <w:color w:val="auto"/>
        </w:rPr>
      </w:pPr>
    </w:p>
    <w:p>
      <w:pPr>
        <w:ind w:left="80"/>
        <w:spacing w:after="0"/>
        <w:tabs>
          <w:tab w:leader="none" w:pos="760" w:val="left"/>
          <w:tab w:leader="none" w:pos="5080" w:val="left"/>
        </w:tabs>
        <w:rPr>
          <w:sz w:val="20"/>
          <w:szCs w:val="20"/>
          <w:color w:val="auto"/>
        </w:rPr>
      </w:pPr>
      <w:r>
        <w:rPr>
          <w:rFonts w:ascii="Times New Roman" w:cs="Times New Roman" w:eastAsia="Times New Roman" w:hAnsi="Times New Roman"/>
          <w:sz w:val="20"/>
          <w:szCs w:val="20"/>
          <w:color w:val="auto"/>
        </w:rPr>
        <w:t>Date:</w:t>
        <w:tab/>
        <w:t>May 3, 2019</w:t>
      </w:r>
      <w:r>
        <w:rPr>
          <w:sz w:val="20"/>
          <w:szCs w:val="20"/>
          <w:color w:val="auto"/>
        </w:rPr>
        <w:tab/>
      </w:r>
      <w:r>
        <w:rPr>
          <w:rFonts w:ascii="Times New Roman" w:cs="Times New Roman" w:eastAsia="Times New Roman" w:hAnsi="Times New Roman"/>
          <w:sz w:val="19"/>
          <w:szCs w:val="19"/>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31115</wp:posOffset>
            </wp:positionV>
            <wp:extent cx="403034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030345" cy="17145"/>
                    </a:xfrm>
                    <a:prstGeom prst="rect">
                      <a:avLst/>
                    </a:prstGeom>
                    <a:noFill/>
                  </pic:spPr>
                </pic:pic>
              </a:graphicData>
            </a:graphic>
          </wp:anchor>
        </w:drawing>
      </w:r>
    </w:p>
    <w:p>
      <w:pPr>
        <w:spacing w:after="0" w:line="6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Christopher Meyer</w:t>
      </w:r>
    </w:p>
    <w:p>
      <w:pPr>
        <w:spacing w:after="0" w:line="5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2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(Principal Financial and Accounting Officer)</w:t>
      </w:r>
    </w:p>
    <w:p>
      <w:pPr>
        <w:spacing w:after="0" w:line="2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and will be retained by, Bloomin’ Brands, Inc. and furnished to the Securities and Exchange Commission or its staff upon request.</w:t>
      </w:r>
    </w:p>
    <w:sectPr>
      <w:pgSz w:w="11900" w:h="16838" w:orient="portrait"/>
      <w:cols w:equalWidth="0" w:num="1">
        <w:col w:w="11420"/>
      </w:cols>
      <w:pgMar w:left="240" w:top="5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9BB77C"/>
    <w:multiLevelType w:val="hybridMultilevel"/>
    <w:lvl w:ilvl="0">
      <w:lvlJc w:val="left"/>
      <w:lvlText w:val="[%1]"/>
      <w:numFmt w:val="upperLetter"/>
      <w:start w:val="24"/>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1)"/>
      <w:numFmt w:val="decimal"/>
      <w:start w:val="1"/>
    </w:lvl>
  </w:abstractNum>
  <w:abstractNum w:abstractNumId="3">
    <w:nsid w:val="1CF10FD8"/>
    <w:multiLevelType w:val="hybridMultilevel"/>
    <w:lvl w:ilvl="0">
      <w:lvlJc w:val="left"/>
      <w:lvlText w:val="(%1)"/>
      <w:numFmt w:val="lowerRoman"/>
      <w:start w:val="1"/>
    </w:lvl>
  </w:abstractNum>
  <w:abstractNum w:abstractNumId="4">
    <w:nsid w:val="180115BE"/>
    <w:multiLevelType w:val="hybridMultilevel"/>
    <w:lvl w:ilvl="0">
      <w:lvlJc w:val="left"/>
      <w:lvlText w:val="(%1)"/>
      <w:numFmt w:val="decimal"/>
      <w:start w:val="1"/>
    </w:lvl>
  </w:abstractNum>
  <w:abstractNum w:abstractNumId="5">
    <w:nsid w:val="235BA861"/>
    <w:multiLevelType w:val="hybridMultilevel"/>
    <w:lvl w:ilvl="0">
      <w:lvlJc w:val="left"/>
      <w:lvlText w:val="(%1)"/>
      <w:numFmt w:val="decimal"/>
      <w:start w:val="1"/>
    </w:lvl>
  </w:abstractNum>
  <w:abstractNum w:abstractNumId="6">
    <w:nsid w:val="47398C89"/>
    <w:multiLevelType w:val="hybridMultilevel"/>
    <w:lvl w:ilvl="0">
      <w:lvlJc w:val="left"/>
      <w:lvlText w:val="(%1)"/>
      <w:numFmt w:val="decimal"/>
      <w:start w:val="1"/>
    </w:lvl>
  </w:abstractNum>
  <w:abstractNum w:abstractNumId="7">
    <w:nsid w:val="354FE9F9"/>
    <w:multiLevelType w:val="hybridMultilevel"/>
    <w:lvl w:ilvl="0">
      <w:lvlJc w:val="left"/>
      <w:lvlText w:val="%1."/>
      <w:numFmt w:val="decimal"/>
      <w:start w:val="10"/>
    </w:lvl>
  </w:abstractNum>
  <w:abstractNum w:abstractNumId="8">
    <w:nsid w:val="15B5AF5C"/>
    <w:multiLevelType w:val="hybridMultilevel"/>
    <w:lvl w:ilvl="0">
      <w:lvlJc w:val="left"/>
      <w:lvlText w:val="%1."/>
      <w:numFmt w:val="decimal"/>
      <w:start w:val="11"/>
    </w:lvl>
  </w:abstractNum>
  <w:abstractNum w:abstractNumId="9">
    <w:nsid w:val="741226BB"/>
    <w:multiLevelType w:val="hybridMultilevel"/>
    <w:lvl w:ilvl="0">
      <w:lvlJc w:val="left"/>
      <w:lvlText w:val="(%1)"/>
      <w:numFmt w:val="decimal"/>
      <w:start w:val="1"/>
    </w:lvl>
  </w:abstractNum>
  <w:abstractNum w:abstractNumId="10">
    <w:nsid w:val="D34B6A8"/>
    <w:multiLevelType w:val="hybridMultilevel"/>
    <w:lvl w:ilvl="0">
      <w:lvlJc w:val="left"/>
      <w:lvlText w:val="(%1)"/>
      <w:numFmt w:val="decimal"/>
      <w:start w:val="1"/>
    </w:lvl>
  </w:abstractNum>
  <w:abstractNum w:abstractNumId="11">
    <w:nsid w:val="10233C99"/>
    <w:multiLevelType w:val="hybridMultilevel"/>
    <w:lvl w:ilvl="0">
      <w:lvlJc w:val="left"/>
      <w:lvlText w:val="%1."/>
      <w:numFmt w:val="decimal"/>
      <w:start w:val="13"/>
    </w:lvl>
  </w:abstractNum>
  <w:abstractNum w:abstractNumId="12">
    <w:nsid w:val="3F6AB60F"/>
    <w:multiLevelType w:val="hybridMultilevel"/>
    <w:lvl w:ilvl="0">
      <w:lvlJc w:val="left"/>
      <w:lvlText w:val="(%1)"/>
      <w:numFmt w:val="decimal"/>
      <w:start w:val="1"/>
    </w:lvl>
  </w:abstractNum>
  <w:abstractNum w:abstractNumId="13">
    <w:nsid w:val="61574095"/>
    <w:multiLevelType w:val="hybridMultilevel"/>
    <w:lvl w:ilvl="0">
      <w:lvlJc w:val="left"/>
      <w:lvlText w:val="(%1)"/>
      <w:numFmt w:val="decimal"/>
      <w:start w:val="1"/>
    </w:lvl>
  </w:abstractNum>
  <w:abstractNum w:abstractNumId="14">
    <w:nsid w:val="7E0C57B1"/>
    <w:multiLevelType w:val="hybridMultilevel"/>
    <w:lvl w:ilvl="0">
      <w:lvlJc w:val="left"/>
      <w:lvlText w:val="(%1)"/>
      <w:numFmt w:val="decimal"/>
      <w:start w:val="1"/>
    </w:lvl>
  </w:abstractNum>
  <w:abstractNum w:abstractNumId="15">
    <w:nsid w:val="77AE35EB"/>
    <w:multiLevelType w:val="hybridMultilevel"/>
    <w:lvl w:ilvl="0">
      <w:lvlJc w:val="left"/>
      <w:lvlText w:val="(%1)"/>
      <w:numFmt w:val="decimal"/>
      <w:start w:val="1"/>
    </w:lvl>
  </w:abstractNum>
  <w:abstractNum w:abstractNumId="16">
    <w:nsid w:val="579BE4F1"/>
    <w:multiLevelType w:val="hybridMultilevel"/>
    <w:lvl w:ilvl="0">
      <w:lvlJc w:val="left"/>
      <w:lvlText w:val="(%1)"/>
      <w:numFmt w:val="decimal"/>
      <w:start w:val="1"/>
    </w:lvl>
  </w:abstractNum>
  <w:abstractNum w:abstractNumId="17">
    <w:nsid w:val="310C50B3"/>
    <w:multiLevelType w:val="hybridMultilevel"/>
    <w:lvl w:ilvl="0">
      <w:lvlJc w:val="left"/>
      <w:lvlText w:val="(%1)"/>
      <w:numFmt w:val="decimal"/>
      <w:start w:val="1"/>
    </w:lvl>
  </w:abstractNum>
  <w:abstractNum w:abstractNumId="18">
    <w:nsid w:val="5FF87E05"/>
    <w:multiLevelType w:val="hybridMultilevel"/>
    <w:lvl w:ilvl="0">
      <w:lvlJc w:val="left"/>
      <w:lvlText w:val="(%1)"/>
      <w:numFmt w:val="lowerRoman"/>
      <w:start w:val="1"/>
    </w:lvl>
  </w:abstractNum>
  <w:abstractNum w:abstractNumId="19">
    <w:nsid w:val="2F305DEF"/>
    <w:multiLevelType w:val="hybridMultilevel"/>
    <w:lvl w:ilvl="0">
      <w:lvlJc w:val="left"/>
      <w:lvlText w:val="(%1)"/>
      <w:numFmt w:val="lowerRoman"/>
      <w:start w:val="8"/>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1)"/>
      <w:numFmt w:val="lowerRoman"/>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1)"/>
      <w:numFmt w:val="decimal"/>
      <w:start w:val="1"/>
    </w:lvl>
  </w:abstractNum>
  <w:abstractNum w:abstractNumId="25">
    <w:nsid w:val="5DB70AE5"/>
    <w:multiLevelType w:val="hybridMultilevel"/>
    <w:lvl w:ilvl="0">
      <w:lvlJc w:val="left"/>
      <w:lvlText w:val="(%1)"/>
      <w:numFmt w:val="decimal"/>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1)"/>
      <w:numFmt w:val="decimal"/>
      <w:start w:val="1"/>
    </w:lvl>
  </w:abstractNum>
  <w:abstractNum w:abstractNumId="28">
    <w:nsid w:val="15014ACB"/>
    <w:multiLevelType w:val="hybridMultilevel"/>
    <w:lvl w:ilvl="0">
      <w:lvlJc w:val="left"/>
      <w:lvlText w:val="(%1)"/>
      <w:numFmt w:val="decimal"/>
      <w:start w:val="1"/>
    </w:lvl>
  </w:abstractNum>
  <w:abstractNum w:abstractNumId="29">
    <w:nsid w:val="5F5E7FD0"/>
    <w:multiLevelType w:val="hybridMultilevel"/>
    <w:lvl w:ilvl="0">
      <w:lvlJc w:val="left"/>
      <w:lvlText w:val="(%1)"/>
      <w:numFmt w:val="decimal"/>
      <w:start w:val="1"/>
    </w:lvl>
  </w:abstractNum>
  <w:abstractNum w:abstractNumId="30">
    <w:nsid w:val="98A3148"/>
    <w:multiLevelType w:val="hybridMultilevel"/>
    <w:lvl w:ilvl="0">
      <w:lvlJc w:val="left"/>
      <w:lvlText w:val="(%1)"/>
      <w:numFmt w:val="decimal"/>
      <w:start w:val="1"/>
    </w:lvl>
  </w:abstractNum>
  <w:abstractNum w:abstractNumId="31">
    <w:nsid w:val="799D0247"/>
    <w:multiLevelType w:val="hybridMultilevel"/>
    <w:lvl w:ilvl="0">
      <w:lvlJc w:val="left"/>
      <w:lvlText w:val="(%1)"/>
      <w:numFmt w:val="decimal"/>
      <w:start w:val="1"/>
    </w:lvl>
  </w:abstractNum>
  <w:abstractNum w:abstractNumId="32">
    <w:nsid w:val="6B94764"/>
    <w:multiLevelType w:val="hybridMultilevel"/>
    <w:lvl w:ilvl="0">
      <w:lvlJc w:val="left"/>
      <w:lvlText w:val="(%1)"/>
      <w:numFmt w:val="decimal"/>
      <w:start w:val="1"/>
    </w:lvl>
  </w:abstractNum>
  <w:abstractNum w:abstractNumId="33">
    <w:nsid w:val="42C296BD"/>
    <w:multiLevelType w:val="hybridMultilevel"/>
    <w:lvl w:ilvl="0">
      <w:lvlJc w:val="left"/>
      <w:lvlText w:val="(%1)"/>
      <w:numFmt w:val="decimal"/>
      <w:start w:val="1"/>
    </w:lvl>
  </w:abstractNum>
  <w:abstractNum w:abstractNumId="34">
    <w:nsid w:val="168E121F"/>
    <w:multiLevelType w:val="hybridMultilevel"/>
    <w:lvl w:ilvl="0">
      <w:lvlJc w:val="left"/>
      <w:lvlText w:val="(%1)"/>
      <w:numFmt w:val="decimal"/>
      <w:start w:val="1"/>
    </w:lvl>
  </w:abstractNum>
  <w:abstractNum w:abstractNumId="35">
    <w:nsid w:val="1EBA5D23"/>
    <w:multiLevelType w:val="hybridMultilevel"/>
    <w:lvl w:ilvl="0">
      <w:lvlJc w:val="left"/>
      <w:lvlText w:val="(%1)"/>
      <w:numFmt w:val="decimal"/>
      <w:start w:val="1"/>
    </w:lvl>
  </w:abstractNum>
  <w:abstractNum w:abstractNumId="36">
    <w:nsid w:val="661E3F1E"/>
    <w:multiLevelType w:val="hybridMultilevel"/>
    <w:lvl w:ilvl="0">
      <w:lvlJc w:val="left"/>
      <w:lvlText w:val="(%1)"/>
      <w:numFmt w:val="decimal"/>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1."/>
      <w:numFmt w:val="decimal"/>
      <w:start w:val="1"/>
    </w:lvl>
  </w:abstractNum>
  <w:abstractNum w:abstractNumId="39">
    <w:nsid w:val="7BD3EE7B"/>
    <w:multiLevelType w:val="hybridMultilevel"/>
    <w:lvl w:ilvl="0">
      <w:lvlJc w:val="left"/>
      <w:lvlText w:val="%1)"/>
      <w:numFmt w:val="lowerLetter"/>
      <w:start w:val="1"/>
    </w:lvl>
  </w:abstractNum>
  <w:abstractNum w:abstractNumId="40">
    <w:nsid w:val="51D9C564"/>
    <w:multiLevelType w:val="hybridMultilevel"/>
    <w:lvl w:ilvl="0">
      <w:lvlJc w:val="left"/>
      <w:lvlText w:val="(%1)"/>
      <w:numFmt w:val="lowerLetter"/>
      <w:start w:val="2"/>
    </w:lvl>
  </w:abstractNum>
  <w:abstractNum w:abstractNumId="41">
    <w:nsid w:val="613EFDC5"/>
    <w:multiLevelType w:val="hybridMultilevel"/>
    <w:lvl w:ilvl="0">
      <w:lvlJc w:val="left"/>
      <w:lvlText w:val="%1."/>
      <w:numFmt w:val="decimal"/>
      <w:start w:val="3"/>
    </w:lvl>
  </w:abstractNum>
  <w:abstractNum w:abstractNumId="42">
    <w:nsid w:val="BF72B14"/>
    <w:multiLevelType w:val="hybridMultilevel"/>
    <w:lvl w:ilvl="0">
      <w:lvlJc w:val="left"/>
      <w:lvlText w:val="%1."/>
      <w:numFmt w:val="decimal"/>
      <w:start w:val="4"/>
    </w:lvl>
  </w:abstractNum>
  <w:abstractNum w:abstractNumId="43">
    <w:nsid w:val="11447B73"/>
    <w:multiLevelType w:val="hybridMultilevel"/>
    <w:lvl w:ilvl="0">
      <w:lvlJc w:val="left"/>
      <w:lvlText w:val="%1."/>
      <w:numFmt w:val="decimal"/>
      <w:start w:val="6"/>
    </w:lvl>
  </w:abstractNum>
  <w:abstractNum w:abstractNumId="44">
    <w:nsid w:val="42963E5A"/>
    <w:multiLevelType w:val="hybridMultilevel"/>
    <w:lvl w:ilvl="0">
      <w:lvlJc w:val="left"/>
      <w:lvlText w:val="%1."/>
      <w:numFmt w:val="decimal"/>
      <w:start w:val="7"/>
    </w:lvl>
  </w:abstractNum>
  <w:abstractNum w:abstractNumId="45">
    <w:nsid w:val="A0382C5"/>
    <w:multiLevelType w:val="hybridMultilevel"/>
    <w:lvl w:ilvl="0">
      <w:lvlJc w:val="left"/>
      <w:lvlText w:val="%1."/>
      <w:numFmt w:val="decimal"/>
      <w:start w:val="1"/>
    </w:lvl>
  </w:abstractNum>
  <w:abstractNum w:abstractNumId="46">
    <w:nsid w:val="8F2B15E"/>
    <w:multiLevelType w:val="hybridMultilevel"/>
    <w:lvl w:ilvl="0">
      <w:lvlJc w:val="left"/>
      <w:lvlText w:val="(%1)"/>
      <w:numFmt w:val="lowerRoman"/>
      <w:start w:val="1"/>
    </w:lvl>
  </w:abstractNum>
  <w:abstractNum w:abstractNumId="47">
    <w:nsid w:val="1A32234B"/>
    <w:multiLevelType w:val="hybridMultilevel"/>
    <w:lvl w:ilvl="0">
      <w:lvlJc w:val="left"/>
      <w:lvlText w:val="%1."/>
      <w:numFmt w:val="decimal"/>
      <w:start w:val="1"/>
    </w:lvl>
    <w:lvl w:ilvl="1">
      <w:lvlJc w:val="left"/>
      <w:lvlText w:val="(%2)"/>
      <w:numFmt w:val="lowerLetter"/>
      <w:start w:val="1"/>
    </w:lvl>
  </w:abstractNum>
  <w:abstractNum w:abstractNumId="48">
    <w:nsid w:val="3B0FD379"/>
    <w:multiLevelType w:val="hybridMultilevel"/>
    <w:lvl w:ilvl="0">
      <w:lvlJc w:val="left"/>
      <w:lvlText w:val="%1"/>
      <w:numFmt w:val="decimal"/>
      <w:start w:val="1"/>
    </w:lvl>
    <w:lvl w:ilvl="1">
      <w:lvlJc w:val="left"/>
      <w:lvlText w:val="(%2)"/>
      <w:numFmt w:val="lowerLetter"/>
      <w:start w:val="2"/>
    </w:lvl>
  </w:abstractNum>
  <w:abstractNum w:abstractNumId="49">
    <w:nsid w:val="68EB2F63"/>
    <w:multiLevelType w:val="hybridMultilevel"/>
    <w:lvl w:ilvl="0">
      <w:lvlJc w:val="left"/>
      <w:lvlText w:val="%1."/>
      <w:numFmt w:val="decimal"/>
      <w:start w:val="4"/>
    </w:lvl>
    <w:lvl w:ilvl="1">
      <w:lvlJc w:val="left"/>
      <w:lvlText w:val="(%2)"/>
      <w:numFmt w:val="lowerLetter"/>
      <w:start w:val="1"/>
    </w:lvl>
  </w:abstractNum>
  <w:abstractNum w:abstractNumId="50">
    <w:nsid w:val="4962813B"/>
    <w:multiLevelType w:val="hybridMultilevel"/>
    <w:lvl w:ilvl="0">
      <w:lvlJc w:val="left"/>
      <w:lvlText w:val="(%1)"/>
      <w:numFmt w:val="lowerLetter"/>
      <w:start w:val="2"/>
    </w:lvl>
  </w:abstractNum>
  <w:abstractNum w:abstractNumId="51">
    <w:nsid w:val="60B6DF70"/>
    <w:multiLevelType w:val="hybridMultilevel"/>
    <w:lvl w:ilvl="0">
      <w:lvlJc w:val="left"/>
      <w:lvlText w:val="%1"/>
      <w:numFmt w:val="decimal"/>
      <w:start w:val="1"/>
    </w:lvl>
    <w:lvl w:ilvl="1">
      <w:lvlJc w:val="left"/>
      <w:lvlText w:val="(%2)"/>
      <w:numFmt w:val="lowerLetter"/>
      <w:start w:val="6"/>
    </w:lvl>
  </w:abstractNum>
  <w:abstractNum w:abstractNumId="52">
    <w:nsid w:val="6A5EE64"/>
    <w:multiLevelType w:val="hybridMultilevel"/>
    <w:lvl w:ilvl="0">
      <w:lvlJc w:val="left"/>
      <w:lvlText w:val="%1."/>
      <w:numFmt w:val="decimal"/>
      <w:start w:val="5"/>
    </w:lvl>
    <w:lvl w:ilvl="1">
      <w:lvlJc w:val="left"/>
      <w:lvlText w:val="(%2)"/>
      <w:numFmt w:val="lowerLetter"/>
      <w:start w:val="1"/>
    </w:lvl>
  </w:abstractNum>
  <w:abstractNum w:abstractNumId="53">
    <w:nsid w:val="14330624"/>
    <w:multiLevelType w:val="hybridMultilevel"/>
    <w:lvl w:ilvl="0">
      <w:lvlJc w:val="left"/>
      <w:lvlText w:val="%1"/>
      <w:numFmt w:val="decimal"/>
      <w:start w:val="731"/>
    </w:lvl>
    <w:lvl w:ilvl="1">
      <w:lvlJc w:val="left"/>
      <w:lvlText w:val="%2"/>
      <w:numFmt w:val="lowerLetter"/>
      <w:start w:val="1"/>
    </w:lvl>
  </w:abstractNum>
  <w:abstractNum w:abstractNumId="54">
    <w:nsid w:val="7FFFCA11"/>
    <w:multiLevelType w:val="hybridMultilevel"/>
    <w:lvl w:ilvl="0">
      <w:lvlJc w:val="left"/>
      <w:lvlText w:val="(%1)"/>
      <w:numFmt w:val="lowerLetter"/>
      <w:start w:val="2"/>
    </w:lvl>
    <w:lvl w:ilvl="1">
      <w:lvlJc w:val="left"/>
      <w:lvlText w:val="(%2)"/>
      <w:numFmt w:val="lowerRoman"/>
      <w:start w:val="1"/>
    </w:lvl>
  </w:abstractNum>
  <w:abstractNum w:abstractNumId="55">
    <w:nsid w:val="1A27709E"/>
    <w:multiLevelType w:val="hybridMultilevel"/>
    <w:lvl w:ilvl="0">
      <w:lvlJc w:val="left"/>
      <w:lvlText w:val="(%1)"/>
      <w:numFmt w:val="lowerRoman"/>
      <w:start w:val="4"/>
    </w:lvl>
  </w:abstractNum>
  <w:abstractNum w:abstractNumId="56">
    <w:nsid w:val="71EA1109"/>
    <w:multiLevelType w:val="hybridMultilevel"/>
    <w:lvl w:ilvl="0">
      <w:lvlJc w:val="left"/>
      <w:lvlText w:val="(%1)"/>
      <w:numFmt w:val="lowerLetter"/>
      <w:start w:val="4"/>
    </w:lvl>
  </w:abstractNum>
  <w:abstractNum w:abstractNumId="57">
    <w:nsid w:val="100F59DC"/>
    <w:multiLevelType w:val="hybridMultilevel"/>
    <w:lvl w:ilvl="0">
      <w:lvlJc w:val="left"/>
      <w:lvlText w:val="(%1)"/>
      <w:numFmt w:val="lowerRoman"/>
      <w:start w:val="1"/>
    </w:lvl>
  </w:abstractNum>
  <w:abstractNum w:abstractNumId="58">
    <w:nsid w:val="7FB7E0AA"/>
    <w:multiLevelType w:val="hybridMultilevel"/>
    <w:lvl w:ilvl="0">
      <w:lvlJc w:val="left"/>
      <w:lvlText w:val="(%1)"/>
      <w:numFmt w:val="lowerLetter"/>
      <w:start w:val="6"/>
    </w:lvl>
  </w:abstractNum>
  <w:abstractNum w:abstractNumId="59">
    <w:nsid w:val="6EB5BD4"/>
    <w:multiLevelType w:val="hybridMultilevel"/>
    <w:lvl w:ilvl="0">
      <w:lvlJc w:val="left"/>
      <w:lvlText w:val="(%1)"/>
      <w:numFmt w:val="lowerLetter"/>
      <w:start w:val="7"/>
    </w:lvl>
    <w:lvl w:ilvl="1">
      <w:lvlJc w:val="left"/>
      <w:lvlText w:val="(%2)"/>
      <w:numFmt w:val="lowerRoman"/>
      <w:start w:val="1"/>
    </w:lvl>
  </w:abstractNum>
  <w:abstractNum w:abstractNumId="60">
    <w:nsid w:val="6F6DD9AC"/>
    <w:multiLevelType w:val="hybridMultilevel"/>
    <w:lvl w:ilvl="0">
      <w:lvlJc w:val="left"/>
      <w:lvlText w:val="%1."/>
      <w:numFmt w:val="decimal"/>
      <w:start w:val="6"/>
    </w:lvl>
    <w:lvl w:ilvl="1">
      <w:lvlJc w:val="left"/>
      <w:lvlText w:val="(%2)"/>
      <w:numFmt w:val="lowerLetter"/>
      <w:start w:val="1"/>
    </w:lvl>
  </w:abstractNum>
  <w:abstractNum w:abstractNumId="61">
    <w:nsid w:val="94211F2"/>
    <w:multiLevelType w:val="hybridMultilevel"/>
    <w:lvl w:ilvl="0">
      <w:lvlJc w:val="left"/>
      <w:lvlText w:val="%1"/>
      <w:numFmt w:val="decimal"/>
      <w:start w:val="1"/>
    </w:lvl>
    <w:lvl w:ilvl="1">
      <w:lvlJc w:val="left"/>
      <w:lvlText w:val="(%2)"/>
      <w:numFmt w:val="lowerLetter"/>
      <w:start w:val="2"/>
    </w:lvl>
  </w:abstractNum>
  <w:abstractNum w:abstractNumId="62">
    <w:nsid w:val="885E1B"/>
    <w:multiLevelType w:val="hybridMultilevel"/>
    <w:lvl w:ilvl="0">
      <w:lvlJc w:val="left"/>
      <w:lvlText w:val="%1."/>
      <w:numFmt w:val="decimal"/>
      <w:start w:val="8"/>
    </w:lvl>
    <w:lvl w:ilvl="1">
      <w:lvlJc w:val="left"/>
      <w:lvlText w:val="(%2)"/>
      <w:numFmt w:val="lowerLetter"/>
      <w:start w:val="1"/>
    </w:lvl>
  </w:abstractNum>
  <w:abstractNum w:abstractNumId="63">
    <w:nsid w:val="76272110"/>
    <w:multiLevelType w:val="hybridMultilevel"/>
    <w:lvl w:ilvl="0">
      <w:lvlJc w:val="left"/>
      <w:lvlText w:val="%1"/>
      <w:numFmt w:val="decimal"/>
      <w:start w:val="1"/>
    </w:lvl>
    <w:lvl w:ilvl="1">
      <w:lvlJc w:val="left"/>
      <w:lvlText w:val="(%2)"/>
      <w:numFmt w:val="lowerLetter"/>
      <w:start w:val="2"/>
    </w:lvl>
  </w:abstractNum>
  <w:abstractNum w:abstractNumId="64">
    <w:nsid w:val="4C04A8AF"/>
    <w:multiLevelType w:val="hybridMultilevel"/>
    <w:lvl w:ilvl="0">
      <w:lvlJc w:val="left"/>
      <w:lvlText w:val="%1."/>
      <w:numFmt w:val="decimal"/>
      <w:start w:val="10"/>
    </w:lvl>
    <w:lvl w:ilvl="1">
      <w:lvlJc w:val="left"/>
      <w:lvlText w:val="%2"/>
      <w:numFmt w:val="lowerLetter"/>
      <w:start w:val="1"/>
    </w:lvl>
  </w:abstractNum>
  <w:abstractNum w:abstractNumId="65">
    <w:nsid w:val="1716703B"/>
    <w:multiLevelType w:val="hybridMultilevel"/>
    <w:lvl w:ilvl="0">
      <w:lvlJc w:val="left"/>
      <w:lvlText w:val="%1."/>
      <w:numFmt w:val="decimal"/>
      <w:start w:val="12"/>
    </w:lvl>
  </w:abstractNum>
  <w:abstractNum w:abstractNumId="66">
    <w:nsid w:val="14E17E33"/>
    <w:multiLevelType w:val="hybridMultilevel"/>
    <w:lvl w:ilvl="0">
      <w:lvlJc w:val="left"/>
      <w:lvlText w:val="%1"/>
      <w:numFmt w:val="lowerLetter"/>
      <w:start w:val="1"/>
    </w:lvl>
    <w:lvl w:ilvl="1">
      <w:lvlJc w:val="left"/>
      <w:lvlText w:val="(%2)"/>
      <w:numFmt w:val="lowerLetter"/>
      <w:start w:val="1"/>
    </w:lvl>
  </w:abstractNum>
  <w:abstractNum w:abstractNumId="67">
    <w:nsid w:val="3222E7CD"/>
    <w:multiLevelType w:val="hybridMultilevel"/>
    <w:lvl w:ilvl="0">
      <w:lvlJc w:val="left"/>
      <w:lvlText w:val="(%1)"/>
      <w:numFmt w:val="lowerLetter"/>
      <w:start w:val="22"/>
    </w:lvl>
    <w:lvl w:ilvl="1">
      <w:lvlJc w:val="left"/>
      <w:lvlText w:val="(%2)"/>
      <w:numFmt w:val="lowerLetter"/>
      <w:start w:val="3"/>
    </w:lvl>
  </w:abstractNum>
  <w:abstractNum w:abstractNumId="68">
    <w:nsid w:val="74DE0EE3"/>
    <w:multiLevelType w:val="hybridMultilevel"/>
    <w:lvl w:ilvl="0">
      <w:lvlJc w:val="left"/>
      <w:lvlText w:val="%1."/>
      <w:numFmt w:val="decimal"/>
      <w:start w:val="15"/>
    </w:lvl>
  </w:abstractNum>
  <w:abstractNum w:abstractNumId="69">
    <w:nsid w:val="68EBC550"/>
    <w:multiLevelType w:val="hybridMultilevel"/>
    <w:lvl w:ilvl="0">
      <w:lvlJc w:val="left"/>
      <w:lvlText w:val="%1."/>
      <w:numFmt w:val="decimal"/>
      <w:start w:val="17"/>
    </w:lvl>
  </w:abstractNum>
  <w:abstractNum w:abstractNumId="70">
    <w:nsid w:val="2DF6D648"/>
    <w:multiLevelType w:val="hybridMultilevel"/>
    <w:lvl w:ilvl="0">
      <w:lvlJc w:val="left"/>
      <w:lvlText w:val="%1."/>
      <w:numFmt w:val="decimal"/>
      <w:start w:val="23"/>
    </w:lvl>
  </w:abstractNum>
  <w:abstractNum w:abstractNumId="71">
    <w:nsid w:val="46B7D447"/>
    <w:multiLevelType w:val="hybridMultilevel"/>
    <w:lvl w:ilvl="0">
      <w:lvlJc w:val="left"/>
      <w:lvlText w:val="•"/>
      <w:numFmt w:val="bullet"/>
      <w:start w:val="1"/>
    </w:lvl>
  </w:abstractNum>
  <w:abstractNum w:abstractNumId="72">
    <w:nsid w:val="4A2AC315"/>
    <w:multiLevelType w:val="hybridMultilevel"/>
    <w:lvl w:ilvl="0">
      <w:lvlJc w:val="left"/>
      <w:lvlText w:val="(%1)"/>
      <w:numFmt w:val="lowerRoman"/>
      <w:start w:val="5"/>
    </w:lvl>
  </w:abstractNum>
  <w:abstractNum w:abstractNumId="73">
    <w:nsid w:val="39EE015C"/>
    <w:multiLevelType w:val="hybridMultilevel"/>
    <w:lvl w:ilvl="0">
      <w:lvlJc w:val="left"/>
      <w:lvlText w:val="%1."/>
      <w:numFmt w:val="decimal"/>
      <w:start w:val="1"/>
    </w:lvl>
  </w:abstractNum>
  <w:abstractNum w:abstractNumId="74">
    <w:nsid w:val="57FC4FB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5">
    <w:nsid w:val="CC1016F"/>
    <w:multiLevelType w:val="hybridMultilevel"/>
    <w:lvl w:ilvl="0">
      <w:lvlJc w:val="left"/>
      <w:lvlText w:val="%1."/>
      <w:numFmt w:val="decimal"/>
      <w:start w:val="4"/>
    </w:lvl>
    <w:lvl w:ilvl="1">
      <w:lvlJc w:val="left"/>
      <w:lvlText w:val="%2."/>
      <w:numFmt w:val="lowerLetter"/>
      <w:start w:val="1"/>
    </w:lvl>
  </w:abstractNum>
  <w:abstractNum w:abstractNumId="76">
    <w:nsid w:val="43F1842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7">
    <w:nsid w:val="60EF011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8">
    <w:nsid w:val="26F324BA"/>
    <w:multiLevelType w:val="hybridMultilevel"/>
    <w:lvl w:ilvl="0">
      <w:lvlJc w:val="left"/>
      <w:lvlText w:val="%1."/>
      <w:numFmt w:val="decimal"/>
      <w:start w:val="8"/>
    </w:lvl>
  </w:abstractNum>
  <w:abstractNum w:abstractNumId="79">
    <w:nsid w:val="7F01579B"/>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80">
    <w:nsid w:val="49DA307D"/>
    <w:multiLevelType w:val="hybridMultilevel"/>
    <w:lvl w:ilvl="0">
      <w:lvlJc w:val="left"/>
      <w:lvlText w:val="%1."/>
      <w:numFmt w:val="lowerLetter"/>
      <w:start w:val="4"/>
    </w:lvl>
    <w:lvl w:ilvl="1">
      <w:lvlJc w:val="left"/>
      <w:lvlText w:val="%2."/>
      <w:numFmt w:val="lowerRoman"/>
      <w:start w:val="1"/>
    </w:lvl>
  </w:abstractNum>
  <w:abstractNum w:abstractNumId="81">
    <w:nsid w:val="7055A5F5"/>
    <w:multiLevelType w:val="hybridMultilevel"/>
    <w:lvl w:ilvl="0">
      <w:lvlJc w:val="left"/>
      <w:lvlText w:val="%1."/>
      <w:numFmt w:val="lowerLetter"/>
      <w:start w:val="6"/>
    </w:lvl>
  </w:abstractNum>
  <w:abstractNum w:abstractNumId="82">
    <w:nsid w:val="5FB8370B"/>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83">
    <w:nsid w:val="50801EE1"/>
    <w:multiLevelType w:val="hybridMultilevel"/>
    <w:lvl w:ilvl="0">
      <w:lvlJc w:val="left"/>
      <w:lvlText w:val="%1"/>
      <w:numFmt w:val="lowerLetter"/>
      <w:start w:val="1"/>
    </w:lvl>
    <w:lvl w:ilvl="1">
      <w:lvlJc w:val="left"/>
      <w:lvlText w:val="(%2)"/>
      <w:numFmt w:val="lowerRoman"/>
      <w:start w:val="1"/>
    </w:lvl>
  </w:abstractNum>
  <w:abstractNum w:abstractNumId="84">
    <w:nsid w:val="488AC1A"/>
    <w:multiLevelType w:val="hybridMultilevel"/>
    <w:lvl w:ilvl="0">
      <w:lvlJc w:val="left"/>
      <w:lvlText w:val="%1."/>
      <w:numFmt w:val="lowerLetter"/>
      <w:start w:val="3"/>
    </w:lvl>
    <w:lvl w:ilvl="1">
      <w:lvlJc w:val="left"/>
      <w:lvlText w:val="%2"/>
      <w:numFmt w:val="lowerRoman"/>
      <w:start w:val="1"/>
    </w:lvl>
  </w:abstractNum>
  <w:abstractNum w:abstractNumId="85">
    <w:nsid w:val="5FB8011C"/>
    <w:multiLevelType w:val="hybridMultilevel"/>
    <w:lvl w:ilvl="0">
      <w:lvlJc w:val="left"/>
      <w:lvlText w:val="%1."/>
      <w:numFmt w:val="decimal"/>
      <w:start w:val="13"/>
    </w:lvl>
    <w:lvl w:ilvl="1">
      <w:lvlJc w:val="left"/>
      <w:lvlText w:val="%2."/>
      <w:numFmt w:val="lowerLetter"/>
      <w:start w:val="1"/>
    </w:lvl>
  </w:abstractNum>
  <w:abstractNum w:abstractNumId="86">
    <w:nsid w:val="6AA78F7F"/>
    <w:multiLevelType w:val="hybridMultilevel"/>
    <w:lvl w:ilvl="0">
      <w:lvlJc w:val="left"/>
      <w:lvlText w:val="%1."/>
      <w:numFmt w:val="decimal"/>
      <w:start w:val="14"/>
    </w:lvl>
    <w:lvl w:ilvl="1">
      <w:lvlJc w:val="left"/>
      <w:lvlText w:val="(%2)"/>
      <w:numFmt w:val="lowerLetter"/>
      <w:start w:val="1"/>
    </w:lvl>
  </w:abstractNum>
  <w:abstractNum w:abstractNumId="87">
    <w:nsid w:val="7672BD23"/>
    <w:multiLevelType w:val="hybridMultilevel"/>
    <w:lvl w:ilvl="0">
      <w:lvlJc w:val="left"/>
      <w:lvlText w:val="%1."/>
      <w:numFmt w:val="decimal"/>
      <w:start w:val="15"/>
    </w:lvl>
  </w:abstractNum>
  <w:abstractNum w:abstractNumId="88">
    <w:nsid w:val="6FC75AF8"/>
    <w:multiLevelType w:val="hybridMultilevel"/>
    <w:lvl w:ilvl="0">
      <w:lvlJc w:val="left"/>
      <w:lvlText w:val="%1."/>
      <w:numFmt w:val="decimal"/>
      <w:start w:val="18"/>
    </w:lvl>
  </w:abstractNum>
  <w:abstractNum w:abstractNumId="89">
    <w:nsid w:val="6A5F7029"/>
    <w:multiLevelType w:val="hybridMultilevel"/>
    <w:lvl w:ilvl="0">
      <w:lvlJc w:val="left"/>
      <w:lvlText w:val="%1."/>
      <w:numFmt w:val="decimal"/>
      <w:start w:val="19"/>
    </w:lvl>
  </w:abstractNum>
  <w:abstractNum w:abstractNumId="90">
    <w:nsid w:val="7D5E18F8"/>
    <w:multiLevelType w:val="hybridMultilevel"/>
    <w:lvl w:ilvl="0">
      <w:lvlJc w:val="left"/>
      <w:lvlText w:val="%1."/>
      <w:numFmt w:val="decimal"/>
      <w:start w:val="20"/>
    </w:lvl>
  </w:abstractNum>
  <w:abstractNum w:abstractNumId="91">
    <w:nsid w:val="5F3534A4"/>
    <w:multiLevelType w:val="hybridMultilevel"/>
    <w:lvl w:ilvl="0">
      <w:lvlJc w:val="left"/>
      <w:lvlText w:val="%1."/>
      <w:numFmt w:val="decimal"/>
      <w:start w:val="26"/>
    </w:lvl>
    <w:lvl w:ilvl="1">
      <w:lvlJc w:val="left"/>
      <w:lvlText w:val="%2"/>
      <w:numFmt w:val="lowerLetter"/>
      <w:start w:val="1"/>
    </w:lvl>
  </w:abstractNum>
  <w:abstractNum w:abstractNumId="92">
    <w:nsid w:val="73A1821B"/>
    <w:multiLevelType w:val="hybridMultilevel"/>
    <w:lvl w:ilvl="0">
      <w:lvlJc w:val="left"/>
      <w:lvlText w:val="%1"/>
      <w:numFmt w:val="decimal"/>
      <w:start w:val="1"/>
    </w:lvl>
    <w:lvl w:ilvl="1">
      <w:lvlJc w:val="left"/>
      <w:lvlText w:val="%2."/>
      <w:numFmt w:val="lowerLetter"/>
      <w:start w:val="2"/>
    </w:lvl>
  </w:abstractNum>
  <w:abstractNum w:abstractNumId="93">
    <w:nsid w:val="7DE67713"/>
    <w:multiLevelType w:val="hybridMultilevel"/>
    <w:lvl w:ilvl="0">
      <w:lvlJc w:val="left"/>
      <w:lvlText w:val="%1."/>
      <w:numFmt w:val="decimal"/>
      <w:start w:val="33"/>
    </w:lvl>
    <w:lvl w:ilvl="1">
      <w:lvlJc w:val="left"/>
      <w:lvlText w:val="%2"/>
      <w:numFmt w:val="lowerLetter"/>
      <w:start w:val="1"/>
    </w:lvl>
  </w:abstractNum>
  <w:abstractNum w:abstractNumId="94">
    <w:nsid w:val="555C55B5"/>
    <w:multiLevelType w:val="hybridMultilevel"/>
    <w:lvl w:ilvl="0">
      <w:lvlJc w:val="left"/>
      <w:lvlText w:val="%1."/>
      <w:numFmt w:val="decimal"/>
      <w:start w:val="35"/>
    </w:lvl>
  </w:abstractNum>
  <w:abstractNum w:abstractNumId="95">
    <w:nsid w:val="3FA62ACA"/>
    <w:multiLevelType w:val="hybridMultilevel"/>
    <w:lvl w:ilvl="0">
      <w:lvlJc w:val="left"/>
      <w:lvlText w:val="(%1)"/>
      <w:numFmt w:val="lowerRoman"/>
      <w:start w:val="5"/>
    </w:lvl>
  </w:abstractNum>
  <w:abstractNum w:abstractNumId="96">
    <w:nsid w:val="14FCE74E"/>
    <w:multiLevelType w:val="hybridMultilevel"/>
    <w:lvl w:ilvl="0">
      <w:lvlJc w:val="left"/>
      <w:lvlText w:val="•"/>
      <w:numFmt w:val="bullet"/>
      <w:start w:val="1"/>
    </w:lvl>
  </w:abstractNum>
  <w:abstractNum w:abstractNumId="97">
    <w:nsid w:val="6A3DD3E8"/>
    <w:multiLevelType w:val="hybridMultilevel"/>
    <w:lvl w:ilvl="0">
      <w:lvlJc w:val="left"/>
      <w:lvlText w:val="•"/>
      <w:numFmt w:val="bullet"/>
      <w:start w:val="1"/>
    </w:lvl>
  </w:abstractNum>
  <w:abstractNum w:abstractNumId="98">
    <w:nsid w:val="71C91298"/>
    <w:multiLevelType w:val="hybridMultilevel"/>
    <w:lvl w:ilvl="0">
      <w:lvlJc w:val="left"/>
      <w:lvlText w:val="%1."/>
      <w:numFmt w:val="decimal"/>
      <w:start w:val="1"/>
    </w:lvl>
  </w:abstractNum>
  <w:abstractNum w:abstractNumId="99">
    <w:nsid w:val="9DAF632"/>
    <w:multiLevelType w:val="hybridMultilevel"/>
    <w:lvl w:ilvl="0">
      <w:lvlJc w:val="left"/>
      <w:lvlText w:val="%1)"/>
      <w:numFmt w:val="lowerLetter"/>
      <w:start w:val="1"/>
    </w:lvl>
  </w:abstractNum>
  <w:abstractNum w:abstractNumId="100">
    <w:nsid w:val="53299938"/>
    <w:multiLevelType w:val="hybridMultilevel"/>
    <w:lvl w:ilvl="0">
      <w:lvlJc w:val="left"/>
      <w:lvlText w:val="(%1)"/>
      <w:numFmt w:val="lowerLetter"/>
      <w:start w:val="2"/>
    </w:lvl>
  </w:abstractNum>
  <w:abstractNum w:abstractNumId="101">
    <w:nsid w:val="1FBFE8E0"/>
    <w:multiLevelType w:val="hybridMultilevel"/>
    <w:lvl w:ilvl="0">
      <w:lvlJc w:val="left"/>
      <w:lvlText w:val="%1."/>
      <w:numFmt w:val="decimal"/>
      <w:start w:val="3"/>
    </w:lvl>
  </w:abstractNum>
  <w:abstractNum w:abstractNumId="102">
    <w:nsid w:val="5092CA79"/>
    <w:multiLevelType w:val="hybridMultilevel"/>
    <w:lvl w:ilvl="0">
      <w:lvlJc w:val="left"/>
      <w:lvlText w:val="%1."/>
      <w:numFmt w:val="decimal"/>
      <w:start w:val="4"/>
    </w:lvl>
  </w:abstractNum>
  <w:abstractNum w:abstractNumId="103">
    <w:nsid w:val="1D545C4D"/>
    <w:multiLevelType w:val="hybridMultilevel"/>
    <w:lvl w:ilvl="0">
      <w:lvlJc w:val="left"/>
      <w:lvlText w:val="%1."/>
      <w:numFmt w:val="decimal"/>
      <w:start w:val="6"/>
    </w:lvl>
  </w:abstractNum>
  <w:abstractNum w:abstractNumId="104">
    <w:nsid w:val="59ADEA3D"/>
    <w:multiLevelType w:val="hybridMultilevel"/>
    <w:lvl w:ilvl="0">
      <w:lvlJc w:val="left"/>
      <w:lvlText w:val="%1."/>
      <w:numFmt w:val="decimal"/>
      <w:start w:val="7"/>
    </w:lvl>
  </w:abstractNum>
  <w:abstractNum w:abstractNumId="105">
    <w:nsid w:val="288F1A34"/>
    <w:multiLevelType w:val="hybridMultilevel"/>
    <w:lvl w:ilvl="0">
      <w:lvlJc w:val="left"/>
      <w:lvlText w:val="%1."/>
      <w:numFmt w:val="decimal"/>
      <w:start w:val="1"/>
    </w:lvl>
  </w:abstractNum>
  <w:abstractNum w:abstractNumId="106">
    <w:nsid w:val="2A155DBC"/>
    <w:multiLevelType w:val="hybridMultilevel"/>
    <w:lvl w:ilvl="0">
      <w:lvlJc w:val="left"/>
      <w:lvlText w:val="%1."/>
      <w:numFmt w:val="decimal"/>
      <w:start w:val="1"/>
    </w:lvl>
    <w:lvl w:ilvl="1">
      <w:lvlJc w:val="left"/>
      <w:lvlText w:val="(%2)"/>
      <w:numFmt w:val="lowerLetter"/>
      <w:start w:val="1"/>
    </w:lvl>
  </w:abstractNum>
  <w:abstractNum w:abstractNumId="107">
    <w:nsid w:val="1D9F6E5F"/>
    <w:multiLevelType w:val="hybridMultilevel"/>
    <w:lvl w:ilvl="0">
      <w:lvlJc w:val="left"/>
      <w:lvlText w:val="%1."/>
      <w:numFmt w:val="decimal"/>
      <w:start w:val="1"/>
    </w:lvl>
    <w:lvl w:ilvl="1">
      <w:lvlJc w:val="left"/>
      <w:lvlText w:val="(%2)"/>
      <w:numFmt w:val="lowerLetter"/>
      <w:start w:val="1"/>
    </w:lvl>
  </w:abstractNum>
  <w:abstractNum w:abstractNumId="108">
    <w:nsid w:val="97E1B4E"/>
    <w:multiLevelType w:val="hybridMultilevel"/>
    <w:lvl w:ilvl="0">
      <w:lvlJc w:val="left"/>
      <w:lvlText w:val="(%1)"/>
      <w:numFmt w:val="decimal"/>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2019-12-28T13:11:12Z</dcterms:created>
  <dcterms:modified xsi:type="dcterms:W3CDTF">2019-12-28T13:11:12Z</dcterms:modified>
</cp:coreProperties>
</file>