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00" w:right="840" w:hanging="801"/>
        <w:spacing w:after="0" w:line="238" w:lineRule="auto"/>
        <w:tabs>
          <w:tab w:leader="none" w:pos="1700" w:val="left"/>
        </w:tabs>
        <w:numPr>
          <w:ilvl w:val="0"/>
          <w:numId w:val="1"/>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33" w:lineRule="exact"/>
        <w:rPr>
          <w:rFonts w:ascii="MS PGothic" w:cs="MS PGothic" w:eastAsia="MS PGothic" w:hAnsi="MS PGothic"/>
          <w:sz w:val="49"/>
          <w:szCs w:val="49"/>
          <w:color w:val="auto"/>
          <w:vertAlign w:val="subscript"/>
        </w:rPr>
      </w:pPr>
    </w:p>
    <w:p>
      <w:pPr>
        <w:ind w:left="2100"/>
        <w:spacing w:after="0"/>
        <w:rPr>
          <w:rFonts w:ascii="MS PGothic" w:cs="MS PGothic" w:eastAsia="MS PGothic" w:hAnsi="MS PGothic"/>
          <w:sz w:val="49"/>
          <w:szCs w:val="49"/>
          <w:color w:val="auto"/>
          <w:vertAlign w:val="subscript"/>
        </w:rPr>
      </w:pPr>
      <w:r>
        <w:rPr>
          <w:rFonts w:ascii="Arial" w:cs="Arial" w:eastAsia="Arial" w:hAnsi="Arial"/>
          <w:sz w:val="20"/>
          <w:szCs w:val="20"/>
          <w:color w:val="auto"/>
        </w:rPr>
        <w:t>For the quarterly period ended September 29, 2019</w:t>
      </w:r>
    </w:p>
    <w:p>
      <w:pPr>
        <w:spacing w:after="0" w:line="54" w:lineRule="exact"/>
        <w:rPr>
          <w:sz w:val="24"/>
          <w:szCs w:val="24"/>
          <w:color w:val="auto"/>
        </w:rPr>
      </w:pPr>
    </w:p>
    <w:p>
      <w:pPr>
        <w:ind w:left="624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700" w:right="840" w:hanging="801"/>
        <w:spacing w:after="0" w:line="238" w:lineRule="auto"/>
        <w:tabs>
          <w:tab w:leader="none" w:pos="1700" w:val="left"/>
        </w:tabs>
        <w:numPr>
          <w:ilvl w:val="0"/>
          <w:numId w:val="2"/>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3" w:lineRule="exact"/>
        <w:rPr>
          <w:sz w:val="24"/>
          <w:szCs w:val="24"/>
          <w:color w:val="auto"/>
        </w:rPr>
      </w:pPr>
    </w:p>
    <w:p>
      <w:pPr>
        <w:ind w:left="1700"/>
        <w:spacing w:after="0"/>
        <w:rPr>
          <w:sz w:val="20"/>
          <w:szCs w:val="20"/>
          <w:color w:val="auto"/>
        </w:rPr>
      </w:pPr>
      <w:r>
        <w:rPr>
          <w:rFonts w:ascii="Arial" w:cs="Arial" w:eastAsia="Arial" w:hAnsi="Arial"/>
          <w:sz w:val="20"/>
          <w:szCs w:val="20"/>
          <w:color w:val="auto"/>
        </w:rPr>
        <w:t>For the transition period from ______ to 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Commission File Number: 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156210</wp:posOffset>
            </wp:positionV>
            <wp:extent cx="866140"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0"/>
          </w:cols>
          <w:pgMar w:left="240" w:top="724" w:right="279" w:bottom="0" w:gutter="0" w:footer="0" w:header="0"/>
        </w:sectPr>
      </w:pPr>
    </w:p>
    <w:p>
      <w:pPr>
        <w:spacing w:after="0" w:line="149" w:lineRule="exact"/>
        <w:rPr>
          <w:sz w:val="24"/>
          <w:szCs w:val="24"/>
          <w:color w:val="auto"/>
        </w:rPr>
      </w:pPr>
    </w:p>
    <w:p>
      <w:pPr>
        <w:ind w:left="25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113" w:lineRule="exact"/>
        <w:rPr>
          <w:sz w:val="24"/>
          <w:szCs w:val="24"/>
          <w:color w:val="auto"/>
        </w:rPr>
      </w:pPr>
    </w:p>
    <w:p>
      <w:pPr>
        <w:sectPr>
          <w:pgSz w:w="11900" w:h="16838" w:orient="portrait"/>
          <w:cols w:equalWidth="0" w:num="2">
            <w:col w:w="7420" w:space="720"/>
            <w:col w:w="3240"/>
          </w:cols>
          <w:pgMar w:left="240" w:top="724" w:right="279" w:bottom="0" w:gutter="0" w:footer="0" w:header="0"/>
          <w:type w:val="continuous"/>
        </w:sectPr>
      </w:pPr>
    </w:p>
    <w:p>
      <w:pPr>
        <w:ind w:left="96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8" w:lineRule="exact"/>
        <w:rPr>
          <w:sz w:val="24"/>
          <w:szCs w:val="24"/>
          <w:color w:val="auto"/>
        </w:rPr>
      </w:pPr>
    </w:p>
    <w:p>
      <w:pPr>
        <w:sectPr>
          <w:pgSz w:w="11900" w:h="16838" w:orient="portrait"/>
          <w:cols w:equalWidth="0" w:num="2">
            <w:col w:w="6700" w:space="720"/>
            <w:col w:w="3960"/>
          </w:cols>
          <w:pgMar w:left="240" w:top="724" w:right="279" w:bottom="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2202 North West Shore Boulevard, Suite 500, Tampa, Florida 33607</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80"/>
          </w:cols>
          <w:pgMar w:left="240" w:top="724" w:right="279" w:bottom="0" w:gutter="0" w:footer="0" w:header="0"/>
          <w:type w:val="continuous"/>
        </w:sectPr>
      </w:pP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1380"/>
          </w:cols>
          <w:pgMar w:left="240" w:top="724" w:right="279" w:bottom="0" w:gutter="0" w:footer="0" w:header="0"/>
          <w:type w:val="continuous"/>
        </w:sectPr>
      </w:pPr>
    </w:p>
    <w:p>
      <w:pPr>
        <w:spacing w:after="0" w:line="200" w:lineRule="exact"/>
        <w:rPr>
          <w:sz w:val="24"/>
          <w:szCs w:val="24"/>
          <w:color w:val="auto"/>
        </w:rPr>
      </w:pPr>
    </w:p>
    <w:p>
      <w:pPr>
        <w:spacing w:after="0" w:line="354" w:lineRule="exact"/>
        <w:rPr>
          <w:sz w:val="24"/>
          <w:szCs w:val="24"/>
          <w:color w:val="auto"/>
        </w:rPr>
      </w:pPr>
    </w:p>
    <w:p>
      <w:pPr>
        <w:ind w:left="16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0"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4" w:lineRule="exact"/>
        <w:rPr>
          <w:sz w:val="24"/>
          <w:szCs w:val="24"/>
          <w:color w:val="auto"/>
        </w:rPr>
      </w:pPr>
    </w:p>
    <w:p>
      <w:pPr>
        <w:sectPr>
          <w:pgSz w:w="11900" w:h="16838" w:orient="portrait"/>
          <w:cols w:equalWidth="0" w:num="3">
            <w:col w:w="3120" w:space="720"/>
            <w:col w:w="3740" w:space="340"/>
            <w:col w:w="3460"/>
          </w:cols>
          <w:pgMar w:left="240" w:top="724" w:right="279" w:bottom="0" w:gutter="0" w:footer="0" w:header="0"/>
          <w:type w:val="continuous"/>
        </w:sectPr>
      </w:pPr>
    </w:p>
    <w:p>
      <w:pPr>
        <w:ind w:left="114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38" w:orient="portrait"/>
          <w:cols w:equalWidth="0" w:num="3">
            <w:col w:w="4920" w:space="720"/>
            <w:col w:w="1880" w:space="720"/>
            <w:col w:w="3140"/>
          </w:cols>
          <w:pgMar w:left="240" w:top="724" w:right="279" w:bottom="0" w:gutter="0" w:footer="0" w:header="0"/>
          <w:type w:val="continuous"/>
        </w:sectPr>
      </w:pPr>
    </w:p>
    <w:p>
      <w:pPr>
        <w:spacing w:after="0" w:line="105" w:lineRule="exact"/>
        <w:rPr>
          <w:sz w:val="24"/>
          <w:szCs w:val="24"/>
          <w:color w:val="auto"/>
        </w:rPr>
      </w:pPr>
    </w:p>
    <w:p>
      <w:pPr>
        <w:ind w:right="440"/>
        <w:spacing w:after="0" w:line="3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34" w:lineRule="exact"/>
        <w:rPr>
          <w:sz w:val="24"/>
          <w:szCs w:val="24"/>
          <w:color w:val="auto"/>
        </w:rPr>
      </w:pPr>
    </w:p>
    <w:p>
      <w:pPr>
        <w:ind w:right="500"/>
        <w:spacing w:after="0" w:line="3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25"/>
          <w:szCs w:val="25"/>
          <w:color w:val="auto"/>
        </w:rPr>
        <w:t>Yes</w:t>
      </w:r>
      <w:r>
        <w:rPr>
          <w:rFonts w:ascii="Arial" w:cs="Arial" w:eastAsia="Arial" w:hAnsi="Arial"/>
          <w:sz w:val="18"/>
          <w:szCs w:val="18"/>
          <w:color w:val="auto"/>
        </w:rPr>
        <w:t xml:space="preserve">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p>
      <w:pPr>
        <w:ind w:left="3440" w:right="1720" w:firstLine="263"/>
        <w:spacing w:after="0" w:line="361" w:lineRule="exact"/>
        <w:rPr>
          <w:sz w:val="20"/>
          <w:szCs w:val="20"/>
          <w:color w:val="auto"/>
        </w:rPr>
      </w:pPr>
      <w:r>
        <w:rPr>
          <w:rFonts w:ascii="Arial" w:cs="Arial" w:eastAsia="Arial" w:hAnsi="Arial"/>
          <w:sz w:val="25"/>
          <w:szCs w:val="25"/>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8"/>
          <w:szCs w:val="18"/>
          <w:color w:val="auto"/>
        </w:rPr>
        <w:t>Accelerated filer</w:t>
      </w:r>
      <w:r>
        <w:rPr>
          <w:rFonts w:ascii="Arial" w:cs="Arial" w:eastAsia="Arial" w:hAnsi="Arial"/>
          <w:sz w:val="25"/>
          <w:szCs w:val="25"/>
          <w:color w:val="auto"/>
        </w:rPr>
        <w:t xml:space="preserve">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8"/>
          <w:szCs w:val="18"/>
          <w:color w:val="auto"/>
        </w:rPr>
        <w:t>Non-accelerated filer</w:t>
      </w:r>
      <w:r>
        <w:rPr>
          <w:rFonts w:ascii="Arial" w:cs="Arial" w:eastAsia="Arial" w:hAnsi="Arial"/>
          <w:sz w:val="25"/>
          <w:szCs w:val="25"/>
          <w:color w:val="auto"/>
        </w:rPr>
        <w:t xml:space="preserve"> </w:t>
      </w:r>
      <w:r>
        <w:rPr>
          <w:rFonts w:ascii="MS PGothic" w:cs="MS PGothic" w:eastAsia="MS PGothic" w:hAnsi="MS PGothic"/>
          <w:sz w:val="25"/>
          <w:szCs w:val="25"/>
          <w:color w:val="auto"/>
        </w:rPr>
        <w:t>☐</w:t>
      </w:r>
      <w:r>
        <w:rPr>
          <w:rFonts w:ascii="Arial" w:cs="Arial" w:eastAsia="Arial" w:hAnsi="Arial"/>
          <w:sz w:val="25"/>
          <w:szCs w:val="25"/>
          <w:color w:val="auto"/>
        </w:rPr>
        <w:t xml:space="preserve"> </w:t>
      </w: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pacing w:after="0" w:line="234" w:lineRule="exact"/>
        <w:rPr>
          <w:sz w:val="24"/>
          <w:szCs w:val="24"/>
          <w:color w:val="auto"/>
        </w:rPr>
      </w:pPr>
    </w:p>
    <w:p>
      <w:pPr>
        <w:ind w:right="100"/>
        <w:spacing w:after="0" w:line="30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838" w:orient="portrait"/>
          <w:cols w:equalWidth="0" w:num="1">
            <w:col w:w="11380"/>
          </w:cols>
          <w:pgMar w:left="240" w:top="724" w:right="279" w:bottom="0" w:gutter="0" w:footer="0" w:header="0"/>
          <w:type w:val="continuous"/>
        </w:sectPr>
      </w:pPr>
    </w:p>
    <w:bookmarkStart w:id="1" w:name="page2"/>
    <w:bookmarkEnd w:id="1"/>
    <w:p>
      <w:pPr>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4, 2019, 86,865,175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5" w:right="1440" w:bottom="1440" w:gutter="0" w:footer="0" w:header="0"/>
        </w:sectPr>
      </w:pPr>
    </w:p>
    <w:bookmarkStart w:id="2" w:name="page3"/>
    <w:bookmarkEnd w:id="2"/>
    <w:p>
      <w:pPr>
        <w:spacing w:after="0"/>
        <w:rPr>
          <w:rFonts w:ascii="Arial" w:cs="Arial" w:eastAsia="Arial" w:hAnsi="Arial"/>
          <w:sz w:val="14"/>
          <w:szCs w:val="14"/>
          <w:color w:val="0000FF"/>
        </w:rPr>
      </w:pPr>
      <w:hyperlink w:anchor="page3">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10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BLOOMIN’ BRANDS,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62"/>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94"/>
              </w:rPr>
              <w:t>INDEX TO QUARTERLY REPORT ON FORM 10-Q</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00" w:type="dxa"/>
            <w:vAlign w:val="bottom"/>
            <w:gridSpan w:val="15"/>
          </w:tcPr>
          <w:p>
            <w:pPr>
              <w:jc w:val="center"/>
              <w:ind w:right="1520"/>
              <w:spacing w:after="0"/>
              <w:rPr>
                <w:sz w:val="20"/>
                <w:szCs w:val="20"/>
                <w:color w:val="auto"/>
              </w:rPr>
            </w:pPr>
            <w:r>
              <w:rPr>
                <w:rFonts w:ascii="Arial" w:cs="Arial" w:eastAsia="Arial" w:hAnsi="Arial"/>
                <w:sz w:val="20"/>
                <w:szCs w:val="20"/>
                <w:color w:val="auto"/>
                <w:w w:val="89"/>
              </w:rPr>
              <w:t>For the Quarterly Period Ended September 29, 2019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20" w:type="dxa"/>
            <w:vAlign w:val="bottom"/>
            <w:gridSpan w:val="10"/>
          </w:tcPr>
          <w:p>
            <w:pPr>
              <w:jc w:val="center"/>
              <w:ind w:right="3380"/>
              <w:spacing w:after="0"/>
              <w:rPr>
                <w:sz w:val="20"/>
                <w:szCs w:val="20"/>
                <w:color w:val="auto"/>
              </w:rPr>
            </w:pPr>
            <w:r>
              <w:rPr>
                <w:rFonts w:ascii="Arial" w:cs="Arial" w:eastAsia="Arial" w:hAnsi="Arial"/>
                <w:sz w:val="20"/>
                <w:szCs w:val="20"/>
                <w:color w:val="auto"/>
                <w:w w:val="91"/>
              </w:rPr>
              <w:t>(Unaudited)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446"/>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gridSpan w:val="11"/>
          </w:tcPr>
          <w:p>
            <w:pPr>
              <w:jc w:val="center"/>
              <w:ind w:right="2500"/>
              <w:spacing w:after="0"/>
              <w:rPr>
                <w:sz w:val="20"/>
                <w:szCs w:val="20"/>
                <w:color w:val="auto"/>
              </w:rPr>
            </w:pPr>
            <w:r>
              <w:rPr>
                <w:rFonts w:ascii="Arial" w:cs="Arial" w:eastAsia="Arial" w:hAnsi="Arial"/>
                <w:sz w:val="20"/>
                <w:szCs w:val="20"/>
                <w:color w:val="auto"/>
                <w:w w:val="94"/>
              </w:rPr>
              <w:t>TABLE OF CONTENTS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3"/>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00" w:type="dxa"/>
            <w:vAlign w:val="bottom"/>
            <w:gridSpan w:val="15"/>
          </w:tcPr>
          <w:p>
            <w:pPr>
              <w:jc w:val="center"/>
              <w:ind w:right="1960"/>
              <w:spacing w:after="0"/>
              <w:rPr>
                <w:rFonts w:ascii="Arial" w:cs="Arial" w:eastAsia="Arial" w:hAnsi="Arial"/>
                <w:sz w:val="20"/>
                <w:szCs w:val="20"/>
                <w:color w:val="0000FF"/>
                <w:w w:val="97"/>
              </w:rPr>
            </w:pPr>
            <w:hyperlink w:anchor="page4">
              <w:r>
                <w:rPr>
                  <w:rFonts w:ascii="Arial" w:cs="Arial" w:eastAsia="Arial" w:hAnsi="Arial"/>
                  <w:sz w:val="20"/>
                  <w:szCs w:val="20"/>
                  <w:color w:val="0000FF"/>
                  <w:w w:val="97"/>
                </w:rPr>
                <w:t>PART I — FINANCIAL INFORMATION</w:t>
              </w:r>
            </w:hyperlink>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Page No.</w:t>
            </w:r>
          </w:p>
        </w:tc>
      </w:tr>
      <w:tr>
        <w:trPr>
          <w:trHeight w:val="55"/>
        </w:trPr>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38"/>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Financial Statements (Unaudited)</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ind w:left="140"/>
              <w:spacing w:after="0"/>
              <w:rPr>
                <w:rFonts w:ascii="Arial" w:cs="Arial" w:eastAsia="Arial" w:hAnsi="Arial"/>
                <w:sz w:val="20"/>
                <w:szCs w:val="20"/>
                <w:color w:val="0000EE"/>
              </w:rPr>
            </w:pPr>
            <w:hyperlink w:anchor="page4">
              <w:r>
                <w:rPr>
                  <w:rFonts w:ascii="Arial" w:cs="Arial" w:eastAsia="Arial" w:hAnsi="Arial"/>
                  <w:sz w:val="20"/>
                  <w:szCs w:val="20"/>
                  <w:color w:val="0000EE"/>
                </w:rPr>
                <w:t>Consolidated Financial Statements:</w:t>
              </w:r>
            </w:hyperlink>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15"/>
          </w:tcPr>
          <w:p>
            <w:pPr>
              <w:spacing w:after="0"/>
              <w:rPr>
                <w:rFonts w:ascii="Arial" w:cs="Arial" w:eastAsia="Arial" w:hAnsi="Arial"/>
                <w:sz w:val="20"/>
                <w:szCs w:val="20"/>
                <w:color w:val="0000EE"/>
                <w:w w:val="87"/>
              </w:rPr>
            </w:pPr>
            <w:hyperlink w:anchor="page4">
              <w:r>
                <w:rPr>
                  <w:rFonts w:ascii="Arial" w:cs="Arial" w:eastAsia="Arial" w:hAnsi="Arial"/>
                  <w:sz w:val="20"/>
                  <w:szCs w:val="20"/>
                  <w:color w:val="0000EE"/>
                  <w:w w:val="87"/>
                </w:rPr>
                <w:t>Consolidated Balance Sheets — September 29, 2019 and December 30, 2018</w:t>
              </w:r>
            </w:hyperlink>
          </w:p>
        </w:tc>
        <w:tc>
          <w:tcPr>
            <w:tcW w:w="2160" w:type="dxa"/>
            <w:vAlign w:val="bottom"/>
            <w:gridSpan w:val="5"/>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4">
              <w:r>
                <w:rPr>
                  <w:rFonts w:ascii="Arial" w:cs="Arial" w:eastAsia="Arial" w:hAnsi="Arial"/>
                  <w:sz w:val="20"/>
                  <w:szCs w:val="20"/>
                  <w:color w:val="0000EE"/>
                  <w:w w:val="89"/>
                </w:rPr>
                <w:t>3</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Operations and Comprehensive (Loss) Income —</w:t>
              </w:r>
            </w:hyperlink>
          </w:p>
        </w:tc>
        <w:tc>
          <w:tcPr>
            <w:tcW w:w="860" w:type="dxa"/>
            <w:vAlign w:val="bottom"/>
            <w:gridSpan w:val="2"/>
          </w:tcPr>
          <w:p>
            <w:pPr>
              <w:jc w:val="center"/>
              <w:ind w:left="661"/>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4</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Arial" w:cs="Arial" w:eastAsia="Arial" w:hAnsi="Arial"/>
                <w:sz w:val="20"/>
                <w:szCs w:val="20"/>
                <w:color w:val="0000EE"/>
                <w:w w:val="99"/>
              </w:rPr>
            </w:pPr>
            <w:hyperlink w:anchor="page5">
              <w:r>
                <w:rPr>
                  <w:rFonts w:ascii="Arial" w:cs="Arial" w:eastAsia="Arial" w:hAnsi="Arial"/>
                  <w:sz w:val="20"/>
                  <w:szCs w:val="20"/>
                  <w:color w:val="0000EE"/>
                  <w:w w:val="99"/>
                </w:rPr>
                <w:t>For the Thirteen and Thirty-Nine Weeks Ended September 29, 2019 and September 30,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Borders>
              <w:top w:val="single" w:sz="8" w:color="0000EE"/>
            </w:tcBorders>
            <w:gridSpan w:val="12"/>
          </w:tcPr>
          <w:p>
            <w:pPr>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Consolidated Statements of Changes in Stockholders’ Equity —</w:t>
              </w:r>
            </w:hyperlink>
          </w:p>
        </w:tc>
        <w:tc>
          <w:tcPr>
            <w:tcW w:w="2260" w:type="dxa"/>
            <w:vAlign w:val="bottom"/>
            <w:tcBorders>
              <w:top w:val="single" w:sz="8" w:color="0000EE"/>
            </w:tcBorders>
            <w:gridSpan w:val="7"/>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5</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gridSpan w:val="20"/>
          </w:tcPr>
          <w:p>
            <w:pPr>
              <w:spacing w:after="0" w:line="209" w:lineRule="exact"/>
              <w:rPr>
                <w:rFonts w:ascii="Arial" w:cs="Arial" w:eastAsia="Arial" w:hAnsi="Arial"/>
                <w:sz w:val="20"/>
                <w:szCs w:val="20"/>
                <w:color w:val="0000EE"/>
                <w:w w:val="99"/>
              </w:rPr>
            </w:pPr>
            <w:hyperlink w:anchor="page6">
              <w:r>
                <w:rPr>
                  <w:rFonts w:ascii="Arial" w:cs="Arial" w:eastAsia="Arial" w:hAnsi="Arial"/>
                  <w:sz w:val="20"/>
                  <w:szCs w:val="20"/>
                  <w:color w:val="0000EE"/>
                  <w:w w:val="99"/>
                </w:rPr>
                <w:t>For the Thirteen and Thirty-Nine Weeks Ended September 29, 2019 and September 30, 2018</w:t>
              </w:r>
            </w:hyperlink>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Borders>
              <w:top w:val="single" w:sz="8" w:color="0000EE"/>
            </w:tcBorders>
            <w:gridSpan w:val="11"/>
          </w:tcPr>
          <w:p>
            <w:pPr>
              <w:spacing w:after="0"/>
              <w:rPr>
                <w:rFonts w:ascii="Arial" w:cs="Arial" w:eastAsia="Arial" w:hAnsi="Arial"/>
                <w:sz w:val="20"/>
                <w:szCs w:val="20"/>
                <w:color w:val="0000EE"/>
                <w:w w:val="88"/>
              </w:rPr>
            </w:pPr>
            <w:hyperlink w:anchor="page8">
              <w:r>
                <w:rPr>
                  <w:rFonts w:ascii="Arial" w:cs="Arial" w:eastAsia="Arial" w:hAnsi="Arial"/>
                  <w:sz w:val="20"/>
                  <w:szCs w:val="20"/>
                  <w:color w:val="0000EE"/>
                  <w:w w:val="88"/>
                </w:rPr>
                <w:t>Condensed Consolidated Statements of Cash Flows —</w:t>
              </w:r>
            </w:hyperlink>
          </w:p>
        </w:tc>
        <w:tc>
          <w:tcPr>
            <w:tcW w:w="2960" w:type="dxa"/>
            <w:vAlign w:val="bottom"/>
            <w:tcBorders>
              <w:top w:val="single" w:sz="8" w:color="0000EE"/>
            </w:tcBorders>
            <w:gridSpan w:val="8"/>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8">
              <w:r>
                <w:rPr>
                  <w:rFonts w:ascii="Arial" w:cs="Arial" w:eastAsia="Arial" w:hAnsi="Arial"/>
                  <w:sz w:val="20"/>
                  <w:szCs w:val="20"/>
                  <w:color w:val="0000EE"/>
                  <w:w w:val="89"/>
                </w:rPr>
                <w:t>7</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tcBorders>
              <w:bottom w:val="single" w:sz="8" w:color="0000EE"/>
            </w:tcBorders>
            <w:gridSpan w:val="17"/>
          </w:tcPr>
          <w:p>
            <w:pPr>
              <w:spacing w:after="0" w:line="209" w:lineRule="exact"/>
              <w:rPr>
                <w:rFonts w:ascii="Arial" w:cs="Arial" w:eastAsia="Arial" w:hAnsi="Arial"/>
                <w:sz w:val="20"/>
                <w:szCs w:val="20"/>
                <w:color w:val="0000EE"/>
                <w:w w:val="88"/>
              </w:rPr>
            </w:pPr>
            <w:hyperlink w:anchor="page8">
              <w:r>
                <w:rPr>
                  <w:rFonts w:ascii="Arial" w:cs="Arial" w:eastAsia="Arial" w:hAnsi="Arial"/>
                  <w:sz w:val="20"/>
                  <w:szCs w:val="20"/>
                  <w:color w:val="0000EE"/>
                  <w:w w:val="88"/>
                </w:rPr>
                <w:t>For the Thirty-Nine Weeks Ended September 29, 2019 and September 30, 2018</w:t>
              </w:r>
            </w:hyperlink>
          </w:p>
        </w:tc>
        <w:tc>
          <w:tcPr>
            <w:tcW w:w="198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10"/>
          </w:tcPr>
          <w:p>
            <w:pPr>
              <w:spacing w:after="0"/>
              <w:rPr>
                <w:rFonts w:ascii="Arial" w:cs="Arial" w:eastAsia="Arial" w:hAnsi="Arial"/>
                <w:sz w:val="20"/>
                <w:szCs w:val="20"/>
                <w:color w:val="0000EE"/>
                <w:w w:val="88"/>
              </w:rPr>
            </w:pPr>
            <w:hyperlink w:anchor="page10">
              <w:r>
                <w:rPr>
                  <w:rFonts w:ascii="Arial" w:cs="Arial" w:eastAsia="Arial" w:hAnsi="Arial"/>
                  <w:sz w:val="20"/>
                  <w:szCs w:val="20"/>
                  <w:color w:val="0000EE"/>
                  <w:w w:val="88"/>
                </w:rPr>
                <w:t>Notes to Consolidated Financial Statements</w:t>
              </w:r>
            </w:hyperlink>
          </w:p>
        </w:tc>
        <w:tc>
          <w:tcPr>
            <w:tcW w:w="4820" w:type="dxa"/>
            <w:vAlign w:val="bottom"/>
            <w:gridSpan w:val="10"/>
          </w:tcPr>
          <w:p>
            <w:pPr>
              <w:spacing w:after="0"/>
              <w:rPr>
                <w:sz w:val="24"/>
                <w:szCs w:val="24"/>
                <w:color w:val="auto"/>
              </w:rPr>
            </w:pPr>
          </w:p>
        </w:tc>
        <w:tc>
          <w:tcPr>
            <w:tcW w:w="860" w:type="dxa"/>
            <w:vAlign w:val="bottom"/>
            <w:gridSpan w:val="2"/>
          </w:tcPr>
          <w:p>
            <w:pPr>
              <w:jc w:val="center"/>
              <w:ind w:left="661"/>
              <w:spacing w:after="0"/>
              <w:rPr>
                <w:rFonts w:ascii="Arial" w:cs="Arial" w:eastAsia="Arial" w:hAnsi="Arial"/>
                <w:sz w:val="20"/>
                <w:szCs w:val="20"/>
                <w:color w:val="0000EE"/>
                <w:w w:val="89"/>
              </w:rPr>
            </w:pPr>
            <w:hyperlink w:anchor="page10">
              <w:r>
                <w:rPr>
                  <w:rFonts w:ascii="Arial" w:cs="Arial" w:eastAsia="Arial" w:hAnsi="Arial"/>
                  <w:sz w:val="20"/>
                  <w:szCs w:val="20"/>
                  <w:color w:val="0000EE"/>
                  <w:w w:val="89"/>
                </w:rPr>
                <w:t>9</w:t>
              </w:r>
            </w:hyperlink>
          </w:p>
        </w:tc>
        <w:tc>
          <w:tcPr>
            <w:tcW w:w="7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Management’s Discussion and Analysis of Financial Condition and Results of Operations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27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3.</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EE"/>
                <w:w w:val="89"/>
              </w:rPr>
            </w:pPr>
            <w:hyperlink w:anchor="page48">
              <w:r>
                <w:rPr>
                  <w:rFonts w:ascii="Arial" w:cs="Arial" w:eastAsia="Arial" w:hAnsi="Arial"/>
                  <w:sz w:val="20"/>
                  <w:szCs w:val="20"/>
                  <w:color w:val="0000EE"/>
                  <w:w w:val="89"/>
                </w:rPr>
                <w:t>Quantitative and Qualitative Disclosures About Market Risk</w:t>
              </w:r>
            </w:hyperlink>
          </w:p>
        </w:tc>
        <w:tc>
          <w:tcPr>
            <w:tcW w:w="2360" w:type="dxa"/>
            <w:vAlign w:val="bottom"/>
            <w:gridSpan w:val="7"/>
          </w:tcPr>
          <w:p>
            <w:pPr>
              <w:spacing w:after="0"/>
              <w:rPr>
                <w:sz w:val="24"/>
                <w:szCs w:val="24"/>
                <w:color w:val="auto"/>
              </w:rPr>
            </w:pPr>
          </w:p>
        </w:tc>
        <w:tc>
          <w:tcPr>
            <w:tcW w:w="154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47</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4.</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48">
              <w:r>
                <w:rPr>
                  <w:rFonts w:ascii="Arial" w:cs="Arial" w:eastAsia="Arial" w:hAnsi="Arial"/>
                  <w:sz w:val="20"/>
                  <w:szCs w:val="20"/>
                  <w:color w:val="0000FF"/>
                </w:rPr>
                <w:t>Controls and Procedures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8">
              <w:r>
                <w:rPr>
                  <w:rFonts w:ascii="Arial" w:cs="Arial" w:eastAsia="Arial" w:hAnsi="Arial"/>
                  <w:sz w:val="16"/>
                  <w:szCs w:val="16"/>
                  <w:color w:val="0000EE"/>
                  <w:w w:val="78"/>
                </w:rPr>
                <w:t>47</w:t>
              </w:r>
            </w:hyperlink>
          </w:p>
        </w:tc>
      </w:tr>
      <w:tr>
        <w:trPr>
          <w:trHeight w:val="60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40" w:type="dxa"/>
            <w:vAlign w:val="bottom"/>
            <w:gridSpan w:val="12"/>
          </w:tcPr>
          <w:p>
            <w:pPr>
              <w:jc w:val="center"/>
              <w:ind w:right="2820"/>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PART II — OTHER INFORMATION</w:t>
              </w:r>
            </w:hyperlink>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1020" w:type="dxa"/>
            <w:vAlign w:val="bottom"/>
          </w:tcPr>
          <w:p>
            <w:pPr>
              <w:ind w:left="40"/>
              <w:spacing w:after="0"/>
              <w:rPr>
                <w:sz w:val="20"/>
                <w:szCs w:val="20"/>
                <w:color w:val="auto"/>
              </w:rPr>
            </w:pPr>
            <w:r>
              <w:rPr>
                <w:rFonts w:ascii="Arial" w:cs="Arial" w:eastAsia="Arial" w:hAnsi="Arial"/>
                <w:sz w:val="20"/>
                <w:szCs w:val="20"/>
                <w:color w:val="auto"/>
              </w:rPr>
              <w:t>Item 1.</w:t>
            </w:r>
          </w:p>
        </w:tc>
        <w:tc>
          <w:tcPr>
            <w:tcW w:w="160" w:type="dxa"/>
            <w:vAlign w:val="bottom"/>
          </w:tcPr>
          <w:p>
            <w:pPr>
              <w:spacing w:after="0"/>
              <w:rPr>
                <w:sz w:val="22"/>
                <w:szCs w:val="22"/>
                <w:color w:val="auto"/>
              </w:rPr>
            </w:pPr>
          </w:p>
        </w:tc>
        <w:tc>
          <w:tcPr>
            <w:tcW w:w="1480" w:type="dxa"/>
            <w:vAlign w:val="bottom"/>
            <w:gridSpan w:val="6"/>
          </w:tcPr>
          <w:p>
            <w:pPr>
              <w:spacing w:after="0"/>
              <w:rPr>
                <w:rFonts w:ascii="Arial" w:cs="Arial" w:eastAsia="Arial" w:hAnsi="Arial"/>
                <w:sz w:val="20"/>
                <w:szCs w:val="20"/>
                <w:color w:val="0000FF"/>
                <w:w w:val="88"/>
              </w:rPr>
            </w:pPr>
            <w:hyperlink w:anchor="page49">
              <w:r>
                <w:rPr>
                  <w:rFonts w:ascii="Arial" w:cs="Arial" w:eastAsia="Arial" w:hAnsi="Arial"/>
                  <w:sz w:val="20"/>
                  <w:szCs w:val="20"/>
                  <w:color w:val="0000FF"/>
                  <w:w w:val="88"/>
                </w:rPr>
                <w:t>Legal Proceedings</w:t>
              </w:r>
            </w:hyperlink>
          </w:p>
        </w:tc>
        <w:tc>
          <w:tcPr>
            <w:tcW w:w="1320" w:type="dxa"/>
            <w:vAlign w:val="bottom"/>
            <w:gridSpan w:val="4"/>
          </w:tcPr>
          <w:p>
            <w:pPr>
              <w:spacing w:after="0"/>
              <w:rPr>
                <w:sz w:val="22"/>
                <w:szCs w:val="22"/>
                <w:color w:val="auto"/>
              </w:rPr>
            </w:pPr>
          </w:p>
        </w:tc>
        <w:tc>
          <w:tcPr>
            <w:tcW w:w="3020" w:type="dxa"/>
            <w:vAlign w:val="bottom"/>
            <w:tcBorders>
              <w:top w:val="single" w:sz="8" w:color="0000FF"/>
            </w:tcBorders>
            <w:gridSpan w:val="5"/>
          </w:tcPr>
          <w:p>
            <w:pPr>
              <w:spacing w:after="0"/>
              <w:rPr>
                <w:sz w:val="22"/>
                <w:szCs w:val="22"/>
                <w:color w:val="auto"/>
              </w:rPr>
            </w:pPr>
          </w:p>
        </w:tc>
        <w:tc>
          <w:tcPr>
            <w:tcW w:w="2820" w:type="dxa"/>
            <w:vAlign w:val="bottom"/>
            <w:gridSpan w:val="7"/>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1A.</w:t>
            </w:r>
          </w:p>
        </w:tc>
        <w:tc>
          <w:tcPr>
            <w:tcW w:w="16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20"/>
                <w:szCs w:val="20"/>
                <w:color w:val="0000FF"/>
                <w:w w:val="88"/>
              </w:rPr>
            </w:pPr>
            <w:hyperlink w:anchor="page49">
              <w:r>
                <w:rPr>
                  <w:rFonts w:ascii="Arial" w:cs="Arial" w:eastAsia="Arial" w:hAnsi="Arial"/>
                  <w:sz w:val="20"/>
                  <w:szCs w:val="20"/>
                  <w:color w:val="0000FF"/>
                  <w:w w:val="88"/>
                </w:rPr>
                <w:t>Risk Factors</w:t>
              </w:r>
            </w:hyperlink>
          </w:p>
        </w:tc>
        <w:tc>
          <w:tcPr>
            <w:tcW w:w="4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2.</w:t>
            </w: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Unregistered Sales of Equity Securities and Use of Proceeds</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49">
              <w:r>
                <w:rPr>
                  <w:rFonts w:ascii="Arial" w:cs="Arial" w:eastAsia="Arial" w:hAnsi="Arial"/>
                  <w:sz w:val="20"/>
                  <w:szCs w:val="20"/>
                  <w:color w:val="0000EE"/>
                  <w:w w:val="89"/>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601"/>
        </w:trPr>
        <w:tc>
          <w:tcPr>
            <w:tcW w:w="1020" w:type="dxa"/>
            <w:vAlign w:val="bottom"/>
          </w:tcPr>
          <w:p>
            <w:pPr>
              <w:ind w:left="40"/>
              <w:spacing w:after="0"/>
              <w:rPr>
                <w:sz w:val="20"/>
                <w:szCs w:val="20"/>
                <w:color w:val="auto"/>
              </w:rPr>
            </w:pPr>
            <w:r>
              <w:rPr>
                <w:rFonts w:ascii="Arial" w:cs="Arial" w:eastAsia="Arial" w:hAnsi="Arial"/>
                <w:sz w:val="20"/>
                <w:szCs w:val="20"/>
                <w:color w:val="auto"/>
              </w:rPr>
              <w:t>Item 6.</w:t>
            </w:r>
          </w:p>
        </w:tc>
        <w:tc>
          <w:tcPr>
            <w:tcW w:w="16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Exhibits</w:t>
              </w:r>
            </w:hyperlink>
          </w:p>
        </w:tc>
        <w:tc>
          <w:tcPr>
            <w:tcW w:w="390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gridSpan w:val="2"/>
          </w:tcPr>
          <w:p>
            <w:pPr>
              <w:jc w:val="center"/>
              <w:ind w:right="700"/>
              <w:spacing w:after="0"/>
              <w:rPr>
                <w:rFonts w:ascii="Arial" w:cs="Arial" w:eastAsia="Arial" w:hAnsi="Arial"/>
                <w:sz w:val="16"/>
                <w:szCs w:val="16"/>
                <w:color w:val="0000EE"/>
                <w:w w:val="78"/>
              </w:rPr>
            </w:pPr>
            <w:hyperlink w:anchor="page49">
              <w:r>
                <w:rPr>
                  <w:rFonts w:ascii="Arial" w:cs="Arial" w:eastAsia="Arial" w:hAnsi="Arial"/>
                  <w:sz w:val="16"/>
                  <w:szCs w:val="16"/>
                  <w:color w:val="0000EE"/>
                  <w:w w:val="78"/>
                </w:rPr>
                <w:t>48</w:t>
              </w:r>
            </w:hyperlink>
          </w:p>
        </w:tc>
      </w:tr>
      <w:tr>
        <w:trPr>
          <w:trHeight w:val="20"/>
        </w:trPr>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80" w:type="dxa"/>
            <w:vAlign w:val="bottom"/>
            <w:gridSpan w:val="18"/>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r>
      <w:tr>
        <w:trPr>
          <w:trHeight w:val="54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2"/>
          </w:tcPr>
          <w:p>
            <w:pPr>
              <w:spacing w:after="0"/>
              <w:rPr>
                <w:rFonts w:ascii="Arial" w:cs="Arial" w:eastAsia="Arial" w:hAnsi="Arial"/>
                <w:sz w:val="20"/>
                <w:szCs w:val="20"/>
                <w:color w:val="0000FF"/>
              </w:rPr>
            </w:pPr>
            <w:hyperlink w:anchor="page51">
              <w:r>
                <w:rPr>
                  <w:rFonts w:ascii="Arial" w:cs="Arial" w:eastAsia="Arial" w:hAnsi="Arial"/>
                  <w:sz w:val="20"/>
                  <w:szCs w:val="20"/>
                  <w:color w:val="0000FF"/>
                </w:rPr>
                <w:t>Signature</w:t>
              </w:r>
            </w:hyperlink>
          </w:p>
        </w:tc>
        <w:tc>
          <w:tcPr>
            <w:tcW w:w="1600" w:type="dxa"/>
            <w:vAlign w:val="bottom"/>
            <w:gridSpan w:val="3"/>
          </w:tcPr>
          <w:p>
            <w:pPr>
              <w:jc w:val="center"/>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50</w:t>
              </w:r>
            </w:hyperlink>
          </w:p>
        </w:tc>
      </w:tr>
      <w:tr>
        <w:trPr>
          <w:trHeight w:val="507"/>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3980" w:type="dxa"/>
            <w:vAlign w:val="bottom"/>
            <w:gridSpan w:val="9"/>
          </w:tcPr>
          <w:p>
            <w:pPr>
              <w:jc w:val="center"/>
              <w:ind w:left="3470"/>
              <w:spacing w:after="0"/>
              <w:rPr>
                <w:sz w:val="20"/>
                <w:szCs w:val="20"/>
                <w:color w:val="auto"/>
              </w:rPr>
            </w:pPr>
            <w:r>
              <w:rPr>
                <w:rFonts w:ascii="Arial" w:cs="Arial" w:eastAsia="Arial" w:hAnsi="Arial"/>
                <w:sz w:val="18"/>
                <w:szCs w:val="18"/>
                <w:color w:val="auto"/>
                <w:w w:val="99"/>
              </w:rPr>
              <w:t>2</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 2019</w:t>
            </w:r>
          </w:p>
        </w:tc>
        <w:tc>
          <w:tcPr>
            <w:tcW w:w="200" w:type="dxa"/>
            <w:vAlign w:val="bottom"/>
          </w:tcPr>
          <w:p>
            <w:pPr>
              <w:spacing w:after="0"/>
              <w:rPr>
                <w:sz w:val="17"/>
                <w:szCs w:val="17"/>
                <w:color w:val="auto"/>
              </w:rPr>
            </w:pPr>
          </w:p>
        </w:tc>
        <w:tc>
          <w:tcPr>
            <w:tcW w:w="172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71,823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73,378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72,812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190,848</w:t>
            </w:r>
          </w:p>
        </w:tc>
        <w:tc>
          <w:tcPr>
            <w:tcW w:w="0" w:type="dxa"/>
            <w:vAlign w:val="bottom"/>
          </w:tcPr>
          <w:p>
            <w:pPr>
              <w:spacing w:after="0"/>
              <w:rPr>
                <w:sz w:val="1"/>
                <w:szCs w:val="1"/>
                <w:color w:val="auto"/>
              </w:rPr>
            </w:pPr>
          </w:p>
        </w:tc>
      </w:tr>
      <w:tr>
        <w:trPr>
          <w:trHeight w:val="224"/>
        </w:trPr>
        <w:tc>
          <w:tcPr>
            <w:tcW w:w="73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211,583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335,483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fixtures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1,115,929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1,262,449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295,427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473,043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503,972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92,990</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120,973</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3,468,947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2,464,774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160,029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174,488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387,017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246,653</w:t>
            </w:r>
          </w:p>
        </w:tc>
        <w:tc>
          <w:tcPr>
            <w:tcW w:w="0" w:type="dxa"/>
            <w:vAlign w:val="bottom"/>
          </w:tcPr>
          <w:p>
            <w:pPr>
              <w:spacing w:after="0"/>
              <w:rPr>
                <w:sz w:val="1"/>
                <w:szCs w:val="1"/>
                <w:color w:val="auto"/>
              </w:rPr>
            </w:pPr>
          </w:p>
        </w:tc>
      </w:tr>
      <w:tr>
        <w:trPr>
          <w:trHeight w:val="224"/>
        </w:trPr>
        <w:tc>
          <w:tcPr>
            <w:tcW w:w="732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217,211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342,708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27,190</w:t>
            </w:r>
          </w:p>
        </w:tc>
        <w:tc>
          <w:tcPr>
            <w:tcW w:w="0" w:type="dxa"/>
            <w:vAlign w:val="bottom"/>
          </w:tcPr>
          <w:p>
            <w:pPr>
              <w:spacing w:after="0"/>
              <w:rPr>
                <w:sz w:val="1"/>
                <w:szCs w:val="1"/>
                <w:color w:val="auto"/>
              </w:rPr>
            </w:pPr>
          </w:p>
        </w:tc>
      </w:tr>
      <w:tr>
        <w:trPr>
          <w:trHeight w:val="224"/>
        </w:trPr>
        <w:tc>
          <w:tcPr>
            <w:tcW w:w="73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790,805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791,039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Deferred rent</w:t>
            </w:r>
          </w:p>
        </w:tc>
        <w:tc>
          <w:tcPr>
            <w:tcW w:w="22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167,027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14,790</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20"/>
                <w:szCs w:val="20"/>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1,093,391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1,067,585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portion of deferred gain on sale-leaseback transactions, net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177,983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 net</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144,438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191,533</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3,317,373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2,409,957</w:t>
            </w:r>
          </w:p>
        </w:tc>
        <w:tc>
          <w:tcPr>
            <w:tcW w:w="0" w:type="dxa"/>
            <w:vAlign w:val="bottom"/>
          </w:tcPr>
          <w:p>
            <w:pPr>
              <w:spacing w:after="0"/>
              <w:rPr>
                <w:sz w:val="1"/>
                <w:szCs w:val="1"/>
                <w:color w:val="auto"/>
              </w:rPr>
            </w:pPr>
          </w:p>
        </w:tc>
      </w:tr>
      <w:tr>
        <w:trPr>
          <w:trHeight w:val="217"/>
        </w:trPr>
        <w:tc>
          <w:tcPr>
            <w:tcW w:w="7320" w:type="dxa"/>
            <w:vAlign w:val="bottom"/>
          </w:tcPr>
          <w:p>
            <w:pPr>
              <w:ind w:left="40"/>
              <w:spacing w:after="0"/>
              <w:rPr>
                <w:sz w:val="20"/>
                <w:szCs w:val="20"/>
                <w:color w:val="auto"/>
              </w:rPr>
            </w:pPr>
            <w:r>
              <w:rPr>
                <w:rFonts w:ascii="Arial" w:cs="Arial" w:eastAsia="Arial" w:hAnsi="Arial"/>
                <w:sz w:val="16"/>
                <w:szCs w:val="16"/>
                <w:color w:val="auto"/>
              </w:rPr>
              <w:t>Commitments and contingencies (Note 16)</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Preferred stock, $0.01 par value, 25,000,000 shares authorized; no shares issued and outstanding as of</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September 29, 2019 and December 30, 2018</w:t>
            </w:r>
          </w:p>
        </w:tc>
        <w:tc>
          <w:tcPr>
            <w:tcW w:w="2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w w:val="90"/>
              </w:rPr>
              <w:t>Common stock, $0.01 par value, 475,000,000 shares authorized; 86,856,165 and 91,271,825 shares issued</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380"/>
              <w:spacing w:after="0"/>
              <w:rPr>
                <w:sz w:val="20"/>
                <w:szCs w:val="20"/>
                <w:color w:val="auto"/>
              </w:rPr>
            </w:pPr>
            <w:r>
              <w:rPr>
                <w:rFonts w:ascii="Arial" w:cs="Arial" w:eastAsia="Arial" w:hAnsi="Arial"/>
                <w:sz w:val="16"/>
                <w:szCs w:val="16"/>
                <w:color w:val="auto"/>
              </w:rPr>
              <w:t>and outstanding as of September 29, 2019 and December 30, 2018, respectively</w:t>
            </w:r>
          </w:p>
        </w:tc>
        <w:tc>
          <w:tcPr>
            <w:tcW w:w="220" w:type="dxa"/>
            <w:vAlign w:val="bottom"/>
          </w:tcPr>
          <w:p>
            <w:pPr>
              <w:spacing w:after="0"/>
              <w:rPr>
                <w:sz w:val="17"/>
                <w:szCs w:val="17"/>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1,107,582</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(783,093)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(920,010)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0" w:type="dxa"/>
            <w:vAlign w:val="bottom"/>
          </w:tcPr>
          <w:p>
            <w:pPr>
              <w:spacing w:after="0"/>
              <w:rPr>
                <w:sz w:val="1"/>
                <w:szCs w:val="1"/>
                <w:color w:val="auto"/>
              </w:rPr>
            </w:pPr>
          </w:p>
        </w:tc>
      </w:tr>
      <w:tr>
        <w:trPr>
          <w:trHeight w:val="224"/>
        </w:trPr>
        <w:tc>
          <w:tcPr>
            <w:tcW w:w="7320" w:type="dxa"/>
            <w:vAlign w:val="bottom"/>
          </w:tcPr>
          <w:p>
            <w:pPr>
              <w:ind w:left="72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144,283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45,730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9,087</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151,574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3,468,947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2,464,774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951,816</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949,400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3,069,145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3,063,887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49,413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967,144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965,021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3,117,205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3,113,300</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300,375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307,493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965,165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982,415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288,552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908,780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902,006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240,372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233,744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732,121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725,468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151,473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66,570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67,691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209,114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212,516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15,590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945,186</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952,484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2,969,293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2,989,468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21,958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147,912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123,832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(33,229)</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8,713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110,882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90,597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(6,516)</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104,831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97,113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9,248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102,569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96,191</w:t>
            </w:r>
          </w:p>
        </w:tc>
        <w:tc>
          <w:tcPr>
            <w:tcW w:w="0" w:type="dxa"/>
            <w:vAlign w:val="bottom"/>
          </w:tcPr>
          <w:p>
            <w:pPr>
              <w:spacing w:after="0"/>
              <w:rPr>
                <w:sz w:val="1"/>
                <w:szCs w:val="1"/>
                <w:color w:val="auto"/>
              </w:rPr>
            </w:pPr>
          </w:p>
        </w:tc>
      </w:tr>
      <w:tr>
        <w:trPr>
          <w:trHeight w:val="271"/>
        </w:trPr>
        <w:tc>
          <w:tcPr>
            <w:tcW w:w="5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9,373</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104,831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97,113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(45,044)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Unrealized (loss) gain on derivatives,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20"/>
        </w:trPr>
        <w:tc>
          <w:tcPr>
            <w:tcW w:w="5160" w:type="dxa"/>
            <w:vAlign w:val="bottom"/>
          </w:tcPr>
          <w:p>
            <w:pPr>
              <w:ind w:left="180"/>
              <w:spacing w:after="0"/>
              <w:rPr>
                <w:sz w:val="20"/>
                <w:szCs w:val="20"/>
                <w:color w:val="auto"/>
              </w:rPr>
            </w:pPr>
            <w:r>
              <w:rPr>
                <w:rFonts w:ascii="Arial" w:cs="Arial" w:eastAsia="Arial" w:hAnsi="Arial"/>
                <w:sz w:val="16"/>
                <w:szCs w:val="16"/>
                <w:color w:val="auto"/>
                <w:w w:val="94"/>
              </w:rPr>
              <w:t>Reclassification of adjustment for loss (gain) on derivatives included in Net</w:t>
            </w:r>
          </w:p>
        </w:tc>
        <w:tc>
          <w:tcPr>
            <w:tcW w:w="360" w:type="dxa"/>
            <w:vAlign w:val="bottom"/>
          </w:tcPr>
          <w:p>
            <w:pPr>
              <w:spacing w:after="0"/>
              <w:rPr>
                <w:sz w:val="19"/>
                <w:szCs w:val="19"/>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net of tax</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78,899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53,618</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2,450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Bloomin’ Brands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52,114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86,843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92,197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87,305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93,324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90,306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94,489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134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9"/>
                <w:szCs w:val="9"/>
                <w:color w:val="auto"/>
              </w:rPr>
            </w:pPr>
          </w:p>
        </w:tc>
        <w:tc>
          <w:tcPr>
            <w:tcW w:w="1040" w:type="dxa"/>
            <w:vAlign w:val="bottom"/>
            <w:gridSpan w:val="2"/>
          </w:tcPr>
          <w:p>
            <w:pPr>
              <w:ind w:left="8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June 30, 2019</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1,099,598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158,593</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9,373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(11,357)</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$0.10</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29, 2019</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86,856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1,095,382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151,574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30, 2018</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1,107,582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6"/>
              </w:rPr>
              <w:t>Cumulative-effect from a change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w w:val="96"/>
              </w:rPr>
              <w:t>in accounting principle,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141,285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104,831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(26,154)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(25,932)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Cash dividends declared, $0.30</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(27,041)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Pr>
          <w:p>
            <w:pPr>
              <w:jc w:val="right"/>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(106,937)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6"/>
              </w:rPr>
              <w:t>(106,992)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3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Balance, September 29, 2019</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86,856</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869</w:t>
            </w:r>
          </w:p>
        </w:tc>
        <w:tc>
          <w:tcPr>
            <w:tcW w:w="14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1,095,382</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(783,093)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(168,875)</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7,291</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151,574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(CONTINUED...)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198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3"/>
                <w:szCs w:val="13"/>
                <w:color w:val="auto"/>
              </w:rPr>
            </w:pPr>
          </w:p>
        </w:tc>
        <w:tc>
          <w:tcPr>
            <w:tcW w:w="16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300" w:type="dxa"/>
            <w:vAlign w:val="bottom"/>
          </w:tcPr>
          <w:p>
            <w:pPr>
              <w:spacing w:after="0"/>
              <w:rPr>
                <w:sz w:val="9"/>
                <w:szCs w:val="9"/>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9"/>
                <w:szCs w:val="9"/>
                <w:color w:val="auto"/>
              </w:rPr>
            </w:pPr>
          </w:p>
        </w:tc>
        <w:tc>
          <w:tcPr>
            <w:tcW w:w="1340" w:type="dxa"/>
            <w:vAlign w:val="bottom"/>
            <w:gridSpan w:val="2"/>
          </w:tcPr>
          <w:p>
            <w:pPr>
              <w:jc w:val="center"/>
              <w:ind w:right="280"/>
              <w:spacing w:after="0" w:line="113"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9"/>
                <w:szCs w:val="9"/>
                <w:color w:val="auto"/>
              </w:rPr>
            </w:pPr>
          </w:p>
        </w:tc>
        <w:tc>
          <w:tcPr>
            <w:tcW w:w="1040" w:type="dxa"/>
            <w:vAlign w:val="bottom"/>
            <w:gridSpan w:val="2"/>
          </w:tcPr>
          <w:p>
            <w:pPr>
              <w:ind w:left="80"/>
              <w:spacing w:after="0" w:line="113"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9"/>
                <w:szCs w:val="9"/>
                <w:color w:val="auto"/>
              </w:rPr>
            </w:pPr>
          </w:p>
        </w:tc>
        <w:tc>
          <w:tcPr>
            <w:tcW w:w="164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9"/>
                <w:szCs w:val="9"/>
                <w:color w:val="auto"/>
              </w:rPr>
            </w:pPr>
          </w:p>
        </w:tc>
        <w:tc>
          <w:tcPr>
            <w:tcW w:w="1420" w:type="dxa"/>
            <w:vAlign w:val="bottom"/>
            <w:gridSpan w:val="2"/>
          </w:tcPr>
          <w:p>
            <w:pPr>
              <w:jc w:val="center"/>
              <w:ind w:right="240"/>
              <w:spacing w:after="0" w:line="113"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1, 2018</w:t>
            </w:r>
          </w:p>
        </w:tc>
        <w:tc>
          <w:tcPr>
            <w:tcW w:w="9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92,437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1,109,015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91,470</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4,260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$0.09</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(8,344)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(17,968)</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5,300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2018</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1,108,636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60,142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3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91,913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1,081,813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(913,191)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81,231</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96,191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97,442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net of tax</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(43,495)</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9"/>
              </w:rPr>
              <w:t>Cash dividends declared, $0.27</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per common share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(25,078)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and retirement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(98,968)</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16,478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Common stock issued under stock</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 (1)</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35,752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35,795</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8"/>
              </w:rPr>
              <w:t>Change in the redemption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redeemable interests</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5"/>
              </w:rPr>
              <w:t>Contributions from noncontrolling</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vMerge w:val="restart"/>
          </w:tcPr>
          <w:p>
            <w:pPr>
              <w:jc w:val="right"/>
              <w:ind w:right="20"/>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39"/>
        </w:trPr>
        <w:tc>
          <w:tcPr>
            <w:tcW w:w="2300" w:type="dxa"/>
            <w:vAlign w:val="bottom"/>
          </w:tcPr>
          <w:p>
            <w:pPr>
              <w:ind w:left="40"/>
              <w:spacing w:after="0"/>
              <w:rPr>
                <w:sz w:val="20"/>
                <w:szCs w:val="20"/>
                <w:color w:val="auto"/>
              </w:rPr>
            </w:pPr>
            <w:r>
              <w:rPr>
                <w:rFonts w:ascii="Arial" w:cs="Arial" w:eastAsia="Arial" w:hAnsi="Arial"/>
                <w:sz w:val="16"/>
                <w:szCs w:val="16"/>
                <w:color w:val="auto"/>
              </w:rPr>
              <w:t>interests</w:t>
            </w: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September 30, 2018</w:t>
            </w:r>
          </w:p>
        </w:tc>
        <w:tc>
          <w:tcPr>
            <w:tcW w:w="9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1,108,636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60,142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0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7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180" w:type="dxa"/>
            <w:vAlign w:val="bottom"/>
          </w:tcPr>
          <w:p>
            <w:pPr>
              <w:spacing w:after="0"/>
              <w:rPr>
                <w:sz w:val="22"/>
                <w:szCs w:val="22"/>
                <w:color w:val="auto"/>
              </w:rPr>
            </w:pPr>
          </w:p>
        </w:tc>
        <w:tc>
          <w:tcPr>
            <w:tcW w:w="1740" w:type="dxa"/>
            <w:vAlign w:val="bottom"/>
          </w:tcPr>
          <w:p>
            <w:pPr>
              <w:jc w:val="right"/>
              <w:ind w:right="179"/>
              <w:spacing w:after="0"/>
              <w:rPr>
                <w:sz w:val="20"/>
                <w:szCs w:val="20"/>
                <w:color w:val="auto"/>
              </w:rPr>
            </w:pPr>
            <w:r>
              <w:rPr>
                <w:rFonts w:ascii="Arial" w:cs="Arial" w:eastAsia="Arial" w:hAnsi="Arial"/>
                <w:sz w:val="14"/>
                <w:szCs w:val="14"/>
                <w:b w:val="1"/>
                <w:bCs w:val="1"/>
                <w:color w:val="auto"/>
              </w:rPr>
              <w:t>SEPTEMBER 30, 2018</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104,831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97,113</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147,196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151,473</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discounts and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1,930</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Amortization of deferred gift card sales commissions</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18,927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20,151</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15,590</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Non-cash operating lease costs</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54,815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and other 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19,692</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Deferred income tax benefit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(1,318)</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of a business or subsidiary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Recognition of deferred gain on sale-leaseback transactions</w:t>
            </w:r>
          </w:p>
        </w:tc>
        <w:tc>
          <w:tcPr>
            <w:tcW w:w="20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(9,237)</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on disposal of property,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2,991</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(142,375)</w:t>
            </w:r>
          </w:p>
        </w:tc>
      </w:tr>
      <w:tr>
        <w:trPr>
          <w:trHeight w:val="270"/>
        </w:trPr>
        <w:tc>
          <w:tcPr>
            <w:tcW w:w="7400" w:type="dxa"/>
            <w:vAlign w:val="bottom"/>
            <w:tcBorders>
              <w:bottom w:val="single" w:sz="8" w:color="CCEEFF"/>
            </w:tcBorders>
          </w:tcPr>
          <w:p>
            <w:pPr>
              <w:ind w:left="10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180,926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155,196</w:t>
            </w:r>
          </w:p>
        </w:tc>
      </w:tr>
      <w:tr>
        <w:trPr>
          <w:trHeight w:val="23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Proceeds from disposal of property, fixtures and equipment</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16,418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10,453</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sale-leaseback transactions,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11,332</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(117,478)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(146,288)</w:t>
            </w: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investments, net</w:t>
            </w: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r>
      <w:tr>
        <w:trPr>
          <w:trHeight w:val="264"/>
        </w:trPr>
        <w:tc>
          <w:tcPr>
            <w:tcW w:w="7400" w:type="dxa"/>
            <w:vAlign w:val="bottom"/>
          </w:tcPr>
          <w:p>
            <w:pPr>
              <w:ind w:left="10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(93,710)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(124,303)</w:t>
            </w:r>
          </w:p>
        </w:tc>
      </w:tr>
    </w:tbl>
    <w:p>
      <w:pPr>
        <w:spacing w:after="0" w:line="328"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(CONTINUED...)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180" w:type="dxa"/>
            <w:vAlign w:val="bottom"/>
          </w:tcPr>
          <w:p>
            <w:pPr>
              <w:spacing w:after="0"/>
              <w:rPr>
                <w:sz w:val="22"/>
                <w:szCs w:val="22"/>
                <w:color w:val="auto"/>
              </w:rPr>
            </w:pPr>
          </w:p>
        </w:tc>
        <w:tc>
          <w:tcPr>
            <w:tcW w:w="1740" w:type="dxa"/>
            <w:vAlign w:val="bottom"/>
          </w:tcPr>
          <w:p>
            <w:pPr>
              <w:jc w:val="right"/>
              <w:ind w:right="179"/>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(20,164)</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Proceeds from borrowings on revolving credit facilities, net</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533,300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378,529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borrowings on revolving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(329,700)</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Proceeds from the exercise of share-based compensation, net</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35,795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limited partnership and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Repayments of partner deposits and accrued partner obligations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(12,928)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(14,458)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(98,968)</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Cash dividends paid on common stock</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(25,078)</w:t>
            </w: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(76,960)</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(50,928)</w:t>
            </w:r>
          </w:p>
        </w:tc>
        <w:tc>
          <w:tcPr>
            <w:tcW w:w="0" w:type="dxa"/>
            <w:vAlign w:val="bottom"/>
          </w:tcPr>
          <w:p>
            <w:pPr>
              <w:spacing w:after="0"/>
              <w:rPr>
                <w:sz w:val="1"/>
                <w:szCs w:val="1"/>
                <w:color w:val="auto"/>
              </w:rPr>
            </w:pPr>
          </w:p>
        </w:tc>
      </w:tr>
      <w:tr>
        <w:trPr>
          <w:trHeight w:val="270"/>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71,823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129,543</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51,408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78,615</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31,376</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Cash paid for income taxes, net of refunds</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20,025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9,696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43,101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Increase in liabilities from the acquisition of property, fixtures and equipment or capital leases</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5,075</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Description of the Business and Basis of Presentation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(“Bloomin’ Brands” or the “Company”) owns and operates casual, upscale casual and fine</w:t>
      </w:r>
      <w:r>
        <w:rPr>
          <w:rFonts w:ascii="Arial" w:cs="Arial" w:eastAsia="Arial" w:hAnsi="Arial"/>
          <w:sz w:val="20"/>
          <w:szCs w:val="20"/>
          <w:i w:val="1"/>
          <w:iCs w:val="1"/>
          <w:color w:val="auto"/>
        </w:rPr>
        <w:t xml:space="preserve"> </w:t>
      </w:r>
      <w:r>
        <w:rPr>
          <w:rFonts w:ascii="Arial" w:cs="Arial" w:eastAsia="Arial" w:hAnsi="Arial"/>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Basis of Presentation - </w:t>
      </w:r>
      <w:r>
        <w:rPr>
          <w:rFonts w:ascii="Arial" w:cs="Arial" w:eastAsia="Arial" w:hAnsi="Arial"/>
          <w:sz w:val="19"/>
          <w:szCs w:val="19"/>
          <w:color w:val="auto"/>
        </w:rPr>
        <w:t>The accompanying interim unaudited consolidated financial statements have been prepared by the Company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30, 2018.</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31, 2018, the Company adopted Accounting Standards Update (“ASU”) No.</w:t>
      </w:r>
      <w:r>
        <w:rPr>
          <w:rFonts w:ascii="Arial" w:cs="Arial" w:eastAsia="Arial" w:hAnsi="Arial"/>
          <w:sz w:val="19"/>
          <w:szCs w:val="19"/>
          <w:i w:val="1"/>
          <w:iCs w:val="1"/>
          <w:color w:val="auto"/>
        </w:rPr>
        <w:t xml:space="preserve"> </w:t>
      </w:r>
      <w:r>
        <w:rPr>
          <w:rFonts w:ascii="Arial" w:cs="Arial" w:eastAsia="Arial" w:hAnsi="Arial"/>
          <w:sz w:val="19"/>
          <w:szCs w:val="19"/>
          <w:color w:val="auto"/>
        </w:rPr>
        <w:t>2016-02: Leases (Topic 842) (“ASU No. 2016-02”), ASU No. 2018-01: Leases (Topic 842): Land Easement Practical Expedient for Transition to Topic 842 (“ASU No. 2018-01”), and ASU No. 2018-11: Leases (Topic 842): Targeted Improvements (“ASU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 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adopted ASU No. 2016-02 using December 31, 2018 as the date of initial application.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Adoption resulted in the following, as of December 31, 2018:</w:t>
      </w:r>
    </w:p>
    <w:p>
      <w:pPr>
        <w:spacing w:after="0" w:line="229" w:lineRule="exact"/>
        <w:rPr>
          <w:sz w:val="20"/>
          <w:szCs w:val="20"/>
          <w:color w:val="auto"/>
        </w:rPr>
      </w:pPr>
    </w:p>
    <w:p>
      <w:pPr>
        <w:ind w:left="660" w:hanging="490"/>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recording of right-of-use assets of $1.3 billion and lease liabilities of $1.5 billion;</w:t>
      </w:r>
    </w:p>
    <w:p>
      <w:pPr>
        <w:spacing w:after="0" w:line="15" w:lineRule="exact"/>
        <w:rPr>
          <w:rFonts w:ascii="Arial" w:cs="Arial" w:eastAsia="Arial" w:hAnsi="Arial"/>
          <w:sz w:val="20"/>
          <w:szCs w:val="20"/>
          <w:color w:val="auto"/>
        </w:rPr>
      </w:pPr>
    </w:p>
    <w:p>
      <w:pPr>
        <w:ind w:left="660" w:hanging="490"/>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credit to the beginning balance of Accumulated Deficit of $190.4 million to derecognize deferred gains on sale-leaseback transactions and a debit to the beginning balance of Accumulated Deficit of $49.2 million to derecognize the related deferred tax assets; and</w:t>
      </w:r>
    </w:p>
    <w:p>
      <w:pPr>
        <w:jc w:val="both"/>
        <w:ind w:left="660" w:hanging="490"/>
        <w:spacing w:after="0" w:line="241"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derecognition of existing debt obligations of $19.6 million and existing fixed assets of $16.1 million related to restaurant properties sold and leased back from third parties that previously did not qualify for sale accounting, with gains or losses associated with this change recognized in Accumulated Deficit.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Other restaurant operating expense increased during the thirteen and thirty-nine weeks ended September 29, 2019 from the adoption of ASU No. 2016-02 since the Company no longer recognizes the benefit of deferred gains on sale-leaseback transactions through its statements of operations over the corresponding lease term. During the thirteen and thirty-nine weeks ended September 30, 2018, the Company recognized $3.1 million </w:t>
      </w:r>
      <w:r>
        <w:rPr>
          <w:rFonts w:ascii="Arial" w:cs="Arial" w:eastAsia="Arial" w:hAnsi="Arial"/>
          <w:sz w:val="17"/>
          <w:szCs w:val="17"/>
          <w:color w:val="auto"/>
        </w:rPr>
        <w:t>and</w:t>
      </w:r>
      <w:r>
        <w:rPr>
          <w:rFonts w:ascii="Arial" w:cs="Arial" w:eastAsia="Arial" w:hAnsi="Arial"/>
          <w:sz w:val="19"/>
          <w:szCs w:val="19"/>
          <w:color w:val="auto"/>
        </w:rPr>
        <w:t xml:space="preserve"> $9.2 million, respectively, of sale-leaseback deferred gain amortization.</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a result of adoption of ASU No. 2016-02, the Company recorded reclassification adjustments to certain balances that were recorded under Accounting Standards Codification Topic 840, “Leases” (“ASC 840”) on its Consolidated Balance Sheet as of December 30, 2018. The following table summarizes accounts with material reclassification adjustments which impacted Operating lease right-of-use assets as a part of the adoption of ASU No. 2016-02: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ACCOUNT</w:t>
            </w:r>
          </w:p>
        </w:tc>
        <w:tc>
          <w:tcPr>
            <w:tcW w:w="120" w:type="dxa"/>
            <w:vAlign w:val="bottom"/>
            <w:tcBorders>
              <w:bottom w:val="single" w:sz="8" w:color="CCEEFF"/>
            </w:tcBorders>
          </w:tcPr>
          <w:p>
            <w:pPr>
              <w:spacing w:after="0"/>
              <w:rPr>
                <w:sz w:val="17"/>
                <w:szCs w:val="17"/>
                <w:color w:val="auto"/>
              </w:rPr>
            </w:pPr>
          </w:p>
        </w:tc>
        <w:tc>
          <w:tcPr>
            <w:tcW w:w="65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CONSOLIDATED BALANCE SHEET CLASSIFICATION UNDER ASC 840</w:t>
            </w:r>
          </w:p>
        </w:tc>
      </w:tr>
      <w:tr>
        <w:trPr>
          <w:trHeight w:val="23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Deferred rent</w:t>
            </w:r>
          </w:p>
        </w:tc>
        <w:tc>
          <w:tcPr>
            <w:tcW w:w="6500" w:type="dxa"/>
            <w:vAlign w:val="bottom"/>
          </w:tcPr>
          <w:p>
            <w:pPr>
              <w:ind w:left="40"/>
              <w:spacing w:after="0"/>
              <w:rPr>
                <w:sz w:val="20"/>
                <w:szCs w:val="20"/>
                <w:color w:val="auto"/>
              </w:rPr>
            </w:pPr>
            <w:r>
              <w:rPr>
                <w:rFonts w:ascii="Arial" w:cs="Arial" w:eastAsia="Arial" w:hAnsi="Arial"/>
                <w:sz w:val="16"/>
                <w:szCs w:val="16"/>
                <w:color w:val="auto"/>
              </w:rPr>
              <w:t>Deferred rent</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0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Unfavorable leases</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 net</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Exit-related lease accruals</w:t>
            </w:r>
          </w:p>
        </w:tc>
        <w:tc>
          <w:tcPr>
            <w:tcW w:w="6500" w:type="dxa"/>
            <w:vAlign w:val="bottom"/>
          </w:tcPr>
          <w:p>
            <w:pPr>
              <w:ind w:left="40"/>
              <w:spacing w:after="0"/>
              <w:rPr>
                <w:sz w:val="20"/>
                <w:szCs w:val="20"/>
                <w:color w:val="auto"/>
              </w:rPr>
            </w:pPr>
            <w:r>
              <w:rPr>
                <w:rFonts w:ascii="Arial" w:cs="Arial" w:eastAsia="Arial" w:hAnsi="Arial"/>
                <w:sz w:val="16"/>
                <w:szCs w:val="16"/>
                <w:color w:val="auto"/>
              </w:rPr>
              <w:t>Other long-term liabilities, net</w:t>
            </w:r>
          </w:p>
        </w:tc>
      </w:tr>
    </w:tbl>
    <w:p>
      <w:pPr>
        <w:spacing w:after="0" w:line="200" w:lineRule="exact"/>
        <w:rPr>
          <w:sz w:val="20"/>
          <w:szCs w:val="20"/>
          <w:color w:val="auto"/>
        </w:rPr>
      </w:pP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rent payments that were recorded within prepaid assets under ASC 840 are now recorded as a reduction of the current portion of operating lease liabilities.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Recently Issued Financial Accounting Standards Not Yet Adopted </w:t>
      </w:r>
      <w:r>
        <w:rPr>
          <w:rFonts w:ascii="Arial" w:cs="Arial" w:eastAsia="Arial" w:hAnsi="Arial"/>
          <w:sz w:val="20"/>
          <w:szCs w:val="20"/>
          <w:color w:val="auto"/>
        </w:rPr>
        <w:t>- In June 2016, the Financial Accounting Standards Board (“FASB”) issued</w:t>
      </w:r>
      <w:r>
        <w:rPr>
          <w:rFonts w:ascii="Arial" w:cs="Arial" w:eastAsia="Arial" w:hAnsi="Arial"/>
          <w:sz w:val="20"/>
          <w:szCs w:val="20"/>
          <w:i w:val="1"/>
          <w:iCs w:val="1"/>
          <w:color w:val="auto"/>
        </w:rPr>
        <w:t xml:space="preserve"> </w:t>
      </w:r>
      <w:r>
        <w:rPr>
          <w:rFonts w:ascii="Arial" w:cs="Arial" w:eastAsia="Arial" w:hAnsi="Arial"/>
          <w:sz w:val="20"/>
          <w:szCs w:val="20"/>
          <w:color w:val="auto"/>
        </w:rPr>
        <w:t>ASU No. 2016-13, “Financial Instruments – Credit Losses (Topic 326): Measurement of Credit Losses on Financial Instruments,” (“ASU No. 2016-13”), which requires measurement and recognition of losses for financial instruments under the current expected credit loss model (“CECL model”) versus incurred losses under current guidance. ASU No. 2016-13 and its related amendments (“the new credit loss standard”) is effective for the Company in the first quarter of 2020, with early adoption permitted. The Company is developing measurement processes and related controls to ensure compliance with the new credit loss standard. The allowance for credit losses is expected to increase under the CECL model, however, evaluation of the impact of adopting the new credit loss standard on the Company’s Consolidated Financial Statements is still ongoing.</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August 2018, the FASB issued ASU No. 2018-15, “Intangibles-Goodwill and Other-Internal-Use Software (Subtopic 350-40): Customer’s Accounting for Implementation Costs Incurred in a Cloud Computing Arrangement That Is a Service Contract,” (“ASU No. 2018-15”), which clarifies the accounting for implementation costs in cloud computing arrangements. ASU No. 2018-15 is effective for the Company in the first quarter of 2020, and early adoption is permitted. The Company expects its evaluation of ASU No. 2018-15 to be completed during the fourth quarter of 2019. At this time, the adoption of ASU No. 2018-15 is not expected to have a material impact on the Company’s Consolidated Financial Statements and related disclosures.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Revenue Recognition</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the categories of revenue included in the Company’s Consolidated Statements of Operations and Comprehensive (Loss) Income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2019</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951,816</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949,400</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3,069,145</w:t>
            </w:r>
          </w:p>
        </w:tc>
        <w:tc>
          <w:tcPr>
            <w:tcW w:w="100" w:type="dxa"/>
            <w:vAlign w:val="bottom"/>
          </w:tcPr>
          <w:p>
            <w:pPr>
              <w:spacing w:after="0"/>
              <w:rPr>
                <w:sz w:val="20"/>
                <w:szCs w:val="20"/>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3,063,887</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Franchise revenue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12,534</w:t>
            </w:r>
          </w:p>
        </w:tc>
        <w:tc>
          <w:tcPr>
            <w:tcW w:w="120" w:type="dxa"/>
            <w:vAlign w:val="bottom"/>
          </w:tcPr>
          <w:p>
            <w:pPr>
              <w:spacing w:after="0"/>
              <w:rPr>
                <w:sz w:val="20"/>
                <w:szCs w:val="20"/>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38,980</w:t>
            </w:r>
          </w:p>
        </w:tc>
        <w:tc>
          <w:tcPr>
            <w:tcW w:w="100" w:type="dxa"/>
            <w:vAlign w:val="bottom"/>
          </w:tcPr>
          <w:p>
            <w:pPr>
              <w:spacing w:after="0"/>
              <w:rPr>
                <w:sz w:val="20"/>
                <w:szCs w:val="20"/>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39,883</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2,902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9,080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9,530</w:t>
            </w:r>
          </w:p>
        </w:tc>
      </w:tr>
      <w:tr>
        <w:trPr>
          <w:trHeight w:val="270"/>
        </w:trPr>
        <w:tc>
          <w:tcPr>
            <w:tcW w:w="47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Franchise and other revenues</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15,328</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15,621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48,060</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49,413</w:t>
            </w:r>
          </w:p>
        </w:tc>
      </w:tr>
      <w:tr>
        <w:trPr>
          <w:trHeight w:val="244"/>
        </w:trPr>
        <w:tc>
          <w:tcPr>
            <w:tcW w:w="47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967,144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965,021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3,117,205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3,113,300</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tables include the disaggregation of Restaurant sales and Franchise revenue, by restaurant concept and major international market,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FRANCHISE</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300"/>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Outback Steakhouse</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499,903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9,143</w:t>
            </w:r>
          </w:p>
        </w:tc>
        <w:tc>
          <w:tcPr>
            <w:tcW w:w="12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w w:val="96"/>
              </w:rPr>
              <w:t>498,390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Carrabba’s Italian Grill (1)</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137,912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148,513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Bonefish Grill</w:t>
            </w:r>
          </w:p>
        </w:tc>
        <w:tc>
          <w:tcPr>
            <w:tcW w:w="54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132,267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w w:val="96"/>
              </w:rPr>
              <w:t>135,691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Fleming’s Prime Steakhouse &amp; Wine Bar</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64,542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16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3"/>
                <w:szCs w:val="23"/>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54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835,753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848,837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Outback Steakhouse Brazil</w:t>
            </w:r>
          </w:p>
        </w:tc>
        <w:tc>
          <w:tcPr>
            <w:tcW w:w="540" w:type="dxa"/>
            <w:vAlign w:val="bottom"/>
            <w:tcBorders>
              <w:bottom w:val="single" w:sz="8" w:color="CCEEFF"/>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21,633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2,505</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19,370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116,063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2,505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6"/>
              </w:rPr>
              <w:t>100,563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Pr>
          <w:p>
            <w:pPr>
              <w:ind w:left="48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951,816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1"/>
                <w:szCs w:val="21"/>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6"/>
              </w:rPr>
              <w:t>949,400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12,534</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3320"/>
              <w:spacing w:after="0"/>
              <w:rPr>
                <w:sz w:val="20"/>
                <w:szCs w:val="20"/>
                <w:color w:val="auto"/>
              </w:rPr>
            </w:pPr>
            <w:r>
              <w:rPr>
                <w:rFonts w:ascii="Arial" w:cs="Arial" w:eastAsia="Arial" w:hAnsi="Arial"/>
                <w:sz w:val="16"/>
                <w:szCs w:val="16"/>
                <w:color w:val="auto"/>
                <w:w w:val="89"/>
              </w:rPr>
              <w:t>________________</w:t>
            </w: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March 2019, the Company sold </w:t>
      </w:r>
      <w:r>
        <w:rPr>
          <w:rFonts w:ascii="Arial" w:cs="Arial" w:eastAsia="Arial" w:hAnsi="Arial"/>
          <w:sz w:val="16"/>
          <w:szCs w:val="16"/>
          <w:color w:val="252525"/>
        </w:rPr>
        <w:t>18</w:t>
      </w:r>
      <w:r>
        <w:rPr>
          <w:rFonts w:ascii="Arial" w:cs="Arial" w:eastAsia="Arial" w:hAnsi="Arial"/>
          <w:sz w:val="16"/>
          <w:szCs w:val="16"/>
          <w:color w:val="auto"/>
        </w:rPr>
        <w:t xml:space="preserve"> Carrabba’s Italian Grill locations, which are now operated as franchises.</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FRANCHISE</w:t>
            </w: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w:t>
            </w: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RESTAURANT SALES</w:t>
            </w:r>
          </w:p>
        </w:tc>
        <w:tc>
          <w:tcPr>
            <w:tcW w:w="240" w:type="dxa"/>
            <w:vAlign w:val="bottom"/>
          </w:tcPr>
          <w:p>
            <w:pPr>
              <w:spacing w:after="0"/>
              <w:rPr>
                <w:sz w:val="17"/>
                <w:szCs w:val="17"/>
                <w:color w:val="auto"/>
              </w:rPr>
            </w:pPr>
          </w:p>
        </w:tc>
        <w:tc>
          <w:tcPr>
            <w:tcW w:w="1340" w:type="dxa"/>
            <w:vAlign w:val="bottom"/>
          </w:tcPr>
          <w:p>
            <w:pPr>
              <w:jc w:val="right"/>
              <w:ind w:right="3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1,613,723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29,330</w:t>
            </w:r>
          </w:p>
        </w:tc>
        <w:tc>
          <w:tcPr>
            <w:tcW w:w="120" w:type="dxa"/>
            <w:vAlign w:val="bottom"/>
          </w:tcPr>
          <w:p>
            <w:pPr>
              <w:spacing w:after="0"/>
              <w:rPr>
                <w:sz w:val="20"/>
                <w:szCs w:val="20"/>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1,591,588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30,814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461,387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48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436,766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441,594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48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2,737,182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31,315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2,742,118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 Brazil</w:t>
            </w:r>
          </w:p>
        </w:tc>
        <w:tc>
          <w:tcPr>
            <w:tcW w:w="48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63,983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7,665</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57,644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7,920</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331,963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321,769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7,920</w:t>
            </w:r>
          </w:p>
        </w:tc>
        <w:tc>
          <w:tcPr>
            <w:tcW w:w="0" w:type="dxa"/>
            <w:vAlign w:val="bottom"/>
          </w:tcPr>
          <w:p>
            <w:pPr>
              <w:spacing w:after="0"/>
              <w:rPr>
                <w:sz w:val="1"/>
                <w:szCs w:val="1"/>
                <w:color w:val="auto"/>
              </w:rPr>
            </w:pPr>
          </w:p>
        </w:tc>
      </w:tr>
      <w:tr>
        <w:trPr>
          <w:trHeight w:val="250"/>
        </w:trPr>
        <w:tc>
          <w:tcPr>
            <w:tcW w:w="4700" w:type="dxa"/>
            <w:vAlign w:val="bottom"/>
          </w:tcPr>
          <w:p>
            <w:pPr>
              <w:ind w:left="50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3,069,145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38,980</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3,063,887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39,883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40" w:hanging="832"/>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In March 2019, the Company sold </w:t>
      </w:r>
      <w:r>
        <w:rPr>
          <w:rFonts w:ascii="Arial" w:cs="Arial" w:eastAsia="Arial" w:hAnsi="Arial"/>
          <w:sz w:val="16"/>
          <w:szCs w:val="16"/>
          <w:color w:val="252525"/>
        </w:rPr>
        <w:t>18</w:t>
      </w:r>
      <w:r>
        <w:rPr>
          <w:rFonts w:ascii="Arial" w:cs="Arial" w:eastAsia="Arial" w:hAnsi="Arial"/>
          <w:sz w:val="16"/>
          <w:szCs w:val="16"/>
          <w:color w:val="auto"/>
        </w:rPr>
        <w:t xml:space="preserve"> Carrabba’s Italian Grill locations, which are now operated as franchises.</w:t>
      </w:r>
    </w:p>
    <w:p>
      <w:pPr>
        <w:spacing w:after="0" w:line="26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200" w:type="dxa"/>
            <w:vAlign w:val="bottom"/>
          </w:tcPr>
          <w:p>
            <w:pPr>
              <w:spacing w:after="0"/>
              <w:rPr>
                <w:sz w:val="17"/>
                <w:szCs w:val="17"/>
                <w:color w:val="auto"/>
              </w:rPr>
            </w:pPr>
          </w:p>
        </w:tc>
        <w:tc>
          <w:tcPr>
            <w:tcW w:w="172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30, 2018</w:t>
            </w:r>
          </w:p>
        </w:tc>
      </w:tr>
      <w:tr>
        <w:trPr>
          <w:trHeight w:val="25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9,111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16,431</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gift card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333,794</w:t>
            </w: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Deferred loyalty revenue</w:t>
            </w:r>
          </w:p>
        </w:tc>
        <w:tc>
          <w:tcPr>
            <w:tcW w:w="180" w:type="dxa"/>
            <w:vAlign w:val="bottom"/>
          </w:tcPr>
          <w:p>
            <w:pPr>
              <w:spacing w:after="0"/>
              <w:rPr>
                <w:sz w:val="20"/>
                <w:szCs w:val="20"/>
                <w:color w:val="auto"/>
              </w:rPr>
            </w:pPr>
          </w:p>
        </w:tc>
        <w:tc>
          <w:tcPr>
            <w:tcW w:w="1780" w:type="dxa"/>
            <w:vAlign w:val="bottom"/>
          </w:tcPr>
          <w:p>
            <w:pPr>
              <w:jc w:val="right"/>
              <w:ind w:right="40"/>
              <w:spacing w:after="0"/>
              <w:rPr>
                <w:sz w:val="20"/>
                <w:szCs w:val="20"/>
                <w:color w:val="auto"/>
              </w:rPr>
            </w:pPr>
            <w:r>
              <w:rPr>
                <w:rFonts w:ascii="Arial" w:cs="Arial" w:eastAsia="Arial" w:hAnsi="Arial"/>
                <w:sz w:val="16"/>
                <w:szCs w:val="16"/>
                <w:color w:val="auto"/>
              </w:rPr>
              <w:t>9,670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8,424</w:t>
            </w: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franchise fees - current</w:t>
            </w:r>
          </w:p>
        </w:tc>
        <w:tc>
          <w:tcPr>
            <w:tcW w:w="18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r>
      <w:tr>
        <w:trPr>
          <w:trHeight w:val="290"/>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217,211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342,708</w:t>
            </w:r>
          </w:p>
        </w:tc>
      </w:tr>
      <w:tr>
        <w:trPr>
          <w:trHeight w:val="284"/>
        </w:trPr>
        <w:tc>
          <w:tcPr>
            <w:tcW w:w="7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franchise fees - 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4,531</w:t>
            </w:r>
          </w:p>
        </w:tc>
      </w:tr>
      <w:tr>
        <w:trPr>
          <w:trHeight w:val="33"/>
        </w:trPr>
        <w:tc>
          <w:tcPr>
            <w:tcW w:w="7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2019</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16,231</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Deferred gift card sales commissions amortization</w:t>
            </w: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(18,927)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(20,151)</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gift card sales commissions capitalization</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13,287</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7,910</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2019</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3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420" w:type="dxa"/>
            <w:vAlign w:val="bottom"/>
            <w:tcBorders>
              <w:top w:val="single" w:sz="8" w:color="auto"/>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227,372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213,286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323,628</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Gift card sales</w:t>
            </w:r>
          </w:p>
        </w:tc>
        <w:tc>
          <w:tcPr>
            <w:tcW w:w="42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52,059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54,477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183,189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189,599</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Gift card redemptions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(68,880)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(295,281)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(304,198)</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Gift card breakage</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(14,643)</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(15,746)</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207,059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193,283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207,059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193,283</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Disposals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252525"/>
        </w:rPr>
        <w:t xml:space="preserve">Refranchising </w:t>
      </w:r>
      <w:r>
        <w:rPr>
          <w:rFonts w:ascii="Arial" w:cs="Arial" w:eastAsia="Arial" w:hAnsi="Arial"/>
          <w:sz w:val="20"/>
          <w:szCs w:val="20"/>
          <w:color w:val="252525"/>
        </w:rPr>
        <w:t>- During the thirteen weeks ended March 31, 2019, the Company completed the sale of 18 of its existing U.S. Company-owned</w:t>
      </w:r>
      <w:r>
        <w:rPr>
          <w:rFonts w:ascii="Arial" w:cs="Arial" w:eastAsia="Arial" w:hAnsi="Arial"/>
          <w:sz w:val="20"/>
          <w:szCs w:val="20"/>
          <w:i w:val="1"/>
          <w:iCs w:val="1"/>
          <w:color w:val="252525"/>
        </w:rPr>
        <w:t xml:space="preserve"> </w:t>
      </w:r>
      <w:r>
        <w:rPr>
          <w:rFonts w:ascii="Arial" w:cs="Arial" w:eastAsia="Arial" w:hAnsi="Arial"/>
          <w:sz w:val="20"/>
          <w:szCs w:val="20"/>
          <w:color w:val="252525"/>
        </w:rPr>
        <w:t>Carrabba’s Italian Grill locations to an existing franchisee (the “Buyer”) for cash proceeds of $3.6 million, net of certain purchase price adjustments.</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52525"/>
        </w:rPr>
        <w:t xml:space="preserve">The Company remains contingently liable on certain real estate lease agreements assigned to the Buyer. See Note </w:t>
      </w:r>
      <w:r>
        <w:rPr>
          <w:rFonts w:ascii="Arial" w:cs="Arial" w:eastAsia="Arial" w:hAnsi="Arial"/>
          <w:sz w:val="20"/>
          <w:szCs w:val="20"/>
          <w:color w:val="000000"/>
        </w:rPr>
        <w:t>16 -</w:t>
      </w:r>
      <w:r>
        <w:rPr>
          <w:rFonts w:ascii="Arial" w:cs="Arial" w:eastAsia="Arial" w:hAnsi="Arial"/>
          <w:sz w:val="20"/>
          <w:szCs w:val="20"/>
          <w:color w:val="252525"/>
        </w:rPr>
        <w:t xml:space="preserve"> </w:t>
      </w:r>
      <w:r>
        <w:rPr>
          <w:rFonts w:ascii="Arial" w:cs="Arial" w:eastAsia="Arial" w:hAnsi="Arial"/>
          <w:sz w:val="20"/>
          <w:szCs w:val="20"/>
          <w:i w:val="1"/>
          <w:iCs w:val="1"/>
          <w:color w:val="000000"/>
        </w:rPr>
        <w:t>Commitments and</w:t>
      </w:r>
      <w:r>
        <w:rPr>
          <w:rFonts w:ascii="Arial" w:cs="Arial" w:eastAsia="Arial" w:hAnsi="Arial"/>
          <w:sz w:val="20"/>
          <w:szCs w:val="20"/>
          <w:color w:val="252525"/>
        </w:rPr>
        <w:t xml:space="preserve"> </w:t>
      </w:r>
      <w:r>
        <w:rPr>
          <w:rFonts w:ascii="Arial" w:cs="Arial" w:eastAsia="Arial" w:hAnsi="Arial"/>
          <w:sz w:val="20"/>
          <w:szCs w:val="20"/>
          <w:i w:val="1"/>
          <w:iCs w:val="1"/>
          <w:color w:val="000000"/>
        </w:rPr>
        <w:t xml:space="preserve">Contingencies </w:t>
      </w:r>
      <w:r>
        <w:rPr>
          <w:rFonts w:ascii="Arial" w:cs="Arial" w:eastAsia="Arial" w:hAnsi="Arial"/>
          <w:sz w:val="20"/>
          <w:szCs w:val="20"/>
          <w:color w:val="000000"/>
        </w:rPr>
        <w:t>for additional details regarding lease guarantees.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Surplus Property Disposals </w:t>
      </w:r>
      <w:r>
        <w:rPr>
          <w:rFonts w:ascii="Arial" w:cs="Arial" w:eastAsia="Arial" w:hAnsi="Arial"/>
          <w:sz w:val="20"/>
          <w:szCs w:val="20"/>
          <w:color w:val="auto"/>
        </w:rPr>
        <w:t>- During the thirteen weeks ended September 29, 2019, the Company completed the sale of five of its U.S. surplus</w:t>
      </w:r>
      <w:r>
        <w:rPr>
          <w:rFonts w:ascii="Arial" w:cs="Arial" w:eastAsia="Arial" w:hAnsi="Arial"/>
          <w:sz w:val="20"/>
          <w:szCs w:val="20"/>
          <w:i w:val="1"/>
          <w:iCs w:val="1"/>
          <w:color w:val="auto"/>
        </w:rPr>
        <w:t xml:space="preserve"> </w:t>
      </w:r>
      <w:r>
        <w:rPr>
          <w:rFonts w:ascii="Arial" w:cs="Arial" w:eastAsia="Arial" w:hAnsi="Arial"/>
          <w:sz w:val="20"/>
          <w:szCs w:val="20"/>
          <w:color w:val="auto"/>
        </w:rPr>
        <w:t>properties for cash proceeds of $12.7 million, net of certain purchase price adjustments. The transaction resulted in a net gain of $3.6 million, recorded within Other restaurant operating expense in the Company’s Consolidated Statements of Operations and Comprehensive (Loss) Income.</w:t>
      </w: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Impairments and Exit Costs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2019</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losses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U.S.</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20"/>
                <w:szCs w:val="20"/>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1,725</w:t>
            </w:r>
          </w:p>
        </w:tc>
      </w:tr>
      <w:tr>
        <w:trPr>
          <w:trHeight w:val="33"/>
        </w:trPr>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6,597</w:t>
            </w:r>
          </w:p>
        </w:tc>
      </w:tr>
      <w:tr>
        <w:trPr>
          <w:trHeight w:val="270"/>
        </w:trPr>
        <w:tc>
          <w:tcPr>
            <w:tcW w:w="480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6"/>
                <w:szCs w:val="16"/>
                <w:color w:val="auto"/>
              </w:rPr>
              <w:t>Total impairment losses</w:t>
            </w: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1,548</w:t>
            </w:r>
          </w:p>
        </w:tc>
        <w:tc>
          <w:tcPr>
            <w:tcW w:w="120" w:type="dxa"/>
            <w:vAlign w:val="bottom"/>
            <w:tcBorders>
              <w:top w:val="single" w:sz="8" w:color="CCEEFF"/>
              <w:bottom w:val="single" w:sz="8" w:color="CCEEFF"/>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Borders>
              <w:top w:val="single" w:sz="8" w:color="CCEEFF"/>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6,962</w:t>
            </w:r>
          </w:p>
        </w:tc>
        <w:tc>
          <w:tcPr>
            <w:tcW w:w="100" w:type="dxa"/>
            <w:vAlign w:val="bottom"/>
            <w:tcBorders>
              <w:top w:val="single" w:sz="8" w:color="CCEEFF"/>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8,322</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closure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280"/>
              <w:spacing w:after="0"/>
              <w:rPr>
                <w:sz w:val="20"/>
                <w:szCs w:val="20"/>
                <w:color w:val="auto"/>
              </w:rPr>
            </w:pPr>
            <w:r>
              <w:rPr>
                <w:rFonts w:ascii="Arial" w:cs="Arial" w:eastAsia="Arial" w:hAnsi="Arial"/>
                <w:sz w:val="16"/>
                <w:szCs w:val="16"/>
                <w:color w:val="auto"/>
              </w:rPr>
              <w:t>U.S.</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20"/>
                <w:szCs w:val="20"/>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3,672</w:t>
            </w:r>
          </w:p>
        </w:tc>
      </w:tr>
      <w:tr>
        <w:trPr>
          <w:trHeight w:val="33"/>
        </w:trPr>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3,596</w:t>
            </w:r>
          </w:p>
        </w:tc>
      </w:tr>
      <w:tr>
        <w:trPr>
          <w:trHeight w:val="270"/>
        </w:trPr>
        <w:tc>
          <w:tcPr>
            <w:tcW w:w="48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restaurant closure expenses</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7,268</w:t>
            </w: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impaired assets and restaurant closings</w:t>
            </w:r>
          </w:p>
        </w:tc>
        <w:tc>
          <w:tcPr>
            <w:tcW w:w="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15,590</w:t>
            </w:r>
          </w:p>
        </w:tc>
      </w:tr>
      <w:tr>
        <w:trPr>
          <w:trHeight w:val="20"/>
        </w:trPr>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International Restructuring </w:t>
      </w:r>
      <w:r>
        <w:rPr>
          <w:rFonts w:ascii="Arial" w:cs="Arial" w:eastAsia="Arial" w:hAnsi="Arial"/>
          <w:sz w:val="20"/>
          <w:szCs w:val="20"/>
          <w:color w:val="auto"/>
        </w:rPr>
        <w:t>- During the thirty-nine weeks ended September 29, 2019 and September 30, 2018, the Company recognized asset</w:t>
      </w:r>
      <w:r>
        <w:rPr>
          <w:rFonts w:ascii="Arial" w:cs="Arial" w:eastAsia="Arial" w:hAnsi="Arial"/>
          <w:sz w:val="20"/>
          <w:szCs w:val="20"/>
          <w:i w:val="1"/>
          <w:iCs w:val="1"/>
          <w:color w:val="auto"/>
        </w:rPr>
        <w:t xml:space="preserve"> </w:t>
      </w:r>
      <w:r>
        <w:rPr>
          <w:rFonts w:ascii="Arial" w:cs="Arial" w:eastAsia="Arial" w:hAnsi="Arial"/>
          <w:sz w:val="20"/>
          <w:szCs w:val="20"/>
          <w:color w:val="auto"/>
        </w:rPr>
        <w:t>impairment and closure charges of $1.8 million and $9.1 million, respectively, related to the restructuring of certain international markets, including Puerto Rico and China.</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impairment and closing charges for the periods presented resulted primarily from approved store closure initiatives, locations identified for remodel, relocation or closure and certain other assets.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summarizes the Company’s accrual activity related to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other costs, associated with certain closure initiatives, for the period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tcPr>
          <w:p>
            <w:pPr>
              <w:jc w:val="right"/>
              <w:ind w:right="36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22"/>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SEPTEMBER 29, 2019</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18,094</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Additions (1)</w:t>
            </w:r>
          </w:p>
        </w:tc>
        <w:tc>
          <w:tcPr>
            <w:tcW w:w="280" w:type="dxa"/>
            <w:vAlign w:val="bottom"/>
          </w:tcPr>
          <w:p>
            <w:pPr>
              <w:spacing w:after="0"/>
              <w:rPr>
                <w:sz w:val="19"/>
                <w:szCs w:val="19"/>
                <w:color w:val="auto"/>
              </w:rPr>
            </w:pPr>
          </w:p>
        </w:tc>
        <w:tc>
          <w:tcPr>
            <w:tcW w:w="2680" w:type="dxa"/>
            <w:vAlign w:val="bottom"/>
          </w:tcPr>
          <w:p>
            <w:pPr>
              <w:jc w:val="right"/>
              <w:ind w:right="21"/>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8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Accretion</w:t>
            </w:r>
          </w:p>
        </w:tc>
        <w:tc>
          <w:tcPr>
            <w:tcW w:w="280" w:type="dxa"/>
            <w:vAlign w:val="bottom"/>
          </w:tcPr>
          <w:p>
            <w:pPr>
              <w:spacing w:after="0"/>
              <w:rPr>
                <w:sz w:val="19"/>
                <w:szCs w:val="19"/>
                <w:color w:val="auto"/>
              </w:rPr>
            </w:pPr>
          </w:p>
        </w:tc>
        <w:tc>
          <w:tcPr>
            <w:tcW w:w="2680" w:type="dxa"/>
            <w:vAlign w:val="bottom"/>
          </w:tcPr>
          <w:p>
            <w:pPr>
              <w:jc w:val="right"/>
              <w:ind w:right="21"/>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w:t>
            </w:r>
          </w:p>
        </w:tc>
        <w:tc>
          <w:tcPr>
            <w:tcW w:w="280" w:type="dxa"/>
            <w:vAlign w:val="bottom"/>
            <w:tcBorders>
              <w:bottom w:val="single" w:sz="8" w:color="auto"/>
            </w:tcBorders>
            <w:shd w:val="clear" w:color="auto" w:fill="CCEEFF"/>
          </w:tcPr>
          <w:p>
            <w:pPr>
              <w:spacing w:after="0"/>
              <w:rPr>
                <w:sz w:val="22"/>
                <w:szCs w:val="22"/>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Balance, end of the period (2)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15,214</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4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closure initiative related lease liabilities recognized as a result of the adoption of ASU No. 2016-02.</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September 29, 2019, the Company had exit-related accruals related to certain closure initiatives of $3.1 million recorded in Accrued and other current liabilities and $12.1 million recorded in Non-current operating lease liabilities on its Consolidated Balance Sheet.</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Annual Goodwill and Intangible Asset Impairment Assessment </w:t>
      </w:r>
      <w:r>
        <w:rPr>
          <w:rFonts w:ascii="Arial" w:cs="Arial" w:eastAsia="Arial" w:hAnsi="Arial"/>
          <w:sz w:val="20"/>
          <w:szCs w:val="20"/>
          <w:color w:val="auto"/>
        </w:rPr>
        <w:t>- The Company performed its annual assessment for impairment of goodwill</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indefinite-lived intangible assets during the second fiscal quarters of 2019 and 2018. The Company’s 2019 assessment utilized a qualitative assessment and its 2018 assessment utilized a quantitative approach. In connection with these assessments, the Company did not record any impairment charges.</w:t>
      </w:r>
    </w:p>
    <w:p>
      <w:pPr>
        <w:spacing w:after="0" w:line="20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computation of basic and diluted earnings per share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96,191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86,843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92,202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92,197</w:t>
            </w: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diluted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1,870</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Nonvested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409</w:t>
            </w:r>
          </w:p>
        </w:tc>
      </w:tr>
      <w:tr>
        <w:trPr>
          <w:trHeight w:val="270"/>
        </w:trPr>
        <w:tc>
          <w:tcPr>
            <w:tcW w:w="5160" w:type="dxa"/>
            <w:vAlign w:val="bottom"/>
          </w:tcPr>
          <w:p>
            <w:pPr>
              <w:ind w:left="180"/>
              <w:spacing w:after="0"/>
              <w:rPr>
                <w:sz w:val="20"/>
                <w:szCs w:val="20"/>
                <w:color w:val="auto"/>
              </w:rPr>
            </w:pPr>
            <w:r>
              <w:rPr>
                <w:rFonts w:ascii="Arial" w:cs="Arial" w:eastAsia="Arial" w:hAnsi="Arial"/>
                <w:sz w:val="16"/>
                <w:szCs w:val="16"/>
                <w:color w:val="auto"/>
              </w:rPr>
              <w:t>Nonvested performance-based share units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w:t>
            </w: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87,305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93,324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94,489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1.02</w:t>
            </w:r>
          </w:p>
        </w:tc>
      </w:tr>
    </w:tbl>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Securities outstanding not included in the computation of earnings per share because their effect was antidilutive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200" w:type="dxa"/>
            <w:vAlign w:val="bottom"/>
            <w:gridSpan w:val="4"/>
          </w:tcPr>
          <w:p>
            <w:pPr>
              <w:ind w:left="640"/>
              <w:spacing w:after="0"/>
              <w:rPr>
                <w:sz w:val="20"/>
                <w:szCs w:val="20"/>
                <w:color w:val="auto"/>
              </w:rPr>
            </w:pPr>
            <w:r>
              <w:rPr>
                <w:rFonts w:ascii="Arial" w:cs="Arial" w:eastAsia="Arial" w:hAnsi="Arial"/>
                <w:sz w:val="14"/>
                <w:szCs w:val="14"/>
                <w:b w:val="1"/>
                <w:bCs w:val="1"/>
                <w:color w:val="auto"/>
              </w:rPr>
              <w:t>THIRTEEN WEEKS ENDED</w:t>
            </w:r>
          </w:p>
        </w:tc>
        <w:tc>
          <w:tcPr>
            <w:tcW w:w="3060" w:type="dxa"/>
            <w:vAlign w:val="bottom"/>
            <w:gridSpan w:val="3"/>
          </w:tcPr>
          <w:p>
            <w:pPr>
              <w:jc w:val="right"/>
              <w:ind w:right="40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gridSpan w:val="2"/>
          </w:tcPr>
          <w:p>
            <w:pPr>
              <w:ind w:left="200"/>
              <w:spacing w:after="0" w:line="153" w:lineRule="exact"/>
              <w:rPr>
                <w:sz w:val="20"/>
                <w:szCs w:val="20"/>
                <w:color w:val="auto"/>
              </w:rPr>
            </w:pPr>
            <w:r>
              <w:rPr>
                <w:rFonts w:ascii="Arial" w:cs="Arial" w:eastAsia="Arial" w:hAnsi="Arial"/>
                <w:sz w:val="14"/>
                <w:szCs w:val="14"/>
                <w:b w:val="1"/>
                <w:bCs w:val="1"/>
                <w:color w:val="auto"/>
              </w:rPr>
              <w:t>SEPTEMBER 29,</w:t>
            </w:r>
          </w:p>
        </w:tc>
        <w:tc>
          <w:tcPr>
            <w:tcW w:w="1480" w:type="dxa"/>
            <w:vAlign w:val="bottom"/>
            <w:tcBorders>
              <w:top w:val="single" w:sz="8" w:color="auto"/>
            </w:tcBorders>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80" w:type="dxa"/>
            <w:vAlign w:val="bottom"/>
          </w:tcPr>
          <w:p>
            <w:pPr>
              <w:jc w:val="right"/>
              <w:ind w:right="523"/>
              <w:spacing w:after="0"/>
              <w:rPr>
                <w:sz w:val="20"/>
                <w:szCs w:val="20"/>
                <w:color w:val="auto"/>
              </w:rPr>
            </w:pPr>
            <w:r>
              <w:rPr>
                <w:rFonts w:ascii="Arial" w:cs="Arial" w:eastAsia="Arial" w:hAnsi="Arial"/>
                <w:sz w:val="14"/>
                <w:szCs w:val="14"/>
                <w:b w:val="1"/>
                <w:bCs w:val="1"/>
                <w:color w:val="auto"/>
              </w:rPr>
              <w:t>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 options</w:t>
            </w:r>
          </w:p>
        </w:tc>
        <w:tc>
          <w:tcPr>
            <w:tcW w:w="150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2,628</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Nonvested restricted stock units</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0"/>
                <w:szCs w:val="20"/>
                <w:color w:val="auto"/>
              </w:rPr>
            </w:pP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129</w:t>
            </w: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Nonvested performance-based share units</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191</w:t>
            </w:r>
          </w:p>
        </w:tc>
      </w:tr>
      <w:tr>
        <w:trPr>
          <w:trHeight w:val="41"/>
        </w:trPr>
        <w:tc>
          <w:tcPr>
            <w:tcW w:w="516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6"/>
          <w:szCs w:val="16"/>
          <w:color w:val="auto"/>
        </w:rPr>
        <w:t>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5,059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2,389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6,548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7,110</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3,779</w:t>
            </w:r>
          </w:p>
        </w:tc>
      </w:tr>
      <w:tr>
        <w:trPr>
          <w:trHeight w:val="224"/>
        </w:trPr>
        <w:tc>
          <w:tcPr>
            <w:tcW w:w="516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4,553</w:t>
            </w:r>
          </w:p>
        </w:tc>
        <w:tc>
          <w:tcPr>
            <w:tcW w:w="1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5,165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13,541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15,948</w:t>
            </w:r>
          </w:p>
        </w:tc>
      </w:tr>
      <w:tr>
        <w:trPr>
          <w:trHeight w:val="33"/>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thirty-nine weeks ended September 29, 2019, the Company made grants of 1.2 million stock options, 0.6 million time-based restricted stock units and 0.2 million performance-based share units.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THIRTY-NINE WEEKS ENDED</w:t>
            </w: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200" w:type="dxa"/>
            <w:vAlign w:val="bottom"/>
          </w:tcPr>
          <w:p>
            <w:pPr>
              <w:spacing w:after="0"/>
              <w:rPr>
                <w:sz w:val="21"/>
                <w:szCs w:val="21"/>
                <w:color w:val="auto"/>
              </w:rPr>
            </w:pPr>
          </w:p>
        </w:tc>
        <w:tc>
          <w:tcPr>
            <w:tcW w:w="1780" w:type="dxa"/>
            <w:vAlign w:val="bottom"/>
          </w:tcPr>
          <w:p>
            <w:pPr>
              <w:jc w:val="right"/>
              <w:ind w:right="200"/>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20" w:type="dxa"/>
            <w:vAlign w:val="bottom"/>
          </w:tcPr>
          <w:p>
            <w:pPr>
              <w:spacing w:after="0"/>
              <w:rPr>
                <w:sz w:val="21"/>
                <w:szCs w:val="21"/>
                <w:color w:val="auto"/>
              </w:rPr>
            </w:pPr>
          </w:p>
        </w:tc>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Weighted-average risk-free interest rate (1)</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Dividend yield (2)</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20" w:type="dxa"/>
            <w:vAlign w:val="bottom"/>
          </w:tcPr>
          <w:p>
            <w:pPr>
              <w:spacing w:after="0"/>
              <w:rPr>
                <w:sz w:val="20"/>
                <w:szCs w:val="20"/>
                <w:color w:val="auto"/>
              </w:rPr>
            </w:pPr>
          </w:p>
        </w:tc>
        <w:tc>
          <w:tcPr>
            <w:tcW w:w="7340" w:type="dxa"/>
            <w:vAlign w:val="bottom"/>
          </w:tcPr>
          <w:p>
            <w:pPr>
              <w:ind w:left="160"/>
              <w:spacing w:after="0"/>
              <w:rPr>
                <w:sz w:val="20"/>
                <w:szCs w:val="20"/>
                <w:color w:val="auto"/>
              </w:rPr>
            </w:pPr>
            <w:r>
              <w:rPr>
                <w:rFonts w:ascii="Arial" w:cs="Arial" w:eastAsia="Arial" w:hAnsi="Arial"/>
                <w:sz w:val="16"/>
                <w:szCs w:val="16"/>
                <w:color w:val="auto"/>
              </w:rPr>
              <w:t>Expected term (3)</w:t>
            </w:r>
          </w:p>
        </w:tc>
        <w:tc>
          <w:tcPr>
            <w:tcW w:w="200" w:type="dxa"/>
            <w:vAlign w:val="bottom"/>
          </w:tcPr>
          <w:p>
            <w:pPr>
              <w:spacing w:after="0"/>
              <w:rPr>
                <w:sz w:val="20"/>
                <w:szCs w:val="20"/>
                <w:color w:val="auto"/>
              </w:rPr>
            </w:pPr>
          </w:p>
        </w:tc>
        <w:tc>
          <w:tcPr>
            <w:tcW w:w="1880" w:type="dxa"/>
            <w:vAlign w:val="bottom"/>
            <w:gridSpan w:val="2"/>
          </w:tcPr>
          <w:p>
            <w:pPr>
              <w:ind w:left="1040"/>
              <w:spacing w:after="0"/>
              <w:rPr>
                <w:sz w:val="20"/>
                <w:szCs w:val="20"/>
                <w:color w:val="auto"/>
              </w:rPr>
            </w:pPr>
            <w:r>
              <w:rPr>
                <w:rFonts w:ascii="Arial" w:cs="Arial" w:eastAsia="Arial" w:hAnsi="Arial"/>
                <w:sz w:val="16"/>
                <w:szCs w:val="16"/>
                <w:color w:val="auto"/>
              </w:rPr>
              <w:t>4.8 years</w:t>
            </w:r>
          </w:p>
        </w:tc>
        <w:tc>
          <w:tcPr>
            <w:tcW w:w="200" w:type="dxa"/>
            <w:vAlign w:val="bottom"/>
          </w:tcPr>
          <w:p>
            <w:pPr>
              <w:spacing w:after="0"/>
              <w:rPr>
                <w:sz w:val="20"/>
                <w:szCs w:val="20"/>
                <w:color w:val="auto"/>
              </w:rPr>
            </w:pP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5.8 years</w:t>
            </w:r>
          </w:p>
        </w:tc>
      </w:tr>
      <w:tr>
        <w:trPr>
          <w:trHeight w:val="33"/>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Weighted-average volatility (4)</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32.76%</w:t>
            </w:r>
          </w:p>
        </w:tc>
      </w:tr>
      <w:tr>
        <w:trPr>
          <w:trHeight w:val="297"/>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7.23</w:t>
            </w:r>
          </w:p>
        </w:tc>
      </w:tr>
      <w:tr>
        <w:trPr>
          <w:trHeight w:val="193"/>
        </w:trPr>
        <w:tc>
          <w:tcPr>
            <w:tcW w:w="20" w:type="dxa"/>
            <w:vAlign w:val="bottom"/>
          </w:tcPr>
          <w:p>
            <w:pPr>
              <w:spacing w:after="0"/>
              <w:rPr>
                <w:sz w:val="16"/>
                <w:szCs w:val="16"/>
                <w:color w:val="auto"/>
              </w:rPr>
            </w:pPr>
          </w:p>
        </w:tc>
        <w:tc>
          <w:tcPr>
            <w:tcW w:w="7340" w:type="dxa"/>
            <w:vAlign w:val="bottom"/>
          </w:tcPr>
          <w:p>
            <w:pPr>
              <w:spacing w:after="0"/>
              <w:rPr>
                <w:sz w:val="20"/>
                <w:szCs w:val="20"/>
                <w:color w:val="auto"/>
              </w:rPr>
            </w:pPr>
            <w:r>
              <w:rPr>
                <w:rFonts w:ascii="Arial" w:cs="Arial" w:eastAsia="Arial" w:hAnsi="Arial"/>
                <w:sz w:val="16"/>
                <w:szCs w:val="16"/>
                <w:color w:val="auto"/>
              </w:rPr>
              <w:t>________________</w:t>
            </w: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bl>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Restricted stock units granted prior to 2019 generally vest over a period of four years and restricted stock units granted after 2018 generally vest over a period of three years, in an equal number of shares each year.</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represents unrecognized stock compensation expense and the remaining weighted-average vesting period as of September 29,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UNRECOGNIZED</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REMAINING WEIGHTED-</w:t>
            </w:r>
          </w:p>
        </w:tc>
      </w:tr>
      <w:tr>
        <w:trPr>
          <w:trHeight w:val="149"/>
        </w:trPr>
        <w:tc>
          <w:tcPr>
            <w:tcW w:w="7400" w:type="dxa"/>
            <w:vAlign w:val="bottom"/>
          </w:tcPr>
          <w:p>
            <w:pPr>
              <w:spacing w:after="0"/>
              <w:rPr>
                <w:sz w:val="12"/>
                <w:szCs w:val="12"/>
                <w:color w:val="auto"/>
              </w:rPr>
            </w:pPr>
          </w:p>
        </w:tc>
        <w:tc>
          <w:tcPr>
            <w:tcW w:w="2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 EXPENSE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r>
      <w:tr>
        <w:trPr>
          <w:trHeight w:val="20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(dollars in thousands)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8"/>
              </w:rPr>
              <w:t>PERIOD (in years)</w:t>
            </w:r>
          </w:p>
        </w:tc>
      </w:tr>
      <w:tr>
        <w:trPr>
          <w:trHeight w:val="237"/>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40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16,848</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Performance-based share units</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7,003</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6"/>
          <w:szCs w:val="16"/>
          <w:color w:val="auto"/>
        </w:rPr>
        <w:t>Other Current Assets, Net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38,117</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 - gift cards, net</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9,577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91,242</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vendors,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10,029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 - franchisees, net</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1,303</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19,688</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Deferred gift card sales commissions</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9,111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16,431</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5,143</w:t>
            </w:r>
          </w:p>
        </w:tc>
      </w:tr>
      <w:tr>
        <w:trPr>
          <w:trHeight w:val="270"/>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2,982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8,895</w:t>
            </w:r>
          </w:p>
        </w:tc>
      </w:tr>
      <w:tr>
        <w:trPr>
          <w:trHeight w:val="255"/>
        </w:trPr>
        <w:tc>
          <w:tcPr>
            <w:tcW w:w="7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190,848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8.</w:t>
      </w:r>
      <w:r>
        <w:rPr>
          <w:sz w:val="20"/>
          <w:szCs w:val="20"/>
          <w:color w:val="auto"/>
        </w:rPr>
        <w:tab/>
      </w:r>
      <w:r>
        <w:rPr>
          <w:rFonts w:ascii="Arial" w:cs="Arial" w:eastAsia="Arial" w:hAnsi="Arial"/>
          <w:sz w:val="18"/>
          <w:szCs w:val="18"/>
          <w:color w:val="auto"/>
        </w:rPr>
        <w:t>Accrued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rent and current operating lease liabilities</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2,850</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Accrued payroll and other compensation</w:t>
            </w:r>
          </w:p>
        </w:tc>
        <w:tc>
          <w:tcPr>
            <w:tcW w:w="220" w:type="dxa"/>
            <w:vAlign w:val="bottom"/>
          </w:tcPr>
          <w:p>
            <w:pPr>
              <w:spacing w:after="0"/>
              <w:rPr>
                <w:sz w:val="20"/>
                <w:szCs w:val="20"/>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95,366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101,249</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22,055</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19"/>
                <w:szCs w:val="19"/>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96,316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120,499</w:t>
            </w:r>
          </w:p>
        </w:tc>
      </w:tr>
      <w:tr>
        <w:trPr>
          <w:trHeight w:val="40"/>
        </w:trPr>
        <w:tc>
          <w:tcPr>
            <w:tcW w:w="7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2"/>
        </w:trPr>
        <w:tc>
          <w:tcPr>
            <w:tcW w:w="7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387,017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246,653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Long-term Debt,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4"/>
          </w:tcPr>
          <w:p>
            <w:pPr>
              <w:ind w:left="760"/>
              <w:spacing w:after="0"/>
              <w:rPr>
                <w:sz w:val="20"/>
                <w:szCs w:val="20"/>
                <w:color w:val="auto"/>
              </w:rPr>
            </w:pPr>
            <w:r>
              <w:rPr>
                <w:rFonts w:ascii="Arial" w:cs="Arial" w:eastAsia="Arial" w:hAnsi="Arial"/>
                <w:sz w:val="14"/>
                <w:szCs w:val="14"/>
                <w:b w:val="1"/>
                <w:bCs w:val="1"/>
                <w:color w:val="auto"/>
              </w:rPr>
              <w:t>SEPTEMBER 29, 2019</w:t>
            </w:r>
          </w:p>
        </w:tc>
        <w:tc>
          <w:tcPr>
            <w:tcW w:w="180" w:type="dxa"/>
            <w:vAlign w:val="bottom"/>
          </w:tcPr>
          <w:p>
            <w:pPr>
              <w:spacing w:after="0"/>
              <w:rPr>
                <w:sz w:val="17"/>
                <w:szCs w:val="17"/>
                <w:color w:val="auto"/>
              </w:rPr>
            </w:pPr>
          </w:p>
        </w:tc>
        <w:tc>
          <w:tcPr>
            <w:tcW w:w="3140" w:type="dxa"/>
            <w:vAlign w:val="bottom"/>
            <w:gridSpan w:val="3"/>
          </w:tcPr>
          <w:p>
            <w:pPr>
              <w:jc w:val="right"/>
              <w:ind w:right="882"/>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38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 RATE</w:t>
            </w:r>
          </w:p>
        </w:tc>
        <w:tc>
          <w:tcPr>
            <w:tcW w:w="180" w:type="dxa"/>
            <w:vAlign w:val="bottom"/>
          </w:tcPr>
          <w:p>
            <w:pPr>
              <w:spacing w:after="0"/>
              <w:rPr>
                <w:sz w:val="17"/>
                <w:szCs w:val="17"/>
                <w:color w:val="auto"/>
              </w:rPr>
            </w:pP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tcPr>
          <w:p>
            <w:pPr>
              <w:jc w:val="right"/>
              <w:ind w:right="162"/>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456,250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2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663,800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599,500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Senior Secured Credit Facility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1,120,050</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1,074,500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2,702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3,297</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Financing obligations</w:t>
            </w:r>
          </w:p>
        </w:tc>
        <w:tc>
          <w:tcPr>
            <w:tcW w:w="200" w:type="dxa"/>
            <w:vAlign w:val="bottom"/>
          </w:tcPr>
          <w:p>
            <w:pPr>
              <w:spacing w:after="0"/>
              <w:rPr>
                <w:sz w:val="20"/>
                <w:szCs w:val="20"/>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19,562</w:t>
            </w:r>
          </w:p>
        </w:tc>
        <w:tc>
          <w:tcPr>
            <w:tcW w:w="100" w:type="dxa"/>
            <w:vAlign w:val="bottom"/>
          </w:tcPr>
          <w:p>
            <w:pPr>
              <w:spacing w:after="0"/>
              <w:rPr>
                <w:sz w:val="20"/>
                <w:szCs w:val="20"/>
                <w:color w:val="auto"/>
              </w:rPr>
            </w:pPr>
          </w:p>
        </w:tc>
        <w:tc>
          <w:tcPr>
            <w:tcW w:w="1640" w:type="dxa"/>
            <w:vAlign w:val="bottom"/>
          </w:tcPr>
          <w:p>
            <w:pPr>
              <w:jc w:val="right"/>
              <w:ind w:right="82"/>
              <w:spacing w:after="0"/>
              <w:rPr>
                <w:sz w:val="20"/>
                <w:szCs w:val="20"/>
                <w:color w:val="auto"/>
              </w:rPr>
            </w:pPr>
            <w:r>
              <w:rPr>
                <w:rFonts w:ascii="Arial" w:cs="Arial" w:eastAsia="Arial" w:hAnsi="Arial"/>
                <w:sz w:val="16"/>
                <w:szCs w:val="16"/>
                <w:color w:val="auto"/>
              </w:rPr>
              <w:t>7.58% to 7.82%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0.00% to 2.18%</w:t>
            </w: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1,119,939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1,094,775</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(26,548)</w:t>
            </w:r>
          </w:p>
        </w:tc>
        <w:tc>
          <w:tcPr>
            <w:tcW w:w="12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(27,190)</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1,093,391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1,067,585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for the respective periods.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Debt Covenants - </w:t>
      </w:r>
      <w:r>
        <w:rPr>
          <w:rFonts w:ascii="Arial" w:cs="Arial" w:eastAsia="Arial" w:hAnsi="Arial"/>
          <w:sz w:val="20"/>
          <w:szCs w:val="20"/>
          <w:color w:val="auto"/>
        </w:rPr>
        <w:t>As of September 29, 2019 and December 30, 2018, the Company was in compliance with its debt covenants.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w:t>
        <w:tab/>
        <w:t>Other Long-term Liabilities,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insurance liability</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33,771</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Unfavorable leases (1)</w:t>
            </w:r>
          </w:p>
        </w:tc>
        <w:tc>
          <w:tcPr>
            <w:tcW w:w="22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32,120</w:t>
            </w:r>
          </w:p>
        </w:tc>
      </w:tr>
      <w:tr>
        <w:trPr>
          <w:trHeight w:val="33"/>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Chef and Restaurant Managing Partner deferred compensation obligations and deposits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64,766</w:t>
            </w: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9"/>
                <w:szCs w:val="19"/>
                <w:color w:val="auto"/>
              </w:rPr>
            </w:pPr>
          </w:p>
        </w:tc>
        <w:tc>
          <w:tcPr>
            <w:tcW w:w="1860" w:type="dxa"/>
            <w:vAlign w:val="bottom"/>
          </w:tcPr>
          <w:p>
            <w:pPr>
              <w:jc w:val="right"/>
              <w:ind w:right="40"/>
              <w:spacing w:after="0"/>
              <w:rPr>
                <w:sz w:val="20"/>
                <w:szCs w:val="20"/>
                <w:color w:val="auto"/>
              </w:rPr>
            </w:pPr>
            <w:r>
              <w:rPr>
                <w:rFonts w:ascii="Arial" w:cs="Arial" w:eastAsia="Arial" w:hAnsi="Arial"/>
                <w:sz w:val="16"/>
                <w:szCs w:val="16"/>
                <w:color w:val="auto"/>
              </w:rPr>
              <w:t>58,806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20"/>
              <w:spacing w:after="0"/>
              <w:rPr>
                <w:sz w:val="20"/>
                <w:szCs w:val="20"/>
                <w:color w:val="auto"/>
              </w:rPr>
            </w:pPr>
            <w:r>
              <w:rPr>
                <w:rFonts w:ascii="Arial" w:cs="Arial" w:eastAsia="Arial" w:hAnsi="Arial"/>
                <w:sz w:val="16"/>
                <w:szCs w:val="16"/>
                <w:color w:val="auto"/>
              </w:rPr>
              <w:t>60,876</w:t>
            </w:r>
          </w:p>
        </w:tc>
      </w:tr>
      <w:tr>
        <w:trPr>
          <w:trHeight w:val="40"/>
        </w:trPr>
        <w:tc>
          <w:tcPr>
            <w:tcW w:w="7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62"/>
        </w:trPr>
        <w:tc>
          <w:tcPr>
            <w:tcW w:w="7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191,533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of accumulated amortization of $36.2 million as of December 30, 2018.</w:t>
      </w:r>
    </w:p>
    <w:p>
      <w:pPr>
        <w:spacing w:after="0" w:line="20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Share Repurchases </w:t>
      </w:r>
      <w:r>
        <w:rPr>
          <w:rFonts w:ascii="Arial" w:cs="Arial" w:eastAsia="Arial" w:hAnsi="Arial"/>
          <w:sz w:val="20"/>
          <w:szCs w:val="20"/>
          <w:color w:val="auto"/>
        </w:rPr>
        <w:t>- On February 12, 2019, the Company’s Board of Directors (the “Board”) canceled the remaining $36.0 million of</w:t>
      </w:r>
      <w:r>
        <w:rPr>
          <w:rFonts w:ascii="Arial" w:cs="Arial" w:eastAsia="Arial" w:hAnsi="Arial"/>
          <w:sz w:val="20"/>
          <w:szCs w:val="20"/>
          <w:i w:val="1"/>
          <w:iCs w:val="1"/>
          <w:color w:val="auto"/>
        </w:rPr>
        <w:t xml:space="preserve"> </w:t>
      </w:r>
      <w:r>
        <w:rPr>
          <w:rFonts w:ascii="Arial" w:cs="Arial" w:eastAsia="Arial" w:hAnsi="Arial"/>
          <w:sz w:val="20"/>
          <w:szCs w:val="20"/>
          <w:color w:val="auto"/>
        </w:rPr>
        <w:t>authorization under the 2018 Share Repurchase Program and approved a new $150.0 million authorization (the “2019 Share Repurchase Program”). The 2019 Share Repurchase Program will expire on August 12, 2020. As of September 29, 2019, $43.0 million remained available for repurchase under the 2019 Share Repurchase Program. Following is a summary of the shares repurchased under the Company’s share repurchase program during fiscal year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49"/>
        </w:trPr>
        <w:tc>
          <w:tcPr>
            <w:tcW w:w="6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REPURCHASE PRICE</w:t>
            </w: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05"/>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7"/>
                <w:szCs w:val="17"/>
                <w:color w:val="auto"/>
              </w:rPr>
            </w:pPr>
          </w:p>
        </w:tc>
        <w:tc>
          <w:tcPr>
            <w:tcW w:w="1380" w:type="dxa"/>
            <w:vAlign w:val="bottom"/>
          </w:tcPr>
          <w:p>
            <w:pPr>
              <w:jc w:val="right"/>
              <w:ind w:right="443"/>
              <w:spacing w:after="0"/>
              <w:rPr>
                <w:sz w:val="20"/>
                <w:szCs w:val="20"/>
                <w:color w:val="auto"/>
              </w:rPr>
            </w:pPr>
            <w:r>
              <w:rPr>
                <w:rFonts w:ascii="Arial" w:cs="Arial" w:eastAsia="Arial" w:hAnsi="Arial"/>
                <w:sz w:val="14"/>
                <w:szCs w:val="14"/>
                <w:b w:val="1"/>
                <w:bCs w:val="1"/>
                <w:color w:val="auto"/>
              </w:rPr>
              <w:t>AMOUNT</w:t>
            </w:r>
          </w:p>
        </w:tc>
      </w:tr>
      <w:tr>
        <w:trPr>
          <w:trHeight w:val="224"/>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fiscal quarter</w:t>
            </w:r>
          </w:p>
        </w:tc>
        <w:tc>
          <w:tcPr>
            <w:tcW w:w="1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5,469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19.56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106,992</w:t>
            </w:r>
          </w:p>
        </w:tc>
      </w:tr>
      <w:tr>
        <w:trPr>
          <w:trHeight w:val="33"/>
        </w:trPr>
        <w:tc>
          <w:tcPr>
            <w:tcW w:w="60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2019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DIVIDENDS PER</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5"/>
        </w:trPr>
        <w:tc>
          <w:tcPr>
            <w:tcW w:w="80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7"/>
                <w:szCs w:val="17"/>
                <w:color w:val="auto"/>
              </w:rPr>
            </w:pPr>
          </w:p>
        </w:tc>
        <w:tc>
          <w:tcPr>
            <w:tcW w:w="1460" w:type="dxa"/>
            <w:vAlign w:val="bottom"/>
          </w:tcPr>
          <w:p>
            <w:pPr>
              <w:jc w:val="right"/>
              <w:ind w:right="501"/>
              <w:spacing w:after="0"/>
              <w:rPr>
                <w:sz w:val="20"/>
                <w:szCs w:val="20"/>
                <w:color w:val="auto"/>
              </w:rPr>
            </w:pPr>
            <w:r>
              <w:rPr>
                <w:rFonts w:ascii="Arial" w:cs="Arial" w:eastAsia="Arial" w:hAnsi="Arial"/>
                <w:sz w:val="14"/>
                <w:szCs w:val="14"/>
                <w:b w:val="1"/>
                <w:bCs w:val="1"/>
                <w:color w:val="auto"/>
              </w:rPr>
              <w:t>AMOUNT</w:t>
            </w:r>
          </w:p>
        </w:tc>
      </w:tr>
      <w:tr>
        <w:trPr>
          <w:trHeight w:val="237"/>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9,140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Second fiscal quarter</w:t>
            </w: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9,227</w:t>
            </w:r>
          </w:p>
        </w:tc>
      </w:tr>
      <w:tr>
        <w:trPr>
          <w:trHeight w:val="33"/>
        </w:trPr>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Third fiscal quarter</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8,674</w:t>
            </w:r>
          </w:p>
        </w:tc>
      </w:tr>
      <w:tr>
        <w:trPr>
          <w:trHeight w:val="250"/>
        </w:trPr>
        <w:tc>
          <w:tcPr>
            <w:tcW w:w="800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 cash dividends declared and paid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0.30</w:t>
            </w:r>
          </w:p>
        </w:tc>
        <w:tc>
          <w:tcPr>
            <w:tcW w:w="120" w:type="dxa"/>
            <w:vAlign w:val="bottom"/>
            <w:tcBorders>
              <w:top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27,041</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October 2019, the Board declared a quarterly cash dividend of $0.10 per share, payable on November 27, 2019, to shareholders of record at the close of business on November 18, 2019.</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21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(135,149)</w:t>
            </w:r>
          </w:p>
        </w:tc>
      </w:tr>
      <w:tr>
        <w:trPr>
          <w:trHeight w:val="270"/>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loss on derivatives, net of tax</w:t>
            </w: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(7,606)</w:t>
            </w: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attributable to Bloomin’ Brands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gain on derivatives, net of tax (1)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20"/>
        </w:trPr>
        <w:tc>
          <w:tcPr>
            <w:tcW w:w="5160" w:type="dxa"/>
            <w:vAlign w:val="bottom"/>
          </w:tcPr>
          <w:p>
            <w:pPr>
              <w:ind w:left="40"/>
              <w:spacing w:after="0"/>
              <w:rPr>
                <w:sz w:val="20"/>
                <w:szCs w:val="20"/>
                <w:color w:val="auto"/>
              </w:rPr>
            </w:pPr>
            <w:r>
              <w:rPr>
                <w:rFonts w:ascii="Arial" w:cs="Arial" w:eastAsia="Arial" w:hAnsi="Arial"/>
                <w:sz w:val="16"/>
                <w:szCs w:val="16"/>
                <w:color w:val="auto"/>
                <w:w w:val="95"/>
              </w:rPr>
              <w:t>Reclassification of adjustments for loss (gain) on derivatives included in Net</w:t>
            </w:r>
          </w:p>
        </w:tc>
        <w:tc>
          <w:tcPr>
            <w:tcW w:w="360" w:type="dxa"/>
            <w:vAlign w:val="bottom"/>
          </w:tcPr>
          <w:p>
            <w:pPr>
              <w:spacing w:after="0"/>
              <w:rPr>
                <w:sz w:val="19"/>
                <w:szCs w:val="19"/>
                <w:color w:val="auto"/>
              </w:rPr>
            </w:pPr>
          </w:p>
        </w:tc>
        <w:tc>
          <w:tcPr>
            <w:tcW w:w="1140" w:type="dxa"/>
            <w:vAlign w:val="bottom"/>
            <w:vMerge w:val="restart"/>
          </w:tcPr>
          <w:p>
            <w:pPr>
              <w:jc w:val="right"/>
              <w:ind w:right="40"/>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42"/>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restart"/>
          </w:tcPr>
          <w:p>
            <w:pPr>
              <w:jc w:val="right"/>
              <w:ind w:right="22"/>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net of tax (2)</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unrealized (loss) gain on derivatives, net of tax</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attributable to Bloomin’ Brands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(11,529)</w:t>
            </w:r>
          </w:p>
        </w:tc>
        <w:tc>
          <w:tcPr>
            <w:tcW w:w="12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Unrealized (loss) gain on derivatives is net of tax of $(0.7) million for the thirteen weeks ended September 29, 2019 and $(4.7) million and $0.4 million for the thirty-nine weeks ended September 29, 2019 and September 30, 2018, respectively.</w:t>
      </w:r>
    </w:p>
    <w:p>
      <w:pPr>
        <w:ind w:left="660" w:hanging="652"/>
        <w:spacing w:after="0" w:line="25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(gain) on derivatives are net of tax. See Note 12 -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Derivative Instruments and Hedging Activities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October 24, 2018 and October 25, 2018, the Company entered into variable-to-fixed interest rate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swap agreements with 12 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w:t>
      </w:r>
      <w:r>
        <w:rPr>
          <w:rFonts w:ascii="Arial" w:cs="Arial" w:eastAsia="Arial" w:hAnsi="Arial"/>
          <w:sz w:val="20"/>
          <w:szCs w:val="20"/>
          <w:color w:val="000000"/>
        </w:rPr>
        <w:t>one-month LIBOR</w:t>
      </w:r>
      <w:r>
        <w:rPr>
          <w:rFonts w:ascii="Arial" w:cs="Arial" w:eastAsia="Arial" w:hAnsi="Arial"/>
          <w:sz w:val="20"/>
          <w:szCs w:val="20"/>
          <w:color w:val="252525"/>
        </w:rPr>
        <w:t xml:space="preserve"> rate.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Company’s swap agreements have been designated and qualify as cash flow hedges, are recognized on its Consolidated Balance Sheets at fair value and are classified based on the instruments’ maturity dates. The Company estimates $7.7 million will be reclassified to interest expense over the next 12 months. The following table presents the fair value and classification of the Company’s swap agreements, as of </w:t>
      </w:r>
      <w:r>
        <w:rPr>
          <w:rFonts w:ascii="Arial" w:cs="Arial" w:eastAsia="Arial" w:hAnsi="Arial"/>
          <w:sz w:val="20"/>
          <w:szCs w:val="20"/>
          <w:color w:val="000000"/>
        </w:rPr>
        <w:t>the</w:t>
      </w:r>
      <w:r>
        <w:rPr>
          <w:rFonts w:ascii="Arial" w:cs="Arial" w:eastAsia="Arial" w:hAnsi="Arial"/>
          <w:sz w:val="20"/>
          <w:szCs w:val="20"/>
          <w:color w:val="252525"/>
        </w:rPr>
        <w:t xml:space="preserve"> </w:t>
      </w:r>
      <w:r>
        <w:rPr>
          <w:rFonts w:ascii="Arial" w:cs="Arial" w:eastAsia="Arial" w:hAnsi="Arial"/>
          <w:sz w:val="20"/>
          <w:szCs w:val="20"/>
          <w:color w:val="000000"/>
        </w:rPr>
        <w:t>periods indicated</w:t>
      </w:r>
      <w:r>
        <w:rPr>
          <w:rFonts w:ascii="Arial" w:cs="Arial" w:eastAsia="Arial" w:hAnsi="Arial"/>
          <w:sz w:val="20"/>
          <w:szCs w:val="20"/>
          <w:color w:val="252525"/>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30, 2018</w:t>
            </w:r>
          </w:p>
        </w:tc>
        <w:tc>
          <w:tcPr>
            <w:tcW w:w="100" w:type="dxa"/>
            <w:vAlign w:val="bottom"/>
            <w:tcBorders>
              <w:bottom w:val="single" w:sz="8" w:color="CCEEFF"/>
            </w:tcBorders>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asset (1)</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 liability</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 - liability</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21,116</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9,723</w:t>
            </w:r>
          </w:p>
        </w:tc>
        <w:tc>
          <w:tcPr>
            <w:tcW w:w="100" w:type="dxa"/>
            <w:vAlign w:val="bottom"/>
            <w:tcBorders>
              <w:bottom w:val="single" w:sz="8" w:color="CCEEFF"/>
            </w:tcBorders>
          </w:tcPr>
          <w:p>
            <w:pPr>
              <w:spacing w:after="0"/>
              <w:rPr>
                <w:sz w:val="23"/>
                <w:szCs w:val="23"/>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fair value of derivative instruments - liabilities (1)</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11,116</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14</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income for the periods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rate swap (expense) benefit recognized in Interest expense, net</w:t>
      </w:r>
    </w:p>
    <w:p>
      <w:pPr>
        <w:spacing w:after="0" w:line="84"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Income tax benefit (expense) recognized in (Benefit) provision for income taxes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effects of the interest rate swaps on Net income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9"/>
                <w:szCs w:val="19"/>
                <w:color w:val="auto"/>
              </w:rPr>
            </w:pPr>
          </w:p>
        </w:tc>
        <w:tc>
          <w:tcPr>
            <w:tcW w:w="1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-659765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300"/>
            <w:col w:w="6260"/>
          </w:cols>
          <w:pgMar w:left="240" w:top="122" w:right="239" w:bottom="1440" w:gutter="0" w:footer="0" w:header="0"/>
          <w:type w:val="continuous"/>
        </w:sectPr>
      </w:pP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252525"/>
        </w:rPr>
        <w:t>By utilizing the interest rate swaps, the Company is exposed to credit-related losses in the event that the counterparty fails to perform under the terms of the derivative contract. To mitigate this risk, the Company enters into derivative</w:t>
      </w:r>
    </w:p>
    <w:p>
      <w:pPr>
        <w:sectPr>
          <w:pgSz w:w="11900" w:h="16838" w:orient="portrait"/>
          <w:cols w:equalWidth="0" w:num="1">
            <w:col w:w="11420"/>
          </w:cols>
          <w:pgMar w:left="240" w:top="122" w:right="239" w:bottom="1440" w:gutter="0" w:footer="0" w:header="0"/>
          <w:type w:val="continuous"/>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contracts with major financial institutions based upon credit ratings and other factors. The Company continually assesses the creditworthiness of its counterparties. As of </w:t>
      </w:r>
      <w:r>
        <w:rPr>
          <w:rFonts w:ascii="Arial" w:cs="Arial" w:eastAsia="Arial" w:hAnsi="Arial"/>
          <w:sz w:val="20"/>
          <w:szCs w:val="20"/>
          <w:color w:val="000000"/>
        </w:rPr>
        <w:t>September 29, 2019</w:t>
      </w:r>
      <w:r>
        <w:rPr>
          <w:rFonts w:ascii="Arial" w:cs="Arial" w:eastAsia="Arial" w:hAnsi="Arial"/>
          <w:sz w:val="20"/>
          <w:szCs w:val="20"/>
          <w:color w:val="252525"/>
        </w:rPr>
        <w:t>, all counterparties to the interest rate swaps had performed in accordance with their contractual obligations.</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 xml:space="preserve">As of </w:t>
      </w:r>
      <w:r>
        <w:rPr>
          <w:rFonts w:ascii="Arial" w:cs="Arial" w:eastAsia="Arial" w:hAnsi="Arial"/>
          <w:sz w:val="19"/>
          <w:szCs w:val="19"/>
          <w:color w:val="000000"/>
        </w:rPr>
        <w:t>September 29, 2019</w:t>
      </w:r>
      <w:r>
        <w:rPr>
          <w:rFonts w:ascii="Arial" w:cs="Arial" w:eastAsia="Arial" w:hAnsi="Arial"/>
          <w:sz w:val="19"/>
          <w:szCs w:val="19"/>
          <w:color w:val="252525"/>
        </w:rPr>
        <w:t xml:space="preserve"> and </w:t>
      </w:r>
      <w:r>
        <w:rPr>
          <w:rFonts w:ascii="Arial" w:cs="Arial" w:eastAsia="Arial" w:hAnsi="Arial"/>
          <w:sz w:val="19"/>
          <w:szCs w:val="19"/>
          <w:color w:val="000000"/>
        </w:rPr>
        <w:t>December 30, 2018</w:t>
      </w:r>
      <w:r>
        <w:rPr>
          <w:rFonts w:ascii="Arial" w:cs="Arial" w:eastAsia="Arial" w:hAnsi="Arial"/>
          <w:sz w:val="19"/>
          <w:szCs w:val="19"/>
          <w:color w:val="252525"/>
        </w:rPr>
        <w:t xml:space="preserve">, the fair value of the Company’s interest rate swaps was in a net liability position, including accrued interest but excluding any adjustment for nonperformance risk, of $28.6 million and $10.5 million, respectively. As of </w:t>
      </w:r>
      <w:r>
        <w:rPr>
          <w:rFonts w:ascii="Arial" w:cs="Arial" w:eastAsia="Arial" w:hAnsi="Arial"/>
          <w:sz w:val="19"/>
          <w:szCs w:val="19"/>
          <w:color w:val="000000"/>
        </w:rPr>
        <w:t>September 29,</w:t>
      </w:r>
      <w:r>
        <w:rPr>
          <w:rFonts w:ascii="Arial" w:cs="Arial" w:eastAsia="Arial" w:hAnsi="Arial"/>
          <w:sz w:val="19"/>
          <w:szCs w:val="19"/>
          <w:color w:val="252525"/>
        </w:rPr>
        <w:t xml:space="preserve"> </w:t>
      </w:r>
      <w:r>
        <w:rPr>
          <w:rFonts w:ascii="Arial" w:cs="Arial" w:eastAsia="Arial" w:hAnsi="Arial"/>
          <w:sz w:val="19"/>
          <w:szCs w:val="19"/>
          <w:color w:val="000000"/>
        </w:rPr>
        <w:t xml:space="preserve">2019 </w:t>
      </w:r>
      <w:r>
        <w:rPr>
          <w:rFonts w:ascii="Arial" w:cs="Arial" w:eastAsia="Arial" w:hAnsi="Arial"/>
          <w:sz w:val="19"/>
          <w:szCs w:val="19"/>
          <w:color w:val="252525"/>
        </w:rPr>
        <w:t>and</w:t>
      </w:r>
      <w:r>
        <w:rPr>
          <w:rFonts w:ascii="Arial" w:cs="Arial" w:eastAsia="Arial" w:hAnsi="Arial"/>
          <w:sz w:val="19"/>
          <w:szCs w:val="19"/>
          <w:color w:val="000000"/>
        </w:rPr>
        <w:t xml:space="preserve"> December 30, 2018</w:t>
      </w:r>
      <w:r>
        <w:rPr>
          <w:rFonts w:ascii="Arial" w:cs="Arial" w:eastAsia="Arial" w:hAnsi="Arial"/>
          <w:sz w:val="19"/>
          <w:szCs w:val="19"/>
          <w:color w:val="252525"/>
        </w:rPr>
        <w:t>, the Company has not posted any collateral related to these agreements. If the Company had breached any of</w:t>
      </w:r>
      <w:r>
        <w:rPr>
          <w:rFonts w:ascii="Arial" w:cs="Arial" w:eastAsia="Arial" w:hAnsi="Arial"/>
          <w:sz w:val="19"/>
          <w:szCs w:val="19"/>
          <w:color w:val="000000"/>
        </w:rPr>
        <w:t xml:space="preserve"> </w:t>
      </w:r>
      <w:r>
        <w:rPr>
          <w:rFonts w:ascii="Arial" w:cs="Arial" w:eastAsia="Arial" w:hAnsi="Arial"/>
          <w:sz w:val="19"/>
          <w:szCs w:val="19"/>
          <w:color w:val="252525"/>
        </w:rPr>
        <w:t xml:space="preserve">these provisions as of </w:t>
      </w:r>
      <w:r>
        <w:rPr>
          <w:rFonts w:ascii="Arial" w:cs="Arial" w:eastAsia="Arial" w:hAnsi="Arial"/>
          <w:sz w:val="19"/>
          <w:szCs w:val="19"/>
          <w:color w:val="000000"/>
        </w:rPr>
        <w:t>September 29, 2019</w:t>
      </w:r>
      <w:r>
        <w:rPr>
          <w:rFonts w:ascii="Arial" w:cs="Arial" w:eastAsia="Arial" w:hAnsi="Arial"/>
          <w:sz w:val="19"/>
          <w:szCs w:val="19"/>
          <w:color w:val="252525"/>
        </w:rPr>
        <w:t xml:space="preserve"> and </w:t>
      </w:r>
      <w:r>
        <w:rPr>
          <w:rFonts w:ascii="Arial" w:cs="Arial" w:eastAsia="Arial" w:hAnsi="Arial"/>
          <w:sz w:val="19"/>
          <w:szCs w:val="19"/>
          <w:color w:val="000000"/>
        </w:rPr>
        <w:t>December 30, 2018</w:t>
      </w:r>
      <w:r>
        <w:rPr>
          <w:rFonts w:ascii="Arial" w:cs="Arial" w:eastAsia="Arial" w:hAnsi="Arial"/>
          <w:sz w:val="19"/>
          <w:szCs w:val="19"/>
          <w:color w:val="252525"/>
        </w:rPr>
        <w:t>, it could have been required to settle its obligations under the agreements at their termination value of $28.6 million and $10.5 million, respectively.</w:t>
      </w:r>
    </w:p>
    <w:p>
      <w:pPr>
        <w:spacing w:after="0" w:line="19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Company’s determination of whether an arrangement contains a lease is based on an evaluation of whether the arrangement conveys the right to use and control specific property or equipment. The Company leases restaurant and office facilities and certain equipment under operating leases primarily having initial terms expiring between one and 20 years. Restaurant facility leases generally have renewal periods totaling five to 20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(Loss) Income and future variable rent obligations are not included within the lease liabilities on its Consolidated Balance Sheet. The depreciable life of lease assets and leasehold improvements are limited by the expected lease term. None of the Company’s leases contain any material residual value guarantees or material restrictive covenants.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restaurant facility leases executed subsequent to the adoption of ASU No. 2016-02, the Company accounts for fixed lease and non-lease components as a single lease component. Additionally, for certain equipment leases, the Company applies a portfolio approach to account for the lease assets and liabilities. Leases with an initial term of 12 months or less are not recorded on its Consolidated Balance Sheet, they are recognized on a straight-line basis over the lease term within Other restaurant operating expense in the Company’s Consolidated Statements of Operations and Comprehensive (Loss) Income.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 as of the period indicated:</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right-of-use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Finance lease right-of-use assets (1)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lease assets, net</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operating lease liabilities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finance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finance lease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lease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 of accumulated amortization of $1.0 million.</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Excludes accrued contingent percentage rent.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CONSOLIDATED BALANCE SHEET CLASSIFICATION</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SEPTEMBER 29, 2019</w:t>
            </w:r>
          </w:p>
        </w:tc>
      </w:tr>
      <w:tr>
        <w:trPr>
          <w:trHeight w:val="22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1,262,449</w:t>
            </w:r>
          </w:p>
        </w:tc>
      </w:tr>
      <w:tr>
        <w:trPr>
          <w:trHeight w:val="29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Property, fixtures and equipment, net</w:t>
            </w: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2,419</w:t>
            </w:r>
          </w:p>
        </w:tc>
      </w:tr>
      <w:tr>
        <w:trPr>
          <w:trHeight w:val="224"/>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1,264,868</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515"/>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170,849</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23"/>
                <w:szCs w:val="23"/>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1,498</w:t>
            </w: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tcPr>
          <w:p>
            <w:pPr>
              <w:spacing w:after="0"/>
              <w:rPr>
                <w:sz w:val="23"/>
                <w:szCs w:val="23"/>
                <w:color w:val="auto"/>
              </w:rPr>
            </w:pP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1,273,904</w:t>
            </w:r>
          </w:p>
        </w:tc>
      </w:tr>
      <w:tr>
        <w:trPr>
          <w:trHeight w:val="29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Long-term debt, net</w:t>
            </w: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r>
      <w:tr>
        <w:trPr>
          <w:trHeight w:val="224"/>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20"/>
              <w:spacing w:after="0"/>
              <w:rPr>
                <w:sz w:val="20"/>
                <w:szCs w:val="20"/>
                <w:color w:val="auto"/>
              </w:rPr>
            </w:pPr>
            <w:r>
              <w:rPr>
                <w:rFonts w:ascii="Arial" w:cs="Arial" w:eastAsia="Arial" w:hAnsi="Arial"/>
                <w:sz w:val="16"/>
                <w:szCs w:val="16"/>
                <w:color w:val="auto"/>
              </w:rPr>
              <w:t>1,447,455</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-1611630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-1268730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-882650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-539750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-196850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39" w:lineRule="exact"/>
        <w:rPr>
          <w:sz w:val="20"/>
          <w:szCs w:val="20"/>
          <w:color w:val="auto"/>
        </w:rPr>
      </w:pPr>
    </w:p>
    <w:p>
      <w:pPr>
        <w:sectPr>
          <w:pgSz w:w="11900" w:h="16838" w:orient="portrait"/>
          <w:cols w:equalWidth="0" w:num="2">
            <w:col w:w="3840" w:space="280"/>
            <w:col w:w="730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1760" w:type="dxa"/>
            <w:vAlign w:val="bottom"/>
          </w:tcPr>
          <w:p>
            <w:pPr>
              <w:jc w:val="center"/>
              <w:ind w:right="82"/>
              <w:spacing w:after="0"/>
              <w:rPr>
                <w:sz w:val="20"/>
                <w:szCs w:val="20"/>
                <w:color w:val="auto"/>
              </w:rPr>
            </w:pPr>
            <w:r>
              <w:rPr>
                <w:rFonts w:ascii="Arial" w:cs="Arial" w:eastAsia="Arial" w:hAnsi="Arial"/>
                <w:sz w:val="14"/>
                <w:szCs w:val="14"/>
                <w:b w:val="1"/>
                <w:bCs w:val="1"/>
                <w:color w:val="auto"/>
              </w:rPr>
              <w:t>THIRTY-NINE WEEKS</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40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CONSOLIDATED INCOME STATEMENT</w:t>
            </w:r>
          </w:p>
        </w:tc>
        <w:tc>
          <w:tcPr>
            <w:tcW w:w="2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ind w:right="82"/>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70"/>
        </w:trPr>
        <w:tc>
          <w:tcPr>
            <w:tcW w:w="3440" w:type="dxa"/>
            <w:vAlign w:val="bottom"/>
          </w:tcPr>
          <w:p>
            <w:pPr>
              <w:spacing w:after="0"/>
              <w:rPr>
                <w:sz w:val="6"/>
                <w:szCs w:val="6"/>
                <w:color w:val="auto"/>
              </w:rPr>
            </w:pPr>
          </w:p>
        </w:tc>
        <w:tc>
          <w:tcPr>
            <w:tcW w:w="40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8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SEPTEMBER 29, 2019</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 (1)</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45,948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136,260</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400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2"/>
              <w:spacing w:after="0"/>
              <w:rPr>
                <w:sz w:val="20"/>
                <w:szCs w:val="20"/>
                <w:color w:val="auto"/>
              </w:rPr>
            </w:pPr>
            <w:r>
              <w:rPr>
                <w:rFonts w:ascii="Arial" w:cs="Arial" w:eastAsia="Arial" w:hAnsi="Arial"/>
                <w:sz w:val="16"/>
                <w:szCs w:val="16"/>
                <w:color w:val="auto"/>
              </w:rPr>
              <w:t>2,498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180"/>
              <w:spacing w:after="0"/>
              <w:rPr>
                <w:sz w:val="20"/>
                <w:szCs w:val="20"/>
                <w:color w:val="auto"/>
              </w:rPr>
            </w:pPr>
            <w:r>
              <w:rPr>
                <w:rFonts w:ascii="Arial" w:cs="Arial" w:eastAsia="Arial" w:hAnsi="Arial"/>
                <w:sz w:val="16"/>
                <w:szCs w:val="16"/>
                <w:color w:val="auto"/>
              </w:rPr>
              <w:t>Amortization of leased assets</w:t>
            </w:r>
          </w:p>
        </w:tc>
        <w:tc>
          <w:tcPr>
            <w:tcW w:w="40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760" w:type="dxa"/>
            <w:vAlign w:val="bottom"/>
          </w:tcPr>
          <w:p>
            <w:pPr>
              <w:jc w:val="right"/>
              <w:ind w:right="40"/>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22"/>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on lease liabilities</w:t>
            </w: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Sublease revenue (2)</w:t>
            </w:r>
          </w:p>
        </w:tc>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w:t>
            </w: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costs, net (3)</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135,163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for the thirteen and thirty-nine weeks ended September 29, 2019 of $3.8 million and $11.0 million, respectively, which is included in General and administrative expense and certain supply chain related rent expense of $0.3 million and $0.9 million, respectively, which is included in Cost of sales.</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for the thirteen and thirty-nine weeks ended September 29, 2019 of $0.4 million and $1.8 million, respectively.</w:t>
      </w:r>
    </w:p>
    <w:p>
      <w:pPr>
        <w:ind w:left="660" w:hanging="652"/>
        <w:spacing w:after="0" w:line="290"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the thirteen and thirty-nine weeks ended September 30, 2018, the Company recorded rent expense of $45.8 million and $138.8 million, respectively, including variable rent expense of $1.1 million and $3.4 million, respectively, and sublease revenue of $1.6 million and $4.7 million,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As of September 29, 2019, future minimum lease payments and sublease revenues under non-cancelable leases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1060" w:type="dxa"/>
            <w:vAlign w:val="bottom"/>
          </w:tcPr>
          <w:p>
            <w:pPr>
              <w:jc w:val="right"/>
              <w:ind w:right="221"/>
              <w:spacing w:after="0"/>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0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205"/>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1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178,221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Year 2</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191,533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(6,239)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Year 4</w:t>
            </w:r>
          </w:p>
        </w:tc>
        <w:tc>
          <w:tcPr>
            <w:tcW w:w="1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183,602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5</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(5,871)</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1,729,022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(64,988)</w:t>
            </w:r>
          </w:p>
        </w:tc>
        <w:tc>
          <w:tcPr>
            <w:tcW w:w="0" w:type="dxa"/>
            <w:vAlign w:val="bottom"/>
          </w:tcPr>
          <w:p>
            <w:pPr>
              <w:spacing w:after="0"/>
              <w:rPr>
                <w:sz w:val="1"/>
                <w:szCs w:val="1"/>
                <w:color w:val="auto"/>
              </w:rPr>
            </w:pPr>
          </w:p>
        </w:tc>
      </w:tr>
      <w:tr>
        <w:trPr>
          <w:trHeight w:val="284"/>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minimum lease payments (receipts) (2)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2,647,194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(95,243)</w:t>
            </w:r>
          </w:p>
        </w:tc>
        <w:tc>
          <w:tcPr>
            <w:tcW w:w="0" w:type="dxa"/>
            <w:vAlign w:val="bottom"/>
          </w:tcPr>
          <w:p>
            <w:pPr>
              <w:spacing w:after="0"/>
              <w:rPr>
                <w:sz w:val="1"/>
                <w:szCs w:val="1"/>
                <w:color w:val="auto"/>
              </w:rPr>
            </w:pPr>
          </w:p>
        </w:tc>
      </w:tr>
      <w:tr>
        <w:trPr>
          <w:trHeight w:val="257"/>
        </w:trPr>
        <w:tc>
          <w:tcPr>
            <w:tcW w:w="754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6"/>
                <w:szCs w:val="16"/>
                <w:color w:val="auto"/>
              </w:rPr>
              <w:t>Less: Interest</w:t>
            </w: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(1,202,441)</w:t>
            </w:r>
          </w:p>
        </w:tc>
        <w:tc>
          <w:tcPr>
            <w:tcW w:w="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Present value of future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1,444,753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of operating lease prepaid rent of $14.7 million.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$1.0 billion related to options to extend operating lease terms and excludes $116.3 million of signed operating leases that have not yet commenced.</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the weighted-average remaining lease terms and weighted-average discount rates of the Company’s leases as of the period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SEPTEMBER 29, 2019</w:t>
            </w: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 (1):</w:t>
            </w:r>
          </w:p>
        </w:tc>
        <w:tc>
          <w:tcPr>
            <w:tcW w:w="2100" w:type="dxa"/>
            <w:vAlign w:val="bottom"/>
            <w:tcBorders>
              <w:bottom w:val="single" w:sz="8" w:color="CCEEFF"/>
            </w:tcBorders>
            <w:shd w:val="clear" w:color="auto" w:fill="CCEEFF"/>
          </w:tcPr>
          <w:p>
            <w:pPr>
              <w:spacing w:after="0"/>
              <w:rPr>
                <w:sz w:val="21"/>
                <w:szCs w:val="21"/>
                <w:color w:val="auto"/>
              </w:rPr>
            </w:pPr>
          </w:p>
        </w:tc>
      </w:tr>
      <w:tr>
        <w:trPr>
          <w:trHeight w:val="224"/>
        </w:trPr>
        <w:tc>
          <w:tcPr>
            <w:tcW w:w="932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100" w:type="dxa"/>
            <w:vAlign w:val="bottom"/>
          </w:tcPr>
          <w:p>
            <w:pPr>
              <w:jc w:val="right"/>
              <w:ind w:right="81"/>
              <w:spacing w:after="0"/>
              <w:rPr>
                <w:sz w:val="20"/>
                <w:szCs w:val="20"/>
                <w:color w:val="auto"/>
              </w:rPr>
            </w:pPr>
            <w:r>
              <w:rPr>
                <w:rFonts w:ascii="Arial" w:cs="Arial" w:eastAsia="Arial" w:hAnsi="Arial"/>
                <w:sz w:val="16"/>
                <w:szCs w:val="16"/>
                <w:color w:val="auto"/>
              </w:rPr>
              <w:t>14.6 years</w:t>
            </w: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 years</w:t>
            </w:r>
          </w:p>
        </w:tc>
      </w:tr>
      <w:tr>
        <w:trPr>
          <w:trHeight w:val="237"/>
        </w:trPr>
        <w:tc>
          <w:tcPr>
            <w:tcW w:w="9320" w:type="dxa"/>
            <w:vAlign w:val="bottom"/>
          </w:tcPr>
          <w:p>
            <w:pPr>
              <w:ind w:left="40"/>
              <w:spacing w:after="0"/>
              <w:rPr>
                <w:sz w:val="20"/>
                <w:szCs w:val="20"/>
                <w:color w:val="auto"/>
              </w:rPr>
            </w:pPr>
            <w:r>
              <w:rPr>
                <w:rFonts w:ascii="Arial" w:cs="Arial" w:eastAsia="Arial" w:hAnsi="Arial"/>
                <w:sz w:val="16"/>
                <w:szCs w:val="16"/>
                <w:color w:val="auto"/>
              </w:rPr>
              <w:t>Weighted-average discount rate (2):</w:t>
            </w:r>
          </w:p>
        </w:tc>
        <w:tc>
          <w:tcPr>
            <w:tcW w:w="2100" w:type="dxa"/>
            <w:vAlign w:val="bottom"/>
          </w:tcPr>
          <w:p>
            <w:pPr>
              <w:spacing w:after="0"/>
              <w:rPr>
                <w:sz w:val="20"/>
                <w:szCs w:val="20"/>
                <w:color w:val="auto"/>
              </w:rPr>
            </w:pPr>
          </w:p>
        </w:tc>
      </w:tr>
      <w:tr>
        <w:trPr>
          <w:trHeight w:val="33"/>
        </w:trPr>
        <w:tc>
          <w:tcPr>
            <w:tcW w:w="93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9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24"/>
        </w:trPr>
        <w:tc>
          <w:tcPr>
            <w:tcW w:w="932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10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26"/>
        </w:trPr>
        <w:tc>
          <w:tcPr>
            <w:tcW w:w="9320" w:type="dxa"/>
            <w:vAlign w:val="bottom"/>
          </w:tcPr>
          <w:p>
            <w:pPr>
              <w:spacing w:after="0"/>
              <w:rPr>
                <w:sz w:val="20"/>
                <w:szCs w:val="20"/>
                <w:color w:val="auto"/>
              </w:rPr>
            </w:pPr>
            <w:r>
              <w:rPr>
                <w:rFonts w:ascii="Arial" w:cs="Arial" w:eastAsia="Arial" w:hAnsi="Arial"/>
                <w:sz w:val="16"/>
                <w:szCs w:val="16"/>
                <w:color w:val="auto"/>
              </w:rPr>
              <w:t>____________________</w:t>
            </w:r>
          </w:p>
        </w:tc>
        <w:tc>
          <w:tcPr>
            <w:tcW w:w="2100" w:type="dxa"/>
            <w:vAlign w:val="bottom"/>
          </w:tcPr>
          <w:p>
            <w:pPr>
              <w:spacing w:after="0"/>
              <w:rPr>
                <w:sz w:val="19"/>
                <w:szCs w:val="19"/>
                <w:color w:val="auto"/>
              </w:rPr>
            </w:pPr>
          </w:p>
        </w:tc>
      </w:tr>
    </w:tbl>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lease renewal options that are reasonably certain of exercise.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the Company’s incremental borrowing rate at lease commencement.</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tcPr>
          <w:p>
            <w:pPr>
              <w:jc w:val="center"/>
              <w:ind w:right="185"/>
              <w:spacing w:after="0"/>
              <w:rPr>
                <w:sz w:val="20"/>
                <w:szCs w:val="20"/>
                <w:color w:val="auto"/>
              </w:rPr>
            </w:pPr>
            <w:r>
              <w:rPr>
                <w:rFonts w:ascii="Arial" w:cs="Arial" w:eastAsia="Arial" w:hAnsi="Arial"/>
                <w:sz w:val="14"/>
                <w:szCs w:val="14"/>
                <w:b w:val="1"/>
                <w:bCs w:val="1"/>
                <w:color w:val="auto"/>
              </w:rPr>
              <w:t>THIRTY-NINE WEEKS ENDED</w:t>
            </w:r>
          </w:p>
        </w:tc>
      </w:tr>
      <w:tr>
        <w:trPr>
          <w:trHeight w:val="222"/>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8"/>
              </w:rPr>
              <w:t>SEPTEMBER 29, 2019</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80" w:type="dxa"/>
            <w:vAlign w:val="bottom"/>
          </w:tcPr>
          <w:p>
            <w:pPr>
              <w:jc w:val="right"/>
              <w:ind w:right="25"/>
              <w:spacing w:after="0"/>
              <w:rPr>
                <w:sz w:val="20"/>
                <w:szCs w:val="20"/>
                <w:color w:val="auto"/>
              </w:rPr>
            </w:pPr>
            <w:r>
              <w:rPr>
                <w:rFonts w:ascii="Arial" w:cs="Arial" w:eastAsia="Arial" w:hAnsi="Arial"/>
                <w:sz w:val="16"/>
                <w:szCs w:val="16"/>
                <w:color w:val="auto"/>
              </w:rPr>
              <w:t>143,630</w:t>
            </w:r>
          </w:p>
        </w:tc>
      </w:tr>
    </w:tbl>
    <w:p>
      <w:pPr>
        <w:spacing w:after="0" w:line="200" w:lineRule="exact"/>
        <w:rPr>
          <w:sz w:val="20"/>
          <w:szCs w:val="20"/>
          <w:color w:val="auto"/>
        </w:rPr>
      </w:pPr>
    </w:p>
    <w:p>
      <w:pPr>
        <w:spacing w:after="0" w:line="26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Properties Leased to Third Parties </w:t>
      </w:r>
      <w:r>
        <w:rPr>
          <w:rFonts w:ascii="Arial" w:cs="Arial" w:eastAsia="Arial" w:hAnsi="Arial"/>
          <w:sz w:val="20"/>
          <w:szCs w:val="20"/>
          <w:color w:val="auto"/>
        </w:rPr>
        <w:t>- The Company leases certain owned land and buildings to third parties, generally related to closed or</w:t>
      </w:r>
      <w:r>
        <w:rPr>
          <w:rFonts w:ascii="Arial" w:cs="Arial" w:eastAsia="Arial" w:hAnsi="Arial"/>
          <w:sz w:val="20"/>
          <w:szCs w:val="20"/>
          <w:i w:val="1"/>
          <w:iCs w:val="1"/>
          <w:color w:val="auto"/>
        </w:rPr>
        <w:t xml:space="preserve"> </w:t>
      </w:r>
      <w:r>
        <w:rPr>
          <w:rFonts w:ascii="Arial" w:cs="Arial" w:eastAsia="Arial" w:hAnsi="Arial"/>
          <w:sz w:val="20"/>
          <w:szCs w:val="20"/>
          <w:color w:val="auto"/>
        </w:rPr>
        <w:t>refranchised restaurants. The following table is a summary of assets leased to third parties as of the period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SEPTEMBER 29, 2019</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10,585</w:t>
            </w:r>
          </w:p>
        </w:tc>
      </w:tr>
      <w:tr>
        <w:trPr>
          <w:trHeight w:val="297"/>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building improvements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12,823</w:t>
            </w:r>
          </w:p>
        </w:tc>
      </w:tr>
      <w:tr>
        <w:trPr>
          <w:trHeight w:val="27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(6,239)</w:t>
            </w: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building improvements,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6,584</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Fair Value Measurements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60" w:type="dxa"/>
            <w:vAlign w:val="bottom"/>
          </w:tcPr>
          <w:p>
            <w:pPr>
              <w:ind w:left="20"/>
              <w:spacing w:after="0"/>
              <w:rPr>
                <w:sz w:val="20"/>
                <w:szCs w:val="20"/>
                <w:color w:val="auto"/>
              </w:rPr>
            </w:pPr>
            <w:r>
              <w:rPr>
                <w:rFonts w:ascii="Arial" w:cs="Arial" w:eastAsia="Arial" w:hAnsi="Arial"/>
                <w:sz w:val="16"/>
                <w:szCs w:val="16"/>
                <w:color w:val="auto"/>
              </w:rPr>
              <w:t>Level 2</w:t>
            </w:r>
          </w:p>
        </w:tc>
        <w:tc>
          <w:tcPr>
            <w:tcW w:w="10520" w:type="dxa"/>
            <w:vAlign w:val="bottom"/>
          </w:tcPr>
          <w:p>
            <w:pPr>
              <w:ind w:left="36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47"/>
        </w:trPr>
        <w:tc>
          <w:tcPr>
            <w:tcW w:w="860" w:type="dxa"/>
            <w:vAlign w:val="bottom"/>
          </w:tcPr>
          <w:p>
            <w:pPr>
              <w:spacing w:after="0"/>
              <w:rPr>
                <w:sz w:val="4"/>
                <w:szCs w:val="4"/>
                <w:color w:val="auto"/>
              </w:rPr>
            </w:pPr>
          </w:p>
        </w:tc>
        <w:tc>
          <w:tcPr>
            <w:tcW w:w="10520" w:type="dxa"/>
            <w:vAlign w:val="bottom"/>
          </w:tcPr>
          <w:p>
            <w:pPr>
              <w:spacing w:after="0"/>
              <w:rPr>
                <w:sz w:val="4"/>
                <w:szCs w:val="4"/>
                <w:color w:val="auto"/>
              </w:rPr>
            </w:pPr>
          </w:p>
        </w:tc>
      </w:tr>
      <w:tr>
        <w:trPr>
          <w:trHeight w:val="22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47"/>
        </w:trPr>
        <w:tc>
          <w:tcPr>
            <w:tcW w:w="860" w:type="dxa"/>
            <w:vAlign w:val="bottom"/>
            <w:shd w:val="clear" w:color="auto" w:fill="CCEEFF"/>
          </w:tcPr>
          <w:p>
            <w:pPr>
              <w:spacing w:after="0"/>
              <w:rPr>
                <w:sz w:val="4"/>
                <w:szCs w:val="4"/>
                <w:color w:val="auto"/>
              </w:rPr>
            </w:pPr>
          </w:p>
        </w:tc>
        <w:tc>
          <w:tcPr>
            <w:tcW w:w="1052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8"/>
              </w:rPr>
              <w:t>SEPTEMBER 29, 2019</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b w:val="1"/>
                <w:bCs w:val="1"/>
                <w:color w:val="auto"/>
                <w:w w:val="98"/>
              </w:rPr>
              <w:t>DECEMBER 30, 2018</w:t>
            </w:r>
          </w:p>
        </w:tc>
        <w:tc>
          <w:tcPr>
            <w:tcW w:w="94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LEVEL 2</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765</w:t>
            </w: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 recurring fair value measurements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10,138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10,138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18,454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1,393</w:t>
            </w: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 instruments - interest rate swaps</w:t>
            </w: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21,116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9,723</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Total liability recurring fair value measurements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27,976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27,976</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11,116</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11,116</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56"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36"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298" w:lineRule="exact"/>
        <w:rPr>
          <w:sz w:val="20"/>
          <w:szCs w:val="20"/>
          <w:color w:val="auto"/>
        </w:rPr>
      </w:pPr>
    </w:p>
    <w:p>
      <w:pPr>
        <w:sectPr>
          <w:pgSz w:w="11900" w:h="16838" w:orient="portrait"/>
          <w:cols w:equalWidth="0" w:num="2">
            <w:col w:w="2100" w:space="44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derivatives and use observable market-based inputs. The interest rate swaps are valued using a discounted cash flow analysis on the</w:t>
      </w:r>
    </w:p>
    <w:p>
      <w:pPr>
        <w:spacing w:after="0" w:line="19"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expected cash flows of each derivative using observable inputs including interest rate curves and credit spreads. The Company also</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considers its own nonperformance risk and the respective counterparty’s nonperformance risk in the fair value measurements. As of</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September 29, 2019 and December 30, 2018, the Company has determined that the credit valuation adjustments are not significant to</w:t>
      </w:r>
    </w:p>
    <w:p>
      <w:pPr>
        <w:spacing w:after="0" w:line="42"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 overall valuation of its derivatives.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Fair Value Measurements on a Nonrecurring Basis - </w:t>
      </w:r>
      <w:r>
        <w:rPr>
          <w:rFonts w:ascii="Arial" w:cs="Arial" w:eastAsia="Arial" w:hAnsi="Arial"/>
          <w:sz w:val="20"/>
          <w:szCs w:val="20"/>
          <w:color w:val="auto"/>
        </w:rPr>
        <w:t>Assets and liabilities that are measured at fair value on a nonrecurring basis relate</w:t>
      </w:r>
      <w:r>
        <w:rPr>
          <w:rFonts w:ascii="Arial" w:cs="Arial" w:eastAsia="Arial" w:hAnsi="Arial"/>
          <w:sz w:val="20"/>
          <w:szCs w:val="20"/>
          <w:i w:val="1"/>
          <w:iCs w:val="1"/>
          <w:color w:val="auto"/>
        </w:rPr>
        <w:t xml:space="preserve"> </w:t>
      </w:r>
      <w:r>
        <w:rPr>
          <w:rFonts w:ascii="Arial" w:cs="Arial" w:eastAsia="Arial" w:hAnsi="Arial"/>
          <w:sz w:val="20"/>
          <w:szCs w:val="20"/>
          <w:color w:val="auto"/>
        </w:rPr>
        <w:t>primarily to property, fixtures and equipment, operating lease right-of-use assets, goodwill and other intangible assets, which are remeasured when carrying value exceeds fair value. The following table summarizes the Company’s assets measured at fair value by hierarchy level on a nonrecurring basis,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64"/>
        </w:trPr>
        <w:tc>
          <w:tcPr>
            <w:tcW w:w="56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SEPTEMBER 30, 2018</w:t>
            </w:r>
          </w:p>
        </w:tc>
      </w:tr>
      <w:tr>
        <w:trPr>
          <w:trHeight w:val="153"/>
        </w:trPr>
        <w:tc>
          <w:tcPr>
            <w:tcW w:w="5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rPr>
              <w:t>TOTAL</w:t>
            </w: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rPr>
              <w:t>IMPAIRMENT</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14"/>
                <w:szCs w:val="14"/>
                <w:color w:val="auto"/>
              </w:rPr>
              <w:t>(1)</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(2)</w:t>
            </w:r>
          </w:p>
        </w:tc>
        <w:tc>
          <w:tcPr>
            <w:tcW w:w="4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(2)</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1,269</w:t>
            </w:r>
          </w:p>
        </w:tc>
      </w:tr>
      <w:tr>
        <w:trPr>
          <w:trHeight w:val="224"/>
        </w:trPr>
        <w:tc>
          <w:tcPr>
            <w:tcW w:w="56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1,588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1,330</w:t>
            </w:r>
          </w:p>
        </w:tc>
      </w:tr>
      <w:tr>
        <w:trPr>
          <w:trHeight w:val="33"/>
        </w:trPr>
        <w:tc>
          <w:tcPr>
            <w:tcW w:w="5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28"/>
        </w:trPr>
        <w:tc>
          <w:tcPr>
            <w:tcW w:w="56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THIRTY-NINE WEEKS ENDED</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SEPTEMBER 30, 2018</w:t>
            </w:r>
          </w:p>
        </w:tc>
      </w:tr>
      <w:tr>
        <w:trPr>
          <w:trHeight w:val="153"/>
        </w:trPr>
        <w:tc>
          <w:tcPr>
            <w:tcW w:w="5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rPr>
              <w:t>TOTAL</w:t>
            </w:r>
          </w:p>
        </w:tc>
      </w:tr>
      <w:tr>
        <w:trPr>
          <w:trHeight w:val="205"/>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 (1)</w:t>
            </w:r>
          </w:p>
        </w:tc>
        <w:tc>
          <w:tcPr>
            <w:tcW w:w="160" w:type="dxa"/>
            <w:vAlign w:val="bottom"/>
          </w:tcPr>
          <w:p>
            <w:pPr>
              <w:spacing w:after="0"/>
              <w:rPr>
                <w:sz w:val="17"/>
                <w:szCs w:val="17"/>
                <w:color w:val="auto"/>
              </w:rPr>
            </w:pPr>
          </w:p>
        </w:tc>
        <w:tc>
          <w:tcPr>
            <w:tcW w:w="1200" w:type="dxa"/>
            <w:vAlign w:val="bottom"/>
          </w:tcPr>
          <w:p>
            <w:pPr>
              <w:jc w:val="center"/>
              <w:ind w:right="82"/>
              <w:spacing w:after="0"/>
              <w:rPr>
                <w:sz w:val="20"/>
                <w:szCs w:val="20"/>
                <w:color w:val="auto"/>
              </w:rPr>
            </w:pPr>
            <w:r>
              <w:rPr>
                <w:rFonts w:ascii="Arial" w:cs="Arial" w:eastAsia="Arial" w:hAnsi="Arial"/>
                <w:sz w:val="14"/>
                <w:szCs w:val="14"/>
                <w:b w:val="1"/>
                <w:bCs w:val="1"/>
                <w:color w:val="auto"/>
              </w:rPr>
              <w:t>IMPAIRMENT</w:t>
            </w:r>
          </w:p>
        </w:tc>
      </w:tr>
      <w:tr>
        <w:trPr>
          <w:trHeight w:val="237"/>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14"/>
                <w:szCs w:val="14"/>
                <w:color w:val="auto"/>
              </w:rPr>
              <w:t>(1)</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(2)</w:t>
            </w:r>
          </w:p>
        </w:tc>
        <w:tc>
          <w:tcPr>
            <w:tcW w:w="42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2,649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2,988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(2)</w:t>
            </w: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8,211</w:t>
            </w:r>
          </w:p>
        </w:tc>
      </w:tr>
      <w:tr>
        <w:trPr>
          <w:trHeight w:val="224"/>
        </w:trPr>
        <w:tc>
          <w:tcPr>
            <w:tcW w:w="56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6,049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6,962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5,455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8,322</w:t>
            </w:r>
          </w:p>
        </w:tc>
      </w:tr>
      <w:tr>
        <w:trPr>
          <w:trHeight w:val="33"/>
        </w:trPr>
        <w:tc>
          <w:tcPr>
            <w:tcW w:w="5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Carrying value after impairment approximates fair value with all assets measured using third-party market appraisals or executed sales contracts (Level 2).</w:t>
      </w:r>
    </w:p>
    <w:p>
      <w:pPr>
        <w:spacing w:after="0" w:line="16" w:lineRule="exact"/>
        <w:rPr>
          <w:rFonts w:ascii="Arial" w:cs="Arial" w:eastAsia="Arial" w:hAnsi="Arial"/>
          <w:sz w:val="15"/>
          <w:szCs w:val="15"/>
          <w:color w:val="auto"/>
        </w:rPr>
      </w:pPr>
    </w:p>
    <w:p>
      <w:pPr>
        <w:jc w:val="both"/>
        <w:ind w:left="660" w:hanging="652"/>
        <w:spacing w:after="0" w:line="272"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Carrying value after impairment approximates fair value. Carrying values for Operating lease right-of-use assets and Property, fixtures and equipment measured using Level 3 inputs to estimate fair value totaled $0.3 million and $0.4 million, respectively, during the thirteen weeks ended September 29, 2019 and $2.4 million and $1.3 million, respectively, during the thirty-nine weeks ended September 29, 2019. Level 2 inputs were used to estimate the fair value for all other assets measured in the periods presented. Third-party market appraisals (Level 2) and discounted cash flow models (Level 3) were used to estimate fair value.</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29, 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30, 2018</w:t>
            </w:r>
          </w:p>
        </w:tc>
      </w:tr>
      <w:tr>
        <w:trPr>
          <w:trHeight w:val="32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100" w:type="dxa"/>
            <w:vAlign w:val="bottom"/>
          </w:tcPr>
          <w:p>
            <w:pPr>
              <w:jc w:val="right"/>
              <w:ind w:right="243"/>
              <w:spacing w:after="0"/>
              <w:rPr>
                <w:sz w:val="20"/>
                <w:szCs w:val="20"/>
                <w:color w:val="auto"/>
              </w:rPr>
            </w:pPr>
            <w:r>
              <w:rPr>
                <w:rFonts w:ascii="Arial" w:cs="Arial" w:eastAsia="Arial" w:hAnsi="Arial"/>
                <w:sz w:val="14"/>
                <w:szCs w:val="14"/>
                <w:b w:val="1"/>
                <w:bCs w:val="1"/>
                <w:color w:val="auto"/>
              </w:rPr>
              <w:t>LEVEL 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456,250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456,250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440"/>
              <w:spacing w:after="0"/>
              <w:rPr>
                <w:sz w:val="20"/>
                <w:szCs w:val="20"/>
                <w:color w:val="auto"/>
              </w:rPr>
            </w:pPr>
            <w:r>
              <w:rPr>
                <w:rFonts w:ascii="Arial" w:cs="Arial" w:eastAsia="Arial" w:hAnsi="Arial"/>
                <w:sz w:val="16"/>
                <w:szCs w:val="16"/>
                <w:color w:val="auto"/>
              </w:rPr>
              <w:t>475,000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464,906</w:t>
            </w:r>
          </w:p>
        </w:tc>
      </w:tr>
      <w:tr>
        <w:trPr>
          <w:trHeight w:val="33"/>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663,800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663,800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599,500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590,508</w:t>
            </w:r>
          </w:p>
        </w:tc>
      </w:tr>
      <w:tr>
        <w:trPr>
          <w:trHeight w:val="33"/>
        </w:trPr>
        <w:tc>
          <w:tcPr>
            <w:tcW w:w="6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4"/>
          </w:tcPr>
          <w:p>
            <w:pPr>
              <w:jc w:val="right"/>
              <w:ind w:right="1022"/>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2"/>
                <w:szCs w:val="22"/>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29, 2019</w:t>
            </w:r>
          </w:p>
        </w:tc>
        <w:tc>
          <w:tcPr>
            <w:tcW w:w="200" w:type="dxa"/>
            <w:vAlign w:val="bottom"/>
          </w:tcPr>
          <w:p>
            <w:pPr>
              <w:spacing w:after="0"/>
              <w:rPr>
                <w:sz w:val="22"/>
                <w:szCs w:val="22"/>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22"/>
                <w:szCs w:val="22"/>
                <w:color w:val="auto"/>
              </w:rPr>
            </w:pPr>
          </w:p>
        </w:tc>
        <w:tc>
          <w:tcPr>
            <w:tcW w:w="1900" w:type="dxa"/>
            <w:vAlign w:val="bottom"/>
          </w:tcPr>
          <w:p>
            <w:pPr>
              <w:jc w:val="right"/>
              <w:ind w:right="262"/>
              <w:spacing w:after="0"/>
              <w:rPr>
                <w:sz w:val="20"/>
                <w:szCs w:val="20"/>
                <w:color w:val="auto"/>
              </w:rPr>
            </w:pPr>
            <w:r>
              <w:rPr>
                <w:rFonts w:ascii="Arial" w:cs="Arial" w:eastAsia="Arial" w:hAnsi="Arial"/>
                <w:sz w:val="14"/>
                <w:szCs w:val="14"/>
                <w:b w:val="1"/>
                <w:bCs w:val="1"/>
                <w:color w:val="auto"/>
              </w:rPr>
              <w:t>SEPTEMBER 30, 2018</w:t>
            </w:r>
          </w:p>
        </w:tc>
      </w:tr>
      <w:tr>
        <w:trPr>
          <w:trHeight w:val="237"/>
        </w:trPr>
        <w:tc>
          <w:tcPr>
            <w:tcW w:w="2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(6,516)</w:t>
            </w:r>
          </w:p>
        </w:tc>
      </w:tr>
      <w:tr>
        <w:trPr>
          <w:trHeight w:val="237"/>
        </w:trPr>
        <w:tc>
          <w:tcPr>
            <w:tcW w:w="278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center"/>
              <w:ind w:left="1042"/>
              <w:spacing w:after="0"/>
              <w:rPr>
                <w:sz w:val="20"/>
                <w:szCs w:val="20"/>
                <w:color w:val="auto"/>
              </w:rPr>
            </w:pPr>
            <w:r>
              <w:rPr>
                <w:rFonts w:ascii="Arial" w:cs="Arial" w:eastAsia="Arial" w:hAnsi="Arial"/>
                <w:sz w:val="16"/>
                <w:szCs w:val="16"/>
                <w:color w:val="auto"/>
              </w:rPr>
              <w:t>(NM)</w:t>
            </w: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(7.2)%</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NM</w:t>
      </w:r>
      <w:r>
        <w:rPr>
          <w:sz w:val="20"/>
          <w:szCs w:val="20"/>
          <w:color w:val="auto"/>
        </w:rPr>
        <w:tab/>
      </w:r>
      <w:r>
        <w:rPr>
          <w:rFonts w:ascii="Arial" w:cs="Arial" w:eastAsia="Arial" w:hAnsi="Arial"/>
          <w:sz w:val="15"/>
          <w:szCs w:val="15"/>
          <w:color w:val="auto"/>
        </w:rPr>
        <w:t>Not meaningful.</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the benefit for income taxes for the thirteen weeks ended September 29, 2019 as compared to the thirteen weeks ended September 30, 2018 was primarily due to favorable discrete items recorded in the thirteen weeks ended September 30, 2018 and an increase in pre-tax book income in 2019 relative to 2018.</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effective income tax rate for the thirty-nine weeks ended September 29, 2019 increased by 12.7 percentage points as compared to the thirty-nine weeks ended September 30, 2018. The increase was primarily due to favorable discrete items recorded in the thirty-nine weeks ended September 30, 2018, which included excess tax benefits from equity-based compensation arrangements.</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the thirteen weeks ended September 29, 2019 was lower than the statutory rate primarily due to the benefit of tax credits for FICA taxes on certain employees’ tips and changes to the estimate of the forecasted full-year 2019 effective tax rate relative to prior quarters. The effective income tax rate for the thirty-nine weeks ended September 29, 2019 was lower than the statutory rate primarily due to the benefit of tax credits for FICA taxes on certain employees’ tips.</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Commitments and Contingencies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$2.7 million and $2.8 million of liabilities recorded for various legal matters as of</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29, 2019 and December 30, 2018, respectively.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The Company assigned its interest, and is contingently liable, under certain real estate leases. These leases have varying</w:t>
      </w:r>
      <w:r>
        <w:rPr>
          <w:rFonts w:ascii="Arial" w:cs="Arial" w:eastAsia="Arial" w:hAnsi="Arial"/>
          <w:sz w:val="19"/>
          <w:szCs w:val="19"/>
          <w:i w:val="1"/>
          <w:iCs w:val="1"/>
          <w:color w:val="auto"/>
        </w:rPr>
        <w:t xml:space="preserve"> </w:t>
      </w:r>
      <w:r>
        <w:rPr>
          <w:rFonts w:ascii="Arial" w:cs="Arial" w:eastAsia="Arial" w:hAnsi="Arial"/>
          <w:sz w:val="19"/>
          <w:szCs w:val="19"/>
          <w:color w:val="auto"/>
        </w:rPr>
        <w:t>terms, the latest of which expires in 2032. As of September 29, 2019, the undiscounted payments that the Company could be required to make in the event of non-payment by the primary lessees was approximately $32.8 million. The present value of these potential payments discounted at the Company’s incremental borrowing rate as of September 29, 2019 was approximately $24.6 million. In the event of default, the indemnity clauses in the Company’s purchase and sale agreements govern its ability to pursue and recover damages incurred. The Company believes the financial strength and operating history of the lessees’ significantly reduces the risk that it will be required to make payments under these leases. Accordingly, no liability has been recorded.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Segment Reporting</w:t>
      </w:r>
    </w:p>
    <w:p>
      <w:pPr>
        <w:spacing w:after="0" w:line="229"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30, 2018.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7"/>
                <w:szCs w:val="17"/>
                <w:color w:val="auto"/>
              </w:rPr>
            </w:pPr>
          </w:p>
        </w:tc>
        <w:tc>
          <w:tcPr>
            <w:tcW w:w="288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6"/>
                <w:shd w:val="clear" w:color="auto" w:fill="CCEEFF"/>
              </w:rPr>
              <w:t>Total revenues</w:t>
            </w:r>
          </w:p>
        </w:tc>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24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848,444</w:t>
            </w:r>
          </w:p>
        </w:tc>
        <w:tc>
          <w:tcPr>
            <w:tcW w:w="12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861,493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2,777,170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2,782,555</w:t>
            </w:r>
          </w:p>
        </w:tc>
      </w:tr>
      <w:tr>
        <w:trPr>
          <w:trHeight w:val="33"/>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118,700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103,528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340,035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330,745</w:t>
            </w:r>
          </w:p>
        </w:tc>
      </w:tr>
      <w:tr>
        <w:trPr>
          <w:trHeight w:val="250"/>
        </w:trPr>
        <w:tc>
          <w:tcPr>
            <w:tcW w:w="40" w:type="dxa"/>
            <w:vAlign w:val="bottom"/>
          </w:tcPr>
          <w:p>
            <w:pPr>
              <w:spacing w:after="0"/>
              <w:rPr>
                <w:sz w:val="21"/>
                <w:szCs w:val="21"/>
                <w:color w:val="auto"/>
              </w:rPr>
            </w:pPr>
          </w:p>
        </w:tc>
        <w:tc>
          <w:tcPr>
            <w:tcW w:w="5120" w:type="dxa"/>
            <w:vAlign w:val="bottom"/>
            <w:gridSpan w:val="2"/>
          </w:tcPr>
          <w:p>
            <w:pPr>
              <w:ind w:left="46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967,144</w:t>
            </w:r>
          </w:p>
        </w:tc>
        <w:tc>
          <w:tcPr>
            <w:tcW w:w="12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965,021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3,117,205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3,113,300</w:t>
            </w: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121" w:right="2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22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is a reconciliation of Segment income from operations to Income before (benefit) provision for income taxes,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29, 2019</w:t>
            </w:r>
          </w:p>
        </w:tc>
        <w:tc>
          <w:tcPr>
            <w:tcW w:w="17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Segment income from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U.S.</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50,318</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44,598</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242,167</w:t>
            </w:r>
          </w:p>
        </w:tc>
        <w:tc>
          <w:tcPr>
            <w:tcW w:w="100" w:type="dxa"/>
            <w:vAlign w:val="bottom"/>
          </w:tcPr>
          <w:p>
            <w:pPr>
              <w:spacing w:after="0"/>
              <w:rPr>
                <w:sz w:val="20"/>
                <w:szCs w:val="20"/>
                <w:color w:val="auto"/>
              </w:rPr>
            </w:pPr>
          </w:p>
        </w:tc>
        <w:tc>
          <w:tcPr>
            <w:tcW w:w="500" w:type="dxa"/>
            <w:vAlign w:val="bottom"/>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230,645</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10,550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31,179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14,052</w:t>
            </w: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Total segment income from operations</w:t>
            </w:r>
          </w:p>
        </w:tc>
        <w:tc>
          <w:tcPr>
            <w:tcW w:w="42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60,868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52,374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273,346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244,697</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Unallocated corporate operating expense</w:t>
            </w:r>
          </w:p>
        </w:tc>
        <w:tc>
          <w:tcPr>
            <w:tcW w:w="4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(39,837)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(120,865)</w:t>
            </w: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Total income from operations</w:t>
            </w:r>
          </w:p>
        </w:tc>
        <w:tc>
          <w:tcPr>
            <w:tcW w:w="42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21,958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147,912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123,832</w:t>
            </w:r>
          </w:p>
        </w:tc>
      </w:tr>
      <w:tr>
        <w:trPr>
          <w:trHeight w:val="33"/>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expense, net</w:t>
            </w:r>
          </w:p>
        </w:tc>
        <w:tc>
          <w:tcPr>
            <w:tcW w:w="4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(13,256)</w:t>
            </w: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(11,600)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(36,885)</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(33,229)</w:t>
            </w: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before (benefit) provision for income taxes</w:t>
            </w: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110,882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90,597</w:t>
            </w:r>
          </w:p>
        </w:tc>
      </w:tr>
      <w:tr>
        <w:trPr>
          <w:trHeight w:val="20"/>
        </w:trPr>
        <w:tc>
          <w:tcPr>
            <w:tcW w:w="4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U.S.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36,670</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39,796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114,372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119,063</w:t>
            </w: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19,866</w:t>
            </w:r>
          </w:p>
        </w:tc>
      </w:tr>
      <w:tr>
        <w:trPr>
          <w:trHeight w:val="270"/>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4,055</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4,355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12,418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12,544</w:t>
            </w: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47,926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50,571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147,196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151,473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operating lease right-of-use assets, goodwill, intangible assets and deferred tax assets, by major geographic area as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20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30, 2018</w:t>
            </w:r>
          </w:p>
        </w:tc>
      </w:tr>
      <w:tr>
        <w:trPr>
          <w:trHeight w:val="237"/>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1,032,857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1,107,679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Brazil</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115,560</w:t>
            </w:r>
          </w:p>
        </w:tc>
      </w:tr>
      <w:tr>
        <w:trPr>
          <w:trHeight w:val="27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13,663</w:t>
            </w: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1,165,204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1,236,902</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2"/>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5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2"/>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848,444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861,493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2,777,170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2,782,555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Brazil</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106,151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298,935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284,376</w:t>
            </w:r>
          </w:p>
        </w:tc>
      </w:tr>
      <w:tr>
        <w:trPr>
          <w:trHeight w:val="270"/>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12,549</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15,350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41,100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46,369</w:t>
            </w:r>
          </w:p>
        </w:tc>
      </w:tr>
      <w:tr>
        <w:trPr>
          <w:trHeight w:val="244"/>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967,144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965,021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3,117,205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3,113,300</w:t>
            </w:r>
          </w:p>
        </w:tc>
      </w:tr>
      <w:tr>
        <w:trPr>
          <w:trHeight w:val="20"/>
        </w:trPr>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81" w:lineRule="exact"/>
        <w:rPr>
          <w:sz w:val="20"/>
          <w:szCs w:val="20"/>
          <w:color w:val="auto"/>
        </w:rPr>
      </w:pPr>
    </w:p>
    <w:p>
      <w:pPr>
        <w:ind w:left="660" w:hanging="652"/>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outcome of our review of strategic alternatives, including the impact on our ongoing business, our stock price and our ability to successfully implement any alternatives that we pursue;</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29" w:lineRule="exact"/>
        <w:rPr>
          <w:rFonts w:ascii="Arial" w:cs="Arial" w:eastAsia="Arial" w:hAnsi="Arial"/>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the highly competitive restaurant industry with many well-established competitors and new market entrants;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29"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176" w:lineRule="exact"/>
        <w:rPr>
          <w:rFonts w:ascii="Arial" w:cs="Arial" w:eastAsia="Arial" w:hAnsi="Arial"/>
          <w:sz w:val="20"/>
          <w:szCs w:val="20"/>
          <w:color w:val="auto"/>
        </w:rPr>
      </w:pPr>
    </w:p>
    <w:p>
      <w:pPr>
        <w:ind w:left="660" w:hanging="652"/>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left="660" w:right="2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29"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190"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190" w:lineRule="exact"/>
        <w:rPr>
          <w:rFonts w:ascii="Arial" w:cs="Arial" w:eastAsia="Arial" w:hAnsi="Arial"/>
          <w:sz w:val="20"/>
          <w:szCs w:val="20"/>
          <w:color w:val="auto"/>
        </w:rPr>
      </w:pPr>
    </w:p>
    <w:p>
      <w:pPr>
        <w:jc w:val="both"/>
        <w:ind w:left="660" w:hanging="652"/>
        <w:spacing w:after="0" w:line="269"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w:t>
      </w:r>
    </w:p>
    <w:p>
      <w:pPr>
        <w:spacing w:after="0" w:line="183"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adequacy of our cash flow and earnings and other conditions which may affect our ability to pay dividends and repurchase shares of our common stock; and</w:t>
      </w:r>
    </w:p>
    <w:p>
      <w:pPr>
        <w:spacing w:after="0" w:line="190"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30, 2018.</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September 29, 2019, we owned and operated 1,172 restaurants and franchised 299 restaurants across 48 states, Puerto Rico, Guam and 21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September 29, 2019 (“third quarter of 2019”) include the following:</w:t>
      </w:r>
    </w:p>
    <w:p>
      <w:pPr>
        <w:spacing w:after="0" w:line="229" w:lineRule="exact"/>
        <w:rPr>
          <w:sz w:val="20"/>
          <w:szCs w:val="20"/>
          <w:color w:val="auto"/>
        </w:rPr>
      </w:pPr>
    </w:p>
    <w:p>
      <w:pPr>
        <w:ind w:left="660" w:hanging="328"/>
        <w:spacing w:after="0" w:line="31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Total revenues of 0.2% in the third quarter of 2019, as compared to the third quarter of 2018, primarily due to higher comparable restaurant sales in Brazil and the net impact of restaurant openings and closures, partially offset by domestic refranchising.</w:t>
      </w:r>
    </w:p>
    <w:p>
      <w:pPr>
        <w:spacing w:after="0" w:line="143"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Income from operations of $22.0 million in the third quarter of 2019, as compared to $12.5 million in the third quarter of 2018, increased primarily due to: (i) higher comparable restaurant sales in Brazil, (ii) the impact of certain cost savings initiatives and (iii) gains on the sale of certain U.S. surplus properties. These increases were partially offset by: (i) commodity, operating and labor inflation, (ii) additional expense related to the rollout of delivery services and (iii) the impact of deferred gain amortization no longer recognized upon adoption of the new lease standard.</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 </w:t>
      </w:r>
      <w:r>
        <w:rPr>
          <w:rFonts w:ascii="Arial" w:cs="Arial" w:eastAsia="Arial" w:hAnsi="Arial"/>
          <w:sz w:val="20"/>
          <w:szCs w:val="20"/>
          <w:color w:val="252525"/>
        </w:rPr>
        <w:t>During the thirteen weeks ended March 31, 2019, we completed the sale of 18 of our existing U.S. Company-owned Carrabba’s</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Italian Grill locations to an existing franchisee for cash proceeds of $3.6 million, net of certain purchase price adjustments. </w:t>
      </w:r>
      <w:r>
        <w:rPr>
          <w:rFonts w:ascii="Arial" w:cs="Arial" w:eastAsia="Arial" w:hAnsi="Arial"/>
          <w:sz w:val="20"/>
          <w:szCs w:val="20"/>
          <w:color w:val="000000"/>
        </w:rPr>
        <w:t>See Note 3 -</w:t>
      </w:r>
      <w:r>
        <w:rPr>
          <w:rFonts w:ascii="Arial" w:cs="Arial" w:eastAsia="Arial" w:hAnsi="Arial"/>
          <w:sz w:val="20"/>
          <w:szCs w:val="20"/>
          <w:color w:val="252525"/>
        </w:rPr>
        <w:t xml:space="preserve"> </w:t>
      </w:r>
      <w:r>
        <w:rPr>
          <w:rFonts w:ascii="Arial" w:cs="Arial" w:eastAsia="Arial" w:hAnsi="Arial"/>
          <w:sz w:val="20"/>
          <w:szCs w:val="20"/>
          <w:i w:val="1"/>
          <w:iCs w:val="1"/>
          <w:color w:val="000000"/>
        </w:rPr>
        <w:t xml:space="preserve">Disposals </w:t>
      </w:r>
      <w:r>
        <w:rPr>
          <w:rFonts w:ascii="Arial" w:cs="Arial" w:eastAsia="Arial" w:hAnsi="Arial"/>
          <w:sz w:val="20"/>
          <w:szCs w:val="20"/>
          <w:color w:val="000000"/>
        </w:rPr>
        <w:t>of our Notes to Consolidated Financial Statements for additional details.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Surplus Property Disposals </w:t>
      </w:r>
      <w:r>
        <w:rPr>
          <w:rFonts w:ascii="Arial" w:cs="Arial" w:eastAsia="Arial" w:hAnsi="Arial"/>
          <w:sz w:val="18"/>
          <w:szCs w:val="18"/>
          <w:color w:val="auto"/>
        </w:rPr>
        <w:t>- During the thirteen weeks ended September 29, 2019, we completed the sale of five of our U.S. surplus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cash proceeds of $12.7 million, net of certain purchase price adjustments. The transaction resulted in a net gain of $3.6 million, recorded within Other restaurant operating expense in our Consolidated Statements of Operations and Comprehensive (Loss) Income.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Exploring Strategic Alternatives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currently exploring and evaluating strategic alternatives that have the potential to maximize value for our shareholders, including but not limited to, a possible sale of the Company. We plan to proceed in a timely manner, but have not set a definitive timetable for completion of this process. There can be no assurance that this review will result in a transaction or other strategic alternative of any kind. The Board of Directors has retained BofA Securities, Inc. as its financial advisor.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29" w:lineRule="exact"/>
        <w:rPr>
          <w:sz w:val="20"/>
          <w:szCs w:val="20"/>
          <w:color w:val="auto"/>
        </w:rPr>
      </w:pPr>
    </w:p>
    <w:p>
      <w:pPr>
        <w:ind w:left="66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24"/>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left="660" w:right="20" w:hanging="328"/>
        <w:spacing w:after="0" w:line="260" w:lineRule="auto"/>
        <w:tabs>
          <w:tab w:leader="none" w:pos="660"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190"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25"/>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Income from operations, Net income and Diluted earnings per share </w:t>
      </w:r>
      <w:r>
        <w:rPr>
          <w:rFonts w:ascii="Arial" w:cs="Arial" w:eastAsia="Arial" w:hAnsi="Arial"/>
          <w:sz w:val="20"/>
          <w:szCs w:val="20"/>
          <w:color w:val="auto"/>
        </w:rPr>
        <w:t>— financial measures utilized</w:t>
      </w:r>
      <w:r>
        <w:rPr>
          <w:rFonts w:ascii="Arial" w:cs="Arial" w:eastAsia="Arial" w:hAnsi="Arial"/>
          <w:sz w:val="20"/>
          <w:szCs w:val="20"/>
          <w:i w:val="1"/>
          <w:iCs w:val="1"/>
          <w:color w:val="auto"/>
        </w:rPr>
        <w:t xml:space="preserve"> </w:t>
      </w:r>
      <w:r>
        <w:rPr>
          <w:rFonts w:ascii="Arial" w:cs="Arial" w:eastAsia="Arial" w:hAnsi="Arial"/>
          <w:sz w:val="20"/>
          <w:szCs w:val="20"/>
          <w:color w:val="auto"/>
        </w:rPr>
        <w:t>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316" w:lineRule="auto"/>
        <w:rPr>
          <w:rFonts w:ascii="Arial" w:cs="Arial" w:eastAsia="Arial" w:hAnsi="Arial"/>
          <w:sz w:val="20"/>
          <w:szCs w:val="20"/>
          <w:i w:val="1"/>
          <w:iCs w:val="1"/>
          <w:color w:val="auto"/>
        </w:rPr>
      </w:pPr>
      <w:r>
        <w:rPr>
          <w:rFonts w:ascii="Arial" w:cs="Arial" w:eastAsia="Arial" w:hAnsi="Arial"/>
          <w:sz w:val="16"/>
          <w:szCs w:val="16"/>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153" w:lineRule="exact"/>
        <w:rPr>
          <w:rFonts w:ascii="Arial" w:cs="Arial" w:eastAsia="Arial" w:hAnsi="Arial"/>
          <w:sz w:val="20"/>
          <w:szCs w:val="20"/>
          <w:i w:val="1"/>
          <w:iCs w:val="1"/>
          <w:color w:val="auto"/>
        </w:rPr>
      </w:pPr>
    </w:p>
    <w:p>
      <w:pPr>
        <w:ind w:left="1300" w:hanging="644"/>
        <w:spacing w:after="0" w:line="247"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spacing w:after="0" w:line="1" w:lineRule="exact"/>
        <w:rPr>
          <w:rFonts w:ascii="Arial" w:cs="Arial" w:eastAsia="Arial" w:hAnsi="Arial"/>
          <w:sz w:val="20"/>
          <w:szCs w:val="20"/>
          <w:color w:val="auto"/>
        </w:rPr>
      </w:pPr>
    </w:p>
    <w:p>
      <w:pPr>
        <w:ind w:left="1300" w:right="20" w:hanging="644"/>
        <w:spacing w:after="0" w:line="239" w:lineRule="auto"/>
        <w:tabs>
          <w:tab w:leader="none" w:pos="13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36"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spacing w:after="0" w:line="194" w:lineRule="exact"/>
        <w:rPr>
          <w:sz w:val="20"/>
          <w:szCs w:val="20"/>
          <w:color w:val="auto"/>
        </w:rPr>
      </w:pPr>
    </w:p>
    <w:p>
      <w:pPr>
        <w:ind w:left="660" w:right="20" w:hanging="328"/>
        <w:spacing w:after="0" w:line="260" w:lineRule="auto"/>
        <w:tabs>
          <w:tab w:leader="none" w:pos="660" w:val="left"/>
        </w:tabs>
        <w:numPr>
          <w:ilvl w:val="0"/>
          <w:numId w:val="26"/>
        </w:numPr>
        <w:rPr>
          <w:rFonts w:ascii="Arial" w:cs="Arial" w:eastAsia="Arial" w:hAnsi="Arial"/>
          <w:sz w:val="20"/>
          <w:szCs w:val="20"/>
          <w:i w:val="1"/>
          <w:iCs w:val="1"/>
          <w:color w:val="auto"/>
        </w:rPr>
      </w:pPr>
      <w:r>
        <w:rPr>
          <w:rFonts w:ascii="Arial" w:cs="Arial" w:eastAsia="Arial" w:hAnsi="Arial"/>
          <w:sz w:val="20"/>
          <w:szCs w:val="20"/>
          <w:i w:val="1"/>
          <w:iCs w:val="1"/>
          <w:color w:val="auto"/>
        </w:rPr>
        <w:t>Adjusted restaurant-level operating margin, Adjusted income from operations, Adjusted net income and Adjusted diluted earnings per share</w:t>
      </w:r>
      <w:r>
        <w:rPr>
          <w:rFonts w:ascii="Arial" w:cs="Arial" w:eastAsia="Arial" w:hAnsi="Arial"/>
          <w:sz w:val="20"/>
          <w:szCs w:val="20"/>
          <w:color w:val="auto"/>
        </w:rPr>
        <w:t>—non-GAAP financial measures utilized to evaluate our operating performance.</w:t>
      </w:r>
    </w:p>
    <w:p>
      <w:pPr>
        <w:spacing w:after="0" w:line="190" w:lineRule="exact"/>
        <w:rPr>
          <w:rFonts w:ascii="Arial" w:cs="Arial" w:eastAsia="Arial" w:hAnsi="Arial"/>
          <w:sz w:val="20"/>
          <w:szCs w:val="20"/>
          <w:i w:val="1"/>
          <w:iCs w:val="1"/>
          <w:color w:val="auto"/>
        </w:rPr>
      </w:pPr>
    </w:p>
    <w:p>
      <w:pPr>
        <w:jc w:val="both"/>
        <w:ind w:left="660"/>
        <w:spacing w:after="0" w:line="242" w:lineRule="auto"/>
        <w:rPr>
          <w:rFonts w:ascii="Arial" w:cs="Arial" w:eastAsia="Arial" w:hAnsi="Arial"/>
          <w:sz w:val="20"/>
          <w:szCs w:val="20"/>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211" w:lineRule="exact"/>
        <w:rPr>
          <w:rFonts w:ascii="Arial" w:cs="Arial" w:eastAsia="Arial" w:hAnsi="Arial"/>
          <w:sz w:val="20"/>
          <w:szCs w:val="20"/>
          <w:i w:val="1"/>
          <w:iCs w:val="1"/>
          <w:color w:val="auto"/>
        </w:rPr>
      </w:pPr>
    </w:p>
    <w:p>
      <w:pPr>
        <w:ind w:left="660" w:hanging="328"/>
        <w:spacing w:after="0"/>
        <w:tabs>
          <w:tab w:leader="none" w:pos="660" w:val="left"/>
        </w:tabs>
        <w:numPr>
          <w:ilvl w:val="0"/>
          <w:numId w:val="26"/>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at the end of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Number of restaurants (at end of the period):</w:t>
            </w:r>
          </w:p>
        </w:tc>
        <w:tc>
          <w:tcPr>
            <w:tcW w:w="2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29, 2019</w:t>
            </w:r>
          </w:p>
        </w:tc>
        <w:tc>
          <w:tcPr>
            <w:tcW w:w="1940" w:type="dxa"/>
            <w:vAlign w:val="bottom"/>
          </w:tcPr>
          <w:p>
            <w:pPr>
              <w:jc w:val="right"/>
              <w:ind w:right="179"/>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Carrabba’s Italian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 (1)</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 (1)</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Bonefish Grill</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1"/>
        </w:trPr>
        <w:tc>
          <w:tcPr>
            <w:tcW w:w="7440" w:type="dxa"/>
            <w:vAlign w:val="bottom"/>
          </w:tcPr>
          <w:p>
            <w:pPr>
              <w:ind w:left="180"/>
              <w:spacing w:after="0"/>
              <w:rPr>
                <w:sz w:val="20"/>
                <w:szCs w:val="20"/>
                <w:color w:val="auto"/>
              </w:rPr>
            </w:pPr>
            <w:r>
              <w:rPr>
                <w:rFonts w:ascii="Arial" w:cs="Arial" w:eastAsia="Arial" w:hAnsi="Arial"/>
                <w:sz w:val="16"/>
                <w:szCs w:val="16"/>
                <w:color w:val="auto"/>
              </w:rPr>
              <w:t>Fleming’s Prime Steakhouse &amp; Wine Bar</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4"/>
        </w:trPr>
        <w:tc>
          <w:tcPr>
            <w:tcW w:w="7440" w:type="dxa"/>
            <w:vAlign w:val="bottom"/>
          </w:tcPr>
          <w:p>
            <w:pPr>
              <w:ind w:left="180"/>
              <w:spacing w:after="0"/>
              <w:rPr>
                <w:sz w:val="20"/>
                <w:szCs w:val="20"/>
                <w:color w:val="auto"/>
              </w:rPr>
            </w:pPr>
            <w:r>
              <w:rPr>
                <w:rFonts w:ascii="Arial" w:cs="Arial" w:eastAsia="Arial" w:hAnsi="Arial"/>
                <w:sz w:val="16"/>
                <w:szCs w:val="16"/>
                <w:color w:val="auto"/>
              </w:rPr>
              <w:t>Other</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Company-owned</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U.S. Total</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1,220</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180"/>
              <w:spacing w:after="0"/>
              <w:rPr>
                <w:sz w:val="20"/>
                <w:szCs w:val="20"/>
                <w:color w:val="auto"/>
              </w:rPr>
            </w:pPr>
            <w:r>
              <w:rPr>
                <w:rFonts w:ascii="Arial" w:cs="Arial" w:eastAsia="Arial" w:hAnsi="Arial"/>
                <w:sz w:val="16"/>
                <w:szCs w:val="16"/>
                <w:color w:val="auto"/>
              </w:rPr>
              <w:t>Company-owned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 - Brazil (2)</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Other</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Franchised</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Outback Steakhouse - South Korea</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1"/>
        </w:trPr>
        <w:tc>
          <w:tcPr>
            <w:tcW w:w="7440" w:type="dxa"/>
            <w:vAlign w:val="bottom"/>
            <w:tcBorders>
              <w:top w:val="single" w:sz="8" w:color="CCEEFF"/>
            </w:tcBorders>
          </w:tcPr>
          <w:p>
            <w:pPr>
              <w:ind w:left="720"/>
              <w:spacing w:after="0"/>
              <w:rPr>
                <w:sz w:val="20"/>
                <w:szCs w:val="20"/>
                <w:color w:val="auto"/>
              </w:rPr>
            </w:pPr>
            <w:r>
              <w:rPr>
                <w:rFonts w:ascii="Arial" w:cs="Arial" w:eastAsia="Arial" w:hAnsi="Arial"/>
                <w:sz w:val="16"/>
                <w:szCs w:val="16"/>
                <w:color w:val="auto"/>
              </w:rPr>
              <w:t>International Total</w:t>
            </w: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top w:val="single" w:sz="8" w:color="CCEEFF"/>
            </w:tcBorders>
          </w:tcPr>
          <w:p>
            <w:pPr>
              <w:spacing w:after="0"/>
              <w:rPr>
                <w:sz w:val="18"/>
                <w:szCs w:val="18"/>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40"/>
        </w:trPr>
        <w:tc>
          <w:tcPr>
            <w:tcW w:w="744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System-wide total</w:t>
            </w: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March 2019, we sold 18 Carrabba’s Italian Grill locations,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August 31, 2019 and 2018, respectively, to correspond with the balance sheet dates of this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4880" w:type="dxa"/>
            <w:vAlign w:val="bottom"/>
          </w:tcPr>
          <w:p>
            <w:pPr>
              <w:spacing w:after="0"/>
              <w:rPr>
                <w:sz w:val="22"/>
                <w:szCs w:val="22"/>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2019</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98.4 %</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4"/>
        </w:trPr>
        <w:tc>
          <w:tcPr>
            <w:tcW w:w="488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Cost of sales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Labor and other related (1)</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Other restaurant operating (1)</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88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impaired assets and restaurant closings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70"/>
        </w:trPr>
        <w:tc>
          <w:tcPr>
            <w:tcW w:w="488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costs and expenses</w:t>
            </w: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4"/>
        </w:trPr>
        <w:tc>
          <w:tcPr>
            <w:tcW w:w="4880" w:type="dxa"/>
            <w:vAlign w:val="bottom"/>
          </w:tcPr>
          <w:p>
            <w:pPr>
              <w:ind w:left="40"/>
              <w:spacing w:after="0"/>
              <w:rPr>
                <w:sz w:val="20"/>
                <w:szCs w:val="20"/>
                <w:color w:val="auto"/>
              </w:rPr>
            </w:pPr>
            <w:r>
              <w:rPr>
                <w:rFonts w:ascii="Arial" w:cs="Arial" w:eastAsia="Arial" w:hAnsi="Arial"/>
                <w:sz w:val="16"/>
                <w:szCs w:val="16"/>
                <w:color w:val="auto"/>
              </w:rPr>
              <w:t>Income before (benefit) provision for income taxes</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4"/>
        </w:trPr>
        <w:tc>
          <w:tcPr>
            <w:tcW w:w="4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156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8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20"/>
                <w:szCs w:val="20"/>
                <w:color w:val="auto"/>
              </w:rPr>
              <w:t>________________</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3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one percent of Total revenues.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5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580" w:type="dxa"/>
            <w:vAlign w:val="bottom"/>
          </w:tcPr>
          <w:p>
            <w:pPr>
              <w:jc w:val="right"/>
              <w:ind w:right="300"/>
              <w:spacing w:after="0"/>
              <w:rPr>
                <w:sz w:val="20"/>
                <w:szCs w:val="20"/>
                <w:color w:val="auto"/>
              </w:rPr>
            </w:pPr>
            <w:r>
              <w:rPr>
                <w:rFonts w:ascii="Arial" w:cs="Arial" w:eastAsia="Arial" w:hAnsi="Arial"/>
                <w:sz w:val="14"/>
                <w:szCs w:val="14"/>
                <w:b w:val="1"/>
                <w:bCs w:val="1"/>
                <w:color w:val="auto"/>
              </w:rPr>
              <w:t>THIRTY-NINE WEEKS ENDED</w:t>
            </w:r>
          </w:p>
        </w:tc>
      </w:tr>
      <w:tr>
        <w:trPr>
          <w:trHeight w:val="237"/>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 the periods ended September 30, 2018</w:t>
            </w: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5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3,063.9</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openings</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w:t>
            </w: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Comparable restaurant sales</w:t>
            </w:r>
          </w:p>
        </w:tc>
        <w:tc>
          <w:tcPr>
            <w:tcW w:w="260" w:type="dxa"/>
            <w:vAlign w:val="bottom"/>
          </w:tcPr>
          <w:p>
            <w:pPr>
              <w:spacing w:after="0"/>
              <w:rPr>
                <w:sz w:val="20"/>
                <w:szCs w:val="20"/>
                <w:color w:val="auto"/>
              </w:rPr>
            </w:pPr>
          </w:p>
        </w:tc>
        <w:tc>
          <w:tcPr>
            <w:tcW w:w="240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jc w:val="right"/>
              <w:ind w:right="20"/>
              <w:spacing w:after="0"/>
              <w:rPr>
                <w:sz w:val="20"/>
                <w:szCs w:val="20"/>
                <w:color w:val="auto"/>
              </w:rPr>
            </w:pPr>
            <w:r>
              <w:rPr>
                <w:rFonts w:ascii="Arial" w:cs="Arial" w:eastAsia="Arial" w:hAnsi="Arial"/>
                <w:sz w:val="16"/>
                <w:szCs w:val="16"/>
                <w:color w:val="auto"/>
              </w:rPr>
              <w:t>43.9</w:t>
            </w:r>
          </w:p>
        </w:tc>
      </w:tr>
      <w:tr>
        <w:trPr>
          <w:trHeight w:val="33"/>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2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33"/>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Restaurant closures</w:t>
            </w:r>
          </w:p>
        </w:tc>
        <w:tc>
          <w:tcPr>
            <w:tcW w:w="26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50"/>
        </w:trPr>
        <w:tc>
          <w:tcPr>
            <w:tcW w:w="5820" w:type="dxa"/>
            <w:vAlign w:val="bottom"/>
          </w:tcPr>
          <w:p>
            <w:pPr>
              <w:ind w:left="40"/>
              <w:spacing w:after="0"/>
              <w:rPr>
                <w:sz w:val="20"/>
                <w:szCs w:val="20"/>
                <w:color w:val="auto"/>
              </w:rPr>
            </w:pPr>
            <w:r>
              <w:rPr>
                <w:rFonts w:ascii="Arial" w:cs="Arial" w:eastAsia="Arial" w:hAnsi="Arial"/>
                <w:sz w:val="16"/>
                <w:szCs w:val="16"/>
                <w:color w:val="auto"/>
              </w:rPr>
              <w:t>For the periods ended September 29, 2019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951.8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3,069.1</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Restaurant sales during the thirteen weeks ended September 29, 2019 was primarily due to the opening of 28 new restaurants not included in our comparable restaurant sales base and higher comparable restaurant sales in Brazil. The increase in Restaurant sales was partially offset by domestic refranchising and the closing of 23 restaurants since July 1, 2018.</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Restaurant sales during the thirty-nine weeks ended September 29, 2019 was primarily due to higher comparable restaurant sales and the opening of 37 new restaurants not included in our comparable restaurant sales base. The increase in Restaurant sales was partially offset by: (i) the effect of foreign currency translation of the Brazilian Real relative to the U.S. dollar, (ii) the closing of 38 restaurants since December 31, 2017 and (iii) domestic refranchising.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restaurant unit volumes (weekly):</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66,084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65,636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69,461</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51,989</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51,000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56,185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55,542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54,517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58,800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71,954</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71,046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81,695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80,557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Outback Steakhouse - Brazil (1)</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72,791</w:t>
            </w:r>
          </w:p>
        </w:tc>
        <w:tc>
          <w:tcPr>
            <w:tcW w:w="12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3"/>
              </w:rPr>
              <w:t>67,149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71,459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75,136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weeks: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Outback Steakhouse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Carrabba’s Italian Grill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2,653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8,212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8,748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7,510</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2,718</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Outback Steakhouse - Brazil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Translated at average exchange rates of 3.88 and 3.84 for the thirteen weeks ended September 29, 2019 and September 30, 2018, respectively, and 3.86 and 3.49 for the thirty-nine weeks ended September 29, 2019 and September 30, 2018,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comparable restaurant sales, traffic and average check per person increases (decreases),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482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2019</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over year percentage change:</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rPr>
              <w:t>Comparable restaurant sales (stores open 18 months or more):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(1)</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1680" w:type="dxa"/>
            <w:vAlign w:val="bottom"/>
            <w:gridSpan w:val="2"/>
          </w:tcPr>
          <w:p>
            <w:pPr>
              <w:ind w:left="1180"/>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 (2)</w:t>
            </w:r>
          </w:p>
        </w:tc>
        <w:tc>
          <w:tcPr>
            <w:tcW w:w="1580" w:type="dxa"/>
            <w:vAlign w:val="bottom"/>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rPr>
              <w:t>Traffic:</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97"/>
        </w:trPr>
        <w:tc>
          <w:tcPr>
            <w:tcW w:w="48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37"/>
        </w:trPr>
        <w:tc>
          <w:tcPr>
            <w:tcW w:w="4820" w:type="dxa"/>
            <w:vAlign w:val="bottom"/>
          </w:tcPr>
          <w:p>
            <w:pPr>
              <w:ind w:left="180"/>
              <w:spacing w:after="0"/>
              <w:rPr>
                <w:sz w:val="20"/>
                <w:szCs w:val="20"/>
                <w:color w:val="auto"/>
              </w:rPr>
            </w:pPr>
            <w:r>
              <w:rPr>
                <w:rFonts w:ascii="Arial" w:cs="Arial" w:eastAsia="Arial" w:hAnsi="Arial"/>
                <w:sz w:val="16"/>
                <w:szCs w:val="16"/>
                <w:color w:val="auto"/>
              </w:rPr>
              <w:t>Average check per person (3):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w:t>
            </w:r>
          </w:p>
        </w:tc>
        <w:tc>
          <w:tcPr>
            <w:tcW w:w="15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Carrabba’s Italian Grill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Bonefish Grill</w:t>
            </w:r>
          </w:p>
        </w:tc>
        <w:tc>
          <w:tcPr>
            <w:tcW w:w="158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Fleming’s Prime Steakhouse &amp; Wine Bar</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Combined U.S.</w:t>
            </w:r>
          </w:p>
        </w:tc>
        <w:tc>
          <w:tcPr>
            <w:tcW w:w="158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4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380"/>
              <w:spacing w:after="0"/>
              <w:rPr>
                <w:sz w:val="20"/>
                <w:szCs w:val="20"/>
                <w:color w:val="auto"/>
              </w:rPr>
            </w:pPr>
            <w:r>
              <w:rPr>
                <w:rFonts w:ascii="Arial" w:cs="Arial" w:eastAsia="Arial" w:hAnsi="Arial"/>
                <w:sz w:val="16"/>
                <w:szCs w:val="16"/>
                <w:color w:val="auto"/>
              </w:rPr>
              <w:t>Outback Steakhouse - Brazil</w:t>
            </w:r>
          </w:p>
        </w:tc>
        <w:tc>
          <w:tcPr>
            <w:tcW w:w="158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2.3 %</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Franchise revenues (1)</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000" w:type="dxa"/>
            <w:vAlign w:val="bottom"/>
          </w:tcPr>
          <w:p>
            <w:pPr>
              <w:jc w:val="right"/>
              <w:ind w:right="18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sales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307.5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decreased as a percentage of Restaurant sales during the thirteen weeks ended September 29, 2019 as compared to the thirteen weeks ended September 30, 2018 primarily due to 0.8% from increases in average check per person and 0.6% from the impact of certain cost saving initiatives, partially offset by an increase as a percentage of Restaurant sales of 0.5% from commodity cost inflation.</w:t>
      </w:r>
    </w:p>
    <w:p>
      <w:pPr>
        <w:spacing w:after="0" w:line="165"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Cost of sales decreased as a percentage of Restaurant sales during the thirty-nine weeks ended September 29, 2019 as compared to the thirty-nine weeks ended September 30, 2018 primarily due to 0.7% from increases in average check per person and 0.4% from the impact of certain cost saving initiatives, partially offset by an increase as a percentage of Restaurant sales of 0.5% from commodity cost inflation.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Labor and other related</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289.0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908.8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4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decreased as a percentage of Restaurant sales during the thirteen weeks ended September 29, 2019 as compared to the thirteen weeks ended September 30, 2018 primarily due to 0.4% from increases in average check per person and 0.2% from the impact of certain cost saving initiatives, partially offset by an increase as a percentage of Restaurant sales of 0.5% from higher labor costs due to wage rate increases.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increased as a percentage of Restaurant sales during the thirty-nine weeks ended September 29, 2019 as compared to the thirty-nine weeks ended September 30, 2018 primarily due to 0.7% from higher labor costs due to wage rate increases, partially offset by decreases as a percentage of Restaurant sales of 0.5% from increases in average check per person and 0.2% from the impact of certain cost saving initiatives.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9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restaurant operating</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94"/>
              </w:rPr>
              <w:t>233.7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18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r>
    </w:tbl>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Other restaurant operating expenses increased as a percentage of Restaurant sales during the thirteen weeks ended September 29, 2019 as compared to the thirteen weeks ended September 30, 2018 primarily due to: (i) 0.8% from operating expense inflation, (ii) 0.6% from additional expense related to the rollout of delivery services and (iii) 0.3% from the impact of deferred gains on sale-leaseback transactions no longer recognized in 2019 as a result of adoption of the new lease accounting standard. These increases were partially offset by decreases as a percentage of Restaurant sales of: (i) 0.5% from the impact of certain cost saving initiatives, (ii) 0.4% from gains on the sale of certain U.S. surplus properties and (iii) 0.3% from increases in average check per person.</w:t>
      </w:r>
    </w:p>
    <w:p>
      <w:pPr>
        <w:spacing w:after="0" w:line="19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Other restaurant operating expenses increased as a percentage of Restaurant sales during the thirty-nine weeks ended September 29, 2019 as compared to the thirty-nine weeks ended September 30, 2018 primarily due to (i) 0.5% from additional expense related to the rollout of delivery services, (ii) 0.4% from operating expense inflation and (iii) 0.3% from the impact of deferred gains on sale-leaseback transactions no longer recognized in 2019 as a result of adoption of the new lease accounting standard. These increases were partially offset by decreases as a percentage of Restaurant sales of 0.4% from increases in average check per person and 0.4% from the impact of certain cost saving initiatives.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5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580" w:type="dxa"/>
            <w:vAlign w:val="bottom"/>
          </w:tcPr>
          <w:p>
            <w:pPr>
              <w:jc w:val="right"/>
              <w:ind w:right="300"/>
              <w:spacing w:after="0"/>
              <w:rPr>
                <w:sz w:val="20"/>
                <w:szCs w:val="20"/>
                <w:color w:val="auto"/>
              </w:rPr>
            </w:pPr>
            <w:r>
              <w:rPr>
                <w:rFonts w:ascii="Arial" w:cs="Arial" w:eastAsia="Arial" w:hAnsi="Arial"/>
                <w:sz w:val="14"/>
                <w:szCs w:val="14"/>
                <w:b w:val="1"/>
                <w:bCs w:val="1"/>
                <w:color w:val="auto"/>
              </w:rPr>
              <w:t>THIRTY-NINE WEEKS ENDED</w:t>
            </w:r>
          </w:p>
        </w:tc>
      </w:tr>
      <w:tr>
        <w:trPr>
          <w:trHeight w:val="237"/>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5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Severance</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Employee stock-based compensation</w:t>
            </w:r>
          </w:p>
        </w:tc>
        <w:tc>
          <w:tcPr>
            <w:tcW w:w="2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w:t>
            </w:r>
          </w:p>
        </w:tc>
        <w:tc>
          <w:tcPr>
            <w:tcW w:w="2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58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29, 2019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209.1</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3"/>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29,</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320" w:type="dxa"/>
            <w:vAlign w:val="bottom"/>
          </w:tcPr>
          <w:p>
            <w:pPr>
              <w:jc w:val="right"/>
              <w:ind w:right="52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06"/>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Provision for impaired assets and restaurant</w:t>
            </w:r>
          </w:p>
        </w:tc>
        <w:tc>
          <w:tcPr>
            <w:tcW w:w="3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0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closings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During the thirty-nine weeks ended September 29, 2019 and September 30, 2018, we recognized asset impairment and closure charges of $1.8 million and $9.1 million, respectively, related to the restructuring of certain international markets, including Puerto Rico and China.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impairment and closing charges for the periods presented resulted primarily from approved store closure initiatives, locations identified for remodel, relocation or closure and certain other assets.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4 - </w:t>
      </w:r>
      <w:r>
        <w:rPr>
          <w:rFonts w:ascii="Arial" w:cs="Arial" w:eastAsia="Arial" w:hAnsi="Arial"/>
          <w:sz w:val="20"/>
          <w:szCs w:val="20"/>
          <w:i w:val="1"/>
          <w:iCs w:val="1"/>
          <w:color w:val="auto"/>
        </w:rPr>
        <w:t>Impairments and Exit Costs</w:t>
      </w:r>
      <w:r>
        <w:rPr>
          <w:rFonts w:ascii="Arial" w:cs="Arial" w:eastAsia="Arial" w:hAnsi="Arial"/>
          <w:sz w:val="20"/>
          <w:szCs w:val="20"/>
          <w:color w:val="auto"/>
        </w:rPr>
        <w:t xml:space="preserve"> of the Notes to Consolidated Financial Statements 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r>
      <w:tr>
        <w:trPr>
          <w:trHeight w:val="237"/>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24.1</w:t>
            </w:r>
          </w:p>
        </w:tc>
      </w:tr>
      <w:tr>
        <w:trPr>
          <w:trHeight w:val="237"/>
        </w:trPr>
        <w:tc>
          <w:tcPr>
            <w:tcW w:w="2960" w:type="dxa"/>
            <w:vAlign w:val="bottom"/>
          </w:tcPr>
          <w:p>
            <w:pPr>
              <w:ind w:left="180"/>
              <w:spacing w:after="0"/>
              <w:rPr>
                <w:sz w:val="20"/>
                <w:szCs w:val="20"/>
                <w:color w:val="auto"/>
              </w:rPr>
            </w:pPr>
            <w:r>
              <w:rPr>
                <w:rFonts w:ascii="Arial" w:cs="Arial" w:eastAsia="Arial" w:hAnsi="Arial"/>
                <w:sz w:val="16"/>
                <w:szCs w:val="16"/>
                <w:color w:val="auto"/>
              </w:rPr>
              <w:t>% of Total revenues</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ind w:left="420"/>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Income from operations generated during the thirteen weeks ended September 29, 2019 as compared to the thirteen weeks ended September 30, 2018 was primarily due to: (i) higher comparable restaurant sales in Brazil, (ii) the impact of certain cost savings initiatives and (iii) gains on the sale of certain U.S. surplus properties. These increases were partially offset by: (i) commodity, operating and labor inflation, (ii) additional expense related to the rollout of delivery services and (iii) the impact of deferred gain amortization no longer recognized upon adoption of the new lease standard.</w:t>
      </w:r>
    </w:p>
    <w:p>
      <w:pPr>
        <w:spacing w:after="0" w:line="208"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increase in Income from operations generated during the thirty-nine weeks ended September 29, 2019 as compared to the thirty-nine weeks ended September 30, 2018 was primarily due to: (i) higher comparable restaurant sales, (ii) the impact of certain cost savings initiatives and</w:t>
      </w:r>
    </w:p>
    <w:p>
      <w:pPr>
        <w:spacing w:after="0" w:line="1" w:lineRule="exact"/>
        <w:rPr>
          <w:sz w:val="20"/>
          <w:szCs w:val="20"/>
          <w:color w:val="auto"/>
        </w:rPr>
      </w:pPr>
    </w:p>
    <w:p>
      <w:pPr>
        <w:jc w:val="both"/>
        <w:ind w:firstLine="8"/>
        <w:spacing w:after="0" w:line="241" w:lineRule="auto"/>
        <w:tabs>
          <w:tab w:leader="none" w:pos="359" w:val="left"/>
        </w:tabs>
        <w:numPr>
          <w:ilvl w:val="0"/>
          <w:numId w:val="33"/>
        </w:numPr>
        <w:rPr>
          <w:rFonts w:ascii="Arial" w:cs="Arial" w:eastAsia="Arial" w:hAnsi="Arial"/>
          <w:sz w:val="20"/>
          <w:szCs w:val="20"/>
          <w:color w:val="auto"/>
        </w:rPr>
      </w:pPr>
      <w:r>
        <w:rPr>
          <w:rFonts w:ascii="Arial" w:cs="Arial" w:eastAsia="Arial" w:hAnsi="Arial"/>
          <w:sz w:val="20"/>
          <w:szCs w:val="20"/>
          <w:color w:val="auto"/>
        </w:rPr>
        <w:t>lower impairment and restaurant closing costs. These increases were partially offset by: (i) labor and commodity inflation, (ii) additional expense related to the rollout of delivery services and (iii) the impact of deferred gain amortization no longer recognized upon adoption of the new lease standard.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53"/>
        </w:trPr>
        <w:tc>
          <w:tcPr>
            <w:tcW w:w="3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29,</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5"/>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320" w:type="dxa"/>
            <w:vAlign w:val="bottom"/>
          </w:tcPr>
          <w:p>
            <w:pPr>
              <w:jc w:val="right"/>
              <w:ind w:right="52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13.3</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3.7</w:t>
            </w:r>
          </w:p>
        </w:tc>
      </w:tr>
      <w:tr>
        <w:trPr>
          <w:trHeight w:val="33"/>
        </w:trPr>
        <w:tc>
          <w:tcPr>
            <w:tcW w:w="3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increase in Interest expense, net for the thirteen weeks ended September 29, 2019 as compared to the thirteen weeks ended September 30, 2018 was primarily due to higher interest expense from our derivative instruments and higher interest rates and borrowings outstanding, partially offset by the derecognition of certain debt obligations due to adoption of the new lease accounting standard.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increase in Interest expense, net for the thirty-nine weeks ended September 29, 2019 as compared to the thirty-nine weeks ended September 30, 2018 primarily due to higher interest rates and borrowings outstanding and higher interest expense from our derivative instruments, partially offset from the derecognition of certain debt obligations due to adoption of the new lease accounting standard.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29, 2019</w:t>
            </w:r>
          </w:p>
        </w:tc>
        <w:tc>
          <w:tcPr>
            <w:tcW w:w="14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9"/>
              </w:rPr>
              <w:t>SEPTEMBER 30,</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2018</w:t>
            </w: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Borders>
              <w:top w:val="single" w:sz="8" w:color="auto"/>
              <w:bottom w:val="single" w:sz="8" w:color="CCEEFF"/>
            </w:tcBorders>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left="543"/>
              <w:spacing w:after="0"/>
              <w:rPr>
                <w:sz w:val="20"/>
                <w:szCs w:val="20"/>
                <w:color w:val="auto"/>
              </w:rPr>
            </w:pPr>
            <w:r>
              <w:rPr>
                <w:rFonts w:ascii="Arial" w:cs="Arial" w:eastAsia="Arial" w:hAnsi="Arial"/>
                <w:sz w:val="16"/>
                <w:szCs w:val="16"/>
                <w:color w:val="auto"/>
              </w:rPr>
              <w:t>(NM)</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(NM)</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9"/>
        </w:trPr>
        <w:tc>
          <w:tcPr>
            <w:tcW w:w="2840" w:type="dxa"/>
            <w:vAlign w:val="bottom"/>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6"/>
                <w:szCs w:val="16"/>
                <w:color w:val="auto"/>
              </w:rPr>
              <w:t>NM  Not meaningful.</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decrease in the benefit for income taxes for the thirteen weeks ended September 29, 2019 as compared to the thirteen weeks ended September 30, 2018 was primarily due to favorable discrete items recorded in the thirteen weeks ended September 30, 2018 and an increase in pre-tax book income in 2019 relative to 2018.</w:t>
      </w:r>
    </w:p>
    <w:p>
      <w:pPr>
        <w:spacing w:after="0" w:line="200"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effective income tax rate for the thirty-nine weeks ended September 29, 2019 increased by 12.7 percentage points as compared to the thirty-nine weeks ended September 30, 2018. The increase was primarily due to favorable discrete items recorded in the thirty-nine weeks ended September 30, 2018, which included excess tax benefits from equity-based compensation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29"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REPORTABLE SEGMENT (1)</w:t>
            </w:r>
          </w:p>
        </w:tc>
        <w:tc>
          <w:tcPr>
            <w:tcW w:w="1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CONCEPT</w:t>
            </w:r>
          </w:p>
        </w:tc>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260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U.S.</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680" w:type="dxa"/>
            <w:vAlign w:val="bottom"/>
            <w:tcBorders>
              <w:top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388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260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468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Carrabba’s Italian Grill</w:t>
            </w:r>
          </w:p>
        </w:tc>
        <w:tc>
          <w:tcPr>
            <w:tcW w:w="120" w:type="dxa"/>
            <w:vAlign w:val="bottom"/>
            <w:tcBorders>
              <w:right w:val="single" w:sz="8" w:color="auto"/>
            </w:tcBorders>
            <w:shd w:val="clear" w:color="auto" w:fill="CCEEFF"/>
          </w:tcPr>
          <w:p>
            <w:pPr>
              <w:spacing w:after="0"/>
              <w:rPr>
                <w:sz w:val="23"/>
                <w:szCs w:val="23"/>
                <w:color w:val="auto"/>
              </w:rPr>
            </w:pPr>
          </w:p>
        </w:tc>
        <w:tc>
          <w:tcPr>
            <w:tcW w:w="38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Bonefish Grill</w:t>
            </w: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680" w:type="dxa"/>
            <w:vAlign w:val="bottom"/>
            <w:tcBorders>
              <w:right w:val="single" w:sz="8" w:color="auto"/>
            </w:tcBorders>
            <w:vMerge w:val="continue"/>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38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40" w:type="dxa"/>
            <w:vAlign w:val="bottom"/>
            <w:tcBorders>
              <w:right w:val="single" w:sz="8" w:color="auto"/>
            </w:tcBorders>
          </w:tcPr>
          <w:p>
            <w:pPr>
              <w:spacing w:after="0"/>
              <w:rPr>
                <w:sz w:val="24"/>
                <w:szCs w:val="24"/>
                <w:color w:val="auto"/>
              </w:rPr>
            </w:pPr>
          </w:p>
        </w:tc>
        <w:tc>
          <w:tcPr>
            <w:tcW w:w="2600" w:type="dxa"/>
            <w:vAlign w:val="bottom"/>
            <w:tcBorders>
              <w:bottom w:val="single" w:sz="8" w:color="CCEEFF"/>
              <w:right w:val="single" w:sz="8" w:color="auto"/>
            </w:tcBorders>
            <w:shd w:val="clear" w:color="auto" w:fill="CCEEFF"/>
          </w:tcPr>
          <w:p>
            <w:pPr>
              <w:spacing w:after="0"/>
              <w:rPr>
                <w:sz w:val="24"/>
                <w:szCs w:val="24"/>
                <w:color w:val="auto"/>
              </w:rPr>
            </w:pP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468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Fleming’s Prime Steakhouse &amp; Wine Bar</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388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right w:val="single" w:sz="8" w:color="auto"/>
            </w:tcBorders>
          </w:tcPr>
          <w:p>
            <w:pPr>
              <w:spacing w:after="0"/>
              <w:rPr>
                <w:sz w:val="18"/>
                <w:szCs w:val="18"/>
                <w:color w:val="auto"/>
              </w:rPr>
            </w:pPr>
          </w:p>
        </w:tc>
        <w:tc>
          <w:tcPr>
            <w:tcW w:w="4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Outback Steakhouse</w:t>
            </w:r>
          </w:p>
        </w:tc>
        <w:tc>
          <w:tcPr>
            <w:tcW w:w="120" w:type="dxa"/>
            <w:vAlign w:val="bottom"/>
            <w:tcBorders>
              <w:right w:val="single" w:sz="8" w:color="auto"/>
            </w:tcBorders>
          </w:tcPr>
          <w:p>
            <w:pPr>
              <w:spacing w:after="0"/>
              <w:rPr>
                <w:sz w:val="18"/>
                <w:szCs w:val="18"/>
                <w:color w:val="auto"/>
              </w:rPr>
            </w:pPr>
          </w:p>
        </w:tc>
        <w:tc>
          <w:tcPr>
            <w:tcW w:w="38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6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Carrabba’s Italian Grill (Abbraccio)</w:t>
            </w:r>
          </w:p>
        </w:tc>
        <w:tc>
          <w:tcPr>
            <w:tcW w:w="1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40" w:type="dxa"/>
            <w:vAlign w:val="bottom"/>
            <w:tcBorders>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600" w:type="dxa"/>
            <w:vAlign w:val="bottom"/>
          </w:tcPr>
          <w:p>
            <w:pPr>
              <w:jc w:val="right"/>
              <w:ind w:right="1181"/>
              <w:spacing w:after="0"/>
              <w:rPr>
                <w:sz w:val="20"/>
                <w:szCs w:val="20"/>
                <w:color w:val="auto"/>
              </w:rPr>
            </w:pPr>
            <w:r>
              <w:rPr>
                <w:rFonts w:ascii="Arial" w:cs="Arial" w:eastAsia="Arial" w:hAnsi="Arial"/>
                <w:sz w:val="16"/>
                <w:szCs w:val="16"/>
                <w:color w:val="auto"/>
                <w:w w:val="87"/>
              </w:rPr>
              <w:t>_________________</w:t>
            </w:r>
          </w:p>
        </w:tc>
        <w:tc>
          <w:tcPr>
            <w:tcW w:w="1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0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 xml:space="preserve">Refer to Note 17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income from operations to the consolidated operating results.</w:t>
      </w:r>
    </w:p>
    <w:p>
      <w:pPr>
        <w:spacing w:after="0" w:line="19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 xml:space="preserve">Overview-Key Performance Indicators </w:t>
      </w:r>
      <w:r>
        <w:rPr>
          <w:rFonts w:ascii="Arial" w:cs="Arial" w:eastAsia="Arial" w:hAnsi="Arial"/>
          <w:sz w:val="20"/>
          <w:szCs w:val="20"/>
          <w:color w:val="auto"/>
        </w:rPr>
        <w:t>section of Management’s Discussion and Analysis for additional details regarding the calculation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restaurant-level operating margin.</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40"/>
          </w:cols>
          <w:pgMar w:left="240" w:top="122" w:right="2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30, 2018</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835,753</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848,837</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2,737,182</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2,742,118</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12,691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12,656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39,988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40,437</w:t>
            </w:r>
          </w:p>
        </w:tc>
      </w:tr>
      <w:tr>
        <w:trPr>
          <w:trHeight w:val="224"/>
        </w:trPr>
        <w:tc>
          <w:tcPr>
            <w:tcW w:w="50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848,444</w:t>
            </w:r>
          </w:p>
        </w:tc>
        <w:tc>
          <w:tcPr>
            <w:tcW w:w="10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861,493</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2,777,170</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2,782,555</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50,318</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242,167</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230,645</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5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7"/>
                <w:szCs w:val="17"/>
                <w:color w:val="auto"/>
              </w:rPr>
            </w:pPr>
          </w:p>
        </w:tc>
        <w:tc>
          <w:tcPr>
            <w:tcW w:w="2660" w:type="dxa"/>
            <w:vAlign w:val="bottom"/>
          </w:tcPr>
          <w:p>
            <w:pPr>
              <w:jc w:val="right"/>
              <w:ind w:right="360"/>
              <w:spacing w:after="0"/>
              <w:rPr>
                <w:sz w:val="20"/>
                <w:szCs w:val="20"/>
                <w:color w:val="auto"/>
              </w:rPr>
            </w:pPr>
            <w:r>
              <w:rPr>
                <w:rFonts w:ascii="Arial" w:cs="Arial" w:eastAsia="Arial" w:hAnsi="Arial"/>
                <w:sz w:val="14"/>
                <w:szCs w:val="14"/>
                <w:b w:val="1"/>
                <w:bCs w:val="1"/>
                <w:color w:val="auto"/>
              </w:rPr>
              <w:t>THIRTY-NINE WEEKS ENDED</w:t>
            </w: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For the periods ended September 30, 2018</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2,742.1</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 of restaurants through refranchising transactions</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Restaurant closures</w:t>
            </w:r>
          </w:p>
        </w:tc>
        <w:tc>
          <w:tcPr>
            <w:tcW w:w="2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w:t>
            </w:r>
          </w:p>
        </w:tc>
      </w:tr>
      <w:tr>
        <w:trPr>
          <w:trHeight w:val="270"/>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openings</w:t>
            </w:r>
          </w:p>
        </w:tc>
        <w:tc>
          <w:tcPr>
            <w:tcW w:w="26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w:t>
            </w: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29, 2019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2,737.2</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decrease in U.S. Restaurant sales during the thirteen weeks ended September 29, 2019 was primarily due to the refranchising of certain Company-owned restaurants and the closing of 14 restaurants since July 1, 2018. The decrease in Restaurant sales was partially offset by the opening of seven new restaurants not included in our comparable restaurant sales base.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decrease in U.S. Restaurant sales during the thirty-nine weeks ended September 29, 2019 was primarily due to the refranchising of certain Company-owned restaurants and the closing of 20 restaurants since December 31, 2017. The decrease in Restaurant sales was partially offset by higher comparable restaurant sales and the opening of ten new restaurants not included in our comparable restaurant sales base.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increase in U.S. Income from operations generated during the thirteen weeks ended September 29, 2019 as compared to the thirteen weeks ended September 30, 2018, was primarily due to: (i) increases in average check per person, (ii) the impact of certain cost savings initiatives and</w:t>
      </w:r>
    </w:p>
    <w:p>
      <w:pPr>
        <w:spacing w:after="0" w:line="1" w:lineRule="exact"/>
        <w:rPr>
          <w:sz w:val="20"/>
          <w:szCs w:val="20"/>
          <w:color w:val="auto"/>
        </w:rPr>
      </w:pPr>
    </w:p>
    <w:p>
      <w:pPr>
        <w:jc w:val="both"/>
        <w:ind w:firstLine="8"/>
        <w:spacing w:after="0" w:line="241" w:lineRule="auto"/>
        <w:tabs>
          <w:tab w:leader="none" w:pos="362" w:val="left"/>
        </w:tabs>
        <w:numPr>
          <w:ilvl w:val="0"/>
          <w:numId w:val="35"/>
        </w:numPr>
        <w:rPr>
          <w:rFonts w:ascii="Arial" w:cs="Arial" w:eastAsia="Arial" w:hAnsi="Arial"/>
          <w:sz w:val="20"/>
          <w:szCs w:val="20"/>
          <w:color w:val="auto"/>
        </w:rPr>
      </w:pPr>
      <w:r>
        <w:rPr>
          <w:rFonts w:ascii="Arial" w:cs="Arial" w:eastAsia="Arial" w:hAnsi="Arial"/>
          <w:sz w:val="20"/>
          <w:szCs w:val="20"/>
          <w:color w:val="auto"/>
        </w:rPr>
        <w:t>gains on the sale of certain surplus properties. These increases were partially offset by: (i) commodity, operating and labor inflation, (ii) additional expense related to the rollout of delivery services and (iii) the impact of deferred gain amortization no longer recognized upon adoption of the new lease standard.</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increase in U.S. Income from operations generated during the thirty-nine weeks ended September 29, 2019 as compared to the thirty-nine weeks ended September 30, 2018, was primarily due to higher comparable restaurant sales and the impact of certain cost savings initiatives. These increases were partially offset by: (i) labor and commodity inflation, (ii) additional expense related to the rollout of delivery services and</w:t>
      </w:r>
    </w:p>
    <w:p>
      <w:pPr>
        <w:spacing w:after="0" w:line="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impact of deferred gain amortization no longer recognized upon adoption of the new lease standard.</w:t>
      </w:r>
    </w:p>
    <w:p>
      <w:pPr>
        <w:spacing w:after="0" w:line="229"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30, 2018</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sales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116,063</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100,563</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331,963</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321,769</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2,637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8,072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8,976</w:t>
            </w:r>
          </w:p>
        </w:tc>
      </w:tr>
      <w:tr>
        <w:trPr>
          <w:trHeight w:val="224"/>
        </w:trPr>
        <w:tc>
          <w:tcPr>
            <w:tcW w:w="50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118,700</w:t>
            </w:r>
          </w:p>
        </w:tc>
        <w:tc>
          <w:tcPr>
            <w:tcW w:w="10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103,528</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340,035</w:t>
            </w:r>
          </w:p>
        </w:tc>
        <w:tc>
          <w:tcPr>
            <w:tcW w:w="100" w:type="dxa"/>
            <w:vAlign w:val="bottom"/>
          </w:tcPr>
          <w:p>
            <w:pPr>
              <w:spacing w:after="0"/>
              <w:rPr>
                <w:sz w:val="19"/>
                <w:szCs w:val="19"/>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330,745</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10,550</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7,776</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31,179</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14,052</w:t>
            </w: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 margin</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7"/>
                <w:szCs w:val="17"/>
                <w:color w:val="auto"/>
              </w:rPr>
            </w:pPr>
          </w:p>
        </w:tc>
        <w:tc>
          <w:tcPr>
            <w:tcW w:w="25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7"/>
                <w:szCs w:val="17"/>
                <w:color w:val="auto"/>
              </w:rPr>
            </w:pPr>
          </w:p>
        </w:tc>
        <w:tc>
          <w:tcPr>
            <w:tcW w:w="2660" w:type="dxa"/>
            <w:vAlign w:val="bottom"/>
          </w:tcPr>
          <w:p>
            <w:pPr>
              <w:jc w:val="right"/>
              <w:ind w:right="360"/>
              <w:spacing w:after="0"/>
              <w:rPr>
                <w:sz w:val="20"/>
                <w:szCs w:val="20"/>
                <w:color w:val="auto"/>
              </w:rPr>
            </w:pPr>
            <w:r>
              <w:rPr>
                <w:rFonts w:ascii="Arial" w:cs="Arial" w:eastAsia="Arial" w:hAnsi="Arial"/>
                <w:sz w:val="14"/>
                <w:szCs w:val="14"/>
                <w:b w:val="1"/>
                <w:bCs w:val="1"/>
                <w:color w:val="auto"/>
              </w:rPr>
              <w:t>THIRTY-NINE WEEKS ENDED</w:t>
            </w: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30, 2018</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Change from:</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Comparable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Restaurant openings</w:t>
            </w:r>
          </w:p>
        </w:tc>
        <w:tc>
          <w:tcPr>
            <w:tcW w:w="260" w:type="dxa"/>
            <w:vAlign w:val="bottom"/>
          </w:tcPr>
          <w:p>
            <w:pPr>
              <w:spacing w:after="0"/>
              <w:rPr>
                <w:sz w:val="20"/>
                <w:szCs w:val="20"/>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right"/>
              <w:ind w:right="20"/>
              <w:spacing w:after="0"/>
              <w:rPr>
                <w:sz w:val="20"/>
                <w:szCs w:val="20"/>
                <w:color w:val="auto"/>
              </w:rPr>
            </w:pPr>
            <w:r>
              <w:rPr>
                <w:rFonts w:ascii="Arial" w:cs="Arial" w:eastAsia="Arial" w:hAnsi="Arial"/>
                <w:sz w:val="16"/>
                <w:szCs w:val="16"/>
                <w:color w:val="auto"/>
              </w:rPr>
              <w:t>27.1</w:t>
            </w: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foreign currency translation</w:t>
            </w:r>
          </w:p>
        </w:tc>
        <w:tc>
          <w:tcPr>
            <w:tcW w:w="26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70"/>
        </w:trPr>
        <w:tc>
          <w:tcPr>
            <w:tcW w:w="57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Restaurant closures</w:t>
            </w:r>
          </w:p>
        </w:tc>
        <w:tc>
          <w:tcPr>
            <w:tcW w:w="26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periods ended September 29, 2019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331.9</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international Restaurant sales during the thirteen weeks ended September 29, 2019 was primarily due to higher comparable restaurant sales and the opening of 21 new restaurants not included in our comparable restaurant sales base. The increase in Restaurant sales was partially offset by the closing of nine restaurants since July 1, 2018.</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Restaurant sales during the thirty-nine weeks ended September 29, 2019 was primarily due to the opening of 27 new restaurants not included in our comparable restaurant sales base and higher comparable restaurant sales. The increase in Restaurant sales was partially offset by the effect of foreign currency translation of the Brazilian Real relative to the U.S. dollar and the closing of 18 restaurants since December 31, 2017.</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increase in international Income from operations during the thirteen weeks ended September 29, 2019 as compared to the thirteen weeks ended September 30, 2018 was primarily due to: (i) higher comparable restaurant sales, (ii) the timing of advertising expense, (iii) improved operating performance by our Abbraccio concept, (iv) lower General and administrative expense, primarily from lower severance costs and (v) impacts from certain cost savings initiatives. These increases were partially offset by labor, operating and commodity expense inflation.</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increase in international Income from operations during the thirty-nine weeks ended September 29, 2019 as compared to the thirty-nine weeks ended September 30, 2018 was primarily due to: (i) higher comparable restaurant sales, (ii) lower impairment and restaurant closing costs, (iii) lower General and administrative expense, primarily from the effects of foreign currency exchange and lower severance costs, (iv) improved operating performance by our Abbraccio concept, (v) the timing of advertising expense and (vi) impacts from certain cost savings initiatives. These increases were partially offset by labor, operating and commodity inflation.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 names,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2 </w:t>
      </w:r>
      <w:r>
        <w:rPr>
          <w:rFonts w:ascii="Arial" w:cs="Arial" w:eastAsia="Arial" w:hAnsi="Arial"/>
          <w:sz w:val="18"/>
          <w:szCs w:val="18"/>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1320" w:type="dxa"/>
            <w:vAlign w:val="bottom"/>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7"/>
                <w:szCs w:val="17"/>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Carrabba’s Italian Grill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Total</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Outback Steakhouse-South Korea</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International 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Total franchise sales (2)</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March 2019, we sold 18 Carrabba’s Italian Grill locations,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Adjusted restaurant-level operating margin - </w:t>
      </w:r>
      <w:r>
        <w:rPr>
          <w:rFonts w:ascii="Arial" w:cs="Arial" w:eastAsia="Arial" w:hAnsi="Arial"/>
          <w:sz w:val="20"/>
          <w:szCs w:val="20"/>
          <w:color w:val="auto"/>
        </w:rPr>
        <w:t>The following table shows the percentages of certain operating cost financial statement line items</w:t>
      </w:r>
      <w:r>
        <w:rPr>
          <w:rFonts w:ascii="Arial" w:cs="Arial" w:eastAsia="Arial" w:hAnsi="Arial"/>
          <w:sz w:val="20"/>
          <w:szCs w:val="20"/>
          <w:i w:val="1"/>
          <w:iCs w:val="1"/>
          <w:color w:val="auto"/>
        </w:rPr>
        <w:t xml:space="preserve"> </w:t>
      </w:r>
      <w:r>
        <w:rPr>
          <w:rFonts w:ascii="Arial" w:cs="Arial" w:eastAsia="Arial" w:hAnsi="Arial"/>
          <w:sz w:val="20"/>
          <w:szCs w:val="20"/>
          <w:color w:val="auto"/>
        </w:rPr>
        <w:t>in relation to Restaurant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THIRTEEN WEEKS ENDED</w:t>
            </w:r>
          </w:p>
        </w:tc>
        <w:tc>
          <w:tcPr>
            <w:tcW w:w="1640" w:type="dxa"/>
            <w:vAlign w:val="bottom"/>
            <w:tcBorders>
              <w:bottom w:val="single" w:sz="8" w:color="auto"/>
            </w:tcBorders>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30, 2018</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8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54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THIRTY-NINE WEEKS ENDED</w:t>
            </w:r>
          </w:p>
        </w:tc>
        <w:tc>
          <w:tcPr>
            <w:tcW w:w="164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34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SEPTEMBER 29, 2019</w:t>
            </w:r>
          </w:p>
        </w:tc>
        <w:tc>
          <w:tcPr>
            <w:tcW w:w="120" w:type="dxa"/>
            <w:vAlign w:val="bottom"/>
          </w:tcPr>
          <w:p>
            <w:pPr>
              <w:spacing w:after="0"/>
              <w:rPr>
                <w:sz w:val="22"/>
                <w:szCs w:val="22"/>
                <w:color w:val="auto"/>
              </w:rPr>
            </w:pPr>
          </w:p>
        </w:tc>
        <w:tc>
          <w:tcPr>
            <w:tcW w:w="33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SEPTEMBER 30, 2018</w:t>
            </w:r>
          </w:p>
        </w:tc>
      </w:tr>
      <w:tr>
        <w:trPr>
          <w:trHeight w:val="264"/>
        </w:trPr>
        <w:tc>
          <w:tcPr>
            <w:tcW w:w="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740" w:type="dxa"/>
            <w:vAlign w:val="bottom"/>
            <w:gridSpan w:val="2"/>
          </w:tcPr>
          <w:p>
            <w:pPr>
              <w:ind w:left="340"/>
              <w:spacing w:after="0"/>
              <w:rPr>
                <w:sz w:val="20"/>
                <w:szCs w:val="20"/>
                <w:color w:val="auto"/>
              </w:rPr>
            </w:pPr>
            <w:r>
              <w:rPr>
                <w:rFonts w:ascii="Arial" w:cs="Arial" w:eastAsia="Arial" w:hAnsi="Arial"/>
                <w:sz w:val="14"/>
                <w:szCs w:val="14"/>
                <w:b w:val="1"/>
                <w:bCs w:val="1"/>
                <w:color w:val="auto"/>
              </w:rPr>
              <w:t>ADJUSTED (1)</w:t>
            </w:r>
          </w:p>
        </w:tc>
        <w:tc>
          <w:tcPr>
            <w:tcW w:w="1720" w:type="dxa"/>
            <w:vAlign w:val="bottom"/>
            <w:gridSpan w:val="2"/>
          </w:tcPr>
          <w:p>
            <w:pPr>
              <w:ind w:left="460"/>
              <w:spacing w:after="0"/>
              <w:rPr>
                <w:sz w:val="20"/>
                <w:szCs w:val="20"/>
                <w:color w:val="auto"/>
              </w:rPr>
            </w:pPr>
            <w:r>
              <w:rPr>
                <w:rFonts w:ascii="Arial" w:cs="Arial" w:eastAsia="Arial" w:hAnsi="Arial"/>
                <w:sz w:val="14"/>
                <w:szCs w:val="14"/>
                <w:b w:val="1"/>
                <w:bCs w:val="1"/>
                <w:color w:val="auto"/>
              </w:rPr>
              <w:t>U.S. GAAP</w:t>
            </w:r>
          </w:p>
        </w:tc>
        <w:tc>
          <w:tcPr>
            <w:tcW w:w="1640" w:type="dxa"/>
            <w:vAlign w:val="bottom"/>
          </w:tcPr>
          <w:p>
            <w:pPr>
              <w:jc w:val="right"/>
              <w:ind w:right="260"/>
              <w:spacing w:after="0"/>
              <w:rPr>
                <w:sz w:val="20"/>
                <w:szCs w:val="20"/>
                <w:color w:val="auto"/>
              </w:rPr>
            </w:pPr>
            <w:r>
              <w:rPr>
                <w:rFonts w:ascii="Arial" w:cs="Arial" w:eastAsia="Arial" w:hAnsi="Arial"/>
                <w:sz w:val="14"/>
                <w:szCs w:val="14"/>
                <w:b w:val="1"/>
                <w:bCs w:val="1"/>
                <w:color w:val="auto"/>
              </w:rPr>
              <w:t>ADJUSTED (1)</w:t>
            </w:r>
          </w:p>
        </w:tc>
      </w:tr>
      <w:tr>
        <w:trPr>
          <w:trHeight w:val="237"/>
        </w:trPr>
        <w:tc>
          <w:tcPr>
            <w:tcW w:w="20" w:type="dxa"/>
            <w:vAlign w:val="bottom"/>
          </w:tcPr>
          <w:p>
            <w:pPr>
              <w:spacing w:after="0"/>
              <w:rPr>
                <w:sz w:val="20"/>
                <w:szCs w:val="20"/>
                <w:color w:val="auto"/>
              </w:rPr>
            </w:pPr>
          </w:p>
        </w:tc>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37"/>
        </w:trPr>
        <w:tc>
          <w:tcPr>
            <w:tcW w:w="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62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9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193"/>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_________________</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ind w:left="660" w:hanging="652"/>
        <w:spacing w:after="0" w:line="25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Includes unfavorable (favorable) adjustments recorded in Other restaurant operating expense for the following activities, as described in the </w:t>
      </w:r>
      <w:r>
        <w:rPr>
          <w:rFonts w:ascii="Arial" w:cs="Arial" w:eastAsia="Arial" w:hAnsi="Arial"/>
          <w:sz w:val="16"/>
          <w:szCs w:val="16"/>
          <w:i w:val="1"/>
          <w:iCs w:val="1"/>
          <w:color w:val="auto"/>
        </w:rPr>
        <w:t>Adjusted income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Adjusted net income and Adjusted diluted earnings per share </w:t>
      </w:r>
      <w:r>
        <w:rPr>
          <w:rFonts w:ascii="Arial" w:cs="Arial" w:eastAsia="Arial" w:hAnsi="Arial"/>
          <w:sz w:val="16"/>
          <w:szCs w:val="16"/>
          <w:color w:val="auto"/>
        </w:rPr>
        <w:t>table below for the periods indicated:</w:t>
      </w:r>
    </w:p>
    <w:p>
      <w:pPr>
        <w:spacing w:after="0" w:line="95" w:lineRule="exact"/>
        <w:rPr>
          <w:sz w:val="20"/>
          <w:szCs w:val="20"/>
          <w:color w:val="auto"/>
        </w:rPr>
      </w:pPr>
    </w:p>
    <w:tbl>
      <w:tblPr>
        <w:tblLayout w:type="fixed"/>
        <w:tblInd w:w="1050" w:type="dxa"/>
        <w:tblCellMar>
          <w:top w:w="0" w:type="dxa"/>
          <w:left w:w="0" w:type="dxa"/>
          <w:bottom w:w="0" w:type="dxa"/>
          <w:right w:w="0" w:type="dxa"/>
        </w:tblCellMar>
      </w:tblPr>
      <w:tr>
        <w:trPr>
          <w:trHeight w:val="277"/>
        </w:trPr>
        <w:tc>
          <w:tcPr>
            <w:tcW w:w="410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4"/>
          </w:tcPr>
          <w:p>
            <w:pPr>
              <w:jc w:val="right"/>
              <w:ind w:right="423"/>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right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THIRTY-NINE WEEKS ENDED</w:t>
            </w:r>
          </w:p>
        </w:tc>
      </w:tr>
      <w:tr>
        <w:trPr>
          <w:trHeight w:val="153"/>
        </w:trPr>
        <w:tc>
          <w:tcPr>
            <w:tcW w:w="4100" w:type="dxa"/>
            <w:vAlign w:val="bottom"/>
            <w:tcBorders>
              <w:lef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3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29,</w:t>
            </w:r>
          </w:p>
        </w:tc>
        <w:tc>
          <w:tcPr>
            <w:tcW w:w="120" w:type="dxa"/>
            <w:vAlign w:val="bottom"/>
          </w:tcPr>
          <w:p>
            <w:pPr>
              <w:spacing w:after="0"/>
              <w:rPr>
                <w:sz w:val="13"/>
                <w:szCs w:val="13"/>
                <w:color w:val="auto"/>
              </w:rPr>
            </w:pPr>
          </w:p>
        </w:tc>
        <w:tc>
          <w:tcPr>
            <w:tcW w:w="1280" w:type="dxa"/>
            <w:vAlign w:val="bottom"/>
            <w:tcBorders>
              <w:right w:val="single" w:sz="8" w:color="auto"/>
            </w:tcBorders>
          </w:tcPr>
          <w:p>
            <w:pPr>
              <w:jc w:val="right"/>
              <w:ind w:right="83"/>
              <w:spacing w:after="0" w:line="153" w:lineRule="exact"/>
              <w:rPr>
                <w:sz w:val="20"/>
                <w:szCs w:val="20"/>
                <w:color w:val="auto"/>
              </w:rPr>
            </w:pPr>
            <w:r>
              <w:rPr>
                <w:rFonts w:ascii="Arial" w:cs="Arial" w:eastAsia="Arial" w:hAnsi="Arial"/>
                <w:sz w:val="14"/>
                <w:szCs w:val="14"/>
                <w:b w:val="1"/>
                <w:bCs w:val="1"/>
                <w:color w:val="auto"/>
                <w:w w:val="99"/>
              </w:rPr>
              <w:t>SEPTEMBER 30,</w:t>
            </w:r>
          </w:p>
        </w:tc>
      </w:tr>
      <w:tr>
        <w:trPr>
          <w:trHeight w:val="205"/>
        </w:trPr>
        <w:tc>
          <w:tcPr>
            <w:tcW w:w="4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r>
      <w:tr>
        <w:trPr>
          <w:trHeight w:val="237"/>
        </w:trPr>
        <w:tc>
          <w:tcPr>
            <w:tcW w:w="410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Restaurant and asset impairments and closing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r>
      <w:tr>
        <w:trPr>
          <w:trHeight w:val="270"/>
        </w:trPr>
        <w:tc>
          <w:tcPr>
            <w:tcW w:w="4100" w:type="dxa"/>
            <w:vAlign w:val="bottom"/>
            <w:tcBorders>
              <w:left w:val="single" w:sz="8" w:color="auto"/>
              <w:bottom w:val="single" w:sz="8" w:color="CCEEFF"/>
            </w:tcBorders>
          </w:tcPr>
          <w:p>
            <w:pPr>
              <w:ind w:left="40"/>
              <w:spacing w:after="0"/>
              <w:rPr>
                <w:sz w:val="20"/>
                <w:szCs w:val="20"/>
                <w:color w:val="auto"/>
              </w:rPr>
            </w:pPr>
            <w:r>
              <w:rPr>
                <w:rFonts w:ascii="Arial" w:cs="Arial" w:eastAsia="Arial" w:hAnsi="Arial"/>
                <w:sz w:val="16"/>
                <w:szCs w:val="16"/>
                <w:color w:val="auto"/>
              </w:rPr>
              <w:t>Restaurant relocations and related costs</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6"/>
                <w:szCs w:val="16"/>
                <w:color w:val="auto"/>
              </w:rPr>
              <w:t>0.6</w:t>
            </w:r>
          </w:p>
        </w:tc>
      </w:tr>
      <w:tr>
        <w:trPr>
          <w:trHeight w:val="275"/>
        </w:trPr>
        <w:tc>
          <w:tcPr>
            <w:tcW w:w="4100" w:type="dxa"/>
            <w:vAlign w:val="bottom"/>
            <w:tcBorders>
              <w:left w:val="single" w:sz="8" w:color="auto"/>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right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3.8</w:t>
            </w:r>
          </w:p>
        </w:tc>
      </w:tr>
      <w:tr>
        <w:trPr>
          <w:trHeight w:val="20"/>
        </w:trPr>
        <w:tc>
          <w:tcPr>
            <w:tcW w:w="4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from operations, Adjusted net income and Adjusted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2019</w:t>
            </w: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SEPTEMBER 30, 2018</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12,537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147,912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123,832</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i w:val="1"/>
                <w:iCs w:val="1"/>
                <w:color w:val="auto"/>
              </w:rPr>
              <w:t>Operating income margin</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Restaurant and asset impairments and closing costs (1)</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12,021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Severance (2)</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Legal and contingent matters</w:t>
            </w:r>
          </w:p>
        </w:tc>
        <w:tc>
          <w:tcPr>
            <w:tcW w:w="38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Restaurant relocations and related costs (3)</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4,638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income from operations adjustments</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20,910</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income from operations</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22,086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19,465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157,797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144,742</w:t>
            </w:r>
          </w:p>
        </w:tc>
        <w:tc>
          <w:tcPr>
            <w:tcW w:w="0" w:type="dxa"/>
            <w:vAlign w:val="bottom"/>
          </w:tcPr>
          <w:p>
            <w:pPr>
              <w:spacing w:after="0"/>
              <w:rPr>
                <w:sz w:val="1"/>
                <w:szCs w:val="1"/>
                <w:color w:val="auto"/>
              </w:rPr>
            </w:pPr>
          </w:p>
        </w:tc>
      </w:tr>
      <w:tr>
        <w:trPr>
          <w:trHeight w:val="224"/>
        </w:trPr>
        <w:tc>
          <w:tcPr>
            <w:tcW w:w="5040" w:type="dxa"/>
            <w:vAlign w:val="bottom"/>
          </w:tcPr>
          <w:p>
            <w:pPr>
              <w:ind w:left="180"/>
              <w:spacing w:after="0"/>
              <w:rPr>
                <w:sz w:val="20"/>
                <w:szCs w:val="20"/>
                <w:color w:val="auto"/>
              </w:rPr>
            </w:pPr>
            <w:r>
              <w:rPr>
                <w:rFonts w:ascii="Arial" w:cs="Arial" w:eastAsia="Arial" w:hAnsi="Arial"/>
                <w:sz w:val="16"/>
                <w:szCs w:val="16"/>
                <w:i w:val="1"/>
                <w:iCs w:val="1"/>
                <w:color w:val="auto"/>
              </w:rPr>
              <w:t>Adjusted operating income margin</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income attributable to Bloomin’ Brands</w:t>
            </w: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9,248</w:t>
            </w:r>
          </w:p>
        </w:tc>
        <w:tc>
          <w:tcPr>
            <w:tcW w:w="10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4,072</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102,569</w:t>
            </w:r>
          </w:p>
        </w:tc>
        <w:tc>
          <w:tcPr>
            <w:tcW w:w="1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96,191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from operations adjustments</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20,910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9,885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20,910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Adjustment to provision for income taxes (4)</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(1,643)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adjustments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17,148</w:t>
            </w:r>
          </w:p>
        </w:tc>
        <w:tc>
          <w:tcPr>
            <w:tcW w:w="0" w:type="dxa"/>
            <w:vAlign w:val="bottom"/>
          </w:tcPr>
          <w:p>
            <w:pPr>
              <w:spacing w:after="0"/>
              <w:rPr>
                <w:sz w:val="1"/>
                <w:szCs w:val="1"/>
                <w:color w:val="auto"/>
              </w:rPr>
            </w:pPr>
          </w:p>
        </w:tc>
      </w:tr>
      <w:tr>
        <w:trPr>
          <w:trHeight w:val="29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8,905</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110,751</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113,339</w:t>
            </w:r>
          </w:p>
        </w:tc>
        <w:tc>
          <w:tcPr>
            <w:tcW w:w="0" w:type="dxa"/>
            <w:vAlign w:val="bottom"/>
          </w:tcPr>
          <w:p>
            <w:pPr>
              <w:spacing w:after="0"/>
              <w:rPr>
                <w:sz w:val="1"/>
                <w:szCs w:val="1"/>
                <w:color w:val="auto"/>
              </w:rPr>
            </w:pPr>
          </w:p>
        </w:tc>
      </w:tr>
      <w:tr>
        <w:trPr>
          <w:trHeight w:val="284"/>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outstanding</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87,305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93,324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94,489</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660" w:right="2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asset impairment charges and related costs primarily associated with approved closure and restructuring initiatives, and the restructuring of certain international markets. Amount also includes gains on the sale of certain surplus properties of $3.8 million for the thirteen and thirty-nine weeks ended September 29, 2019.</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Relates to severance expense incurred as a result of restructuring activities.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liquidity sources consist of cash flow from our operations, cash and cash equivalents and credit capacity under our credit facilities. We expect to use cash primarily for general operating expenses, share repurchases and dividend payments, payments on our debt, remodeling or relocating older restaurants, obligations related to our deferred compensation plans and investments in technology.</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for the next 12 months following this filing and beyond. However, our ability to continue to meet these requirements and obligations will depend on, among other things, our ability to achieve anticipated levels of revenue and cash flow and our ability to manage costs and working capital successfully.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September 29, 2019, we had $51.4 million in cash and cash equivalents, of which $15.4 million was held</w:t>
      </w:r>
      <w:r>
        <w:rPr>
          <w:rFonts w:ascii="Arial" w:cs="Arial" w:eastAsia="Arial" w:hAnsi="Arial"/>
          <w:sz w:val="20"/>
          <w:szCs w:val="20"/>
          <w:i w:val="1"/>
          <w:iCs w:val="1"/>
          <w:color w:val="auto"/>
        </w:rPr>
        <w:t xml:space="preserve"> </w:t>
      </w:r>
      <w:r>
        <w:rPr>
          <w:rFonts w:ascii="Arial" w:cs="Arial" w:eastAsia="Arial" w:hAnsi="Arial"/>
          <w:sz w:val="20"/>
          <w:szCs w:val="20"/>
          <w:color w:val="auto"/>
        </w:rPr>
        <w:t>by foreign affiliates. The international jurisdictions in which we have significant cash do not have any known restrictions that would prohibit repatriation.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September 29, 2019, we had aggregate accumulated foreign earnings of approximately $86.1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Closure Initiatives </w:t>
      </w:r>
      <w:r>
        <w:rPr>
          <w:rFonts w:ascii="Arial" w:cs="Arial" w:eastAsia="Arial" w:hAnsi="Arial"/>
          <w:sz w:val="19"/>
          <w:szCs w:val="19"/>
          <w:color w:val="auto"/>
        </w:rPr>
        <w:t>- Total aggregate future undiscounted cash expenditures of $12.0 million to $14.6 million related to lease liabilities for</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closure initiatives are expected to occur over the remaining lease terms with the final term ending in January 2029.</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$175.0 million in 2019. The amount of actual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may be affected by general economic, financial, competitive, legislative and regulatory factors, among other things, including restrictions imposed by our borrowing arrangements.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 As of September 29, 2019, we had $1.1 billion of outstanding borrowings under our Senior Secured Credit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evaluate whether we will make further payments of our outstanding debt ahead of scheduled maturities. Following is a summary of our outstanding credit facilities as of the dates indicated and principal payments and debt issuance during the period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SENIOR SECURED CREDIT FACILITY</w:t>
            </w:r>
          </w:p>
        </w:tc>
        <w:tc>
          <w:tcPr>
            <w:tcW w:w="124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58"/>
        </w:trPr>
        <w:tc>
          <w:tcPr>
            <w:tcW w:w="64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648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TERM LOAN A</w:t>
            </w: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REVOLVING FACILITY</w:t>
            </w:r>
          </w:p>
        </w:tc>
        <w:tc>
          <w:tcPr>
            <w:tcW w:w="16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37"/>
        </w:trPr>
        <w:tc>
          <w:tcPr>
            <w:tcW w:w="6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30, 2018</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1,074,500</w:t>
            </w: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2019 new debt</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533,300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533,300</w:t>
            </w: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payments</w:t>
            </w: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(469,000)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(487,750)</w:t>
            </w:r>
          </w:p>
        </w:tc>
        <w:tc>
          <w:tcPr>
            <w:tcW w:w="0" w:type="dxa"/>
            <w:vAlign w:val="bottom"/>
          </w:tcPr>
          <w:p>
            <w:pPr>
              <w:spacing w:after="0"/>
              <w:rPr>
                <w:sz w:val="1"/>
                <w:szCs w:val="1"/>
                <w:color w:val="auto"/>
              </w:rPr>
            </w:pPr>
          </w:p>
        </w:tc>
      </w:tr>
      <w:tr>
        <w:trPr>
          <w:trHeight w:val="290"/>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September 29, 2019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456,250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663,800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1,120,050</w:t>
            </w:r>
          </w:p>
        </w:tc>
        <w:tc>
          <w:tcPr>
            <w:tcW w:w="0" w:type="dxa"/>
            <w:vAlign w:val="bottom"/>
          </w:tcPr>
          <w:p>
            <w:pPr>
              <w:spacing w:after="0"/>
              <w:rPr>
                <w:sz w:val="1"/>
                <w:szCs w:val="1"/>
                <w:color w:val="auto"/>
              </w:rPr>
            </w:pPr>
          </w:p>
        </w:tc>
      </w:tr>
      <w:tr>
        <w:trPr>
          <w:trHeight w:val="311"/>
        </w:trPr>
        <w:tc>
          <w:tcPr>
            <w:tcW w:w="64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6"/>
                <w:szCs w:val="16"/>
                <w:color w:val="auto"/>
              </w:rPr>
              <w:t>Weighted-average interest rate, as of September 29, 2019</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Principal maturity date</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November 2022</w:t>
            </w:r>
          </w:p>
        </w:tc>
        <w:tc>
          <w:tcPr>
            <w:tcW w:w="3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November 2022</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29, 2019, we had $316.0 million in available unused borrowing capacity under our revolving credit facility, net of letters of credit of $20.2 million.</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Our Credit Agreement contains term loan mandatory prepayment requirements of 50% of our annual excess cash flow, as</w:t>
      </w:r>
      <w:r>
        <w:rPr>
          <w:rFonts w:ascii="Arial" w:cs="Arial" w:eastAsia="Arial" w:hAnsi="Arial"/>
          <w:sz w:val="20"/>
          <w:szCs w:val="20"/>
          <w:i w:val="1"/>
          <w:iCs w:val="1"/>
          <w:color w:val="auto"/>
        </w:rPr>
        <w:t xml:space="preserve"> </w:t>
      </w:r>
      <w:r>
        <w:rPr>
          <w:rFonts w:ascii="Arial" w:cs="Arial" w:eastAsia="Arial" w:hAnsi="Arial"/>
          <w:sz w:val="20"/>
          <w:szCs w:val="20"/>
          <w:color w:val="auto"/>
        </w:rPr>
        <w:t>defined in the Credit Agreement. The amount outstanding required to be prepaid may vary based on our leverage ratio and year end results. Other than the annual required minimum amortization premiums of $25.0 million, we do not anticipate any other payments will be required through September 27, 2020.</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Debt Covenants </w:t>
      </w:r>
      <w:r>
        <w:rPr>
          <w:rFonts w:ascii="Arial" w:cs="Arial" w:eastAsia="Arial" w:hAnsi="Arial"/>
          <w:sz w:val="20"/>
          <w:szCs w:val="20"/>
          <w:color w:val="auto"/>
        </w:rPr>
        <w:t>- Our Credit Agreement contains various financial and non-financial covenants. A violation of these covenants could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negatively impact our liquidity by restricting our ability to borrow under the revolving credit facility and cause an acceleration of the amounts due under the credit facilities. See Note 13 -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in our Annual Report on Form 10-K for the year ended December 30, 2018 for further information.</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September 29, 2019 and December 30, 2018, we were in compliance with our debt covenants. We believe that we will remain in compliance with our debt covenants during the next 12 months and beyond.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provided by (used in) operating, investing and financing activities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2019</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r>
      <w:tr>
        <w:trPr>
          <w:trHeight w:val="237"/>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provided by operating activities</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180,926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155,196</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(93,710)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(124,303)</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(76,960)</w:t>
            </w:r>
          </w:p>
        </w:tc>
      </w:tr>
      <w:tr>
        <w:trPr>
          <w:trHeight w:val="270"/>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(50,928)</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 Net cash provided by operating activities increased during the thirty-nine weeks ended September 29, 2019, as compared</w:t>
      </w:r>
      <w:r>
        <w:rPr>
          <w:rFonts w:ascii="Arial" w:cs="Arial" w:eastAsia="Arial" w:hAnsi="Arial"/>
          <w:sz w:val="20"/>
          <w:szCs w:val="20"/>
          <w:i w:val="1"/>
          <w:iCs w:val="1"/>
          <w:color w:val="auto"/>
        </w:rPr>
        <w:t xml:space="preserve"> </w:t>
      </w:r>
      <w:r>
        <w:rPr>
          <w:rFonts w:ascii="Arial" w:cs="Arial" w:eastAsia="Arial" w:hAnsi="Arial"/>
          <w:sz w:val="20"/>
          <w:szCs w:val="20"/>
          <w:color w:val="auto"/>
        </w:rPr>
        <w:t>to the thirty-nine weeks ended September 30, 2018 primarily due to the timing of collections of receivables and the timing of payments, partially offset by higher income tax and interest payments.</w:t>
      </w:r>
    </w:p>
    <w:p>
      <w:pPr>
        <w:spacing w:after="0" w:line="20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 xml:space="preserve">Investing activities - </w:t>
      </w:r>
      <w:r>
        <w:rPr>
          <w:rFonts w:ascii="Arial" w:cs="Arial" w:eastAsia="Arial" w:hAnsi="Arial"/>
          <w:sz w:val="18"/>
          <w:szCs w:val="18"/>
          <w:color w:val="auto"/>
        </w:rPr>
        <w:t>Net cash used in investing activities during the thirty-nine weeks ended September 29, 2019 primarily consisted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partially offset by proceeds from the disposal of property, fixtures and equipment and proceeds from sale-leaseback transactions.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cash used in investing activities during the thirty-nine weeks ended September 30, 2018 primarily consisted of capital expenditures, partially offset by proceeds from sale-leaseback transactions and proceeds from the disposal of property, fixtures and equipment.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Net cash used in financing activities during the thirty-nine weeks ended September 29, 2019 primarily consisted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 the repurchase of common stock, (ii) payment of cash dividends on our common stock, (iii) the repayment of long-term debt and</w:t>
      </w:r>
    </w:p>
    <w:p>
      <w:pPr>
        <w:spacing w:after="0" w:line="1" w:lineRule="exact"/>
        <w:rPr>
          <w:sz w:val="20"/>
          <w:szCs w:val="20"/>
          <w:color w:val="auto"/>
        </w:rPr>
      </w:pPr>
    </w:p>
    <w:p>
      <w:pPr>
        <w:ind w:right="20" w:firstLine="8"/>
        <w:spacing w:after="0" w:line="244" w:lineRule="auto"/>
        <w:tabs>
          <w:tab w:leader="none" w:pos="341" w:val="left"/>
        </w:tabs>
        <w:numPr>
          <w:ilvl w:val="0"/>
          <w:numId w:val="40"/>
        </w:numPr>
        <w:rPr>
          <w:rFonts w:ascii="Arial" w:cs="Arial" w:eastAsia="Arial" w:hAnsi="Arial"/>
          <w:sz w:val="20"/>
          <w:szCs w:val="20"/>
          <w:color w:val="auto"/>
        </w:rPr>
      </w:pPr>
      <w:r>
        <w:rPr>
          <w:rFonts w:ascii="Arial" w:cs="Arial" w:eastAsia="Arial" w:hAnsi="Arial"/>
          <w:sz w:val="20"/>
          <w:szCs w:val="20"/>
          <w:color w:val="auto"/>
        </w:rPr>
        <w:t>repayments of partner deposits and accrued partner obligations. Net cash used in financing activities was partially offset by drawdowns on our revolving credit facility, net of repayments.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cash used in financing activities during the thirty-nine weeks ended September 30, 2018 primarily consisted of the following: (i) the repurchase of common stock, (ii) payment of cash dividends on our common stock, (iii) the repayment of long-term debt and (iv) repayments of partner deposits and accrued partner obligations. Net cash used in financing activities was partially offset by drawdowns on our revolving credit facility, net of repayments and proceeds from share-based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2019</w:t>
            </w:r>
          </w:p>
        </w:tc>
        <w:tc>
          <w:tcPr>
            <w:tcW w:w="220" w:type="dxa"/>
            <w:vAlign w:val="bottom"/>
          </w:tcPr>
          <w:p>
            <w:pPr>
              <w:spacing w:after="0"/>
              <w:rPr>
                <w:sz w:val="17"/>
                <w:szCs w:val="17"/>
                <w:color w:val="auto"/>
              </w:rPr>
            </w:pPr>
          </w:p>
        </w:tc>
        <w:tc>
          <w:tcPr>
            <w:tcW w:w="18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335,483</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790,805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791,039</w:t>
            </w: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 (deficit) (1)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(579,222)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(455,556)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During the thirty-nine weeks ended September 29, 2019 net working capital (deficit) was negatively impacted by the recognition of approximately $170 million of current lease liabilities as a result of the adoption of ASU No. 2016-02.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Working capital (deficit) includes: (i) Unearned revenue primarily from unredeemed gift cards of $217.2 million and $342.7 million as of September 29, 2019 and December 30, 2018, respectively, and (ii) current operating lease liabilities of $170.8 million as of September 29, 2019, with the corresponding operating right-of-use assets recorded as non-current on our Consolidated Balance Sheet.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used to service debt obligations and to make capital expenditures.</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$52.6 million and $69.6</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September 29, 2019 and December 30, 2018, respectively. We invest in various corporate-owned life insurance policies,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$12.8 million as of September 29, 2019.</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capital to fund the deferred compensation plans and currently expect cash funding of $14.0 million to $16.0 million for 2019.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Dividends </w:t>
      </w:r>
      <w:r>
        <w:rPr>
          <w:rFonts w:ascii="Arial" w:cs="Arial" w:eastAsia="Arial" w:hAnsi="Arial"/>
          <w:sz w:val="20"/>
          <w:szCs w:val="20"/>
          <w:color w:val="auto"/>
        </w:rPr>
        <w:t>- In October 2019, the Board declared a quarterly cash dividend of $0.10 per share, payable on November 27, 2019. Future dividend</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are dependent on our earnings, financial condition, capital expenditure requirements, surplus and other factors that the Board considers relevant.</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Share Repurchases </w:t>
      </w:r>
      <w:r>
        <w:rPr>
          <w:rFonts w:ascii="Arial" w:cs="Arial" w:eastAsia="Arial" w:hAnsi="Arial"/>
          <w:sz w:val="19"/>
          <w:szCs w:val="19"/>
          <w:color w:val="auto"/>
        </w:rPr>
        <w:t>- On February 12, 2019, our Board canceled the remaining $36.0 million of authorization under the 2018 Share Repurchase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Program and approved a new $150.0 million authorization. The 2019 Share Repurchase Program will expire on August 12, 2020. As of September 29, 2019, we had $43.0 million remaining available for repurchase under the 2019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fiscal year 2015 through September 29,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DIVIDENDS PAID</w:t>
            </w:r>
          </w:p>
        </w:tc>
        <w:tc>
          <w:tcPr>
            <w:tcW w:w="460" w:type="dxa"/>
            <w:vAlign w:val="bottom"/>
          </w:tcPr>
          <w:p>
            <w:pPr>
              <w:spacing w:after="0"/>
              <w:rPr>
                <w:sz w:val="17"/>
                <w:szCs w:val="17"/>
                <w:color w:val="auto"/>
              </w:rPr>
            </w:pPr>
          </w:p>
        </w:tc>
        <w:tc>
          <w:tcPr>
            <w:tcW w:w="1340" w:type="dxa"/>
            <w:vAlign w:val="bottom"/>
          </w:tcPr>
          <w:p>
            <w:pPr>
              <w:jc w:val="right"/>
              <w:ind w:right="74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169,999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2016</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31,379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2017</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272,736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Fiscal year 2018</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33,312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fiscal quarter 2019</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9,140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Second fiscal quarter 2019</w:t>
            </w:r>
          </w:p>
        </w:tc>
        <w:tc>
          <w:tcPr>
            <w:tcW w:w="220" w:type="dxa"/>
            <w:vAlign w:val="bottom"/>
          </w:tcPr>
          <w:p>
            <w:pPr>
              <w:spacing w:after="0"/>
              <w:rPr>
                <w:sz w:val="20"/>
                <w:szCs w:val="20"/>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9,227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106,992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116,219</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fiscal quarter 2019</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8,674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152,052</w:t>
            </w: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973,581</w:t>
            </w:r>
          </w:p>
        </w:tc>
        <w:tc>
          <w:tcPr>
            <w:tcW w:w="120" w:type="dxa"/>
            <w:vAlign w:val="bottom"/>
            <w:tcBorders>
              <w:top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1,125,633</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during the thirty-nine weeks ended September 29, 2019 and, that are applicable to us and likely to have material effect on our consolidated financial statements, but have not yet been adopted, see Note 1 - </w:t>
      </w:r>
      <w:r>
        <w:rPr>
          <w:rFonts w:ascii="Arial" w:cs="Arial" w:eastAsia="Arial" w:hAnsi="Arial"/>
          <w:sz w:val="20"/>
          <w:szCs w:val="20"/>
          <w:i w:val="1"/>
          <w:iCs w:val="1"/>
          <w:color w:val="auto"/>
        </w:rPr>
        <w:t>Description of the Business and Basis of Presentation</w:t>
      </w:r>
      <w:r>
        <w:rPr>
          <w:rFonts w:ascii="Arial" w:cs="Arial" w:eastAsia="Arial" w:hAnsi="Arial"/>
          <w:sz w:val="20"/>
          <w:szCs w:val="20"/>
          <w:color w:val="auto"/>
        </w:rPr>
        <w:t xml:space="preserve"> of the Notes to the Consolidated Financial Statements of this Quarterly Report on Form 10-Q.</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30, 2018, except as set forth below. See Part II, Item 7A., “Quantitative and Qualitative Disclosures about Market Risk,” in our Annual Report on Form 10-K for the year ended December 30, 2018 for further information regarding market risk.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thirty-nine weeks ended September 29, 2019, a 10% change in average foreign currency rates against the U.S. dollar would have increased or decreased our Total revenues and Net income for our consolidated foreign entities by $36.9 million and $2.5 million, respectively. Currently, we do not enter into currency forward exchange or option contracts to hedge foreign currency exposures.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September 29,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September 29,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29"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a description of our legal proceedings, see Note 16 -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the Consolidated Financial Statements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2018 Form 10-K which could materially affect our business, financial condition or future results. There have not been any material changes to the risk factors described in our 2018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sales of equity securities during the third quarter of 2019 that were not registered under the Securities Act of 1933.</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February 12, 2019, the Board of Directors authorized the repurchase of $150.0 million of our outstanding common stock as announced in our press release issued on February 14, 2019 (the “2019 Share Repurchase Program”). The 2019 Share Repurchase Program will expire on August 12, 2020. We did not repurchase any shares of our outstanding common stock during the thirteen weeks ended September 29,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ind w:left="780"/>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6340" w:type="dxa"/>
            <w:vAlign w:val="bottom"/>
            <w:gridSpan w:val="9"/>
          </w:tcPr>
          <w:p>
            <w:pPr>
              <w:ind w:left="2000"/>
              <w:spacing w:after="0"/>
              <w:rPr>
                <w:sz w:val="20"/>
                <w:szCs w:val="20"/>
                <w:color w:val="auto"/>
              </w:rPr>
            </w:pPr>
            <w:r>
              <w:rPr>
                <w:rFonts w:ascii="Arial" w:cs="Arial" w:eastAsia="Arial" w:hAnsi="Arial"/>
                <w:sz w:val="16"/>
                <w:szCs w:val="16"/>
                <w:b w:val="1"/>
                <w:bCs w:val="1"/>
                <w:color w:val="auto"/>
              </w:rPr>
              <w:t>DESCRIPTION OF EXHIBITS</w:t>
            </w:r>
          </w:p>
        </w:tc>
        <w:tc>
          <w:tcPr>
            <w:tcW w:w="3760" w:type="dxa"/>
            <w:vAlign w:val="bottom"/>
          </w:tcPr>
          <w:p>
            <w:pPr>
              <w:ind w:left="520"/>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38"/>
        </w:trPr>
        <w:tc>
          <w:tcPr>
            <w:tcW w:w="1160" w:type="dxa"/>
            <w:vAlign w:val="bottom"/>
          </w:tcPr>
          <w:p>
            <w:pPr>
              <w:jc w:val="center"/>
              <w:spacing w:after="0"/>
              <w:rPr>
                <w:sz w:val="20"/>
                <w:szCs w:val="20"/>
                <w:color w:val="auto"/>
              </w:rPr>
            </w:pPr>
            <w:r>
              <w:rPr>
                <w:rFonts w:ascii="Arial" w:cs="Arial" w:eastAsia="Arial" w:hAnsi="Arial"/>
                <w:sz w:val="20"/>
                <w:szCs w:val="20"/>
                <w:color w:val="auto"/>
                <w:w w:val="94"/>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7"/>
          </w:tcPr>
          <w:p>
            <w:pPr>
              <w:spacing w:after="0"/>
              <w:rPr>
                <w:rFonts w:ascii="Arial" w:cs="Arial" w:eastAsia="Arial" w:hAnsi="Arial"/>
                <w:sz w:val="20"/>
                <w:szCs w:val="20"/>
                <w:color w:val="0000FF"/>
                <w:w w:val="91"/>
              </w:rPr>
            </w:pPr>
            <w:hyperlink r:id="rId21">
              <w:r>
                <w:rPr>
                  <w:rFonts w:ascii="Arial" w:cs="Arial" w:eastAsia="Arial" w:hAnsi="Arial"/>
                  <w:sz w:val="20"/>
                  <w:szCs w:val="20"/>
                  <w:color w:val="0000FF"/>
                  <w:w w:val="91"/>
                </w:rPr>
                <w:t>Separation Agreement, dated as of July 31, 2019, by and between Joseph J.</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June 30, 2019 Form 10-Q, Exhibit 10.5</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9"/>
          </w:tcPr>
          <w:p>
            <w:pPr>
              <w:spacing w:after="0" w:line="209" w:lineRule="exact"/>
              <w:rPr>
                <w:rFonts w:ascii="Arial" w:cs="Arial" w:eastAsia="Arial" w:hAnsi="Arial"/>
                <w:sz w:val="20"/>
                <w:szCs w:val="20"/>
                <w:color w:val="0000FF"/>
              </w:rPr>
            </w:pPr>
            <w:hyperlink r:id="rId21">
              <w:r>
                <w:rPr>
                  <w:rFonts w:ascii="Arial" w:cs="Arial" w:eastAsia="Arial" w:hAnsi="Arial"/>
                  <w:sz w:val="20"/>
                  <w:szCs w:val="20"/>
                  <w:color w:val="0000FF"/>
                </w:rPr>
                <w:t>Kadow and OSI Restaurant Partners, LLC</w:t>
              </w:r>
            </w:hyperlink>
          </w:p>
        </w:tc>
        <w:tc>
          <w:tcPr>
            <w:tcW w:w="37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rPr>
            </w:pPr>
            <w:hyperlink w:anchor="page52">
              <w:r>
                <w:rPr>
                  <w:rFonts w:ascii="Arial" w:cs="Arial" w:eastAsia="Arial" w:hAnsi="Arial"/>
                  <w:sz w:val="20"/>
                  <w:szCs w:val="20"/>
                  <w:color w:val="0000FF"/>
                </w:rPr>
                <w:t>Certification of Chief Executive Officer pursuant to Section 302 of the</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Arial" w:cs="Arial" w:eastAsia="Arial" w:hAnsi="Arial"/>
                <w:sz w:val="20"/>
                <w:szCs w:val="20"/>
                <w:color w:val="0000FF"/>
                <w:w w:val="89"/>
              </w:rPr>
            </w:pPr>
            <w:hyperlink w:anchor="page52">
              <w:r>
                <w:rPr>
                  <w:rFonts w:ascii="Arial" w:cs="Arial" w:eastAsia="Arial" w:hAnsi="Arial"/>
                  <w:sz w:val="20"/>
                  <w:szCs w:val="20"/>
                  <w:color w:val="0000FF"/>
                  <w:w w:val="89"/>
                </w:rPr>
                <w:t>Sarbanes-Oxley Act of 2002</w:t>
              </w:r>
            </w:hyperlink>
          </w:p>
        </w:tc>
        <w:tc>
          <w:tcPr>
            <w:tcW w:w="4080" w:type="dxa"/>
            <w:vAlign w:val="bottom"/>
            <w:gridSpan w:val="8"/>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FF"/>
            </w:tcBorders>
            <w:gridSpan w:val="7"/>
          </w:tcPr>
          <w:p>
            <w:pPr>
              <w:spacing w:after="0"/>
              <w:rPr>
                <w:rFonts w:ascii="Arial" w:cs="Arial" w:eastAsia="Arial" w:hAnsi="Arial"/>
                <w:sz w:val="20"/>
                <w:szCs w:val="20"/>
                <w:color w:val="0000FF"/>
              </w:rPr>
            </w:pPr>
            <w:hyperlink w:anchor="page53">
              <w:r>
                <w:rPr>
                  <w:rFonts w:ascii="Arial" w:cs="Arial" w:eastAsia="Arial" w:hAnsi="Arial"/>
                  <w:sz w:val="20"/>
                  <w:szCs w:val="20"/>
                  <w:color w:val="0000FF"/>
                </w:rPr>
                <w:t>Certification of Chief Financial Officer pursuant to Section 302 of the</w:t>
              </w:r>
            </w:hyperlink>
          </w:p>
        </w:tc>
        <w:tc>
          <w:tcPr>
            <w:tcW w:w="100" w:type="dxa"/>
            <w:vAlign w:val="bottom"/>
            <w:gridSpan w:val="2"/>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0000FF"/>
            </w:tcBorders>
          </w:tcPr>
          <w:p>
            <w:pPr>
              <w:spacing w:after="0" w:line="209" w:lineRule="exact"/>
              <w:rPr>
                <w:rFonts w:ascii="Arial" w:cs="Arial" w:eastAsia="Arial" w:hAnsi="Arial"/>
                <w:sz w:val="20"/>
                <w:szCs w:val="20"/>
                <w:color w:val="0000FF"/>
                <w:w w:val="89"/>
              </w:rPr>
            </w:pPr>
            <w:hyperlink w:anchor="page53">
              <w:r>
                <w:rPr>
                  <w:rFonts w:ascii="Arial" w:cs="Arial" w:eastAsia="Arial" w:hAnsi="Arial"/>
                  <w:sz w:val="20"/>
                  <w:szCs w:val="20"/>
                  <w:color w:val="0000FF"/>
                  <w:w w:val="89"/>
                </w:rPr>
                <w:t>Sarbanes-Oxley Act of 2002</w:t>
              </w:r>
            </w:hyperlink>
          </w:p>
        </w:tc>
        <w:tc>
          <w:tcPr>
            <w:tcW w:w="4080" w:type="dxa"/>
            <w:vAlign w:val="bottom"/>
            <w:gridSpan w:val="8"/>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Borders>
              <w:bottom w:val="single" w:sz="8" w:color="0000FF"/>
            </w:tcBorders>
            <w:gridSpan w:val="6"/>
          </w:tcPr>
          <w:p>
            <w:pPr>
              <w:spacing w:after="0"/>
              <w:rPr>
                <w:rFonts w:ascii="Arial" w:cs="Arial" w:eastAsia="Arial" w:hAnsi="Arial"/>
                <w:sz w:val="20"/>
                <w:szCs w:val="20"/>
                <w:color w:val="0000FF"/>
                <w:w w:val="93"/>
              </w:rPr>
            </w:pPr>
            <w:hyperlink w:anchor="page54">
              <w:r>
                <w:rPr>
                  <w:rFonts w:ascii="Arial" w:cs="Arial" w:eastAsia="Arial" w:hAnsi="Arial"/>
                  <w:sz w:val="20"/>
                  <w:szCs w:val="20"/>
                  <w:color w:val="0000FF"/>
                  <w:w w:val="93"/>
                </w:rPr>
                <w:t>Certification of Chief Executive Officer pursuant to 18 U.S.C. Section 1350,</w:t>
              </w:r>
            </w:hyperlink>
          </w:p>
        </w:tc>
        <w:tc>
          <w:tcPr>
            <w:tcW w:w="120" w:type="dxa"/>
            <w:vAlign w:val="bottom"/>
            <w:gridSpan w:val="3"/>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Furnished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tcBorders>
              <w:bottom w:val="single" w:sz="8" w:color="0000FF"/>
            </w:tcBorders>
            <w:gridSpan w:val="4"/>
          </w:tcPr>
          <w:p>
            <w:pPr>
              <w:spacing w:after="0" w:line="209" w:lineRule="exact"/>
              <w:rPr>
                <w:rFonts w:ascii="Arial" w:cs="Arial" w:eastAsia="Arial" w:hAnsi="Arial"/>
                <w:sz w:val="20"/>
                <w:szCs w:val="20"/>
                <w:color w:val="0000FF"/>
                <w:w w:val="89"/>
              </w:rPr>
            </w:pPr>
            <w:hyperlink w:anchor="page54">
              <w:r>
                <w:rPr>
                  <w:rFonts w:ascii="Arial" w:cs="Arial" w:eastAsia="Arial" w:hAnsi="Arial"/>
                  <w:sz w:val="20"/>
                  <w:szCs w:val="20"/>
                  <w:color w:val="0000FF"/>
                  <w:w w:val="89"/>
                </w:rPr>
                <w:t>as adopted pursuant to Section 906 of the Sarbanes-Oxley Act of 2002 (1)</w:t>
              </w:r>
            </w:hyperlink>
          </w:p>
        </w:tc>
        <w:tc>
          <w:tcPr>
            <w:tcW w:w="460" w:type="dxa"/>
            <w:vAlign w:val="bottom"/>
            <w:gridSpan w:val="5"/>
          </w:tcPr>
          <w:p>
            <w:pPr>
              <w:spacing w:after="0"/>
              <w:rPr>
                <w:sz w:val="18"/>
                <w:szCs w:val="18"/>
                <w:color w:val="auto"/>
              </w:rPr>
            </w:pPr>
          </w:p>
        </w:tc>
        <w:tc>
          <w:tcPr>
            <w:tcW w:w="3760" w:type="dxa"/>
            <w:vAlign w:val="bottom"/>
          </w:tcPr>
          <w:p>
            <w:pPr>
              <w:spacing w:after="0"/>
              <w:rPr>
                <w:sz w:val="18"/>
                <w:szCs w:val="18"/>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20"/>
                <w:szCs w:val="20"/>
                <w:color w:val="auto"/>
                <w:w w:val="92"/>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000FF"/>
            </w:tcBorders>
            <w:gridSpan w:val="5"/>
          </w:tcPr>
          <w:p>
            <w:pPr>
              <w:spacing w:after="0"/>
              <w:rPr>
                <w:rFonts w:ascii="Arial" w:cs="Arial" w:eastAsia="Arial" w:hAnsi="Arial"/>
                <w:sz w:val="20"/>
                <w:szCs w:val="20"/>
                <w:color w:val="0000FF"/>
                <w:w w:val="94"/>
              </w:rPr>
            </w:pPr>
            <w:hyperlink w:anchor="page55">
              <w:r>
                <w:rPr>
                  <w:rFonts w:ascii="Arial" w:cs="Arial" w:eastAsia="Arial" w:hAnsi="Arial"/>
                  <w:sz w:val="20"/>
                  <w:szCs w:val="20"/>
                  <w:color w:val="0000FF"/>
                  <w:w w:val="94"/>
                </w:rPr>
                <w:t>Certification of Chief Financial Officer pursuant to 18 U.S.C. Section 1350,</w:t>
              </w:r>
            </w:hyperlink>
          </w:p>
        </w:tc>
        <w:tc>
          <w:tcPr>
            <w:tcW w:w="140" w:type="dxa"/>
            <w:vAlign w:val="bottom"/>
            <w:gridSpan w:val="4"/>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Furnished herewith</w:t>
            </w: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40" w:type="dxa"/>
            <w:vAlign w:val="bottom"/>
            <w:gridSpan w:val="9"/>
          </w:tcPr>
          <w:p>
            <w:pPr>
              <w:spacing w:after="0" w:line="209" w:lineRule="exact"/>
              <w:rPr>
                <w:rFonts w:ascii="Arial" w:cs="Arial" w:eastAsia="Arial" w:hAnsi="Arial"/>
                <w:sz w:val="20"/>
                <w:szCs w:val="20"/>
                <w:color w:val="0000FF"/>
                <w:w w:val="96"/>
              </w:rPr>
            </w:pPr>
            <w:hyperlink w:anchor="page55">
              <w:r>
                <w:rPr>
                  <w:rFonts w:ascii="Arial" w:cs="Arial" w:eastAsia="Arial" w:hAnsi="Arial"/>
                  <w:sz w:val="20"/>
                  <w:szCs w:val="20"/>
                  <w:color w:val="0000FF"/>
                  <w:w w:val="96"/>
                </w:rPr>
                <w:t>as adopted pursuant to Section 906 of the Sarbanes-Oxley Act of 2002 (1)</w:t>
              </w:r>
            </w:hyperlink>
          </w:p>
        </w:tc>
        <w:tc>
          <w:tcPr>
            <w:tcW w:w="3760" w:type="dxa"/>
            <w:vAlign w:val="bottom"/>
          </w:tcPr>
          <w:p>
            <w:pPr>
              <w:spacing w:after="0"/>
              <w:rPr>
                <w:sz w:val="18"/>
                <w:szCs w:val="18"/>
                <w:color w:val="auto"/>
              </w:rPr>
            </w:pPr>
          </w:p>
        </w:tc>
      </w:tr>
      <w:tr>
        <w:trPr>
          <w:trHeight w:val="430"/>
        </w:trPr>
        <w:tc>
          <w:tcPr>
            <w:tcW w:w="1280" w:type="dxa"/>
            <w:vAlign w:val="bottom"/>
            <w:gridSpan w:val="2"/>
          </w:tcPr>
          <w:p>
            <w:pPr>
              <w:ind w:left="240"/>
              <w:spacing w:after="0"/>
              <w:rPr>
                <w:sz w:val="20"/>
                <w:szCs w:val="20"/>
                <w:color w:val="auto"/>
              </w:rPr>
            </w:pPr>
            <w:r>
              <w:rPr>
                <w:rFonts w:ascii="Arial" w:cs="Arial" w:eastAsia="Arial" w:hAnsi="Arial"/>
                <w:sz w:val="20"/>
                <w:szCs w:val="20"/>
                <w:color w:val="auto"/>
              </w:rPr>
              <w:t>101.INS</w:t>
            </w:r>
          </w:p>
        </w:tc>
        <w:tc>
          <w:tcPr>
            <w:tcW w:w="20" w:type="dxa"/>
            <w:vAlign w:val="bottom"/>
          </w:tcPr>
          <w:p>
            <w:pPr>
              <w:spacing w:after="0"/>
              <w:rPr>
                <w:sz w:val="24"/>
                <w:szCs w:val="24"/>
                <w:color w:val="auto"/>
              </w:rPr>
            </w:pPr>
          </w:p>
        </w:tc>
        <w:tc>
          <w:tcPr>
            <w:tcW w:w="5860" w:type="dxa"/>
            <w:vAlign w:val="bottom"/>
            <w:tcBorders>
              <w:top w:val="single" w:sz="8" w:color="0000FF"/>
            </w:tcBorders>
            <w:gridSpan w:val="3"/>
          </w:tcPr>
          <w:p>
            <w:pPr>
              <w:spacing w:after="0"/>
              <w:rPr>
                <w:sz w:val="20"/>
                <w:szCs w:val="20"/>
                <w:color w:val="auto"/>
              </w:rPr>
            </w:pPr>
            <w:r>
              <w:rPr>
                <w:rFonts w:ascii="Arial" w:cs="Arial" w:eastAsia="Arial" w:hAnsi="Arial"/>
                <w:sz w:val="20"/>
                <w:szCs w:val="20"/>
                <w:color w:val="auto"/>
              </w:rPr>
              <w:t>XBRL Instance Document</w:t>
            </w:r>
          </w:p>
        </w:tc>
        <w:tc>
          <w:tcPr>
            <w:tcW w:w="480" w:type="dxa"/>
            <w:vAlign w:val="bottom"/>
            <w:gridSpan w:val="6"/>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Arial" w:cs="Arial" w:eastAsia="Arial" w:hAnsi="Arial"/>
                <w:sz w:val="20"/>
                <w:szCs w:val="20"/>
                <w:color w:val="auto"/>
              </w:rPr>
              <w:t>101.SCH</w:t>
            </w:r>
          </w:p>
        </w:tc>
        <w:tc>
          <w:tcPr>
            <w:tcW w:w="2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20"/>
                <w:szCs w:val="20"/>
                <w:color w:val="auto"/>
              </w:rPr>
              <w:t>XBRL Taxonomy Extension Schema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Arial" w:cs="Arial" w:eastAsia="Arial" w:hAnsi="Arial"/>
                <w:sz w:val="20"/>
                <w:szCs w:val="20"/>
                <w:color w:val="auto"/>
              </w:rPr>
              <w:t>101.DEF</w:t>
            </w:r>
          </w:p>
        </w:tc>
        <w:tc>
          <w:tcPr>
            <w:tcW w:w="2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20"/>
                <w:szCs w:val="20"/>
                <w:color w:val="auto"/>
              </w:rPr>
              <w:t>XBRL Taxonomy Extension Label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405"/>
        </w:trPr>
        <w:tc>
          <w:tcPr>
            <w:tcW w:w="1280" w:type="dxa"/>
            <w:vAlign w:val="bottom"/>
            <w:gridSpan w:val="2"/>
          </w:tcPr>
          <w:p>
            <w:pPr>
              <w:ind w:left="220"/>
              <w:spacing w:after="0"/>
              <w:rPr>
                <w:sz w:val="20"/>
                <w:szCs w:val="20"/>
                <w:color w:val="auto"/>
              </w:rPr>
            </w:pPr>
            <w:r>
              <w:rPr>
                <w:rFonts w:ascii="Arial" w:cs="Arial" w:eastAsia="Arial" w:hAnsi="Arial"/>
                <w:sz w:val="20"/>
                <w:szCs w:val="20"/>
                <w:color w:val="auto"/>
              </w:rPr>
              <w:t>101.PRE</w:t>
            </w:r>
          </w:p>
        </w:tc>
        <w:tc>
          <w:tcPr>
            <w:tcW w:w="20" w:type="dxa"/>
            <w:vAlign w:val="bottom"/>
          </w:tcPr>
          <w:p>
            <w:pPr>
              <w:spacing w:after="0"/>
              <w:rPr>
                <w:sz w:val="24"/>
                <w:szCs w:val="24"/>
                <w:color w:val="auto"/>
              </w:rPr>
            </w:pPr>
          </w:p>
        </w:tc>
        <w:tc>
          <w:tcPr>
            <w:tcW w:w="6340" w:type="dxa"/>
            <w:vAlign w:val="bottom"/>
            <w:gridSpan w:val="9"/>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376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7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80" w:type="dxa"/>
            <w:vAlign w:val="bottom"/>
            <w:gridSpan w:val="4"/>
          </w:tcPr>
          <w:p>
            <w:pPr>
              <w:jc w:val="right"/>
              <w:ind w:right="13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 Management contract or compensatory plan or arrangement required to be filed as an exhibit.</w:t>
      </w:r>
    </w:p>
    <w:p>
      <w:pPr>
        <w:spacing w:after="0" w:line="229" w:lineRule="exact"/>
        <w:rPr>
          <w:sz w:val="20"/>
          <w:szCs w:val="20"/>
          <w:color w:val="auto"/>
        </w:rPr>
      </w:pPr>
    </w:p>
    <w:p>
      <w:pPr>
        <w:jc w:val="both"/>
        <w:ind w:firstLine="8"/>
        <w:spacing w:after="0" w:line="250" w:lineRule="auto"/>
        <w:tabs>
          <w:tab w:leader="none" w:pos="283"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600" w:val="left"/>
          <w:tab w:leader="none" w:pos="4680" w:val="left"/>
        </w:tabs>
        <w:rPr>
          <w:sz w:val="20"/>
          <w:szCs w:val="20"/>
          <w:color w:val="auto"/>
        </w:rPr>
      </w:pPr>
      <w:r>
        <w:rPr>
          <w:rFonts w:ascii="Arial" w:cs="Arial" w:eastAsia="Arial" w:hAnsi="Arial"/>
          <w:sz w:val="20"/>
          <w:szCs w:val="20"/>
          <w:color w:val="auto"/>
        </w:rPr>
        <w:t>Date:</w:t>
        <w:tab/>
        <w:t>November 7, 2019</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(Registrant)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27305</wp:posOffset>
            </wp:positionV>
            <wp:extent cx="42621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6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Christopher Meyer</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Executive Vice President and Chief Financial Officer</w:t>
      </w:r>
    </w:p>
    <w:p>
      <w:pPr>
        <w:ind w:left="520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29"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7, 2019</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4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16"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29"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580" w:right="20" w:hanging="572"/>
        <w:spacing w:after="0" w:line="31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580" w:hanging="572"/>
        <w:spacing w:after="0" w:line="275"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58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1300" w:hanging="482"/>
        <w:spacing w:after="0" w:line="291"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300" w:hanging="482"/>
        <w:spacing w:after="0" w:line="269" w:lineRule="auto"/>
        <w:tabs>
          <w:tab w:leader="none" w:pos="13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jc w:val="both"/>
        <w:ind w:left="1300" w:hanging="482"/>
        <w:spacing w:after="0" w:line="250" w:lineRule="auto"/>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300" w:hanging="482"/>
        <w:spacing w:after="0" w:line="269" w:lineRule="auto"/>
        <w:tabs>
          <w:tab w:leader="none" w:pos="1300" w:val="left"/>
        </w:tabs>
        <w:numPr>
          <w:ilvl w:val="1"/>
          <w:numId w:val="4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9"/>
          <w:szCs w:val="19"/>
          <w:color w:val="auto"/>
        </w:rPr>
      </w:pPr>
    </w:p>
    <w:p>
      <w:pPr>
        <w:jc w:val="both"/>
        <w:ind w:left="580" w:hanging="572"/>
        <w:spacing w:after="0" w:line="250" w:lineRule="auto"/>
        <w:tabs>
          <w:tab w:leader="none" w:pos="5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1300" w:hanging="482"/>
        <w:spacing w:after="0" w:line="250" w:lineRule="auto"/>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520" w:hanging="1702"/>
        <w:spacing w:after="0" w:line="260" w:lineRule="auto"/>
        <w:tabs>
          <w:tab w:leader="none" w:pos="1305"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tabs>
          <w:tab w:leader="none" w:pos="700" w:val="left"/>
          <w:tab w:leader="none" w:pos="5040" w:val="left"/>
        </w:tabs>
        <w:rPr>
          <w:sz w:val="20"/>
          <w:szCs w:val="20"/>
          <w:color w:val="auto"/>
        </w:rPr>
      </w:pPr>
      <w:r>
        <w:rPr>
          <w:rFonts w:ascii="Arial" w:cs="Arial" w:eastAsia="Arial" w:hAnsi="Arial"/>
          <w:sz w:val="20"/>
          <w:szCs w:val="20"/>
          <w:color w:val="auto"/>
        </w:rPr>
        <w:t>Date:</w:t>
        <w:tab/>
        <w:t>November 7, 2019</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27305</wp:posOffset>
            </wp:positionV>
            <wp:extent cx="40563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6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420"/>
          </w:cols>
          <w:pgMar w:left="240" w:top="34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29, 2019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7, 2019</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Executive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260"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September 29, 2019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19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353" w:lineRule="exact"/>
        <w:rPr>
          <w:sz w:val="20"/>
          <w:szCs w:val="20"/>
          <w:color w:val="auto"/>
        </w:rPr>
      </w:pPr>
    </w:p>
    <w:p>
      <w:pPr>
        <w:ind w:left="80"/>
        <w:spacing w:after="0"/>
        <w:tabs>
          <w:tab w:leader="none" w:pos="760" w:val="left"/>
          <w:tab w:leader="none" w:pos="5080" w:val="left"/>
        </w:tabs>
        <w:rPr>
          <w:sz w:val="20"/>
          <w:szCs w:val="20"/>
          <w:color w:val="auto"/>
        </w:rPr>
      </w:pPr>
      <w:r>
        <w:rPr>
          <w:rFonts w:ascii="Arial" w:cs="Arial" w:eastAsia="Arial" w:hAnsi="Arial"/>
          <w:sz w:val="20"/>
          <w:szCs w:val="20"/>
          <w:color w:val="auto"/>
        </w:rPr>
        <w:t>Date:</w:t>
        <w:tab/>
        <w:t>November 7, 2019</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27305</wp:posOffset>
            </wp:positionV>
            <wp:extent cx="40303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6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(Principal Financial and Accounting Officer)</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Roman"/>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3"/>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1)"/>
      <w:numFmt w:val="lowerRoman"/>
      <w:start w:val="8"/>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lvl w:ilvl="1">
      <w:lvlJc w:val="left"/>
      <w:lvlText w:val="(%2)"/>
      <w:numFmt w:val="lowerRoman"/>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lowerRoman"/>
      <w:start w:val="3"/>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1)"/>
      <w:numFmt w:val="lowerRoman"/>
      <w:start w:val="3"/>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Roman"/>
      <w:start w:val="4"/>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1" Type="http://schemas.openxmlformats.org/officeDocument/2006/relationships/hyperlink" Target="http://www.sec.gov/Archives/edgar/data/1546417/000154641719000084/blmn-63019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2019-12-28T02:19:57Z</dcterms:created>
  <dcterms:modified xsi:type="dcterms:W3CDTF">2019-12-28T02:19:57Z</dcterms:modified>
</cp:coreProperties>
</file>